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4"/>
          <w:szCs w:val="24"/>
          <w:color w:val="auto"/>
        </w:rPr>
      </w:pPr>
    </w:p>
    <w:p>
      <w:pPr>
        <w:spacing w:after="0" w:line="3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4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46" w:lineRule="exact"/>
        <w:rPr>
          <w:sz w:val="24"/>
          <w:szCs w:val="24"/>
          <w:color w:val="auto"/>
        </w:rPr>
      </w:pPr>
    </w:p>
    <w:p>
      <w:pPr>
        <w:ind w:left="580" w:hanging="376"/>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ANNUAL REPORT PURSUANT TO SECTION 13 OR 15(d) OF THE SECURITIES EXCHANGE ACT OF 1934</w:t>
      </w:r>
    </w:p>
    <w:p>
      <w:pPr>
        <w:spacing w:after="0" w:line="101" w:lineRule="exact"/>
        <w:rPr>
          <w:rFonts w:ascii="MS PGothic" w:cs="MS PGothic" w:eastAsia="MS PGothic" w:hAnsi="MS PGothic"/>
          <w:sz w:val="18"/>
          <w:szCs w:val="18"/>
          <w:color w:val="auto"/>
        </w:rPr>
      </w:pPr>
    </w:p>
    <w:p>
      <w:pPr>
        <w:ind w:left="390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For the fiscal year ended December 31, 2024.</w:t>
      </w:r>
    </w:p>
    <w:p>
      <w:pPr>
        <w:spacing w:after="0" w:line="117" w:lineRule="exact"/>
        <w:rPr>
          <w:rFonts w:ascii="MS PGothic" w:cs="MS PGothic" w:eastAsia="MS PGothic" w:hAnsi="MS PGothic"/>
          <w:sz w:val="18"/>
          <w:szCs w:val="18"/>
          <w:color w:val="auto"/>
        </w:rPr>
      </w:pPr>
    </w:p>
    <w:p>
      <w:pPr>
        <w:ind w:left="548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OR</w:t>
      </w:r>
    </w:p>
    <w:p>
      <w:pPr>
        <w:spacing w:after="0" w:line="178" w:lineRule="exact"/>
        <w:rPr>
          <w:sz w:val="24"/>
          <w:szCs w:val="24"/>
          <w:color w:val="auto"/>
        </w:rPr>
      </w:pPr>
    </w:p>
    <w:p>
      <w:pPr>
        <w:ind w:left="580" w:hanging="376"/>
        <w:spacing w:after="0"/>
        <w:tabs>
          <w:tab w:leader="none" w:pos="5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105" w:lineRule="exact"/>
        <w:rPr>
          <w:rFonts w:ascii="MS PGothic" w:cs="MS PGothic" w:eastAsia="MS PGothic" w:hAnsi="MS PGothic"/>
          <w:sz w:val="18"/>
          <w:szCs w:val="18"/>
          <w:color w:val="auto"/>
        </w:rPr>
      </w:pPr>
    </w:p>
    <w:p>
      <w:pPr>
        <w:ind w:left="3860"/>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For the transition period from ______ to ______.</w:t>
      </w:r>
    </w:p>
    <w:p>
      <w:pPr>
        <w:spacing w:after="0" w:line="2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Commission File Number: 001-39420</w:t>
      </w:r>
    </w:p>
    <w:p>
      <w:pPr>
        <w:spacing w:after="0" w:line="23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2"/>
          <w:szCs w:val="42"/>
          <w:b w:val="1"/>
          <w:bCs w:val="1"/>
          <w:color w:val="auto"/>
        </w:rPr>
        <w:t>RACKSPACE TECHNOLOGY, INC.</w:t>
      </w:r>
    </w:p>
    <w:p>
      <w:pPr>
        <w:spacing w:after="0" w:line="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3390900</wp:posOffset>
            </wp:positionH>
            <wp:positionV relativeFrom="paragraph">
              <wp:posOffset>158750</wp:posOffset>
            </wp:positionV>
            <wp:extent cx="360045" cy="4540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60045" cy="45402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9"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7"/>
          <w:szCs w:val="17"/>
          <w:b w:val="1"/>
          <w:b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5" w:lineRule="exact"/>
        <w:rPr>
          <w:sz w:val="24"/>
          <w:szCs w:val="24"/>
          <w:color w:val="auto"/>
        </w:rPr>
      </w:pPr>
    </w:p>
    <w:p>
      <w:pPr>
        <w:jc w:val="center"/>
        <w:ind w:right="1160"/>
        <w:spacing w:after="0"/>
        <w:rPr>
          <w:sz w:val="20"/>
          <w:szCs w:val="20"/>
          <w:color w:val="auto"/>
        </w:rPr>
      </w:pPr>
      <w:r>
        <w:rPr>
          <w:rFonts w:ascii="Times New Roman" w:cs="Times New Roman" w:eastAsia="Times New Roman" w:hAnsi="Times New Roman"/>
          <w:sz w:val="18"/>
          <w:szCs w:val="18"/>
          <w:b w:val="1"/>
          <w:bCs w:val="1"/>
          <w:color w:val="auto"/>
        </w:rPr>
        <w:t>81-3369925</w:t>
      </w:r>
    </w:p>
    <w:p>
      <w:pPr>
        <w:spacing w:after="0" w:line="36" w:lineRule="exact"/>
        <w:rPr>
          <w:sz w:val="24"/>
          <w:szCs w:val="24"/>
          <w:color w:val="auto"/>
        </w:rPr>
      </w:pPr>
    </w:p>
    <w:p>
      <w:pPr>
        <w:jc w:val="center"/>
        <w:ind w:right="1160"/>
        <w:spacing w:after="0"/>
        <w:rPr>
          <w:sz w:val="20"/>
          <w:szCs w:val="20"/>
          <w:color w:val="auto"/>
        </w:rPr>
      </w:pPr>
      <w:r>
        <w:rPr>
          <w:rFonts w:ascii="Times New Roman" w:cs="Times New Roman" w:eastAsia="Times New Roman" w:hAnsi="Times New Roman"/>
          <w:sz w:val="17"/>
          <w:szCs w:val="17"/>
          <w:b w:val="1"/>
          <w:bCs w:val="1"/>
          <w:color w:val="auto"/>
        </w:rPr>
        <w:t>(IRS Employer Identification No.)</w:t>
      </w:r>
    </w:p>
    <w:p>
      <w:pPr>
        <w:spacing w:after="0" w:line="101" w:lineRule="exact"/>
        <w:rPr>
          <w:sz w:val="24"/>
          <w:szCs w:val="24"/>
          <w:color w:val="auto"/>
        </w:rPr>
      </w:pPr>
    </w:p>
    <w:p>
      <w:pPr>
        <w:sectPr>
          <w:pgSz w:w="11900" w:h="16838" w:orient="portrait"/>
          <w:cols w:equalWidth="0" w:num="2">
            <w:col w:w="6740" w:space="720"/>
            <w:col w:w="3780"/>
          </w:cols>
          <w:pgMar w:left="320" w:top="229"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b w:val="1"/>
          <w:bCs w:val="1"/>
          <w:color w:val="auto"/>
        </w:rPr>
        <w:t>19122 US Highway 281 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Suite 128</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San Antonio, Texas 78258</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including zip code)</w:t>
      </w: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1-800-961-4454</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234"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380" w:type="dxa"/>
            <w:vAlign w:val="bottom"/>
          </w:tcPr>
          <w:p>
            <w:pPr>
              <w:spacing w:after="0"/>
              <w:rPr>
                <w:sz w:val="20"/>
                <w:szCs w:val="20"/>
                <w:color w:val="auto"/>
              </w:rPr>
            </w:pPr>
          </w:p>
        </w:tc>
      </w:tr>
      <w:tr>
        <w:trPr>
          <w:trHeight w:val="283"/>
        </w:trPr>
        <w:tc>
          <w:tcPr>
            <w:tcW w:w="4320" w:type="dxa"/>
            <w:vAlign w:val="bottom"/>
            <w:gridSpan w:val="3"/>
          </w:tcPr>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540" w:type="dxa"/>
            <w:vAlign w:val="bottom"/>
            <w:gridSpan w:val="2"/>
          </w:tcPr>
          <w:p>
            <w:pPr>
              <w:jc w:val="center"/>
              <w:ind w:right="8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10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420" w:type="dxa"/>
            <w:vAlign w:val="bottom"/>
            <w:tcBorders>
              <w:top w:val="single" w:sz="8" w:color="auto"/>
            </w:tcBorders>
          </w:tcPr>
          <w:p>
            <w:pPr>
              <w:jc w:val="center"/>
              <w:ind w:right="610"/>
              <w:spacing w:after="0"/>
              <w:rPr>
                <w:sz w:val="20"/>
                <w:szCs w:val="20"/>
                <w:color w:val="auto"/>
              </w:rPr>
            </w:pPr>
            <w:r>
              <w:rPr>
                <w:rFonts w:ascii="Times New Roman" w:cs="Times New Roman" w:eastAsia="Times New Roman" w:hAnsi="Times New Roman"/>
                <w:sz w:val="18"/>
                <w:szCs w:val="18"/>
                <w:color w:val="auto"/>
                <w:w w:val="99"/>
              </w:rPr>
              <w:t>RXT</w:t>
            </w:r>
          </w:p>
        </w:tc>
        <w:tc>
          <w:tcPr>
            <w:tcW w:w="120" w:type="dxa"/>
            <w:vAlign w:val="bottom"/>
          </w:tcPr>
          <w:p>
            <w:pPr>
              <w:spacing w:after="0"/>
              <w:rPr>
                <w:sz w:val="19"/>
                <w:szCs w:val="19"/>
                <w:color w:val="auto"/>
              </w:rPr>
            </w:pPr>
          </w:p>
        </w:tc>
        <w:tc>
          <w:tcPr>
            <w:tcW w:w="4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31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12(g) of the Act: None</w:t>
      </w:r>
    </w:p>
    <w:p>
      <w:pPr>
        <w:spacing w:after="0" w:line="211" w:lineRule="exact"/>
        <w:rPr>
          <w:sz w:val="24"/>
          <w:szCs w:val="24"/>
          <w:color w:val="auto"/>
        </w:rPr>
      </w:pPr>
    </w:p>
    <w:p>
      <w:pPr>
        <w:ind w:left="50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52" w:lineRule="exact"/>
        <w:rPr>
          <w:sz w:val="24"/>
          <w:szCs w:val="24"/>
          <w:color w:val="auto"/>
        </w:rPr>
      </w:pPr>
    </w:p>
    <w:p>
      <w:pPr>
        <w:ind w:left="50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not required to file reports pursuant to Section 13 or Section 15(d)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93" w:lineRule="exact"/>
        <w:rPr>
          <w:sz w:val="24"/>
          <w:szCs w:val="24"/>
          <w:color w:val="auto"/>
        </w:rPr>
      </w:pPr>
    </w:p>
    <w:p>
      <w:pPr>
        <w:ind w:right="60" w:firstLine="486"/>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707390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60" w:firstLine="486"/>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98" w:lineRule="exact"/>
        <w:rPr>
          <w:sz w:val="20"/>
          <w:szCs w:val="20"/>
          <w:color w:val="auto"/>
        </w:rPr>
      </w:pPr>
    </w:p>
    <w:p>
      <w:pPr>
        <w:ind w:right="160" w:firstLine="486"/>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definitions of "large accelerated filer," "accelerated filer," "smaller reporting company," and "emerging growth company" in Rule 12b-2 of the Exchange Act.</w:t>
      </w:r>
    </w:p>
    <w:p>
      <w:pPr>
        <w:spacing w:after="0" w:line="203"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30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516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Accelerated filer</w:t>
            </w:r>
          </w:p>
        </w:tc>
        <w:tc>
          <w:tcPr>
            <w:tcW w:w="560" w:type="dxa"/>
            <w:vAlign w:val="bottom"/>
          </w:tcPr>
          <w:p>
            <w:pPr>
              <w:ind w:left="4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29"/>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30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516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60" w:type="dxa"/>
            <w:vAlign w:val="bottom"/>
          </w:tcPr>
          <w:p>
            <w:pPr>
              <w:ind w:left="4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198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516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Emerging growth company</w:t>
            </w:r>
          </w:p>
        </w:tc>
        <w:tc>
          <w:tcPr>
            <w:tcW w:w="560" w:type="dxa"/>
            <w:vAlign w:val="bottom"/>
          </w:tcPr>
          <w:p>
            <w:pPr>
              <w:ind w:left="4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91" w:lineRule="exact"/>
        <w:rPr>
          <w:sz w:val="20"/>
          <w:szCs w:val="20"/>
          <w:color w:val="auto"/>
        </w:rPr>
      </w:pPr>
    </w:p>
    <w:p>
      <w:pPr>
        <w:ind w:right="20" w:firstLine="486"/>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97" w:lineRule="exact"/>
        <w:rPr>
          <w:sz w:val="20"/>
          <w:szCs w:val="20"/>
          <w:color w:val="auto"/>
        </w:rPr>
      </w:pPr>
    </w:p>
    <w:p>
      <w:pPr>
        <w:jc w:val="both"/>
        <w:ind w:right="40" w:firstLine="486"/>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98" w:lineRule="exact"/>
        <w:rPr>
          <w:sz w:val="20"/>
          <w:szCs w:val="20"/>
          <w:color w:val="auto"/>
        </w:rPr>
      </w:pPr>
    </w:p>
    <w:p>
      <w:pPr>
        <w:ind w:right="80" w:firstLine="486"/>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97" w:lineRule="exact"/>
        <w:rPr>
          <w:sz w:val="20"/>
          <w:szCs w:val="20"/>
          <w:color w:val="auto"/>
        </w:rPr>
      </w:pPr>
    </w:p>
    <w:p>
      <w:pPr>
        <w:ind w:right="260" w:firstLine="486"/>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157" w:lineRule="exact"/>
        <w:rPr>
          <w:sz w:val="20"/>
          <w:szCs w:val="20"/>
          <w:color w:val="auto"/>
        </w:rPr>
      </w:pPr>
    </w:p>
    <w:p>
      <w:pPr>
        <w:ind w:left="50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93"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The aggregate market value of the voting and non-voting common equity held by non-affiliates of the registrant as of June 30, 2024, the last business day of our most recently completed second fiscal quarter, was $201 million based upon the closing price of such shares on the Nasdaq Stock Market LLC on such date.</w:t>
      </w:r>
    </w:p>
    <w:p>
      <w:pPr>
        <w:spacing w:after="0" w:line="20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On March 17, 2025, 237,306,679 shares of the registrant’s common stock, par value $0.01 per share, were outstanding.</w:t>
      </w:r>
    </w:p>
    <w:p>
      <w:pPr>
        <w:spacing w:after="0" w:line="248"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256" w:lineRule="exact"/>
        <w:rPr>
          <w:sz w:val="20"/>
          <w:szCs w:val="20"/>
          <w:color w:val="auto"/>
        </w:rPr>
      </w:pPr>
    </w:p>
    <w:p>
      <w:pPr>
        <w:jc w:val="both"/>
        <w:ind w:right="140" w:firstLine="486"/>
        <w:spacing w:after="0" w:line="266" w:lineRule="auto"/>
        <w:rPr>
          <w:sz w:val="20"/>
          <w:szCs w:val="20"/>
          <w:color w:val="auto"/>
        </w:rPr>
      </w:pPr>
      <w:r>
        <w:rPr>
          <w:rFonts w:ascii="Times New Roman" w:cs="Times New Roman" w:eastAsia="Times New Roman" w:hAnsi="Times New Roman"/>
          <w:sz w:val="18"/>
          <w:szCs w:val="18"/>
          <w:color w:val="auto"/>
        </w:rPr>
        <w:t>Portions of the registrant's definitive Proxy Statement relating to the 2025 Annual Meeting of Stockholders are incorporated herein by references in Part III of this Annual Report on Form 10-K to the extent stated herein. Such Proxy Statement will be filed with the Securities and Exchange Commission within 120 days of the registrant's fiscal year ended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556260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918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808"/>
        </w:trPr>
        <w:tc>
          <w:tcPr>
            <w:tcW w:w="2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180" w:type="dxa"/>
            <w:vAlign w:val="bottom"/>
            <w:gridSpan w:val="9"/>
          </w:tcPr>
          <w:p>
            <w:pPr>
              <w:jc w:val="center"/>
              <w:ind w:right="1940"/>
              <w:spacing w:after="0"/>
              <w:rPr>
                <w:sz w:val="20"/>
                <w:szCs w:val="20"/>
                <w:color w:val="auto"/>
              </w:rPr>
            </w:pPr>
            <w:r>
              <w:rPr>
                <w:rFonts w:ascii="Times New Roman" w:cs="Times New Roman" w:eastAsia="Times New Roman" w:hAnsi="Times New Roman"/>
                <w:sz w:val="18"/>
                <w:szCs w:val="18"/>
                <w:b w:val="1"/>
                <w:bCs w:val="1"/>
                <w:color w:val="auto"/>
                <w:w w:val="99"/>
              </w:rPr>
              <w:t>RACKSPACE TECHNOLOGY, INC.</w:t>
            </w:r>
          </w:p>
        </w:tc>
        <w:tc>
          <w:tcPr>
            <w:tcW w:w="1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38"/>
        </w:trPr>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720" w:type="dxa"/>
            <w:vAlign w:val="bottom"/>
            <w:gridSpan w:val="7"/>
          </w:tcPr>
          <w:p>
            <w:pPr>
              <w:jc w:val="center"/>
              <w:ind w:right="236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553"/>
        </w:trPr>
        <w:tc>
          <w:tcPr>
            <w:tcW w:w="20" w:type="dxa"/>
            <w:vAlign w:val="bottom"/>
          </w:tcPr>
          <w:p>
            <w:pPr>
              <w:spacing w:after="0"/>
              <w:rPr>
                <w:sz w:val="24"/>
                <w:szCs w:val="24"/>
                <w:color w:val="auto"/>
              </w:rPr>
            </w:pPr>
          </w:p>
        </w:tc>
        <w:tc>
          <w:tcPr>
            <w:tcW w:w="11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PART I</w:t>
            </w: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09"/>
        </w:trPr>
        <w:tc>
          <w:tcPr>
            <w:tcW w:w="20" w:type="dxa"/>
            <w:vAlign w:val="bottom"/>
          </w:tcPr>
          <w:p>
            <w:pPr>
              <w:spacing w:after="0"/>
              <w:rPr>
                <w:sz w:val="18"/>
                <w:szCs w:val="18"/>
                <w:color w:val="auto"/>
              </w:rPr>
            </w:pPr>
          </w:p>
        </w:tc>
        <w:tc>
          <w:tcPr>
            <w:tcW w:w="54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auto"/>
              </w:rPr>
              <w:t>Item 1.</w:t>
            </w:r>
          </w:p>
        </w:tc>
        <w:tc>
          <w:tcPr>
            <w:tcW w:w="580" w:type="dxa"/>
            <w:vAlign w:val="bottom"/>
            <w:gridSpan w:val="5"/>
          </w:tcPr>
          <w:p>
            <w:pPr>
              <w:spacing w:after="0"/>
              <w:rPr>
                <w:sz w:val="18"/>
                <w:szCs w:val="18"/>
                <w:color w:val="auto"/>
              </w:rPr>
            </w:pPr>
          </w:p>
        </w:tc>
        <w:tc>
          <w:tcPr>
            <w:tcW w:w="6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6"/>
              </w:rPr>
              <w:t>Business</w:t>
            </w:r>
          </w:p>
        </w:tc>
        <w:tc>
          <w:tcPr>
            <w:tcW w:w="7400" w:type="dxa"/>
            <w:vAlign w:val="bottom"/>
            <w:gridSpan w:val="18"/>
          </w:tcPr>
          <w:p>
            <w:pPr>
              <w:spacing w:after="0"/>
              <w:rPr>
                <w:sz w:val="18"/>
                <w:szCs w:val="18"/>
                <w:color w:val="auto"/>
              </w:rPr>
            </w:pPr>
          </w:p>
        </w:tc>
        <w:tc>
          <w:tcPr>
            <w:tcW w:w="1640" w:type="dxa"/>
            <w:vAlign w:val="bottom"/>
          </w:tcPr>
          <w:p>
            <w:pPr>
              <w:spacing w:after="0"/>
              <w:rPr>
                <w:sz w:val="18"/>
                <w:szCs w:val="18"/>
                <w:color w:val="auto"/>
              </w:rPr>
            </w:pPr>
          </w:p>
        </w:tc>
        <w:tc>
          <w:tcPr>
            <w:tcW w:w="14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7</w:t>
            </w:r>
          </w:p>
        </w:tc>
        <w:tc>
          <w:tcPr>
            <w:tcW w:w="28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11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7140" w:type="dxa"/>
            <w:vAlign w:val="bottom"/>
            <w:gridSpan w:val="16"/>
          </w:tcPr>
          <w:p>
            <w:pPr>
              <w:spacing w:after="0"/>
              <w:rPr>
                <w:sz w:val="18"/>
                <w:szCs w:val="18"/>
                <w:color w:val="auto"/>
              </w:rPr>
            </w:pPr>
          </w:p>
        </w:tc>
        <w:tc>
          <w:tcPr>
            <w:tcW w:w="1780" w:type="dxa"/>
            <w:vAlign w:val="bottom"/>
            <w:gridSpan w:val="2"/>
          </w:tcPr>
          <w:p>
            <w:pPr>
              <w:jc w:val="center"/>
              <w:ind w:left="1510"/>
              <w:spacing w:after="0"/>
              <w:rPr>
                <w:sz w:val="20"/>
                <w:szCs w:val="20"/>
                <w:color w:val="auto"/>
              </w:rPr>
            </w:pPr>
            <w:r>
              <w:rPr>
                <w:rFonts w:ascii="Times New Roman" w:cs="Times New Roman" w:eastAsia="Times New Roman" w:hAnsi="Times New Roman"/>
                <w:sz w:val="18"/>
                <w:szCs w:val="18"/>
                <w:color w:val="0000FF"/>
                <w:w w:val="99"/>
              </w:rPr>
              <w:t>17</w:t>
            </w:r>
          </w:p>
        </w:tc>
        <w:tc>
          <w:tcPr>
            <w:tcW w:w="2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1B.</w:t>
            </w:r>
          </w:p>
        </w:tc>
        <w:tc>
          <w:tcPr>
            <w:tcW w:w="204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w w:val="98"/>
              </w:rPr>
              <w:t>Unresolved Staff Comments</w:t>
            </w:r>
          </w:p>
        </w:tc>
        <w:tc>
          <w:tcPr>
            <w:tcW w:w="6000" w:type="dxa"/>
            <w:vAlign w:val="bottom"/>
            <w:gridSpan w:val="10"/>
          </w:tcPr>
          <w:p>
            <w:pPr>
              <w:spacing w:after="0"/>
              <w:rPr>
                <w:sz w:val="18"/>
                <w:szCs w:val="18"/>
                <w:color w:val="auto"/>
              </w:rPr>
            </w:pPr>
          </w:p>
        </w:tc>
        <w:tc>
          <w:tcPr>
            <w:tcW w:w="1780" w:type="dxa"/>
            <w:vAlign w:val="bottom"/>
            <w:gridSpan w:val="2"/>
          </w:tcPr>
          <w:p>
            <w:pPr>
              <w:jc w:val="center"/>
              <w:ind w:left="1510"/>
              <w:spacing w:after="0"/>
              <w:rPr>
                <w:sz w:val="20"/>
                <w:szCs w:val="20"/>
                <w:color w:val="auto"/>
              </w:rPr>
            </w:pPr>
            <w:r>
              <w:rPr>
                <w:rFonts w:ascii="Times New Roman" w:cs="Times New Roman" w:eastAsia="Times New Roman" w:hAnsi="Times New Roman"/>
                <w:sz w:val="18"/>
                <w:szCs w:val="18"/>
                <w:color w:val="0000FF"/>
                <w:w w:val="99"/>
              </w:rPr>
              <w:t>45</w:t>
            </w:r>
          </w:p>
        </w:tc>
        <w:tc>
          <w:tcPr>
            <w:tcW w:w="2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28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1C.</w:t>
            </w:r>
          </w:p>
        </w:tc>
        <w:tc>
          <w:tcPr>
            <w:tcW w:w="204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Cybersecurity</w:t>
            </w:r>
          </w:p>
        </w:tc>
        <w:tc>
          <w:tcPr>
            <w:tcW w:w="6000" w:type="dxa"/>
            <w:vAlign w:val="bottom"/>
            <w:gridSpan w:val="10"/>
          </w:tcPr>
          <w:p>
            <w:pPr>
              <w:spacing w:after="0"/>
              <w:rPr>
                <w:sz w:val="18"/>
                <w:szCs w:val="18"/>
                <w:color w:val="auto"/>
              </w:rPr>
            </w:pPr>
          </w:p>
        </w:tc>
        <w:tc>
          <w:tcPr>
            <w:tcW w:w="1780" w:type="dxa"/>
            <w:vAlign w:val="bottom"/>
            <w:gridSpan w:val="2"/>
          </w:tcPr>
          <w:p>
            <w:pPr>
              <w:jc w:val="center"/>
              <w:ind w:left="1510"/>
              <w:spacing w:after="0"/>
              <w:rPr>
                <w:sz w:val="20"/>
                <w:szCs w:val="20"/>
                <w:color w:val="auto"/>
              </w:rPr>
            </w:pPr>
            <w:r>
              <w:rPr>
                <w:rFonts w:ascii="Times New Roman" w:cs="Times New Roman" w:eastAsia="Times New Roman" w:hAnsi="Times New Roman"/>
                <w:sz w:val="18"/>
                <w:szCs w:val="18"/>
                <w:color w:val="0000FF"/>
                <w:w w:val="99"/>
              </w:rPr>
              <w:t>45</w:t>
            </w:r>
          </w:p>
        </w:tc>
        <w:tc>
          <w:tcPr>
            <w:tcW w:w="2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28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1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2.</w:t>
            </w:r>
          </w:p>
        </w:tc>
        <w:tc>
          <w:tcPr>
            <w:tcW w:w="10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Properties</w:t>
            </w:r>
          </w:p>
        </w:tc>
        <w:tc>
          <w:tcPr>
            <w:tcW w:w="7040" w:type="dxa"/>
            <w:vAlign w:val="bottom"/>
            <w:gridSpan w:val="15"/>
          </w:tcPr>
          <w:p>
            <w:pPr>
              <w:spacing w:after="0"/>
              <w:rPr>
                <w:sz w:val="18"/>
                <w:szCs w:val="18"/>
                <w:color w:val="auto"/>
              </w:rPr>
            </w:pPr>
          </w:p>
        </w:tc>
        <w:tc>
          <w:tcPr>
            <w:tcW w:w="1780" w:type="dxa"/>
            <w:vAlign w:val="bottom"/>
            <w:gridSpan w:val="2"/>
          </w:tcPr>
          <w:p>
            <w:pPr>
              <w:jc w:val="center"/>
              <w:ind w:left="1510"/>
              <w:spacing w:after="0"/>
              <w:rPr>
                <w:sz w:val="20"/>
                <w:szCs w:val="20"/>
                <w:color w:val="auto"/>
              </w:rPr>
            </w:pPr>
            <w:r>
              <w:rPr>
                <w:rFonts w:ascii="Times New Roman" w:cs="Times New Roman" w:eastAsia="Times New Roman" w:hAnsi="Times New Roman"/>
                <w:sz w:val="18"/>
                <w:szCs w:val="18"/>
                <w:color w:val="0000FF"/>
                <w:w w:val="99"/>
              </w:rPr>
              <w:t>47</w:t>
            </w:r>
          </w:p>
        </w:tc>
        <w:tc>
          <w:tcPr>
            <w:tcW w:w="2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3.</w:t>
            </w:r>
          </w:p>
        </w:tc>
        <w:tc>
          <w:tcPr>
            <w:tcW w:w="80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1780" w:type="dxa"/>
            <w:vAlign w:val="bottom"/>
            <w:gridSpan w:val="2"/>
          </w:tcPr>
          <w:p>
            <w:pPr>
              <w:jc w:val="center"/>
              <w:ind w:left="1510"/>
              <w:spacing w:after="0"/>
              <w:rPr>
                <w:sz w:val="20"/>
                <w:szCs w:val="20"/>
                <w:color w:val="auto"/>
              </w:rPr>
            </w:pPr>
            <w:r>
              <w:rPr>
                <w:rFonts w:ascii="Times New Roman" w:cs="Times New Roman" w:eastAsia="Times New Roman" w:hAnsi="Times New Roman"/>
                <w:sz w:val="18"/>
                <w:szCs w:val="18"/>
                <w:color w:val="0000FF"/>
                <w:w w:val="99"/>
              </w:rPr>
              <w:t>47</w:t>
            </w:r>
          </w:p>
        </w:tc>
        <w:tc>
          <w:tcPr>
            <w:tcW w:w="2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4.</w:t>
            </w:r>
          </w:p>
        </w:tc>
        <w:tc>
          <w:tcPr>
            <w:tcW w:w="80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1780" w:type="dxa"/>
            <w:vAlign w:val="bottom"/>
            <w:gridSpan w:val="2"/>
          </w:tcPr>
          <w:p>
            <w:pPr>
              <w:jc w:val="center"/>
              <w:ind w:left="1510"/>
              <w:spacing w:after="0"/>
              <w:rPr>
                <w:sz w:val="20"/>
                <w:szCs w:val="20"/>
                <w:color w:val="auto"/>
              </w:rPr>
            </w:pPr>
            <w:r>
              <w:rPr>
                <w:rFonts w:ascii="Times New Roman" w:cs="Times New Roman" w:eastAsia="Times New Roman" w:hAnsi="Times New Roman"/>
                <w:sz w:val="18"/>
                <w:szCs w:val="18"/>
                <w:color w:val="0000FF"/>
                <w:w w:val="99"/>
              </w:rPr>
              <w:t>47</w:t>
            </w:r>
          </w:p>
        </w:tc>
        <w:tc>
          <w:tcPr>
            <w:tcW w:w="280" w:type="dxa"/>
            <w:vAlign w:val="bottom"/>
          </w:tcPr>
          <w:p>
            <w:pPr>
              <w:spacing w:after="0"/>
              <w:rPr>
                <w:sz w:val="18"/>
                <w:szCs w:val="18"/>
                <w:color w:val="auto"/>
              </w:rPr>
            </w:pPr>
          </w:p>
        </w:tc>
      </w:tr>
      <w:tr>
        <w:trPr>
          <w:trHeight w:val="480"/>
        </w:trPr>
        <w:tc>
          <w:tcPr>
            <w:tcW w:w="20" w:type="dxa"/>
            <w:vAlign w:val="bottom"/>
          </w:tcPr>
          <w:p>
            <w:pPr>
              <w:spacing w:after="0"/>
              <w:rPr>
                <w:sz w:val="24"/>
                <w:szCs w:val="24"/>
                <w:color w:val="auto"/>
              </w:rPr>
            </w:pPr>
          </w:p>
        </w:tc>
        <w:tc>
          <w:tcPr>
            <w:tcW w:w="11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PART II</w:t>
            </w:r>
          </w:p>
        </w:tc>
        <w:tc>
          <w:tcPr>
            <w:tcW w:w="140" w:type="dxa"/>
            <w:vAlign w:val="bottom"/>
            <w:tcBorders>
              <w:top w:val="single" w:sz="8" w:color="0000FF"/>
            </w:tcBorders>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80" w:type="dxa"/>
            <w:vAlign w:val="bottom"/>
          </w:tcPr>
          <w:p>
            <w:pPr>
              <w:spacing w:after="0"/>
              <w:rPr>
                <w:sz w:val="24"/>
                <w:szCs w:val="24"/>
                <w:color w:val="auto"/>
              </w:rPr>
            </w:pPr>
          </w:p>
        </w:tc>
      </w:tr>
      <w:tr>
        <w:trPr>
          <w:trHeight w:val="209"/>
        </w:trPr>
        <w:tc>
          <w:tcPr>
            <w:tcW w:w="20" w:type="dxa"/>
            <w:vAlign w:val="bottom"/>
          </w:tcPr>
          <w:p>
            <w:pPr>
              <w:spacing w:after="0"/>
              <w:rPr>
                <w:sz w:val="18"/>
                <w:szCs w:val="18"/>
                <w:color w:val="auto"/>
              </w:rPr>
            </w:pPr>
          </w:p>
        </w:tc>
        <w:tc>
          <w:tcPr>
            <w:tcW w:w="60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520" w:type="dxa"/>
            <w:vAlign w:val="bottom"/>
            <w:gridSpan w:val="4"/>
          </w:tcPr>
          <w:p>
            <w:pPr>
              <w:spacing w:after="0"/>
              <w:rPr>
                <w:sz w:val="18"/>
                <w:szCs w:val="18"/>
                <w:color w:val="auto"/>
              </w:rPr>
            </w:pPr>
          </w:p>
        </w:tc>
        <w:tc>
          <w:tcPr>
            <w:tcW w:w="80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w w:val="99"/>
              </w:rPr>
              <w:t>Market for Registrant's Common Equity, Related Stockholder Matters and Issuer Purchases of Equity Securities</w:t>
            </w:r>
          </w:p>
        </w:tc>
        <w:tc>
          <w:tcPr>
            <w:tcW w:w="1780" w:type="dxa"/>
            <w:vAlign w:val="bottom"/>
            <w:gridSpan w:val="2"/>
          </w:tcPr>
          <w:p>
            <w:pPr>
              <w:jc w:val="center"/>
              <w:ind w:left="1510"/>
              <w:spacing w:after="0"/>
              <w:rPr>
                <w:sz w:val="20"/>
                <w:szCs w:val="20"/>
                <w:color w:val="auto"/>
              </w:rPr>
            </w:pPr>
            <w:r>
              <w:rPr>
                <w:rFonts w:ascii="Times New Roman" w:cs="Times New Roman" w:eastAsia="Times New Roman" w:hAnsi="Times New Roman"/>
                <w:sz w:val="18"/>
                <w:szCs w:val="18"/>
                <w:color w:val="0000FF"/>
                <w:w w:val="99"/>
              </w:rPr>
              <w:t>48</w:t>
            </w:r>
          </w:p>
        </w:tc>
        <w:tc>
          <w:tcPr>
            <w:tcW w:w="2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840" w:type="dxa"/>
            <w:vAlign w:val="bottom"/>
            <w:tcBorders>
              <w:lef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6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1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6.</w:t>
            </w:r>
          </w:p>
        </w:tc>
        <w:tc>
          <w:tcPr>
            <w:tcW w:w="80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[Reserved]</w:t>
            </w:r>
          </w:p>
        </w:tc>
        <w:tc>
          <w:tcPr>
            <w:tcW w:w="1780" w:type="dxa"/>
            <w:vAlign w:val="bottom"/>
            <w:gridSpan w:val="2"/>
          </w:tcPr>
          <w:p>
            <w:pPr>
              <w:jc w:val="center"/>
              <w:ind w:left="1510"/>
              <w:spacing w:after="0"/>
              <w:rPr>
                <w:sz w:val="20"/>
                <w:szCs w:val="20"/>
                <w:color w:val="auto"/>
              </w:rPr>
            </w:pPr>
            <w:r>
              <w:rPr>
                <w:rFonts w:ascii="Times New Roman" w:cs="Times New Roman" w:eastAsia="Times New Roman" w:hAnsi="Times New Roman"/>
                <w:sz w:val="18"/>
                <w:szCs w:val="18"/>
                <w:color w:val="0000FF"/>
                <w:w w:val="99"/>
              </w:rPr>
              <w:t>49</w:t>
            </w:r>
          </w:p>
        </w:tc>
        <w:tc>
          <w:tcPr>
            <w:tcW w:w="2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7.</w:t>
            </w:r>
          </w:p>
        </w:tc>
        <w:tc>
          <w:tcPr>
            <w:tcW w:w="64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1600" w:type="dxa"/>
            <w:vAlign w:val="bottom"/>
            <w:gridSpan w:val="2"/>
          </w:tcPr>
          <w:p>
            <w:pPr>
              <w:spacing w:after="0"/>
              <w:rPr>
                <w:sz w:val="18"/>
                <w:szCs w:val="18"/>
                <w:color w:val="auto"/>
              </w:rPr>
            </w:pPr>
          </w:p>
        </w:tc>
        <w:tc>
          <w:tcPr>
            <w:tcW w:w="1780" w:type="dxa"/>
            <w:vAlign w:val="bottom"/>
            <w:gridSpan w:val="2"/>
          </w:tcPr>
          <w:p>
            <w:pPr>
              <w:jc w:val="center"/>
              <w:ind w:left="1510"/>
              <w:spacing w:after="0"/>
              <w:rPr>
                <w:sz w:val="20"/>
                <w:szCs w:val="20"/>
                <w:color w:val="auto"/>
              </w:rPr>
            </w:pPr>
            <w:r>
              <w:rPr>
                <w:rFonts w:ascii="Times New Roman" w:cs="Times New Roman" w:eastAsia="Times New Roman" w:hAnsi="Times New Roman"/>
                <w:sz w:val="18"/>
                <w:szCs w:val="18"/>
                <w:color w:val="0000FF"/>
                <w:w w:val="99"/>
              </w:rPr>
              <w:t>50</w:t>
            </w:r>
          </w:p>
        </w:tc>
        <w:tc>
          <w:tcPr>
            <w:tcW w:w="2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7A.</w:t>
            </w:r>
          </w:p>
        </w:tc>
        <w:tc>
          <w:tcPr>
            <w:tcW w:w="436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080" w:type="dxa"/>
            <w:vAlign w:val="bottom"/>
            <w:gridSpan w:val="3"/>
          </w:tcPr>
          <w:p>
            <w:pPr>
              <w:spacing w:after="0"/>
              <w:rPr>
                <w:sz w:val="18"/>
                <w:szCs w:val="18"/>
                <w:color w:val="auto"/>
              </w:rPr>
            </w:pPr>
          </w:p>
        </w:tc>
        <w:tc>
          <w:tcPr>
            <w:tcW w:w="1600" w:type="dxa"/>
            <w:vAlign w:val="bottom"/>
            <w:gridSpan w:val="2"/>
          </w:tcPr>
          <w:p>
            <w:pPr>
              <w:spacing w:after="0"/>
              <w:rPr>
                <w:sz w:val="18"/>
                <w:szCs w:val="18"/>
                <w:color w:val="auto"/>
              </w:rPr>
            </w:pPr>
          </w:p>
        </w:tc>
        <w:tc>
          <w:tcPr>
            <w:tcW w:w="1780" w:type="dxa"/>
            <w:vAlign w:val="bottom"/>
            <w:gridSpan w:val="2"/>
          </w:tcPr>
          <w:p>
            <w:pPr>
              <w:jc w:val="center"/>
              <w:ind w:left="1510"/>
              <w:spacing w:after="0"/>
              <w:rPr>
                <w:sz w:val="20"/>
                <w:szCs w:val="20"/>
                <w:color w:val="auto"/>
              </w:rPr>
            </w:pPr>
            <w:r>
              <w:rPr>
                <w:rFonts w:ascii="Times New Roman" w:cs="Times New Roman" w:eastAsia="Times New Roman" w:hAnsi="Times New Roman"/>
                <w:sz w:val="18"/>
                <w:szCs w:val="18"/>
                <w:color w:val="0000FF"/>
                <w:w w:val="99"/>
              </w:rPr>
              <w:t>90</w:t>
            </w:r>
          </w:p>
        </w:tc>
        <w:tc>
          <w:tcPr>
            <w:tcW w:w="2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gridSpan w:val="6"/>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8.</w:t>
            </w:r>
          </w:p>
        </w:tc>
        <w:tc>
          <w:tcPr>
            <w:tcW w:w="436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3680" w:type="dxa"/>
            <w:vAlign w:val="bottom"/>
            <w:gridSpan w:val="5"/>
          </w:tcPr>
          <w:p>
            <w:pPr>
              <w:spacing w:after="0"/>
              <w:rPr>
                <w:sz w:val="18"/>
                <w:szCs w:val="18"/>
                <w:color w:val="auto"/>
              </w:rPr>
            </w:pPr>
          </w:p>
        </w:tc>
        <w:tc>
          <w:tcPr>
            <w:tcW w:w="1780" w:type="dxa"/>
            <w:vAlign w:val="bottom"/>
            <w:gridSpan w:val="2"/>
          </w:tcPr>
          <w:p>
            <w:pPr>
              <w:jc w:val="center"/>
              <w:ind w:left="1510"/>
              <w:spacing w:after="0"/>
              <w:rPr>
                <w:sz w:val="20"/>
                <w:szCs w:val="20"/>
                <w:color w:val="auto"/>
              </w:rPr>
            </w:pPr>
            <w:r>
              <w:rPr>
                <w:rFonts w:ascii="Times New Roman" w:cs="Times New Roman" w:eastAsia="Times New Roman" w:hAnsi="Times New Roman"/>
                <w:sz w:val="18"/>
                <w:szCs w:val="18"/>
                <w:color w:val="0000FF"/>
                <w:w w:val="99"/>
              </w:rPr>
              <w:t>91</w:t>
            </w:r>
          </w:p>
        </w:tc>
        <w:tc>
          <w:tcPr>
            <w:tcW w:w="2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9.</w:t>
            </w:r>
          </w:p>
        </w:tc>
        <w:tc>
          <w:tcPr>
            <w:tcW w:w="80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2060" w:type="dxa"/>
            <w:vAlign w:val="bottom"/>
            <w:gridSpan w:val="3"/>
          </w:tcPr>
          <w:p>
            <w:pPr>
              <w:jc w:val="center"/>
              <w:ind w:left="1230"/>
              <w:spacing w:after="0"/>
              <w:rPr>
                <w:sz w:val="20"/>
                <w:szCs w:val="20"/>
                <w:color w:val="auto"/>
              </w:rPr>
            </w:pPr>
            <w:r>
              <w:rPr>
                <w:rFonts w:ascii="Times New Roman" w:cs="Times New Roman" w:eastAsia="Times New Roman" w:hAnsi="Times New Roman"/>
                <w:sz w:val="18"/>
                <w:szCs w:val="18"/>
                <w:color w:val="0000FF"/>
                <w:w w:val="96"/>
              </w:rPr>
              <w:t>153</w:t>
            </w: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840" w:type="dxa"/>
            <w:vAlign w:val="bottom"/>
            <w:tcBorders>
              <w:left w:val="single" w:sz="8" w:color="0000FF"/>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1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9A.</w:t>
            </w:r>
          </w:p>
        </w:tc>
        <w:tc>
          <w:tcPr>
            <w:tcW w:w="64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1600" w:type="dxa"/>
            <w:vAlign w:val="bottom"/>
            <w:gridSpan w:val="2"/>
          </w:tcPr>
          <w:p>
            <w:pPr>
              <w:spacing w:after="0"/>
              <w:rPr>
                <w:sz w:val="18"/>
                <w:szCs w:val="18"/>
                <w:color w:val="auto"/>
              </w:rPr>
            </w:pPr>
          </w:p>
        </w:tc>
        <w:tc>
          <w:tcPr>
            <w:tcW w:w="2060" w:type="dxa"/>
            <w:vAlign w:val="bottom"/>
            <w:gridSpan w:val="3"/>
          </w:tcPr>
          <w:p>
            <w:pPr>
              <w:jc w:val="center"/>
              <w:ind w:left="1230"/>
              <w:spacing w:after="0"/>
              <w:rPr>
                <w:sz w:val="20"/>
                <w:szCs w:val="20"/>
                <w:color w:val="auto"/>
              </w:rPr>
            </w:pPr>
            <w:r>
              <w:rPr>
                <w:rFonts w:ascii="Times New Roman" w:cs="Times New Roman" w:eastAsia="Times New Roman" w:hAnsi="Times New Roman"/>
                <w:sz w:val="18"/>
                <w:szCs w:val="18"/>
                <w:color w:val="0000FF"/>
                <w:w w:val="96"/>
              </w:rPr>
              <w:t>153</w:t>
            </w:r>
          </w:p>
        </w:tc>
      </w:tr>
      <w:tr>
        <w:trPr>
          <w:trHeight w:val="20"/>
        </w:trPr>
        <w:tc>
          <w:tcPr>
            <w:tcW w:w="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gridSpan w:val="6"/>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9B.</w:t>
            </w:r>
          </w:p>
        </w:tc>
        <w:tc>
          <w:tcPr>
            <w:tcW w:w="176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6280" w:type="dxa"/>
            <w:vAlign w:val="bottom"/>
            <w:gridSpan w:val="12"/>
          </w:tcPr>
          <w:p>
            <w:pPr>
              <w:spacing w:after="0"/>
              <w:rPr>
                <w:sz w:val="18"/>
                <w:szCs w:val="18"/>
                <w:color w:val="auto"/>
              </w:rPr>
            </w:pPr>
          </w:p>
        </w:tc>
        <w:tc>
          <w:tcPr>
            <w:tcW w:w="2060" w:type="dxa"/>
            <w:vAlign w:val="bottom"/>
            <w:gridSpan w:val="3"/>
          </w:tcPr>
          <w:p>
            <w:pPr>
              <w:jc w:val="center"/>
              <w:ind w:left="1230"/>
              <w:spacing w:after="0"/>
              <w:rPr>
                <w:sz w:val="20"/>
                <w:szCs w:val="20"/>
                <w:color w:val="auto"/>
              </w:rPr>
            </w:pPr>
            <w:r>
              <w:rPr>
                <w:rFonts w:ascii="Times New Roman" w:cs="Times New Roman" w:eastAsia="Times New Roman" w:hAnsi="Times New Roman"/>
                <w:sz w:val="18"/>
                <w:szCs w:val="18"/>
                <w:color w:val="0000FF"/>
                <w:w w:val="96"/>
              </w:rPr>
              <w:t>154</w:t>
            </w:r>
          </w:p>
        </w:tc>
      </w:tr>
      <w:tr>
        <w:trPr>
          <w:trHeight w:val="20"/>
        </w:trPr>
        <w:tc>
          <w:tcPr>
            <w:tcW w:w="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gridSpan w:val="6"/>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9C.</w:t>
            </w:r>
          </w:p>
        </w:tc>
        <w:tc>
          <w:tcPr>
            <w:tcW w:w="80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2060" w:type="dxa"/>
            <w:vAlign w:val="bottom"/>
            <w:gridSpan w:val="3"/>
          </w:tcPr>
          <w:p>
            <w:pPr>
              <w:jc w:val="center"/>
              <w:ind w:left="1230"/>
              <w:spacing w:after="0"/>
              <w:rPr>
                <w:sz w:val="20"/>
                <w:szCs w:val="20"/>
                <w:color w:val="auto"/>
              </w:rPr>
            </w:pPr>
            <w:r>
              <w:rPr>
                <w:rFonts w:ascii="Times New Roman" w:cs="Times New Roman" w:eastAsia="Times New Roman" w:hAnsi="Times New Roman"/>
                <w:sz w:val="18"/>
                <w:szCs w:val="18"/>
                <w:color w:val="0000FF"/>
                <w:w w:val="96"/>
              </w:rPr>
              <w:t>154</w:t>
            </w:r>
          </w:p>
        </w:tc>
      </w:tr>
      <w:tr>
        <w:trPr>
          <w:trHeight w:val="480"/>
        </w:trPr>
        <w:tc>
          <w:tcPr>
            <w:tcW w:w="20" w:type="dxa"/>
            <w:vAlign w:val="bottom"/>
          </w:tcPr>
          <w:p>
            <w:pPr>
              <w:spacing w:after="0"/>
              <w:rPr>
                <w:sz w:val="24"/>
                <w:szCs w:val="24"/>
                <w:color w:val="auto"/>
              </w:rPr>
            </w:pPr>
          </w:p>
        </w:tc>
        <w:tc>
          <w:tcPr>
            <w:tcW w:w="11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PART III</w:t>
            </w:r>
          </w:p>
        </w:tc>
        <w:tc>
          <w:tcPr>
            <w:tcW w:w="140" w:type="dxa"/>
            <w:vAlign w:val="bottom"/>
            <w:tcBorders>
              <w:top w:val="single" w:sz="8" w:color="0000FF"/>
            </w:tcBorders>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80" w:type="dxa"/>
            <w:vAlign w:val="bottom"/>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66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auto"/>
              </w:rPr>
              <w:t>Item 10.</w:t>
            </w:r>
          </w:p>
        </w:tc>
        <w:tc>
          <w:tcPr>
            <w:tcW w:w="460" w:type="dxa"/>
            <w:vAlign w:val="bottom"/>
            <w:gridSpan w:val="3"/>
          </w:tcPr>
          <w:p>
            <w:pPr>
              <w:spacing w:after="0"/>
              <w:rPr>
                <w:sz w:val="18"/>
                <w:szCs w:val="18"/>
                <w:color w:val="auto"/>
              </w:rPr>
            </w:pPr>
          </w:p>
        </w:tc>
        <w:tc>
          <w:tcPr>
            <w:tcW w:w="80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2060" w:type="dxa"/>
            <w:vAlign w:val="bottom"/>
            <w:gridSpan w:val="3"/>
          </w:tcPr>
          <w:p>
            <w:pPr>
              <w:jc w:val="center"/>
              <w:ind w:left="1230"/>
              <w:spacing w:after="0"/>
              <w:rPr>
                <w:sz w:val="20"/>
                <w:szCs w:val="20"/>
                <w:color w:val="auto"/>
              </w:rPr>
            </w:pPr>
            <w:r>
              <w:rPr>
                <w:rFonts w:ascii="Times New Roman" w:cs="Times New Roman" w:eastAsia="Times New Roman" w:hAnsi="Times New Roman"/>
                <w:sz w:val="18"/>
                <w:szCs w:val="18"/>
                <w:color w:val="0000FF"/>
                <w:w w:val="96"/>
              </w:rPr>
              <w:t>155</w:t>
            </w:r>
          </w:p>
        </w:tc>
      </w:tr>
      <w:tr>
        <w:trPr>
          <w:trHeight w:val="20"/>
        </w:trPr>
        <w:tc>
          <w:tcPr>
            <w:tcW w:w="20" w:type="dxa"/>
            <w:vAlign w:val="bottom"/>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gridSpan w:val="6"/>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1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11.</w:t>
            </w:r>
          </w:p>
        </w:tc>
        <w:tc>
          <w:tcPr>
            <w:tcW w:w="1800" w:type="dxa"/>
            <w:vAlign w:val="bottom"/>
            <w:gridSpan w:val="9"/>
          </w:tcPr>
          <w:p>
            <w:pPr>
              <w:spacing w:after="0"/>
              <w:rPr>
                <w:sz w:val="20"/>
                <w:szCs w:val="20"/>
                <w:color w:val="auto"/>
              </w:rPr>
            </w:pPr>
            <w:r>
              <w:rPr>
                <w:rFonts w:ascii="Times New Roman" w:cs="Times New Roman" w:eastAsia="Times New Roman" w:hAnsi="Times New Roman"/>
                <w:sz w:val="18"/>
                <w:szCs w:val="18"/>
                <w:color w:val="0000FF"/>
                <w:w w:val="98"/>
              </w:rPr>
              <w:t>Executive Compensation</w:t>
            </w:r>
          </w:p>
        </w:tc>
        <w:tc>
          <w:tcPr>
            <w:tcW w:w="2280" w:type="dxa"/>
            <w:vAlign w:val="bottom"/>
            <w:gridSpan w:val="5"/>
          </w:tcPr>
          <w:p>
            <w:pPr>
              <w:spacing w:after="0"/>
              <w:rPr>
                <w:sz w:val="18"/>
                <w:szCs w:val="18"/>
                <w:color w:val="auto"/>
              </w:rPr>
            </w:pPr>
          </w:p>
        </w:tc>
        <w:tc>
          <w:tcPr>
            <w:tcW w:w="3960" w:type="dxa"/>
            <w:vAlign w:val="bottom"/>
            <w:gridSpan w:val="6"/>
          </w:tcPr>
          <w:p>
            <w:pPr>
              <w:spacing w:after="0"/>
              <w:rPr>
                <w:sz w:val="18"/>
                <w:szCs w:val="18"/>
                <w:color w:val="auto"/>
              </w:rPr>
            </w:pPr>
          </w:p>
        </w:tc>
        <w:tc>
          <w:tcPr>
            <w:tcW w:w="2060" w:type="dxa"/>
            <w:vAlign w:val="bottom"/>
            <w:gridSpan w:val="3"/>
          </w:tcPr>
          <w:p>
            <w:pPr>
              <w:jc w:val="center"/>
              <w:ind w:left="1230"/>
              <w:spacing w:after="0"/>
              <w:rPr>
                <w:sz w:val="20"/>
                <w:szCs w:val="20"/>
                <w:color w:val="auto"/>
              </w:rPr>
            </w:pPr>
            <w:r>
              <w:rPr>
                <w:rFonts w:ascii="Times New Roman" w:cs="Times New Roman" w:eastAsia="Times New Roman" w:hAnsi="Times New Roman"/>
                <w:sz w:val="18"/>
                <w:szCs w:val="18"/>
                <w:color w:val="0000FF"/>
                <w:w w:val="96"/>
              </w:rPr>
              <w:t>155</w:t>
            </w:r>
          </w:p>
        </w:tc>
      </w:tr>
      <w:tr>
        <w:trPr>
          <w:trHeight w:val="20"/>
        </w:trPr>
        <w:tc>
          <w:tcPr>
            <w:tcW w:w="20" w:type="dxa"/>
            <w:vAlign w:val="bottom"/>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gridSpan w:val="6"/>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80" w:type="dxa"/>
            <w:vAlign w:val="bottom"/>
            <w:gridSpan w:val="5"/>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1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12.</w:t>
            </w:r>
          </w:p>
        </w:tc>
        <w:tc>
          <w:tcPr>
            <w:tcW w:w="80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2060" w:type="dxa"/>
            <w:vAlign w:val="bottom"/>
            <w:gridSpan w:val="3"/>
          </w:tcPr>
          <w:p>
            <w:pPr>
              <w:jc w:val="center"/>
              <w:ind w:left="1230"/>
              <w:spacing w:after="0"/>
              <w:rPr>
                <w:sz w:val="20"/>
                <w:szCs w:val="20"/>
                <w:color w:val="auto"/>
              </w:rPr>
            </w:pPr>
            <w:r>
              <w:rPr>
                <w:rFonts w:ascii="Times New Roman" w:cs="Times New Roman" w:eastAsia="Times New Roman" w:hAnsi="Times New Roman"/>
                <w:sz w:val="18"/>
                <w:szCs w:val="18"/>
                <w:color w:val="0000FF"/>
                <w:w w:val="96"/>
              </w:rPr>
              <w:t>155</w:t>
            </w:r>
          </w:p>
        </w:tc>
      </w:tr>
      <w:tr>
        <w:trPr>
          <w:trHeight w:val="20"/>
        </w:trPr>
        <w:tc>
          <w:tcPr>
            <w:tcW w:w="20" w:type="dxa"/>
            <w:vAlign w:val="bottom"/>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gridSpan w:val="6"/>
            <w:shd w:val="clear" w:color="auto" w:fill="0000FF"/>
          </w:tcPr>
          <w:p>
            <w:pPr>
              <w:spacing w:after="0" w:line="20" w:lineRule="exact"/>
              <w:rPr>
                <w:sz w:val="1"/>
                <w:szCs w:val="1"/>
                <w:color w:val="auto"/>
              </w:rPr>
            </w:pPr>
          </w:p>
        </w:tc>
        <w:tc>
          <w:tcPr>
            <w:tcW w:w="1760" w:type="dxa"/>
            <w:vAlign w:val="bottom"/>
            <w:gridSpan w:val="5"/>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80" w:type="dxa"/>
            <w:vAlign w:val="bottom"/>
            <w:gridSpan w:val="5"/>
            <w:shd w:val="clear" w:color="auto" w:fill="0000FF"/>
          </w:tcPr>
          <w:p>
            <w:pPr>
              <w:spacing w:after="0" w:line="20" w:lineRule="exact"/>
              <w:rPr>
                <w:sz w:val="1"/>
                <w:szCs w:val="1"/>
                <w:color w:val="auto"/>
              </w:rPr>
            </w:pPr>
          </w:p>
        </w:tc>
        <w:tc>
          <w:tcPr>
            <w:tcW w:w="1840" w:type="dxa"/>
            <w:vAlign w:val="bottom"/>
            <w:gridSpan w:val="2"/>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13.</w:t>
            </w:r>
          </w:p>
        </w:tc>
        <w:tc>
          <w:tcPr>
            <w:tcW w:w="728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760" w:type="dxa"/>
            <w:vAlign w:val="bottom"/>
          </w:tcPr>
          <w:p>
            <w:pPr>
              <w:spacing w:after="0"/>
              <w:rPr>
                <w:sz w:val="18"/>
                <w:szCs w:val="18"/>
                <w:color w:val="auto"/>
              </w:rPr>
            </w:pPr>
          </w:p>
        </w:tc>
        <w:tc>
          <w:tcPr>
            <w:tcW w:w="2060" w:type="dxa"/>
            <w:vAlign w:val="bottom"/>
            <w:gridSpan w:val="3"/>
          </w:tcPr>
          <w:p>
            <w:pPr>
              <w:jc w:val="center"/>
              <w:ind w:left="1230"/>
              <w:spacing w:after="0"/>
              <w:rPr>
                <w:sz w:val="20"/>
                <w:szCs w:val="20"/>
                <w:color w:val="auto"/>
              </w:rPr>
            </w:pPr>
            <w:r>
              <w:rPr>
                <w:rFonts w:ascii="Times New Roman" w:cs="Times New Roman" w:eastAsia="Times New Roman" w:hAnsi="Times New Roman"/>
                <w:sz w:val="18"/>
                <w:szCs w:val="18"/>
                <w:color w:val="0000FF"/>
                <w:w w:val="96"/>
              </w:rPr>
              <w:t>155</w:t>
            </w: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1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14.</w:t>
            </w:r>
          </w:p>
        </w:tc>
        <w:tc>
          <w:tcPr>
            <w:tcW w:w="54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Principal Accountant Fees and Services</w:t>
            </w:r>
          </w:p>
        </w:tc>
        <w:tc>
          <w:tcPr>
            <w:tcW w:w="2600" w:type="dxa"/>
            <w:vAlign w:val="bottom"/>
            <w:gridSpan w:val="3"/>
          </w:tcPr>
          <w:p>
            <w:pPr>
              <w:spacing w:after="0"/>
              <w:rPr>
                <w:sz w:val="18"/>
                <w:szCs w:val="18"/>
                <w:color w:val="auto"/>
              </w:rPr>
            </w:pPr>
          </w:p>
        </w:tc>
        <w:tc>
          <w:tcPr>
            <w:tcW w:w="2060" w:type="dxa"/>
            <w:vAlign w:val="bottom"/>
            <w:gridSpan w:val="3"/>
          </w:tcPr>
          <w:p>
            <w:pPr>
              <w:jc w:val="center"/>
              <w:ind w:left="1230"/>
              <w:spacing w:after="0"/>
              <w:rPr>
                <w:sz w:val="20"/>
                <w:szCs w:val="20"/>
                <w:color w:val="auto"/>
              </w:rPr>
            </w:pPr>
            <w:r>
              <w:rPr>
                <w:rFonts w:ascii="Times New Roman" w:cs="Times New Roman" w:eastAsia="Times New Roman" w:hAnsi="Times New Roman"/>
                <w:sz w:val="18"/>
                <w:szCs w:val="18"/>
                <w:color w:val="0000FF"/>
                <w:w w:val="96"/>
              </w:rPr>
              <w:t>155</w:t>
            </w:r>
          </w:p>
        </w:tc>
      </w:tr>
      <w:tr>
        <w:trPr>
          <w:trHeight w:val="480"/>
        </w:trPr>
        <w:tc>
          <w:tcPr>
            <w:tcW w:w="20" w:type="dxa"/>
            <w:vAlign w:val="bottom"/>
          </w:tcPr>
          <w:p>
            <w:pPr>
              <w:spacing w:after="0"/>
              <w:rPr>
                <w:sz w:val="24"/>
                <w:szCs w:val="24"/>
                <w:color w:val="auto"/>
              </w:rPr>
            </w:pPr>
          </w:p>
        </w:tc>
        <w:tc>
          <w:tcPr>
            <w:tcW w:w="6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4"/>
              </w:rPr>
              <w:t>PART IV</w:t>
            </w:r>
          </w:p>
        </w:tc>
        <w:tc>
          <w:tcPr>
            <w:tcW w:w="440" w:type="dxa"/>
            <w:vAlign w:val="bottom"/>
            <w:gridSpan w:val="2"/>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80" w:type="dxa"/>
            <w:vAlign w:val="bottom"/>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11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15.</w:t>
            </w:r>
          </w:p>
        </w:tc>
        <w:tc>
          <w:tcPr>
            <w:tcW w:w="316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w w:val="99"/>
              </w:rPr>
              <w:t>Exhibits and Financial Statement Schedules</w:t>
            </w:r>
          </w:p>
        </w:tc>
        <w:tc>
          <w:tcPr>
            <w:tcW w:w="4880" w:type="dxa"/>
            <w:vAlign w:val="bottom"/>
            <w:gridSpan w:val="8"/>
          </w:tcPr>
          <w:p>
            <w:pPr>
              <w:spacing w:after="0"/>
              <w:rPr>
                <w:sz w:val="18"/>
                <w:szCs w:val="18"/>
                <w:color w:val="auto"/>
              </w:rPr>
            </w:pPr>
          </w:p>
        </w:tc>
        <w:tc>
          <w:tcPr>
            <w:tcW w:w="2060" w:type="dxa"/>
            <w:vAlign w:val="bottom"/>
            <w:gridSpan w:val="3"/>
          </w:tcPr>
          <w:p>
            <w:pPr>
              <w:jc w:val="center"/>
              <w:ind w:left="1230"/>
              <w:spacing w:after="0"/>
              <w:rPr>
                <w:sz w:val="20"/>
                <w:szCs w:val="20"/>
                <w:color w:val="auto"/>
              </w:rPr>
            </w:pPr>
            <w:r>
              <w:rPr>
                <w:rFonts w:ascii="Times New Roman" w:cs="Times New Roman" w:eastAsia="Times New Roman" w:hAnsi="Times New Roman"/>
                <w:sz w:val="18"/>
                <w:szCs w:val="18"/>
                <w:color w:val="0000FF"/>
                <w:w w:val="96"/>
              </w:rPr>
              <w:t>156</w:t>
            </w:r>
          </w:p>
        </w:tc>
      </w:tr>
      <w:tr>
        <w:trPr>
          <w:trHeight w:val="20"/>
        </w:trPr>
        <w:tc>
          <w:tcPr>
            <w:tcW w:w="20" w:type="dxa"/>
            <w:vAlign w:val="bottom"/>
          </w:tcPr>
          <w:p>
            <w:pPr>
              <w:spacing w:after="0" w:line="20" w:lineRule="exact"/>
              <w:rPr>
                <w:sz w:val="1"/>
                <w:szCs w:val="1"/>
                <w:color w:val="auto"/>
              </w:rPr>
            </w:pPr>
          </w:p>
        </w:tc>
        <w:tc>
          <w:tcPr>
            <w:tcW w:w="760" w:type="dxa"/>
            <w:vAlign w:val="bottom"/>
            <w:gridSpan w:val="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gridSpan w:val="6"/>
            <w:shd w:val="clear" w:color="auto" w:fill="0000FF"/>
          </w:tcPr>
          <w:p>
            <w:pPr>
              <w:spacing w:after="0" w:line="20" w:lineRule="exact"/>
              <w:rPr>
                <w:sz w:val="1"/>
                <w:szCs w:val="1"/>
                <w:color w:val="auto"/>
              </w:rPr>
            </w:pPr>
          </w:p>
        </w:tc>
        <w:tc>
          <w:tcPr>
            <w:tcW w:w="2060" w:type="dxa"/>
            <w:vAlign w:val="bottom"/>
            <w:gridSpan w:val="6"/>
            <w:shd w:val="clear" w:color="auto" w:fill="0000FF"/>
          </w:tcPr>
          <w:p>
            <w:pPr>
              <w:spacing w:after="0" w:line="20" w:lineRule="exact"/>
              <w:rPr>
                <w:sz w:val="1"/>
                <w:szCs w:val="1"/>
                <w:color w:val="auto"/>
              </w:rPr>
            </w:pPr>
          </w:p>
        </w:tc>
        <w:tc>
          <w:tcPr>
            <w:tcW w:w="4880" w:type="dxa"/>
            <w:vAlign w:val="bottom"/>
            <w:gridSpan w:val="8"/>
          </w:tcPr>
          <w:p>
            <w:pPr>
              <w:spacing w:after="0" w:line="20" w:lineRule="exact"/>
              <w:rPr>
                <w:sz w:val="1"/>
                <w:szCs w:val="1"/>
                <w:color w:val="auto"/>
              </w:rPr>
            </w:pPr>
          </w:p>
        </w:tc>
        <w:tc>
          <w:tcPr>
            <w:tcW w:w="16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16.</w:t>
            </w:r>
          </w:p>
        </w:tc>
        <w:tc>
          <w:tcPr>
            <w:tcW w:w="316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10-K Summary</w:t>
            </w:r>
          </w:p>
        </w:tc>
        <w:tc>
          <w:tcPr>
            <w:tcW w:w="4880" w:type="dxa"/>
            <w:vAlign w:val="bottom"/>
            <w:gridSpan w:val="8"/>
          </w:tcPr>
          <w:p>
            <w:pPr>
              <w:spacing w:after="0"/>
              <w:rPr>
                <w:sz w:val="18"/>
                <w:szCs w:val="18"/>
                <w:color w:val="auto"/>
              </w:rPr>
            </w:pPr>
          </w:p>
        </w:tc>
        <w:tc>
          <w:tcPr>
            <w:tcW w:w="2060" w:type="dxa"/>
            <w:vAlign w:val="bottom"/>
            <w:gridSpan w:val="3"/>
          </w:tcPr>
          <w:p>
            <w:pPr>
              <w:jc w:val="center"/>
              <w:ind w:left="1230"/>
              <w:spacing w:after="0"/>
              <w:rPr>
                <w:sz w:val="20"/>
                <w:szCs w:val="20"/>
                <w:color w:val="auto"/>
              </w:rPr>
            </w:pPr>
            <w:r>
              <w:rPr>
                <w:rFonts w:ascii="Times New Roman" w:cs="Times New Roman" w:eastAsia="Times New Roman" w:hAnsi="Times New Roman"/>
                <w:sz w:val="18"/>
                <w:szCs w:val="18"/>
                <w:color w:val="0000FF"/>
                <w:w w:val="96"/>
              </w:rPr>
              <w:t>156</w:t>
            </w: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11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60" w:type="dxa"/>
            <w:vAlign w:val="bottom"/>
            <w:gridSpan w:val="3"/>
          </w:tcPr>
          <w:p>
            <w:pPr>
              <w:jc w:val="center"/>
              <w:ind w:left="1230"/>
              <w:spacing w:after="0"/>
              <w:rPr>
                <w:sz w:val="20"/>
                <w:szCs w:val="20"/>
                <w:color w:val="auto"/>
              </w:rPr>
            </w:pPr>
            <w:r>
              <w:rPr>
                <w:rFonts w:ascii="Times New Roman" w:cs="Times New Roman" w:eastAsia="Times New Roman" w:hAnsi="Times New Roman"/>
                <w:sz w:val="18"/>
                <w:szCs w:val="18"/>
                <w:color w:val="0000FF"/>
                <w:w w:val="96"/>
              </w:rPr>
              <w:t>161</w:t>
            </w:r>
          </w:p>
        </w:tc>
      </w:tr>
      <w:tr>
        <w:trPr>
          <w:trHeight w:val="1026"/>
        </w:trPr>
        <w:tc>
          <w:tcPr>
            <w:tcW w:w="20" w:type="dxa"/>
            <w:vAlign w:val="bottom"/>
            <w:tcBorders>
              <w:bottom w:val="single" w:sz="8" w:color="9A9A9A"/>
            </w:tcBorders>
          </w:tcPr>
          <w:p>
            <w:pPr>
              <w:spacing w:after="0"/>
              <w:rPr>
                <w:sz w:val="24"/>
                <w:szCs w:val="24"/>
                <w:color w:val="auto"/>
              </w:rPr>
            </w:pPr>
          </w:p>
        </w:tc>
        <w:tc>
          <w:tcPr>
            <w:tcW w:w="54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140" w:type="dxa"/>
            <w:vAlign w:val="bottom"/>
            <w:tcBorders>
              <w:top w:val="single" w:sz="8" w:color="0000FF"/>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30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8200" w:type="dxa"/>
            <w:vAlign w:val="bottom"/>
          </w:tcPr>
          <w:p>
            <w:pPr>
              <w:spacing w:after="0"/>
              <w:rPr>
                <w:sz w:val="17"/>
                <w:szCs w:val="17"/>
                <w:color w:val="auto"/>
              </w:rPr>
            </w:pPr>
          </w:p>
        </w:tc>
      </w:tr>
      <w:tr>
        <w:trPr>
          <w:trHeight w:val="831"/>
        </w:trPr>
        <w:tc>
          <w:tcPr>
            <w:tcW w:w="1280" w:type="dxa"/>
            <w:vAlign w:val="bottom"/>
            <w:tcBorders>
              <w:top w:val="single" w:sz="8" w:color="0000FF"/>
            </w:tcBorders>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0" w:type="dxa"/>
            <w:vAlign w:val="bottom"/>
          </w:tcPr>
          <w:p>
            <w:pPr>
              <w:ind w:left="840"/>
              <w:spacing w:after="0"/>
              <w:rPr>
                <w:sz w:val="20"/>
                <w:szCs w:val="20"/>
                <w:color w:val="auto"/>
              </w:rPr>
            </w:pPr>
            <w:r>
              <w:rPr>
                <w:rFonts w:ascii="Times New Roman" w:cs="Times New Roman" w:eastAsia="Times New Roman" w:hAnsi="Times New Roman"/>
                <w:sz w:val="18"/>
                <w:szCs w:val="18"/>
                <w:b w:val="1"/>
                <w:bCs w:val="1"/>
                <w:color w:val="auto"/>
              </w:rPr>
              <w:t>COMMONLY USED OR DEFINED TERMS</w:t>
            </w:r>
          </w:p>
        </w:tc>
      </w:tr>
      <w:tr>
        <w:trPr>
          <w:trHeight w:val="499"/>
        </w:trPr>
        <w:tc>
          <w:tcPr>
            <w:tcW w:w="29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Term</w:t>
            </w:r>
          </w:p>
        </w:tc>
        <w:tc>
          <w:tcPr>
            <w:tcW w:w="120" w:type="dxa"/>
            <w:vAlign w:val="bottom"/>
            <w:tcBorders>
              <w:bottom w:val="single" w:sz="8" w:color="CCEEFF"/>
            </w:tcBorders>
          </w:tcPr>
          <w:p>
            <w:pPr>
              <w:spacing w:after="0"/>
              <w:rPr>
                <w:sz w:val="24"/>
                <w:szCs w:val="24"/>
                <w:color w:val="auto"/>
              </w:rPr>
            </w:pPr>
          </w:p>
        </w:tc>
        <w:tc>
          <w:tcPr>
            <w:tcW w:w="8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Definition</w:t>
            </w:r>
          </w:p>
        </w:tc>
      </w:tr>
      <w:tr>
        <w:trPr>
          <w:trHeight w:val="250"/>
        </w:trPr>
        <w:tc>
          <w:tcPr>
            <w:tcW w:w="30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2017 Incentive Plan</w:t>
            </w:r>
          </w:p>
        </w:tc>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Rackspace Technology, Inc. Equity Incentive Plan</w:t>
            </w:r>
          </w:p>
        </w:tc>
      </w:tr>
      <w:tr>
        <w:trPr>
          <w:trHeight w:val="250"/>
        </w:trPr>
        <w:tc>
          <w:tcPr>
            <w:tcW w:w="30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2020 Incentive Plan</w:t>
            </w:r>
          </w:p>
        </w:tc>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Rackspace Technology, Inc. 2020 Equity Incentive Plan</w:t>
            </w:r>
          </w:p>
        </w:tc>
      </w:tr>
      <w:tr>
        <w:trPr>
          <w:trHeight w:val="263"/>
        </w:trPr>
        <w:tc>
          <w:tcPr>
            <w:tcW w:w="30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3.50% FLSO Senior Secured Notes</w:t>
            </w:r>
          </w:p>
        </w:tc>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First lien second out senior secured notes due 2028</w:t>
            </w:r>
          </w:p>
        </w:tc>
      </w:tr>
      <w:tr>
        <w:trPr>
          <w:trHeight w:val="211"/>
        </w:trPr>
        <w:tc>
          <w:tcPr>
            <w:tcW w:w="30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3.50% FLSO Senior Secured Notes</w:t>
            </w:r>
          </w:p>
        </w:tc>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Indenture governing the 3.50% FLSO Senior Secured Notes</w:t>
            </w:r>
          </w:p>
        </w:tc>
      </w:tr>
      <w:tr>
        <w:trPr>
          <w:trHeight w:val="234"/>
        </w:trPr>
        <w:tc>
          <w:tcPr>
            <w:tcW w:w="30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Indenture</w:t>
            </w:r>
          </w:p>
        </w:tc>
        <w:tc>
          <w:tcPr>
            <w:tcW w:w="8200" w:type="dxa"/>
            <w:vAlign w:val="bottom"/>
          </w:tcPr>
          <w:p>
            <w:pPr>
              <w:spacing w:after="0"/>
              <w:rPr>
                <w:sz w:val="20"/>
                <w:szCs w:val="20"/>
                <w:color w:val="auto"/>
              </w:rPr>
            </w:pPr>
          </w:p>
        </w:tc>
      </w:tr>
      <w:tr>
        <w:trPr>
          <w:trHeight w:val="27"/>
        </w:trPr>
        <w:tc>
          <w:tcPr>
            <w:tcW w:w="29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8200" w:type="dxa"/>
            <w:vAlign w:val="bottom"/>
          </w:tcPr>
          <w:p>
            <w:pPr>
              <w:spacing w:after="0"/>
              <w:rPr>
                <w:sz w:val="2"/>
                <w:szCs w:val="2"/>
                <w:color w:val="auto"/>
              </w:rPr>
            </w:pPr>
          </w:p>
        </w:tc>
      </w:tr>
      <w:tr>
        <w:trPr>
          <w:trHeight w:val="257"/>
        </w:trPr>
        <w:tc>
          <w:tcPr>
            <w:tcW w:w="30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3.50% Notes Indenture</w:t>
            </w:r>
          </w:p>
        </w:tc>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Indenture governing the 3.50% Senior Secured Notes</w:t>
            </w:r>
          </w:p>
        </w:tc>
      </w:tr>
      <w:tr>
        <w:trPr>
          <w:trHeight w:val="250"/>
        </w:trPr>
        <w:tc>
          <w:tcPr>
            <w:tcW w:w="30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3.50% Senior Secured Notes</w:t>
            </w:r>
          </w:p>
        </w:tc>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3.50% Senior Secured Notes due 2028</w:t>
            </w:r>
          </w:p>
        </w:tc>
      </w:tr>
      <w:tr>
        <w:trPr>
          <w:trHeight w:val="263"/>
        </w:trPr>
        <w:tc>
          <w:tcPr>
            <w:tcW w:w="30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5.375% Notes Indenture</w:t>
            </w:r>
          </w:p>
        </w:tc>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Indenture governing the 5.375% Senior Notes</w:t>
            </w:r>
          </w:p>
        </w:tc>
      </w:tr>
      <w:tr>
        <w:trPr>
          <w:trHeight w:val="250"/>
        </w:trPr>
        <w:tc>
          <w:tcPr>
            <w:tcW w:w="30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5.375% Senior Notes</w:t>
            </w:r>
          </w:p>
        </w:tc>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5.375% Senior Notes due 2028</w:t>
            </w:r>
          </w:p>
        </w:tc>
      </w:tr>
      <w:tr>
        <w:trPr>
          <w:trHeight w:val="263"/>
        </w:trPr>
        <w:tc>
          <w:tcPr>
            <w:tcW w:w="30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ABRY</w:t>
            </w:r>
          </w:p>
        </w:tc>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ABRY Partners, LLC and ABRY Partners II, LLC, collectively</w:t>
            </w:r>
          </w:p>
        </w:tc>
      </w:tr>
      <w:tr>
        <w:trPr>
          <w:trHeight w:val="250"/>
        </w:trPr>
        <w:tc>
          <w:tcPr>
            <w:tcW w:w="30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AI</w:t>
            </w:r>
          </w:p>
        </w:tc>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Artificial intelligence</w:t>
            </w:r>
          </w:p>
        </w:tc>
      </w:tr>
      <w:tr>
        <w:trPr>
          <w:trHeight w:val="263"/>
        </w:trPr>
        <w:tc>
          <w:tcPr>
            <w:tcW w:w="30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Annual Report</w:t>
            </w:r>
          </w:p>
        </w:tc>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Annual Report on Form 10-K for the year ended December 31, 2024</w:t>
            </w:r>
          </w:p>
        </w:tc>
      </w:tr>
      <w:tr>
        <w:trPr>
          <w:trHeight w:val="250"/>
        </w:trPr>
        <w:tc>
          <w:tcPr>
            <w:tcW w:w="30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APJ</w:t>
            </w:r>
          </w:p>
        </w:tc>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Asia Pacific and Japan</w:t>
            </w:r>
          </w:p>
        </w:tc>
      </w:tr>
      <w:tr>
        <w:trPr>
          <w:trHeight w:val="263"/>
        </w:trPr>
        <w:tc>
          <w:tcPr>
            <w:tcW w:w="30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Apollo</w:t>
            </w:r>
          </w:p>
        </w:tc>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Apollo Global Management, Inc. and its subsidiaries</w:t>
            </w:r>
          </w:p>
        </w:tc>
      </w:tr>
      <w:tr>
        <w:trPr>
          <w:trHeight w:val="250"/>
        </w:trPr>
        <w:tc>
          <w:tcPr>
            <w:tcW w:w="30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Apollo Global Securities</w:t>
            </w:r>
          </w:p>
        </w:tc>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Apollo Global Securities, LLC</w:t>
            </w:r>
          </w:p>
        </w:tc>
      </w:tr>
      <w:tr>
        <w:trPr>
          <w:trHeight w:val="263"/>
        </w:trPr>
        <w:tc>
          <w:tcPr>
            <w:tcW w:w="30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ASC</w:t>
            </w:r>
          </w:p>
        </w:tc>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Accounting Standards Codification</w:t>
            </w:r>
          </w:p>
        </w:tc>
      </w:tr>
      <w:tr>
        <w:trPr>
          <w:trHeight w:val="250"/>
        </w:trPr>
        <w:tc>
          <w:tcPr>
            <w:tcW w:w="30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ASC 420</w:t>
            </w:r>
          </w:p>
        </w:tc>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Accounting Standards Codification No. 420, Exit or Disposal Cost Obligations</w:t>
            </w:r>
          </w:p>
        </w:tc>
      </w:tr>
      <w:tr>
        <w:trPr>
          <w:trHeight w:val="263"/>
        </w:trPr>
        <w:tc>
          <w:tcPr>
            <w:tcW w:w="30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ASC 606</w:t>
            </w:r>
          </w:p>
        </w:tc>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Accounting Standards Codification No. 606, Revenue from Contracts with Customers</w:t>
            </w:r>
          </w:p>
        </w:tc>
      </w:tr>
      <w:tr>
        <w:trPr>
          <w:trHeight w:val="250"/>
        </w:trPr>
        <w:tc>
          <w:tcPr>
            <w:tcW w:w="30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ASC 842</w:t>
            </w:r>
          </w:p>
        </w:tc>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Accounting Standards Codification No. 842, Leases</w:t>
            </w:r>
          </w:p>
        </w:tc>
      </w:tr>
      <w:tr>
        <w:trPr>
          <w:trHeight w:val="263"/>
        </w:trPr>
        <w:tc>
          <w:tcPr>
            <w:tcW w:w="30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ASC 860</w:t>
            </w:r>
          </w:p>
        </w:tc>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Accounting Standards Codification No. 860, Transfers and Servicing</w:t>
            </w:r>
          </w:p>
        </w:tc>
      </w:tr>
      <w:tr>
        <w:trPr>
          <w:trHeight w:val="250"/>
        </w:trPr>
        <w:tc>
          <w:tcPr>
            <w:tcW w:w="30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ASU</w:t>
            </w:r>
          </w:p>
        </w:tc>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Accounting Standards Update</w:t>
            </w:r>
          </w:p>
        </w:tc>
      </w:tr>
      <w:tr>
        <w:trPr>
          <w:trHeight w:val="263"/>
        </w:trPr>
        <w:tc>
          <w:tcPr>
            <w:tcW w:w="30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AWS</w:t>
            </w:r>
          </w:p>
        </w:tc>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Amazon Web Services</w:t>
            </w:r>
          </w:p>
        </w:tc>
      </w:tr>
      <w:tr>
        <w:trPr>
          <w:trHeight w:val="250"/>
        </w:trPr>
        <w:tc>
          <w:tcPr>
            <w:tcW w:w="30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Board</w:t>
            </w:r>
          </w:p>
        </w:tc>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Board of Directors of Rackspace Technology, Inc.</w:t>
            </w:r>
          </w:p>
        </w:tc>
      </w:tr>
      <w:tr>
        <w:trPr>
          <w:trHeight w:val="263"/>
        </w:trPr>
        <w:tc>
          <w:tcPr>
            <w:tcW w:w="30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Citi</w:t>
            </w:r>
          </w:p>
        </w:tc>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Citibank, N.A.</w:t>
            </w:r>
          </w:p>
        </w:tc>
      </w:tr>
      <w:tr>
        <w:trPr>
          <w:trHeight w:val="250"/>
        </w:trPr>
        <w:tc>
          <w:tcPr>
            <w:tcW w:w="30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Datapipe</w:t>
            </w:r>
          </w:p>
        </w:tc>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Datapipe Parent, Inc.</w:t>
            </w:r>
          </w:p>
        </w:tc>
      </w:tr>
      <w:tr>
        <w:trPr>
          <w:trHeight w:val="263"/>
        </w:trPr>
        <w:tc>
          <w:tcPr>
            <w:tcW w:w="30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w:t>
            </w:r>
          </w:p>
        </w:tc>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European Union</w:t>
            </w:r>
          </w:p>
        </w:tc>
      </w:tr>
      <w:tr>
        <w:trPr>
          <w:trHeight w:val="250"/>
        </w:trPr>
        <w:tc>
          <w:tcPr>
            <w:tcW w:w="30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EBITDA</w:t>
            </w:r>
          </w:p>
        </w:tc>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before interest, taxes, depreciation, and amortization</w:t>
            </w:r>
          </w:p>
        </w:tc>
      </w:tr>
      <w:tr>
        <w:trPr>
          <w:trHeight w:val="263"/>
        </w:trPr>
        <w:tc>
          <w:tcPr>
            <w:tcW w:w="30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EMEA</w:t>
            </w:r>
          </w:p>
        </w:tc>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Europe, Middle East and Africa</w:t>
            </w:r>
          </w:p>
        </w:tc>
      </w:tr>
      <w:tr>
        <w:trPr>
          <w:trHeight w:val="250"/>
        </w:trPr>
        <w:tc>
          <w:tcPr>
            <w:tcW w:w="30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EPS</w:t>
            </w:r>
          </w:p>
        </w:tc>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per share</w:t>
            </w:r>
          </w:p>
        </w:tc>
      </w:tr>
      <w:tr>
        <w:trPr>
          <w:trHeight w:val="263"/>
        </w:trPr>
        <w:tc>
          <w:tcPr>
            <w:tcW w:w="30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ESPP</w:t>
            </w:r>
          </w:p>
        </w:tc>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Stock Purchase Plan</w:t>
            </w:r>
          </w:p>
        </w:tc>
      </w:tr>
      <w:tr>
        <w:trPr>
          <w:trHeight w:val="250"/>
        </w:trPr>
        <w:tc>
          <w:tcPr>
            <w:tcW w:w="30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Exchange Act</w:t>
            </w:r>
          </w:p>
        </w:tc>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Securities Exchange Act of 1934, as amended</w:t>
            </w:r>
          </w:p>
        </w:tc>
      </w:tr>
      <w:tr>
        <w:trPr>
          <w:trHeight w:val="263"/>
        </w:trPr>
        <w:tc>
          <w:tcPr>
            <w:tcW w:w="30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FASB</w:t>
            </w:r>
          </w:p>
        </w:tc>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Financial Accounting Standards Board</w:t>
            </w:r>
          </w:p>
        </w:tc>
      </w:tr>
      <w:tr>
        <w:trPr>
          <w:trHeight w:val="250"/>
        </w:trPr>
        <w:tc>
          <w:tcPr>
            <w:tcW w:w="30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First Lien Credit Agreement</w:t>
            </w:r>
          </w:p>
        </w:tc>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Credit agreement governing the Senior Facilities</w:t>
            </w:r>
          </w:p>
        </w:tc>
      </w:tr>
      <w:tr>
        <w:trPr>
          <w:trHeight w:val="263"/>
        </w:trPr>
        <w:tc>
          <w:tcPr>
            <w:tcW w:w="30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FLFO Term Loan Facility</w:t>
            </w:r>
          </w:p>
        </w:tc>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First lien first out senior secured term loans</w:t>
            </w:r>
          </w:p>
        </w:tc>
      </w:tr>
      <w:tr>
        <w:trPr>
          <w:trHeight w:val="250"/>
        </w:trPr>
        <w:tc>
          <w:tcPr>
            <w:tcW w:w="30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FLSO Term Loan Facility</w:t>
            </w:r>
          </w:p>
        </w:tc>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First lien second out senior secured term loans</w:t>
            </w:r>
          </w:p>
        </w:tc>
      </w:tr>
      <w:tr>
        <w:trPr>
          <w:trHeight w:val="263"/>
        </w:trPr>
        <w:tc>
          <w:tcPr>
            <w:tcW w:w="30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GAAP</w:t>
            </w:r>
          </w:p>
        </w:tc>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Accounting principles generally accepted in the United States of America</w:t>
            </w:r>
          </w:p>
        </w:tc>
      </w:tr>
      <w:tr>
        <w:trPr>
          <w:trHeight w:val="250"/>
        </w:trPr>
        <w:tc>
          <w:tcPr>
            <w:tcW w:w="30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Incentive Plans</w:t>
            </w:r>
          </w:p>
        </w:tc>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2017 Incentive Plan and 2020 Incentive Plan, together</w:t>
            </w:r>
          </w:p>
        </w:tc>
      </w:tr>
      <w:tr>
        <w:trPr>
          <w:trHeight w:val="263"/>
        </w:trPr>
        <w:tc>
          <w:tcPr>
            <w:tcW w:w="30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Inception Parent</w:t>
            </w:r>
          </w:p>
        </w:tc>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Inception Parent, Inc.</w:t>
            </w:r>
          </w:p>
        </w:tc>
      </w:tr>
      <w:tr>
        <w:trPr>
          <w:trHeight w:val="250"/>
        </w:trPr>
        <w:tc>
          <w:tcPr>
            <w:tcW w:w="30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Indentures</w:t>
            </w:r>
          </w:p>
        </w:tc>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5.375% Notes Indenture, 3.50% Notes Indenture and 3.50% FLSO Senior Secured Notes Indenture, together</w:t>
            </w:r>
          </w:p>
        </w:tc>
      </w:tr>
      <w:tr>
        <w:trPr>
          <w:trHeight w:val="263"/>
        </w:trPr>
        <w:tc>
          <w:tcPr>
            <w:tcW w:w="30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IRC</w:t>
            </w:r>
          </w:p>
        </w:tc>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Internal Revenue Code</w:t>
            </w:r>
          </w:p>
        </w:tc>
      </w:tr>
      <w:tr>
        <w:trPr>
          <w:trHeight w:val="250"/>
        </w:trPr>
        <w:tc>
          <w:tcPr>
            <w:tcW w:w="30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IRS</w:t>
            </w:r>
          </w:p>
        </w:tc>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Internal Revenue Service</w:t>
            </w:r>
          </w:p>
        </w:tc>
      </w:tr>
      <w:tr>
        <w:trPr>
          <w:trHeight w:val="263"/>
        </w:trPr>
        <w:tc>
          <w:tcPr>
            <w:tcW w:w="30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July 2021 Restructuring Plan</w:t>
            </w:r>
          </w:p>
        </w:tc>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Internal restructuring plan committed to on July 21, 2021</w:t>
            </w:r>
          </w:p>
        </w:tc>
      </w:tr>
      <w:tr>
        <w:trPr>
          <w:trHeight w:val="250"/>
        </w:trPr>
        <w:tc>
          <w:tcPr>
            <w:tcW w:w="30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Just Analytics</w:t>
            </w:r>
          </w:p>
        </w:tc>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Just Analytics Pte. Ltd.</w:t>
            </w:r>
          </w:p>
        </w:tc>
      </w:tr>
      <w:tr>
        <w:trPr>
          <w:trHeight w:val="263"/>
        </w:trPr>
        <w:tc>
          <w:tcPr>
            <w:tcW w:w="30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LIBOR</w:t>
            </w:r>
          </w:p>
        </w:tc>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London Interbank Offered Rate</w:t>
            </w:r>
          </w:p>
        </w:tc>
      </w:tr>
      <w:tr>
        <w:trPr>
          <w:trHeight w:val="1020"/>
        </w:trPr>
        <w:tc>
          <w:tcPr>
            <w:tcW w:w="128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2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27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8480" w:type="dxa"/>
            <w:vAlign w:val="bottom"/>
          </w:tcPr>
          <w:p>
            <w:pPr>
              <w:spacing w:after="0"/>
              <w:rPr>
                <w:sz w:val="17"/>
                <w:szCs w:val="17"/>
                <w:color w:val="auto"/>
              </w:rPr>
            </w:pPr>
          </w:p>
        </w:tc>
      </w:tr>
      <w:tr>
        <w:trPr>
          <w:trHeight w:val="891"/>
        </w:trPr>
        <w:tc>
          <w:tcPr>
            <w:tcW w:w="1280" w:type="dxa"/>
            <w:vAlign w:val="bottom"/>
            <w:tcBorders>
              <w:top w:val="single" w:sz="8" w:color="0000FF"/>
            </w:tcBorders>
          </w:tcPr>
          <w:p>
            <w:pPr>
              <w:ind w:left="20"/>
              <w:spacing w:after="0"/>
              <w:rPr>
                <w:sz w:val="20"/>
                <w:szCs w:val="20"/>
                <w:color w:val="auto"/>
              </w:rPr>
            </w:pPr>
            <w:r>
              <w:rPr>
                <w:rFonts w:ascii="Times New Roman" w:cs="Times New Roman" w:eastAsia="Times New Roman" w:hAnsi="Times New Roman"/>
                <w:sz w:val="18"/>
                <w:szCs w:val="18"/>
                <w:color w:val="auto"/>
              </w:rPr>
              <w:t>MD&amp;A</w:t>
            </w:r>
          </w:p>
        </w:tc>
        <w:tc>
          <w:tcPr>
            <w:tcW w:w="1480" w:type="dxa"/>
            <w:vAlign w:val="bottom"/>
          </w:tcPr>
          <w:p>
            <w:pPr>
              <w:spacing w:after="0"/>
              <w:rPr>
                <w:sz w:val="24"/>
                <w:szCs w:val="24"/>
                <w:color w:val="auto"/>
              </w:rPr>
            </w:pPr>
          </w:p>
        </w:tc>
        <w:tc>
          <w:tcPr>
            <w:tcW w:w="84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r>
      <w:tr>
        <w:trPr>
          <w:trHeight w:val="263"/>
        </w:trPr>
        <w:tc>
          <w:tcPr>
            <w:tcW w:w="2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MEIA</w:t>
            </w:r>
          </w:p>
        </w:tc>
        <w:tc>
          <w:tcPr>
            <w:tcW w:w="84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Master Economic Incentives Agreement</w:t>
            </w:r>
          </w:p>
        </w:tc>
      </w:tr>
      <w:tr>
        <w:trPr>
          <w:trHeight w:val="250"/>
        </w:trPr>
        <w:tc>
          <w:tcPr>
            <w:tcW w:w="2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MOIC</w:t>
            </w:r>
          </w:p>
        </w:tc>
        <w:tc>
          <w:tcPr>
            <w:tcW w:w="84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Multiple of invested capital</w:t>
            </w:r>
          </w:p>
        </w:tc>
      </w:tr>
      <w:tr>
        <w:trPr>
          <w:trHeight w:val="263"/>
        </w:trPr>
        <w:tc>
          <w:tcPr>
            <w:tcW w:w="2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Nasdaq</w:t>
            </w:r>
          </w:p>
        </w:tc>
        <w:tc>
          <w:tcPr>
            <w:tcW w:w="84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Nasdaq Stock Market LLC</w:t>
            </w:r>
          </w:p>
        </w:tc>
      </w:tr>
      <w:tr>
        <w:trPr>
          <w:trHeight w:val="250"/>
        </w:trPr>
        <w:tc>
          <w:tcPr>
            <w:tcW w:w="2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New First Lien Credit Agreement</w:t>
            </w:r>
          </w:p>
        </w:tc>
        <w:tc>
          <w:tcPr>
            <w:tcW w:w="84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Credit agreement governing the New Senior Facilities</w:t>
            </w:r>
          </w:p>
        </w:tc>
      </w:tr>
      <w:tr>
        <w:trPr>
          <w:trHeight w:val="263"/>
        </w:trPr>
        <w:tc>
          <w:tcPr>
            <w:tcW w:w="2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New Revolving Credit Facility</w:t>
            </w:r>
          </w:p>
        </w:tc>
        <w:tc>
          <w:tcPr>
            <w:tcW w:w="84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Senior secured first lien first out revolving credit facility</w:t>
            </w:r>
          </w:p>
        </w:tc>
      </w:tr>
      <w:tr>
        <w:trPr>
          <w:trHeight w:val="250"/>
        </w:trPr>
        <w:tc>
          <w:tcPr>
            <w:tcW w:w="2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New Senior Facilities</w:t>
            </w:r>
          </w:p>
        </w:tc>
        <w:tc>
          <w:tcPr>
            <w:tcW w:w="84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FLFO Term Loan Facility, FLSO Term Loan Facility and New Revolving Credit Facility, together</w:t>
            </w:r>
          </w:p>
        </w:tc>
      </w:tr>
      <w:tr>
        <w:trPr>
          <w:trHeight w:val="263"/>
        </w:trPr>
        <w:tc>
          <w:tcPr>
            <w:tcW w:w="2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PNC</w:t>
            </w:r>
          </w:p>
        </w:tc>
        <w:tc>
          <w:tcPr>
            <w:tcW w:w="84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PNC Bank, National Association</w:t>
            </w:r>
          </w:p>
        </w:tc>
      </w:tr>
      <w:tr>
        <w:trPr>
          <w:trHeight w:val="250"/>
        </w:trPr>
        <w:tc>
          <w:tcPr>
            <w:tcW w:w="2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PSUs</w:t>
            </w:r>
          </w:p>
        </w:tc>
        <w:tc>
          <w:tcPr>
            <w:tcW w:w="84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Performance stock units</w:t>
            </w:r>
          </w:p>
        </w:tc>
      </w:tr>
      <w:tr>
        <w:trPr>
          <w:trHeight w:val="263"/>
        </w:trPr>
        <w:tc>
          <w:tcPr>
            <w:tcW w:w="2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R&amp;D</w:t>
            </w:r>
          </w:p>
        </w:tc>
        <w:tc>
          <w:tcPr>
            <w:tcW w:w="84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Research and development</w:t>
            </w:r>
          </w:p>
        </w:tc>
      </w:tr>
      <w:tr>
        <w:trPr>
          <w:trHeight w:val="211"/>
        </w:trPr>
        <w:tc>
          <w:tcPr>
            <w:tcW w:w="2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Rackspace Acquisition</w:t>
            </w:r>
          </w:p>
        </w:tc>
        <w:tc>
          <w:tcPr>
            <w:tcW w:w="84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November 3, 2016 acquisition of Rackspace Hosting, Inc. (now named Rackspace Technology Global, Inc.) by</w:t>
            </w:r>
          </w:p>
        </w:tc>
      </w:tr>
      <w:tr>
        <w:trPr>
          <w:trHeight w:val="234"/>
        </w:trPr>
        <w:tc>
          <w:tcPr>
            <w:tcW w:w="12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4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Inception Parent, Inc.</w:t>
            </w:r>
          </w:p>
        </w:tc>
      </w:tr>
      <w:tr>
        <w:trPr>
          <w:trHeight w:val="27"/>
        </w:trPr>
        <w:tc>
          <w:tcPr>
            <w:tcW w:w="2760" w:type="dxa"/>
            <w:vAlign w:val="bottom"/>
            <w:gridSpan w:val="2"/>
          </w:tcPr>
          <w:p>
            <w:pPr>
              <w:spacing w:after="0"/>
              <w:rPr>
                <w:sz w:val="2"/>
                <w:szCs w:val="2"/>
                <w:color w:val="auto"/>
              </w:rPr>
            </w:pPr>
          </w:p>
        </w:tc>
        <w:tc>
          <w:tcPr>
            <w:tcW w:w="8480" w:type="dxa"/>
            <w:vAlign w:val="bottom"/>
          </w:tcPr>
          <w:p>
            <w:pPr>
              <w:spacing w:after="0"/>
              <w:rPr>
                <w:sz w:val="2"/>
                <w:szCs w:val="2"/>
                <w:color w:val="auto"/>
              </w:rPr>
            </w:pPr>
          </w:p>
        </w:tc>
      </w:tr>
      <w:tr>
        <w:trPr>
          <w:trHeight w:val="257"/>
        </w:trPr>
        <w:tc>
          <w:tcPr>
            <w:tcW w:w="2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Rackspace Hosting</w:t>
            </w:r>
          </w:p>
        </w:tc>
        <w:tc>
          <w:tcPr>
            <w:tcW w:w="84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Rackspace Hosting, Inc.</w:t>
            </w:r>
          </w:p>
        </w:tc>
      </w:tr>
      <w:tr>
        <w:trPr>
          <w:trHeight w:val="250"/>
        </w:trPr>
        <w:tc>
          <w:tcPr>
            <w:tcW w:w="2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Rackspace Technology</w:t>
            </w:r>
          </w:p>
        </w:tc>
        <w:tc>
          <w:tcPr>
            <w:tcW w:w="84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Rackspace Technology, Inc.</w:t>
            </w:r>
          </w:p>
        </w:tc>
      </w:tr>
      <w:tr>
        <w:trPr>
          <w:trHeight w:val="263"/>
        </w:trPr>
        <w:tc>
          <w:tcPr>
            <w:tcW w:w="2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Rackspace Technology Global</w:t>
            </w:r>
          </w:p>
        </w:tc>
        <w:tc>
          <w:tcPr>
            <w:tcW w:w="84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Rackspace Technology Global, Inc.</w:t>
            </w:r>
          </w:p>
        </w:tc>
      </w:tr>
      <w:tr>
        <w:trPr>
          <w:trHeight w:val="250"/>
        </w:trPr>
        <w:tc>
          <w:tcPr>
            <w:tcW w:w="2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Rackspace US</w:t>
            </w:r>
          </w:p>
        </w:tc>
        <w:tc>
          <w:tcPr>
            <w:tcW w:w="84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Rackspace US, Inc.</w:t>
            </w:r>
          </w:p>
        </w:tc>
      </w:tr>
      <w:tr>
        <w:trPr>
          <w:trHeight w:val="263"/>
        </w:trPr>
        <w:tc>
          <w:tcPr>
            <w:tcW w:w="2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Rackspace Finance</w:t>
            </w:r>
          </w:p>
        </w:tc>
        <w:tc>
          <w:tcPr>
            <w:tcW w:w="84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Rackspace Finance, LLC</w:t>
            </w:r>
          </w:p>
        </w:tc>
      </w:tr>
      <w:tr>
        <w:trPr>
          <w:trHeight w:val="250"/>
        </w:trPr>
        <w:tc>
          <w:tcPr>
            <w:tcW w:w="2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Rackspace Finance Holdings</w:t>
            </w:r>
          </w:p>
        </w:tc>
        <w:tc>
          <w:tcPr>
            <w:tcW w:w="84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Rackspace Finance Holdings, LLC</w:t>
            </w:r>
          </w:p>
        </w:tc>
      </w:tr>
      <w:tr>
        <w:trPr>
          <w:trHeight w:val="263"/>
        </w:trPr>
        <w:tc>
          <w:tcPr>
            <w:tcW w:w="2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Receivables Purchase Facility</w:t>
            </w:r>
          </w:p>
        </w:tc>
        <w:tc>
          <w:tcPr>
            <w:tcW w:w="84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Accounts receivable purchase agreement entered into on September 29, 2023</w:t>
            </w:r>
          </w:p>
        </w:tc>
      </w:tr>
      <w:tr>
        <w:trPr>
          <w:trHeight w:val="250"/>
        </w:trPr>
        <w:tc>
          <w:tcPr>
            <w:tcW w:w="2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84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Senior secured first lien revolving credit facility</w:t>
            </w:r>
          </w:p>
        </w:tc>
      </w:tr>
      <w:tr>
        <w:trPr>
          <w:trHeight w:val="263"/>
        </w:trPr>
        <w:tc>
          <w:tcPr>
            <w:tcW w:w="2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RSUs</w:t>
            </w:r>
          </w:p>
        </w:tc>
        <w:tc>
          <w:tcPr>
            <w:tcW w:w="84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Restricted stock units</w:t>
            </w:r>
          </w:p>
        </w:tc>
      </w:tr>
      <w:tr>
        <w:trPr>
          <w:trHeight w:val="250"/>
        </w:trPr>
        <w:tc>
          <w:tcPr>
            <w:tcW w:w="2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SaaS</w:t>
            </w:r>
          </w:p>
        </w:tc>
        <w:tc>
          <w:tcPr>
            <w:tcW w:w="84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Software-as-a-service</w:t>
            </w:r>
          </w:p>
        </w:tc>
      </w:tr>
      <w:tr>
        <w:trPr>
          <w:trHeight w:val="263"/>
        </w:trPr>
        <w:tc>
          <w:tcPr>
            <w:tcW w:w="2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w:t>
            </w:r>
          </w:p>
        </w:tc>
        <w:tc>
          <w:tcPr>
            <w:tcW w:w="84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Securities and Exchange Commission</w:t>
            </w:r>
          </w:p>
        </w:tc>
      </w:tr>
      <w:tr>
        <w:trPr>
          <w:trHeight w:val="250"/>
        </w:trPr>
        <w:tc>
          <w:tcPr>
            <w:tcW w:w="2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Securities Act</w:t>
            </w:r>
          </w:p>
        </w:tc>
        <w:tc>
          <w:tcPr>
            <w:tcW w:w="84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Securities Act of 1933, as amended</w:t>
            </w:r>
          </w:p>
        </w:tc>
      </w:tr>
      <w:tr>
        <w:trPr>
          <w:trHeight w:val="263"/>
        </w:trPr>
        <w:tc>
          <w:tcPr>
            <w:tcW w:w="2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Facilities</w:t>
            </w:r>
          </w:p>
        </w:tc>
        <w:tc>
          <w:tcPr>
            <w:tcW w:w="84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Term Loan Facility and prior Revolving Credit Facility, together</w:t>
            </w:r>
          </w:p>
        </w:tc>
      </w:tr>
      <w:tr>
        <w:trPr>
          <w:trHeight w:val="250"/>
        </w:trPr>
        <w:tc>
          <w:tcPr>
            <w:tcW w:w="2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SG&amp;A</w:t>
            </w:r>
          </w:p>
        </w:tc>
        <w:tc>
          <w:tcPr>
            <w:tcW w:w="84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Selling, general and administrative</w:t>
            </w:r>
          </w:p>
        </w:tc>
      </w:tr>
      <w:tr>
        <w:trPr>
          <w:trHeight w:val="263"/>
        </w:trPr>
        <w:tc>
          <w:tcPr>
            <w:tcW w:w="2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SOFR</w:t>
            </w:r>
          </w:p>
        </w:tc>
        <w:tc>
          <w:tcPr>
            <w:tcW w:w="84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Secured Overnight Financing Rate</w:t>
            </w:r>
          </w:p>
        </w:tc>
      </w:tr>
      <w:tr>
        <w:trPr>
          <w:trHeight w:val="250"/>
        </w:trPr>
        <w:tc>
          <w:tcPr>
            <w:tcW w:w="2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SPV</w:t>
            </w:r>
          </w:p>
        </w:tc>
        <w:tc>
          <w:tcPr>
            <w:tcW w:w="84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Special purpose vehicle</w:t>
            </w:r>
          </w:p>
        </w:tc>
      </w:tr>
      <w:tr>
        <w:trPr>
          <w:trHeight w:val="263"/>
        </w:trPr>
        <w:tc>
          <w:tcPr>
            <w:tcW w:w="2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SSP</w:t>
            </w:r>
          </w:p>
        </w:tc>
        <w:tc>
          <w:tcPr>
            <w:tcW w:w="84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Standalone selling price</w:t>
            </w:r>
          </w:p>
        </w:tc>
      </w:tr>
      <w:tr>
        <w:trPr>
          <w:trHeight w:val="250"/>
        </w:trPr>
        <w:tc>
          <w:tcPr>
            <w:tcW w:w="2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Term Loan Facility</w:t>
            </w:r>
          </w:p>
        </w:tc>
        <w:tc>
          <w:tcPr>
            <w:tcW w:w="84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Senior secured first lien term loan facility</w:t>
            </w:r>
          </w:p>
        </w:tc>
      </w:tr>
      <w:tr>
        <w:trPr>
          <w:trHeight w:val="263"/>
        </w:trPr>
        <w:tc>
          <w:tcPr>
            <w:tcW w:w="2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U.K.</w:t>
            </w:r>
          </w:p>
        </w:tc>
        <w:tc>
          <w:tcPr>
            <w:tcW w:w="84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43"/>
        </w:trPr>
        <w:tc>
          <w:tcPr>
            <w:tcW w:w="2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84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United States</w:t>
            </w:r>
          </w:p>
        </w:tc>
      </w:tr>
      <w:tr>
        <w:trPr>
          <w:trHeight w:val="1033"/>
        </w:trPr>
        <w:tc>
          <w:tcPr>
            <w:tcW w:w="128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8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54"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i w:val="1"/>
          <w:iCs w:val="1"/>
          <w:color w:val="auto"/>
        </w:rPr>
        <w:t>This Annual Report contains certain information that may constitute “forward-looking statements” within the meaning of the U.S. Private Securities Litigation Reform Act of 1995. While we have specifically identified certain information as being forward-looking in the context of its presentation, we caution you that all statements contained in this report that are not clearly historical in nature, including statements regarding anticipated financial performance, management’s plans and objectives for future operations, business prospects, market conditions, and other matters are forward-looking. Forward-looking statements are contained principally in the sections of this report entitled “Risk Factors,” and “Management’s Discussion and Analysis of Financial Condition and Results of Operations.” Without limiting the generality of the preceding sentence, any time we use the words “expects,” “intends,” “will,” “anticipates,” “believes,” “confident,” “continue,” “propose,” “seeks,” “could,” “may,” “should,” “estimates,” “forecasts,” “might,” “goals,” “objectives,” “targets,” “planned,” “projects,” and similar expressions, we intend to clearly express that the information deals with possible future events and is forward-looking in nature. However, the absence of these words or similar expressions does not mean that a statement is not forward-looking.</w:t>
      </w:r>
    </w:p>
    <w:p>
      <w:pPr>
        <w:spacing w:after="0" w:line="212" w:lineRule="exact"/>
        <w:rPr>
          <w:sz w:val="20"/>
          <w:szCs w:val="20"/>
          <w:color w:val="auto"/>
        </w:rPr>
      </w:pPr>
    </w:p>
    <w:p>
      <w:pPr>
        <w:ind w:right="20" w:firstLine="486"/>
        <w:spacing w:after="0" w:line="273" w:lineRule="auto"/>
        <w:rPr>
          <w:sz w:val="20"/>
          <w:szCs w:val="20"/>
          <w:color w:val="auto"/>
        </w:rPr>
      </w:pPr>
      <w:r>
        <w:rPr>
          <w:rFonts w:ascii="Times New Roman" w:cs="Times New Roman" w:eastAsia="Times New Roman" w:hAnsi="Times New Roman"/>
          <w:sz w:val="17"/>
          <w:szCs w:val="17"/>
          <w:i w:val="1"/>
          <w:iCs w:val="1"/>
          <w:color w:val="auto"/>
        </w:rPr>
        <w:t>Forward-looking information involves risks, uncertainties, and other factors that could cause actual results to differ materially from those expressed or implied in, or reasonably inferred from, such statements, and the risks and uncertainties disclosed or referenced in Part I Item 1A. of this report under the heading “Risk Factors.” Therefore, caution should be taken not to place undue reliance on any such forward-looking statements. Much of the information in this report that looks toward future performance of the company is based on various factors and important assumptions about future events that may or may not actually occur. As a result, our operations and financial results in the future could differ materially and substantially from those we have discussed in the forward-looking statements included in this Annual Report. We assume no obligation (and specifically disclaim any such obligation) to publicly update or revise any forward-looking statements, whether as a result of new information, future events, or otherwise, except as required by law.</w:t>
      </w:r>
    </w:p>
    <w:p>
      <w:pPr>
        <w:spacing w:after="0" w:line="1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TRADEMARKS, TRADE NAMES AND SERVICE MARKS</w:t>
      </w:r>
    </w:p>
    <w:p>
      <w:pPr>
        <w:spacing w:after="0" w:line="254" w:lineRule="exact"/>
        <w:rPr>
          <w:sz w:val="20"/>
          <w:szCs w:val="20"/>
          <w:color w:val="auto"/>
        </w:rPr>
      </w:pPr>
    </w:p>
    <w:p>
      <w:pPr>
        <w:ind w:firstLine="486"/>
        <w:spacing w:after="0" w:line="235" w:lineRule="auto"/>
        <w:rPr>
          <w:sz w:val="20"/>
          <w:szCs w:val="20"/>
          <w:color w:val="auto"/>
        </w:rPr>
      </w:pPr>
      <w:r>
        <w:rPr>
          <w:rFonts w:ascii="Times New Roman" w:cs="Times New Roman" w:eastAsia="Times New Roman" w:hAnsi="Times New Roman"/>
          <w:sz w:val="18"/>
          <w:szCs w:val="18"/>
          <w:i w:val="1"/>
          <w:iCs w:val="1"/>
          <w:color w:val="auto"/>
        </w:rPr>
        <w:t>“Rackspace,” “Rackspace Technology,” “Fanatical,” “Fanatical Experience,” “Rackspace Fabric,” Rackspace Data Freedom,” “Rackspace Services for VMware Cloud™” and “MyRackspace” are registered or unregistered trademarks of Rackspace US, Inc. in the U.S. and/or other countries. OpenStack</w:t>
      </w:r>
      <w:r>
        <w:rPr>
          <w:rFonts w:ascii="Times New Roman" w:cs="Times New Roman" w:eastAsia="Times New Roman" w:hAnsi="Times New Roman"/>
          <w:sz w:val="23"/>
          <w:szCs w:val="23"/>
          <w:i w:val="1"/>
          <w:iCs w:val="1"/>
          <w:color w:val="auto"/>
          <w:vertAlign w:val="superscript"/>
        </w:rPr>
        <w:t>®</w:t>
      </w:r>
      <w:r>
        <w:rPr>
          <w:rFonts w:ascii="Times New Roman" w:cs="Times New Roman" w:eastAsia="Times New Roman" w:hAnsi="Times New Roman"/>
          <w:sz w:val="18"/>
          <w:szCs w:val="18"/>
          <w:i w:val="1"/>
          <w:iCs w:val="1"/>
          <w:color w:val="auto"/>
        </w:rPr>
        <w:t xml:space="preserve"> is a registered trademark of OpenStack, LLC and Openstack Foundation in the U.S. Solely for convenience, trademarks, trade names and service marks referred to in this Annual Report may appear without the ® or ™ symbols, but such references are not intended to indicate, in any way, that we will not assert, to the fullest extent under applicable law, our rights or the rights of the applicable licensor to these trademarks, trade names and service marks. Other trademarks, trade names and service marks appearing in this Annual Report are the property of their respective holders. We do not intend our use or display of other companies’ trade names, trademarks or service marks to imply a relationship with, or endorsement or sponsorship of us by, any other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5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ITEM 1 – BUSINESS</w:t>
      </w:r>
    </w:p>
    <w:p>
      <w:pPr>
        <w:spacing w:after="0" w:line="25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6" w:lineRule="exact"/>
        <w:rPr>
          <w:sz w:val="20"/>
          <w:szCs w:val="20"/>
          <w:color w:val="auto"/>
        </w:rPr>
      </w:pPr>
    </w:p>
    <w:p>
      <w:pPr>
        <w:ind w:right="120" w:firstLine="486"/>
        <w:spacing w:after="0" w:line="266" w:lineRule="auto"/>
        <w:rPr>
          <w:sz w:val="20"/>
          <w:szCs w:val="20"/>
          <w:color w:val="auto"/>
        </w:rPr>
      </w:pPr>
      <w:r>
        <w:rPr>
          <w:rFonts w:ascii="Times New Roman" w:cs="Times New Roman" w:eastAsia="Times New Roman" w:hAnsi="Times New Roman"/>
          <w:sz w:val="18"/>
          <w:szCs w:val="18"/>
          <w:color w:val="auto"/>
        </w:rPr>
        <w:t>Rackspace Technology is a leading end-to-end, hybrid cloud and AI solutions company. We design, build, and operate our customers’ cloud environments across all major technology platforms, irrespective of technology stack or deployment model. We partner with our customers at every stage of their cloud journey, enabling them to modernize applications, build new products and, adopt innovative technologies.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Cloud technology is reinventing how companies store, process and manage their data.</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Businesses have accelerated their adoption of cloud technologies in recent years due to:</w:t>
      </w:r>
    </w:p>
    <w:p>
      <w:pPr>
        <w:spacing w:after="0" w:line="252" w:lineRule="exact"/>
        <w:rPr>
          <w:sz w:val="20"/>
          <w:szCs w:val="20"/>
          <w:color w:val="auto"/>
        </w:rPr>
      </w:pPr>
    </w:p>
    <w:p>
      <w:pPr>
        <w:ind w:left="660" w:right="440" w:hanging="166"/>
        <w:spacing w:after="0" w:line="26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Strong growth in highly variable, high-scale workloads (a computing task performed by a business application) such as mobile applications, device telemetry and associated marketing, tracking and data. Those workloads have also driven an explosion of data volumes. All of these workloads run more efficiently in the flexible, agile, variable-cost environment of cloud technologies with its associated highly scaled data storage.</w:t>
      </w:r>
    </w:p>
    <w:p>
      <w:pPr>
        <w:spacing w:after="0" w:line="71" w:lineRule="exact"/>
        <w:rPr>
          <w:rFonts w:ascii="Times New Roman" w:cs="Times New Roman" w:eastAsia="Times New Roman" w:hAnsi="Times New Roman"/>
          <w:sz w:val="18"/>
          <w:szCs w:val="18"/>
          <w:color w:val="auto"/>
        </w:rPr>
      </w:pPr>
    </w:p>
    <w:p>
      <w:pPr>
        <w:ind w:left="660" w:right="400" w:hanging="166"/>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compete with “digital natives” (technology companies that began their existence online in the digital age and do not have legacy infrastructure or technology to maintain and support).</w:t>
      </w:r>
    </w:p>
    <w:p>
      <w:pPr>
        <w:spacing w:after="0" w:line="53" w:lineRule="exact"/>
        <w:rPr>
          <w:rFonts w:ascii="Times New Roman" w:cs="Times New Roman" w:eastAsia="Times New Roman" w:hAnsi="Times New Roman"/>
          <w:sz w:val="18"/>
          <w:szCs w:val="18"/>
          <w:color w:val="auto"/>
        </w:rPr>
      </w:pPr>
    </w:p>
    <w:p>
      <w:pPr>
        <w:ind w:left="660" w:right="900" w:hanging="166"/>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emergence of cloud-based business tools, such as data analytics, machine learning and AI, that help companies optimize business performance.</w:t>
      </w:r>
    </w:p>
    <w:p>
      <w:pPr>
        <w:spacing w:after="0" w:line="54"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In addition, the cost to maintain a company-owned data center (known in industry parlance as “on-premises” or “on-prem” data centers) has become cost prohibitive since companies must constantly upgrade hardware, maintain physical infrastructure and constantly apply security patches to counteract emerging security threats. Companies are also looking to reduce their on-premises operations budgets to fund the build-out of their cloud management operations and skill base.</w:t>
      </w:r>
    </w:p>
    <w:p>
      <w:pPr>
        <w:spacing w:after="0" w:line="207"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At the same time, several dominant players have emerged in the cloud computing industry: the “hyperscalers” – AWS, Google Cloud and Microsoft Azure, which are the leading public cloud providers; as well as VMware by Broadcom, which is a leading provider of private cloud technology. These technology providers operate cloud environments at a massive scale and have a significant cost-benefit advantage compared to a company-owned on-prem data center. They can also easily invest billions of dollars in product development and innovation, maintenance of the physical infrastructure and upkeep of important security protocols and technology.</w:t>
      </w:r>
    </w:p>
    <w:p>
      <w:pPr>
        <w:spacing w:after="0" w:line="210" w:lineRule="exact"/>
        <w:rPr>
          <w:sz w:val="20"/>
          <w:szCs w:val="20"/>
          <w:color w:val="auto"/>
        </w:rPr>
      </w:pPr>
    </w:p>
    <w:p>
      <w:pPr>
        <w:ind w:right="140" w:firstLine="486"/>
        <w:spacing w:after="0" w:line="282" w:lineRule="auto"/>
        <w:rPr>
          <w:sz w:val="20"/>
          <w:szCs w:val="20"/>
          <w:color w:val="auto"/>
        </w:rPr>
      </w:pPr>
      <w:r>
        <w:rPr>
          <w:rFonts w:ascii="Times New Roman" w:cs="Times New Roman" w:eastAsia="Times New Roman" w:hAnsi="Times New Roman"/>
          <w:sz w:val="18"/>
          <w:szCs w:val="18"/>
          <w:color w:val="auto"/>
        </w:rPr>
        <w:t>As a result of these developments, most companies will become increasingly dependent on cloud technologies for most of their new workloads, as well as a portion of existing workloads, over the coming years.</w:t>
      </w:r>
    </w:p>
    <w:p>
      <w:pPr>
        <w:spacing w:after="0" w:line="189" w:lineRule="exact"/>
        <w:rPr>
          <w:sz w:val="20"/>
          <w:szCs w:val="20"/>
          <w:color w:val="auto"/>
        </w:rPr>
      </w:pPr>
    </w:p>
    <w:p>
      <w:pPr>
        <w:ind w:right="60" w:firstLine="486"/>
        <w:spacing w:after="0" w:line="282" w:lineRule="auto"/>
        <w:rPr>
          <w:sz w:val="20"/>
          <w:szCs w:val="20"/>
          <w:color w:val="auto"/>
        </w:rPr>
      </w:pPr>
      <w:r>
        <w:rPr>
          <w:rFonts w:ascii="Times New Roman" w:cs="Times New Roman" w:eastAsia="Times New Roman" w:hAnsi="Times New Roman"/>
          <w:sz w:val="18"/>
          <w:szCs w:val="18"/>
          <w:color w:val="auto"/>
        </w:rPr>
        <w:t>The recent growth of GenAI is fueling demand for increased compute, storage, and connectivity. We anticipate this secular trend to continue for the foreseeable future. The industry is rapidly evolving its solutions to accelerate AI in the enterprise.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hybrid cloud paradigm brings additional complexity for businesses moving to the cloud.</w:t>
      </w:r>
    </w:p>
    <w:p>
      <w:pPr>
        <w:spacing w:after="0" w:line="256"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Moving to the cloud is not as simple as selecting a single platform and migrating data. The cloud is taking market share because it is a structurally different platform with structurally different cost dynamics. Oftentimes, new code must be written, or existing code must be re-written, to take full advantage of cloud capabilities. Likewise, simply moving existing code to the cloud (known as “lifting and shifting”) can often result in high or unforeseen cost over-runs. The efficiencies of cloud are real, but it takes substantial effort to realize them.</w:t>
      </w:r>
    </w:p>
    <w:p>
      <w:pPr>
        <w:spacing w:after="0" w:line="20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Companies also face the challenge of managing multiple clouds. They often employ more than one cloud solution for several business reasons:</w:t>
      </w:r>
    </w:p>
    <w:p>
      <w:pPr>
        <w:spacing w:after="0" w:line="252" w:lineRule="exact"/>
        <w:rPr>
          <w:sz w:val="20"/>
          <w:szCs w:val="20"/>
          <w:color w:val="auto"/>
        </w:rPr>
      </w:pPr>
    </w:p>
    <w:p>
      <w:pPr>
        <w:ind w:left="660" w:hanging="166"/>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prevent lock-in with any one cloud provider;</w:t>
      </w:r>
    </w:p>
    <w:p>
      <w:pPr>
        <w:spacing w:after="0" w:line="117"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ensure data storage redundancy and protect against business interruption;</w:t>
      </w:r>
    </w:p>
    <w:p>
      <w:pPr>
        <w:spacing w:after="0" w:line="117"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enhanced security, compliance and governance;</w:t>
      </w:r>
    </w:p>
    <w:p>
      <w:pPr>
        <w:sectPr>
          <w:pgSz w:w="11900" w:h="16838" w:orient="portrait"/>
          <w:cols w:equalWidth="0" w:num="1">
            <w:col w:w="11180"/>
          </w:cols>
          <w:pgMar w:left="320" w:top="121"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60" w:hanging="166"/>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access business tools that may run better on one cloud platform versus another; or</w:t>
      </w:r>
    </w:p>
    <w:p>
      <w:pPr>
        <w:spacing w:after="0" w:line="117" w:lineRule="exact"/>
        <w:rPr>
          <w:rFonts w:ascii="Times New Roman" w:cs="Times New Roman" w:eastAsia="Times New Roman" w:hAnsi="Times New Roman"/>
          <w:sz w:val="18"/>
          <w:szCs w:val="18"/>
          <w:color w:val="auto"/>
        </w:rPr>
      </w:pPr>
    </w:p>
    <w:p>
      <w:pPr>
        <w:ind w:left="660" w:right="340" w:hanging="166"/>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accommodate past decisions related to prior deployments and/or acquisitions, both of which can force most large companies into managing workloads situated on multiple clouds.</w:t>
      </w:r>
    </w:p>
    <w:p>
      <w:pPr>
        <w:spacing w:after="0" w:line="54" w:lineRule="exact"/>
        <w:rPr>
          <w:sz w:val="20"/>
          <w:szCs w:val="20"/>
          <w:color w:val="auto"/>
        </w:rPr>
      </w:pPr>
    </w:p>
    <w:p>
      <w:pPr>
        <w:ind w:right="100" w:firstLine="486"/>
        <w:spacing w:after="0" w:line="282" w:lineRule="auto"/>
        <w:rPr>
          <w:sz w:val="20"/>
          <w:szCs w:val="20"/>
          <w:color w:val="auto"/>
        </w:rPr>
      </w:pPr>
      <w:r>
        <w:rPr>
          <w:rFonts w:ascii="Times New Roman" w:cs="Times New Roman" w:eastAsia="Times New Roman" w:hAnsi="Times New Roman"/>
          <w:sz w:val="18"/>
          <w:szCs w:val="18"/>
          <w:color w:val="auto"/>
        </w:rPr>
        <w:t>In addition, some business applications cannot migrate to the cloud and must remain on mature cloud platforms like private cloud, or even on-prem data centers, for various reasons:</w:t>
      </w:r>
    </w:p>
    <w:p>
      <w:pPr>
        <w:spacing w:after="0" w:line="54" w:lineRule="exact"/>
        <w:rPr>
          <w:sz w:val="20"/>
          <w:szCs w:val="20"/>
          <w:color w:val="auto"/>
        </w:rPr>
      </w:pPr>
    </w:p>
    <w:p>
      <w:pPr>
        <w:ind w:left="660" w:hanging="166"/>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governance requires data sovereignty for sensitive data such as financial or health information.</w:t>
      </w:r>
    </w:p>
    <w:p>
      <w:pPr>
        <w:spacing w:after="0" w:line="117" w:lineRule="exact"/>
        <w:rPr>
          <w:rFonts w:ascii="Times New Roman" w:cs="Times New Roman" w:eastAsia="Times New Roman" w:hAnsi="Times New Roman"/>
          <w:sz w:val="18"/>
          <w:szCs w:val="18"/>
          <w:color w:val="auto"/>
        </w:rPr>
      </w:pPr>
    </w:p>
    <w:p>
      <w:pPr>
        <w:ind w:left="660" w:right="140" w:hanging="166"/>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Older applications, often built in-house on older code, are not cloud-ready, and the cost of modernizing or replacing them outweighs the benefits of moving to the cloud.</w:t>
      </w:r>
    </w:p>
    <w:p>
      <w:pPr>
        <w:spacing w:after="0" w:line="53" w:lineRule="exact"/>
        <w:rPr>
          <w:rFonts w:ascii="Times New Roman" w:cs="Times New Roman" w:eastAsia="Times New Roman" w:hAnsi="Times New Roman"/>
          <w:sz w:val="18"/>
          <w:szCs w:val="18"/>
          <w:color w:val="auto"/>
        </w:rPr>
      </w:pPr>
    </w:p>
    <w:p>
      <w:pPr>
        <w:ind w:left="660" w:hanging="166"/>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egress fees (fees charged by the hyperscalers for moving data out of their storage environment) have highlighted the need to keep frequently-accessed data on non-hyperscaler platforms.</w:t>
      </w:r>
    </w:p>
    <w:p>
      <w:pPr>
        <w:spacing w:after="0" w:line="54" w:lineRule="exact"/>
        <w:rPr>
          <w:sz w:val="20"/>
          <w:szCs w:val="20"/>
          <w:color w:val="auto"/>
        </w:rPr>
      </w:pPr>
    </w:p>
    <w:p>
      <w:pPr>
        <w:ind w:right="40" w:firstLine="486"/>
        <w:spacing w:after="0" w:line="266" w:lineRule="auto"/>
        <w:rPr>
          <w:sz w:val="20"/>
          <w:szCs w:val="20"/>
          <w:color w:val="auto"/>
        </w:rPr>
      </w:pPr>
      <w:r>
        <w:rPr>
          <w:rFonts w:ascii="Times New Roman" w:cs="Times New Roman" w:eastAsia="Times New Roman" w:hAnsi="Times New Roman"/>
          <w:sz w:val="18"/>
          <w:szCs w:val="18"/>
          <w:color w:val="auto"/>
        </w:rPr>
        <w:t>As a result, businesses quickly find themselves in a hybrid cloud paradigm that includes two or more hyperscaler platforms, private cloud and data and applications that are hosted on-premises or in a colocation or managed hosting facility. In such a complex environment, even the most sophisticated IT organizations at the largest multinational companies require outside resources to manage their hybrid cloud strategy.</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Rackspace Technology is a leading hybrid cloud and AI solutions company.</w:t>
      </w:r>
    </w:p>
    <w:p>
      <w:pPr>
        <w:spacing w:after="0" w:line="256" w:lineRule="exact"/>
        <w:rPr>
          <w:sz w:val="20"/>
          <w:szCs w:val="20"/>
          <w:color w:val="auto"/>
        </w:rPr>
      </w:pPr>
    </w:p>
    <w:p>
      <w:pPr>
        <w:ind w:right="20" w:firstLine="486"/>
        <w:spacing w:after="0" w:line="266" w:lineRule="auto"/>
        <w:rPr>
          <w:sz w:val="20"/>
          <w:szCs w:val="20"/>
          <w:color w:val="auto"/>
        </w:rPr>
      </w:pPr>
      <w:r>
        <w:rPr>
          <w:rFonts w:ascii="Times New Roman" w:cs="Times New Roman" w:eastAsia="Times New Roman" w:hAnsi="Times New Roman"/>
          <w:sz w:val="18"/>
          <w:szCs w:val="18"/>
          <w:color w:val="auto"/>
        </w:rPr>
        <w:t>We help companies of all sizes manage their transition to the cloud, make sense of their IT infrastructure, migrate their data to the cloud, optimize their cloud presence on an ongoing basis, accelerate the responsible adoption of AI and manage the workloads best left to managed hosting or other mature platforms.</w:t>
      </w:r>
    </w:p>
    <w:p>
      <w:pPr>
        <w:spacing w:after="0" w:line="203" w:lineRule="exact"/>
        <w:rPr>
          <w:sz w:val="20"/>
          <w:szCs w:val="20"/>
          <w:color w:val="auto"/>
        </w:rPr>
      </w:pPr>
    </w:p>
    <w:p>
      <w:pPr>
        <w:ind w:right="220" w:firstLine="486"/>
        <w:spacing w:after="0" w:line="281" w:lineRule="auto"/>
        <w:rPr>
          <w:sz w:val="20"/>
          <w:szCs w:val="20"/>
          <w:color w:val="auto"/>
        </w:rPr>
      </w:pPr>
      <w:r>
        <w:rPr>
          <w:rFonts w:ascii="Times New Roman" w:cs="Times New Roman" w:eastAsia="Times New Roman" w:hAnsi="Times New Roman"/>
          <w:sz w:val="17"/>
          <w:szCs w:val="17"/>
          <w:color w:val="auto"/>
        </w:rPr>
        <w:t>Few companies have the internal resources required to effectively manage a transition to the cloud. Building a well-rounded and capable in-house team would require hiring experts on all three hyperscaler platforms as well as private cloud, colocation and managed hosting. We believe professionals with these skill sets are challenging for companies to source and hire because they generally prefer to work at a technology company. We believe this creates an opportunity for a service partner like Rackspace Technology which enables businesses to fully embrace the power of all cloud technologies.</w:t>
      </w:r>
    </w:p>
    <w:p>
      <w:pPr>
        <w:spacing w:after="0" w:line="191" w:lineRule="exact"/>
        <w:rPr>
          <w:sz w:val="20"/>
          <w:szCs w:val="20"/>
          <w:color w:val="auto"/>
        </w:rPr>
      </w:pPr>
    </w:p>
    <w:p>
      <w:pPr>
        <w:ind w:right="60" w:firstLine="486"/>
        <w:spacing w:after="0" w:line="282" w:lineRule="auto"/>
        <w:rPr>
          <w:sz w:val="20"/>
          <w:szCs w:val="20"/>
          <w:color w:val="auto"/>
        </w:rPr>
      </w:pPr>
      <w:r>
        <w:rPr>
          <w:rFonts w:ascii="Times New Roman" w:cs="Times New Roman" w:eastAsia="Times New Roman" w:hAnsi="Times New Roman"/>
          <w:sz w:val="18"/>
          <w:szCs w:val="18"/>
          <w:color w:val="auto"/>
        </w:rPr>
        <w:t>Our team of 5,100 highly skilled Rackers, including consultants and engineers, partners with companies at every stage of their cloud transformation journey and helps them:</w:t>
      </w:r>
    </w:p>
    <w:p>
      <w:pPr>
        <w:spacing w:after="0" w:line="189" w:lineRule="exact"/>
        <w:rPr>
          <w:sz w:val="20"/>
          <w:szCs w:val="20"/>
          <w:color w:val="auto"/>
        </w:rPr>
      </w:pPr>
    </w:p>
    <w:p>
      <w:pPr>
        <w:ind w:left="660" w:hanging="166"/>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 the right platforms for their business needs;</w:t>
      </w:r>
    </w:p>
    <w:p>
      <w:pPr>
        <w:spacing w:after="0" w:line="117"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the movement of applications and data to the cloud and re-hosting of applications best suited for managed hosting;</w:t>
      </w:r>
    </w:p>
    <w:p>
      <w:pPr>
        <w:spacing w:after="0" w:line="117"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strategically locate and manage growing volumes of associated data storage to minimize cost and business risk;</w:t>
      </w:r>
    </w:p>
    <w:p>
      <w:pPr>
        <w:spacing w:after="0" w:line="117" w:lineRule="exact"/>
        <w:rPr>
          <w:rFonts w:ascii="Times New Roman" w:cs="Times New Roman" w:eastAsia="Times New Roman" w:hAnsi="Times New Roman"/>
          <w:sz w:val="18"/>
          <w:szCs w:val="18"/>
          <w:color w:val="auto"/>
        </w:rPr>
      </w:pPr>
    </w:p>
    <w:p>
      <w:pPr>
        <w:ind w:left="660" w:right="600" w:hanging="166"/>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optimize their cloud footprint by leveraging new offerings and new pricing models from the hyperscalers, as well as new cloud computing technologies;</w:t>
      </w:r>
    </w:p>
    <w:p>
      <w:pPr>
        <w:spacing w:after="0" w:line="5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operate their cloud environment;</w:t>
      </w:r>
    </w:p>
    <w:p>
      <w:pPr>
        <w:spacing w:after="0" w:line="117"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 security and ensure the security infrastructure is kept up to date;</w:t>
      </w:r>
    </w:p>
    <w:p>
      <w:pPr>
        <w:spacing w:after="0" w:line="117"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modernize their legacy business applications so they are optimized to run in the cloud;</w:t>
      </w:r>
    </w:p>
    <w:p>
      <w:pPr>
        <w:spacing w:after="0" w:line="117"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modernize their data systems to be ready for advanced analytics and AI;</w:t>
      </w:r>
    </w:p>
    <w:p>
      <w:pPr>
        <w:spacing w:after="0" w:line="117"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accelerate the responsible adoption of AI in their organization; and</w:t>
      </w:r>
    </w:p>
    <w:p>
      <w:pPr>
        <w:spacing w:after="0" w:line="117"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mine their business data for actionable insights using cloud data analytics tools.</w:t>
      </w:r>
    </w:p>
    <w:p>
      <w:pPr>
        <w:spacing w:after="0" w:line="117" w:lineRule="exact"/>
        <w:rPr>
          <w:sz w:val="20"/>
          <w:szCs w:val="20"/>
          <w:color w:val="auto"/>
        </w:rPr>
      </w:pPr>
    </w:p>
    <w:p>
      <w:pPr>
        <w:jc w:val="both"/>
        <w:ind w:right="40" w:firstLine="486"/>
        <w:spacing w:after="0" w:line="266" w:lineRule="auto"/>
        <w:rPr>
          <w:sz w:val="20"/>
          <w:szCs w:val="20"/>
          <w:color w:val="auto"/>
        </w:rPr>
      </w:pPr>
      <w:r>
        <w:rPr>
          <w:rFonts w:ascii="Times New Roman" w:cs="Times New Roman" w:eastAsia="Times New Roman" w:hAnsi="Times New Roman"/>
          <w:sz w:val="18"/>
          <w:szCs w:val="18"/>
          <w:color w:val="auto"/>
        </w:rPr>
        <w:t>We aim to be our customers’ most trusted advisor and services partner in their path to cloud transformation and to accelerate the value of their cloud investments. We give customers the ability to make informed decisions when choosing the right technologies, and we recommend solutions based on each customer’s unique objectives. In this way, we empower our customers to harness the full benefits of cloud adoption.</w:t>
      </w:r>
    </w:p>
    <w:p>
      <w:pPr>
        <w:spacing w:after="0" w:line="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differentiate ourselves from other service providers by:</w:t>
      </w:r>
    </w:p>
    <w:p>
      <w:pPr>
        <w:spacing w:after="0" w:line="25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 focusing solely on the cloud as the only pure play hybrid cloud solutions company;</w:t>
      </w:r>
    </w:p>
    <w:p>
      <w:pPr>
        <w:sectPr>
          <w:pgSz w:w="11900" w:h="16838" w:orient="portrait"/>
          <w:cols w:equalWidth="0" w:num="1">
            <w:col w:w="11200"/>
          </w:cols>
          <w:pgMar w:left="320" w:top="121"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60" w:hanging="166"/>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automating much of the manual labor to reduce cost for our customers;</w:t>
      </w:r>
    </w:p>
    <w:p>
      <w:pPr>
        <w:spacing w:after="0" w:line="117"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our renowned Fanatical Experience for our customers;</w:t>
      </w:r>
    </w:p>
    <w:p>
      <w:pPr>
        <w:spacing w:after="0" w:line="117" w:lineRule="exact"/>
        <w:rPr>
          <w:rFonts w:ascii="Times New Roman" w:cs="Times New Roman" w:eastAsia="Times New Roman" w:hAnsi="Times New Roman"/>
          <w:sz w:val="18"/>
          <w:szCs w:val="18"/>
          <w:color w:val="auto"/>
        </w:rPr>
      </w:pPr>
    </w:p>
    <w:p>
      <w:pPr>
        <w:ind w:left="660" w:right="640" w:hanging="166"/>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close relationships with the major cloud providers – AWS, Google Cloud, Microsoft Azure, VMware by Broadcom, and Dell Technologies;</w:t>
      </w:r>
    </w:p>
    <w:p>
      <w:pPr>
        <w:spacing w:after="0" w:line="53" w:lineRule="exact"/>
        <w:rPr>
          <w:rFonts w:ascii="Times New Roman" w:cs="Times New Roman" w:eastAsia="Times New Roman" w:hAnsi="Times New Roman"/>
          <w:sz w:val="18"/>
          <w:szCs w:val="18"/>
          <w:color w:val="auto"/>
        </w:rPr>
      </w:pPr>
    </w:p>
    <w:p>
      <w:pPr>
        <w:ind w:left="660" w:right="40" w:hanging="166"/>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a full suite of cloud services across public and private cloud, as well as managed hosting and colocation services, so that enterprises can cost-effectively maintain legacy applications that are not cloud-ready while migrating their business to the cloud gradually; and</w:t>
      </w:r>
    </w:p>
    <w:p>
      <w:pPr>
        <w:spacing w:after="0" w:line="5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services that span the life cycle of transformation from Day 0 - Strategy, Day 1 – Transformation, and Day 2 – Run Operations.</w:t>
      </w:r>
    </w:p>
    <w:p>
      <w:pPr>
        <w:spacing w:after="0" w:line="117" w:lineRule="exact"/>
        <w:rPr>
          <w:sz w:val="20"/>
          <w:szCs w:val="20"/>
          <w:color w:val="auto"/>
        </w:rPr>
      </w:pPr>
    </w:p>
    <w:p>
      <w:pPr>
        <w:ind w:right="80" w:firstLine="486"/>
        <w:spacing w:after="0" w:line="255" w:lineRule="auto"/>
        <w:rPr>
          <w:sz w:val="20"/>
          <w:szCs w:val="20"/>
          <w:color w:val="auto"/>
        </w:rPr>
      </w:pPr>
      <w:r>
        <w:rPr>
          <w:rFonts w:ascii="Times New Roman" w:cs="Times New Roman" w:eastAsia="Times New Roman" w:hAnsi="Times New Roman"/>
          <w:sz w:val="18"/>
          <w:szCs w:val="18"/>
          <w:color w:val="auto"/>
        </w:rPr>
        <w:t>We have a culture of innovation that permeates all that we do. Our Rackers gather insights from customers, cloud partners and each other to design, implement and operate advanced cloud environments. With our deep technical expertise, we build solutions alongside our customers to solve their most complex business challenges and explore their most promising business opportunities. Our tight-knit relationships with leading cloud partners enable Rackers to be on the front lines of cloud technology and among the first to utilize the latest capabilities of the cloud when our cloud partners launch new solutions. Our partnerships, Rackers and culture combine to ensure that we are at the forefront of major trends in technology, including cloud native application development, Internet of Things, AI and containers. We believe this expertise - and our ability to deliver it effectively - enables our customers to achieve their desired business outcomes, innovate faster and stay ahead of their competition.</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Rackspace Fabric, our proprietary cloud software, is a significant differentiator.</w:t>
      </w:r>
    </w:p>
    <w:p>
      <w:pPr>
        <w:spacing w:after="0" w:line="256" w:lineRule="exact"/>
        <w:rPr>
          <w:sz w:val="20"/>
          <w:szCs w:val="20"/>
          <w:color w:val="auto"/>
        </w:rPr>
      </w:pPr>
    </w:p>
    <w:p>
      <w:pPr>
        <w:ind w:right="40" w:firstLine="486"/>
        <w:spacing w:after="0" w:line="258" w:lineRule="auto"/>
        <w:rPr>
          <w:sz w:val="20"/>
          <w:szCs w:val="20"/>
          <w:color w:val="auto"/>
        </w:rPr>
      </w:pPr>
      <w:r>
        <w:rPr>
          <w:rFonts w:ascii="Times New Roman" w:cs="Times New Roman" w:eastAsia="Times New Roman" w:hAnsi="Times New Roman"/>
          <w:sz w:val="18"/>
          <w:szCs w:val="18"/>
          <w:color w:val="auto"/>
        </w:rPr>
        <w:t>Rackspace Fabric is the proprietary software that underpins our industry-leading automation. It includes over 200 unique tools and components to deliver our services and represents an investment of over $1 billion and 12 million hours of highly skilled professionals' time. We believe it gives us a sustainable competitive advantage that would be difficult, if not impossible, for a competitor to replicate. Rackspace Fabric serves as a single pane of glass through which customers can manage their entire cloud presence and delivers automation, AI, predictive analytics and proprietary tools that make our services even more reliable and easier to use.</w:t>
      </w:r>
    </w:p>
    <w:p>
      <w:pPr>
        <w:spacing w:after="0" w:line="210" w:lineRule="exact"/>
        <w:rPr>
          <w:sz w:val="20"/>
          <w:szCs w:val="20"/>
          <w:color w:val="auto"/>
        </w:rPr>
      </w:pPr>
    </w:p>
    <w:p>
      <w:pPr>
        <w:ind w:right="20" w:firstLine="486"/>
        <w:spacing w:after="0" w:line="258" w:lineRule="auto"/>
        <w:rPr>
          <w:sz w:val="20"/>
          <w:szCs w:val="20"/>
          <w:color w:val="auto"/>
        </w:rPr>
      </w:pPr>
      <w:r>
        <w:rPr>
          <w:rFonts w:ascii="Times New Roman" w:cs="Times New Roman" w:eastAsia="Times New Roman" w:hAnsi="Times New Roman"/>
          <w:sz w:val="18"/>
          <w:szCs w:val="18"/>
          <w:color w:val="auto"/>
        </w:rPr>
        <w:t>Rackspace Fabric was built over the course of our two decades of experience in the cloud business. We leverage automation to reduce the amount of manual labor associated with serving our customers, as well as to improve efficiency. Whenever there is repetitive, manual labor associated with customer-related tasks, we automate the task. We also use advanced machine learning tools to identify additional work that can be automated. This has provided Rackspace Technology with a critical mass of automation, based upon institutional knowledge and know-how, that we continue to grow incrementally every year.</w:t>
      </w:r>
    </w:p>
    <w:p>
      <w:pPr>
        <w:spacing w:after="0" w:line="210"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This is in direct contrast to our competition, many of whom charge for their services on a markup over labor costs, and therefore are not incentivized to employ automation in order to reduce customer costs.</w:t>
      </w:r>
    </w:p>
    <w:p>
      <w:pPr>
        <w:spacing w:after="0" w:line="189" w:lineRule="exact"/>
        <w:rPr>
          <w:sz w:val="20"/>
          <w:szCs w:val="20"/>
          <w:color w:val="auto"/>
        </w:rPr>
      </w:pPr>
    </w:p>
    <w:p>
      <w:pPr>
        <w:ind w:right="40" w:firstLine="486"/>
        <w:spacing w:after="0" w:line="258" w:lineRule="auto"/>
        <w:rPr>
          <w:sz w:val="20"/>
          <w:szCs w:val="20"/>
          <w:color w:val="auto"/>
        </w:rPr>
      </w:pPr>
      <w:r>
        <w:rPr>
          <w:rFonts w:ascii="Times New Roman" w:cs="Times New Roman" w:eastAsia="Times New Roman" w:hAnsi="Times New Roman"/>
          <w:sz w:val="18"/>
          <w:szCs w:val="18"/>
          <w:color w:val="auto"/>
        </w:rPr>
        <w:t>Rackspace Fabric includes automation that ranges from service delivery to self-healing infrastructure, giving us the ability to anticipate and proactively respond to opportunities and threats. It ensures consistency in our customers’ experiences and allows our Rackers to automate key service and application management processes, freeing up resources to focus on strategic, high-value business opportunities. This drives an efficient business model that has generated revenue per employee of over $500,000 for the years ended December 31, 2023 and 2024, which we believe is ahead of our competitors and in-line with leading SaaS companies.</w:t>
      </w: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go-to-market and service-delivery strategy.</w:t>
      </w:r>
    </w:p>
    <w:p>
      <w:pPr>
        <w:spacing w:after="0" w:line="25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business benefits from a highly efficient go-to-market strategy. Our sales efforts are led primarily by a team of over 400 quota-bearing</w:t>
      </w:r>
    </w:p>
    <w:p>
      <w:pPr>
        <w:spacing w:after="0" w:line="5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representatives and customer success managers. Our ecosystem of partners serves as an extension of our direct sales force, providing a source of additional new business opportunities. Our customer engagement model begins with our professional services, where we partner with a customer to assess its objectives and design the best cloud strategy to meet its needs, and continues with our flexible recurring service offerings.</w:t>
      </w:r>
    </w:p>
    <w:p>
      <w:pPr>
        <w:spacing w:after="0" w:line="203" w:lineRule="exact"/>
        <w:rPr>
          <w:sz w:val="20"/>
          <w:szCs w:val="20"/>
          <w:color w:val="auto"/>
        </w:rPr>
      </w:pPr>
    </w:p>
    <w:p>
      <w:pPr>
        <w:ind w:right="220" w:firstLine="486"/>
        <w:spacing w:after="0" w:line="266" w:lineRule="auto"/>
        <w:rPr>
          <w:sz w:val="20"/>
          <w:szCs w:val="20"/>
          <w:color w:val="auto"/>
        </w:rPr>
      </w:pPr>
      <w:r>
        <w:rPr>
          <w:rFonts w:ascii="Times New Roman" w:cs="Times New Roman" w:eastAsia="Times New Roman" w:hAnsi="Times New Roman"/>
          <w:sz w:val="18"/>
          <w:szCs w:val="18"/>
          <w:color w:val="auto"/>
        </w:rPr>
        <w:t>We deliver our services to a global customer base through an integrated service delivery model. We have a presence in more than 60 cities around the world. This footprint allows us to better serve customers based in various countries, especially multinational companies requiring cross-border solutions.</w:t>
      </w:r>
    </w:p>
    <w:p>
      <w:pPr>
        <w:spacing w:after="0" w:line="203"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Our success has been recognized by third parties and customers alike. We served over 81,000 customers across 120 countries as of December 31, 2024. We are recognized in leading analyst firm reports, including the Gartner Magic Quadrant and Critical Capabilities for Public Cloud IT Transformation Services, IDC Marketscape: Worldwide Cloud Professional Services Vendor Assessment, IDC Marketscape: Middle East and Africa Cloud Professional Services Vendor Assessment, PeMa Quadrant: Gen AI Services Providers, and multiple ISG Provider Lens reports focused on Public Cloud and Private/Hybrid Cloud and Data Center Solutions. In 2024 we received the following Provider Lens Leader designations for reports by ISG, a leading global technology research and advisory firm: Multi Public Cloud Services and Solutions, Cybersecurity Solutions and Services, Google Cloud Partner Ecosystem, AWS Partner Ecosystem, Microsoft Partner Ecosystem and Private/Hybrid Cloud - Data Center Services.</w:t>
      </w:r>
    </w:p>
    <w:p>
      <w:pPr>
        <w:spacing w:after="0" w:line="216"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In addition, we have also received several industry partner awards including being awarded 3x Partner of the Year for Google- including the 2020 Google Cloud Breakthrough North America Partner of the Year Award, 2021, AWS Migration Partner of the Year (US), 2021, VMware CloudHealth Global Partner of the Year, 2021, and Dell Technologies Global Alliances – Excellence in Expansion, EMEA Award 2021. In 2023 we received several industry partner awards including AWS SI Partner of the Year - NAMER, AWS Sustainability Partner of the Year - NAMER and AWS Education Partner of the Year – EMEA and VMware 2023 Lifecycle Services Award for the Americas Region, Dell Technologies Excellence in Server and Storage Sales, Americas and 2023 Microsoft Partner of the Year Azure Intelligent Data Platform, Data &amp; AI- Singapore. In 2024, we were recognized as a strategic partner with Microsoft in Data &amp; AI, and a Ready-Tier partner for Copilot Jumpstart. We achieved the AWS Small and Medium Business Competency and AWS Generative AI Competency and joined the AWS Generative AI Partner Innovation Alliance as a launch partner. We also received the Dell Technologies Global Alliances Service Provider of the Year, Americas. In addition, we received the Sustainability Impact Award from SustainableIT.org.</w:t>
      </w:r>
    </w:p>
    <w:p>
      <w:pPr>
        <w:spacing w:after="0" w:line="21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Our History</w:t>
      </w:r>
    </w:p>
    <w:p>
      <w:pPr>
        <w:spacing w:after="0" w:line="256" w:lineRule="exact"/>
        <w:rPr>
          <w:sz w:val="20"/>
          <w:szCs w:val="20"/>
          <w:color w:val="auto"/>
        </w:rPr>
      </w:pPr>
    </w:p>
    <w:p>
      <w:pPr>
        <w:ind w:right="140" w:firstLine="486"/>
        <w:spacing w:after="0" w:line="261" w:lineRule="auto"/>
        <w:rPr>
          <w:sz w:val="20"/>
          <w:szCs w:val="20"/>
          <w:color w:val="auto"/>
        </w:rPr>
      </w:pPr>
      <w:r>
        <w:rPr>
          <w:rFonts w:ascii="Times New Roman" w:cs="Times New Roman" w:eastAsia="Times New Roman" w:hAnsi="Times New Roman"/>
          <w:sz w:val="18"/>
          <w:szCs w:val="18"/>
          <w:color w:val="auto"/>
        </w:rPr>
        <w:t>Rackspace Technology’s predecessor company was founded in 1998, and was focused primarily on providing outsourced, dedicated IT infrastructure, primarily for small and mid-sized businesses. The predecessor company was publicly traded from its initial public offering in August 2008 until it was taken private in a leveraged buyout in November 2016. Rackspace Technology subsequently returned to the public markets through an initial public offering in August 2020.</w:t>
      </w:r>
    </w:p>
    <w:p>
      <w:pPr>
        <w:spacing w:after="0" w:line="207" w:lineRule="exact"/>
        <w:rPr>
          <w:sz w:val="20"/>
          <w:szCs w:val="20"/>
          <w:color w:val="auto"/>
        </w:rPr>
      </w:pPr>
    </w:p>
    <w:p>
      <w:pPr>
        <w:ind w:right="120" w:firstLine="486"/>
        <w:spacing w:after="0" w:line="258" w:lineRule="auto"/>
        <w:rPr>
          <w:sz w:val="20"/>
          <w:szCs w:val="20"/>
          <w:color w:val="auto"/>
        </w:rPr>
      </w:pPr>
      <w:r>
        <w:rPr>
          <w:rFonts w:ascii="Times New Roman" w:cs="Times New Roman" w:eastAsia="Times New Roman" w:hAnsi="Times New Roman"/>
          <w:sz w:val="18"/>
          <w:szCs w:val="18"/>
          <w:color w:val="auto"/>
        </w:rPr>
        <w:t>During the time that Rackspace Technology was a private company from 2016 to 2020, management focused on transforming the business to serve companies that were migrating to the cloud. This included forging and strengthening partnerships with the major infrastructure providers such as AWS, Google, Microsoft and VMware by Broadcom; enhancing the company’s service offerings, including professional services, managed security and data services; building an enterprise sales force and professional services-driven sales approach to penetrate a broader market opportunity; and expanding the company’s geographic presence.</w:t>
      </w:r>
    </w:p>
    <w:p>
      <w:pPr>
        <w:spacing w:after="0" w:line="210" w:lineRule="exact"/>
        <w:rPr>
          <w:sz w:val="20"/>
          <w:szCs w:val="20"/>
          <w:color w:val="auto"/>
        </w:rPr>
      </w:pPr>
    </w:p>
    <w:p>
      <w:pPr>
        <w:ind w:right="500" w:firstLine="486"/>
        <w:spacing w:after="0" w:line="282" w:lineRule="auto"/>
        <w:rPr>
          <w:sz w:val="20"/>
          <w:szCs w:val="20"/>
          <w:color w:val="auto"/>
        </w:rPr>
      </w:pPr>
      <w:r>
        <w:rPr>
          <w:rFonts w:ascii="Times New Roman" w:cs="Times New Roman" w:eastAsia="Times New Roman" w:hAnsi="Times New Roman"/>
          <w:sz w:val="18"/>
          <w:szCs w:val="18"/>
          <w:color w:val="auto"/>
        </w:rPr>
        <w:t>Today, we are a trusted partner to the global cloud ecosystem. We maintain close relationships with major cloud infrastructure and application vendors, enabling us to provide our customers with complete, unbiased hybrid cloud services, all through our single customer interface.</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Our Integrated Services Portfolio</w:t>
      </w:r>
    </w:p>
    <w:p>
      <w:pPr>
        <w:spacing w:after="0" w:line="256" w:lineRule="exact"/>
        <w:rPr>
          <w:sz w:val="20"/>
          <w:szCs w:val="20"/>
          <w:color w:val="auto"/>
        </w:rPr>
      </w:pPr>
    </w:p>
    <w:p>
      <w:pPr>
        <w:ind w:right="380" w:firstLine="486"/>
        <w:spacing w:after="0" w:line="258" w:lineRule="auto"/>
        <w:rPr>
          <w:sz w:val="20"/>
          <w:szCs w:val="20"/>
          <w:color w:val="auto"/>
        </w:rPr>
      </w:pPr>
      <w:r>
        <w:rPr>
          <w:rFonts w:ascii="Times New Roman" w:cs="Times New Roman" w:eastAsia="Times New Roman" w:hAnsi="Times New Roman"/>
          <w:sz w:val="18"/>
          <w:szCs w:val="18"/>
          <w:color w:val="auto"/>
        </w:rPr>
        <w:t>Effective on January 1, 2023, Rackspace Technology reorganized around a two-business unit operating model, Public Cloud and Private Cloud. Public Cloud and Private Cloud have very different business dynamics and require different skill sets and levels of investment to manage. This two-business unit operating model ensures increased focus, delivery and service quality for our customers. Beginning in 2023, we changed our segment reporting to reflect this reorganization under two reporting segments: Public Cloud and Private Cloud. The services across these two segments are described in more detail below:</w:t>
      </w:r>
    </w:p>
    <w:p>
      <w:pPr>
        <w:spacing w:after="0" w:line="247" w:lineRule="exact"/>
        <w:rPr>
          <w:sz w:val="20"/>
          <w:szCs w:val="20"/>
          <w:color w:val="auto"/>
        </w:rPr>
      </w:pPr>
    </w:p>
    <w:p>
      <w:pPr>
        <w:ind w:left="660" w:right="80" w:hanging="328"/>
        <w:spacing w:after="0" w:line="222" w:lineRule="auto"/>
        <w:tabs>
          <w:tab w:leader="none" w:pos="655" w:val="left"/>
        </w:tabs>
        <w:numPr>
          <w:ilvl w:val="0"/>
          <w:numId w:val="9"/>
        </w:numPr>
        <w:rPr>
          <w:rFonts w:ascii="Arial" w:cs="Arial" w:eastAsia="Arial" w:hAnsi="Arial"/>
          <w:sz w:val="22"/>
          <w:szCs w:val="22"/>
          <w:color w:val="auto"/>
        </w:rPr>
      </w:pPr>
      <w:r>
        <w:rPr>
          <w:rFonts w:ascii="Times New Roman" w:cs="Times New Roman" w:eastAsia="Times New Roman" w:hAnsi="Times New Roman"/>
          <w:sz w:val="18"/>
          <w:szCs w:val="18"/>
          <w:b w:val="1"/>
          <w:bCs w:val="1"/>
          <w:color w:val="auto"/>
        </w:rPr>
        <w:t>Private Cloud</w:t>
      </w:r>
      <w:r>
        <w:rPr>
          <w:rFonts w:ascii="Times New Roman" w:cs="Times New Roman" w:eastAsia="Times New Roman" w:hAnsi="Times New Roman"/>
          <w:sz w:val="18"/>
          <w:szCs w:val="18"/>
          <w:color w:val="auto"/>
        </w:rPr>
        <w:t>: Rackspace Private Cloud enables our customers to achieve their business outcomes at our world class data centers or in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colocation or edge facility strategic to our customers’ success and connected by our RackConnect</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Global network service, virtual backbone, or provider-based network services. The Private Cloud product portfolio includes:</w:t>
      </w:r>
    </w:p>
    <w:p>
      <w:pPr>
        <w:spacing w:after="0" w:line="263" w:lineRule="exact"/>
        <w:rPr>
          <w:rFonts w:ascii="Arial" w:cs="Arial" w:eastAsia="Arial" w:hAnsi="Arial"/>
          <w:sz w:val="22"/>
          <w:szCs w:val="22"/>
          <w:color w:val="auto"/>
        </w:rPr>
      </w:pPr>
    </w:p>
    <w:p>
      <w:pPr>
        <w:jc w:val="both"/>
        <w:ind w:left="1300" w:right="300" w:hanging="320"/>
        <w:spacing w:after="0"/>
        <w:tabs>
          <w:tab w:leader="none" w:pos="1295" w:val="left"/>
        </w:tabs>
        <w:numPr>
          <w:ilvl w:val="1"/>
          <w:numId w:val="9"/>
        </w:numPr>
        <w:rPr>
          <w:rFonts w:ascii="Arial" w:cs="Arial" w:eastAsia="Arial" w:hAnsi="Arial"/>
          <w:sz w:val="22"/>
          <w:szCs w:val="22"/>
          <w:color w:val="auto"/>
        </w:rPr>
      </w:pPr>
      <w:r>
        <w:rPr>
          <w:rFonts w:ascii="Times New Roman" w:cs="Times New Roman" w:eastAsia="Times New Roman" w:hAnsi="Times New Roman"/>
          <w:sz w:val="18"/>
          <w:szCs w:val="18"/>
          <w:i w:val="1"/>
          <w:iCs w:val="1"/>
          <w:color w:val="auto"/>
        </w:rPr>
        <w:t>Programmatic Infrastructure</w:t>
      </w:r>
      <w:r>
        <w:rPr>
          <w:rFonts w:ascii="Times New Roman" w:cs="Times New Roman" w:eastAsia="Times New Roman" w:hAnsi="Times New Roman"/>
          <w:sz w:val="18"/>
          <w:szCs w:val="18"/>
          <w:color w:val="auto"/>
        </w:rPr>
        <w:t>: Programmatic Infrastructure is the foundation of Private Cloud and includes hardware and services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compute, network, storage, and data protection services. We partner with OEMs like Dell, Cisco, Palo Alto Networks, and NetApp to provide standard offers at scale or solutions tailored to our customers’ specific needs.</w:t>
      </w:r>
    </w:p>
    <w:p>
      <w:pPr>
        <w:spacing w:after="0" w:line="264" w:lineRule="exact"/>
        <w:rPr>
          <w:rFonts w:ascii="Arial" w:cs="Arial" w:eastAsia="Arial" w:hAnsi="Arial"/>
          <w:sz w:val="22"/>
          <w:szCs w:val="22"/>
          <w:color w:val="auto"/>
        </w:rPr>
      </w:pPr>
    </w:p>
    <w:p>
      <w:pPr>
        <w:ind w:left="1300" w:right="100" w:hanging="320"/>
        <w:spacing w:after="0" w:line="247" w:lineRule="auto"/>
        <w:tabs>
          <w:tab w:leader="none" w:pos="1295" w:val="left"/>
        </w:tabs>
        <w:numPr>
          <w:ilvl w:val="1"/>
          <w:numId w:val="9"/>
        </w:numPr>
        <w:rPr>
          <w:rFonts w:ascii="Arial" w:cs="Arial" w:eastAsia="Arial" w:hAnsi="Arial"/>
          <w:sz w:val="22"/>
          <w:szCs w:val="22"/>
          <w:color w:val="auto"/>
        </w:rPr>
      </w:pPr>
      <w:r>
        <w:rPr>
          <w:rFonts w:ascii="Times New Roman" w:cs="Times New Roman" w:eastAsia="Times New Roman" w:hAnsi="Times New Roman"/>
          <w:sz w:val="18"/>
          <w:szCs w:val="18"/>
          <w:i w:val="1"/>
          <w:iCs w:val="1"/>
          <w:color w:val="auto"/>
        </w:rPr>
        <w:t>Cloud Operating Systems</w:t>
      </w:r>
      <w:r>
        <w:rPr>
          <w:rFonts w:ascii="Times New Roman" w:cs="Times New Roman" w:eastAsia="Times New Roman" w:hAnsi="Times New Roman"/>
          <w:sz w:val="18"/>
          <w:szCs w:val="18"/>
          <w:color w:val="auto"/>
        </w:rPr>
        <w:t>: These services provide the operating layer for physical devices with a software defined data center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VMware by Broadcom or OpenStack. These offers include Enterprise, Business, Flex, and Anywhere packages to match our customers’ needs and locations.</w:t>
      </w:r>
    </w:p>
    <w:p>
      <w:pPr>
        <w:spacing w:after="0" w:line="258" w:lineRule="exact"/>
        <w:rPr>
          <w:rFonts w:ascii="Arial" w:cs="Arial" w:eastAsia="Arial" w:hAnsi="Arial"/>
          <w:sz w:val="22"/>
          <w:szCs w:val="22"/>
          <w:color w:val="auto"/>
        </w:rPr>
      </w:pPr>
    </w:p>
    <w:p>
      <w:pPr>
        <w:ind w:left="1300" w:right="200" w:hanging="320"/>
        <w:spacing w:after="0" w:line="243" w:lineRule="auto"/>
        <w:tabs>
          <w:tab w:leader="none" w:pos="1295" w:val="left"/>
        </w:tabs>
        <w:numPr>
          <w:ilvl w:val="1"/>
          <w:numId w:val="9"/>
        </w:numPr>
        <w:rPr>
          <w:rFonts w:ascii="Arial" w:cs="Arial" w:eastAsia="Arial" w:hAnsi="Arial"/>
          <w:sz w:val="22"/>
          <w:szCs w:val="22"/>
          <w:color w:val="auto"/>
        </w:rPr>
      </w:pPr>
      <w:r>
        <w:rPr>
          <w:rFonts w:ascii="Times New Roman" w:cs="Times New Roman" w:eastAsia="Times New Roman" w:hAnsi="Times New Roman"/>
          <w:sz w:val="18"/>
          <w:szCs w:val="18"/>
          <w:i w:val="1"/>
          <w:iCs w:val="1"/>
          <w:color w:val="auto"/>
        </w:rPr>
        <w:t>Platform-as-a-Service</w:t>
      </w:r>
      <w:r>
        <w:rPr>
          <w:rFonts w:ascii="Times New Roman" w:cs="Times New Roman" w:eastAsia="Times New Roman" w:hAnsi="Times New Roman"/>
          <w:sz w:val="18"/>
          <w:szCs w:val="18"/>
          <w:color w:val="auto"/>
        </w:rPr>
        <w:t>: Our PaaS offers include RMPK (a managed Kubernetes service), RXDB (a privately hosted Database-as-a-Service solution specializing in High Availability NoSQL databases), RSDM (a team of database experts to manage and optimize your database estate), and SPOT (a unique cloud infrastructure offer auctioned in an open market as turnkey fully managed Kubernetes clusters).</w:t>
      </w:r>
    </w:p>
    <w:p>
      <w:pPr>
        <w:spacing w:after="0" w:line="262" w:lineRule="exact"/>
        <w:rPr>
          <w:rFonts w:ascii="Arial" w:cs="Arial" w:eastAsia="Arial" w:hAnsi="Arial"/>
          <w:sz w:val="22"/>
          <w:szCs w:val="22"/>
          <w:color w:val="auto"/>
        </w:rPr>
      </w:pPr>
    </w:p>
    <w:p>
      <w:pPr>
        <w:ind w:left="1300" w:hanging="320"/>
        <w:spacing w:after="0" w:line="236" w:lineRule="auto"/>
        <w:tabs>
          <w:tab w:leader="none" w:pos="1295" w:val="left"/>
        </w:tabs>
        <w:numPr>
          <w:ilvl w:val="1"/>
          <w:numId w:val="9"/>
        </w:numPr>
        <w:rPr>
          <w:rFonts w:ascii="Arial" w:cs="Arial" w:eastAsia="Arial" w:hAnsi="Arial"/>
          <w:sz w:val="22"/>
          <w:szCs w:val="22"/>
          <w:color w:val="auto"/>
        </w:rPr>
      </w:pPr>
      <w:r>
        <w:rPr>
          <w:rFonts w:ascii="Times New Roman" w:cs="Times New Roman" w:eastAsia="Times New Roman" w:hAnsi="Times New Roman"/>
          <w:sz w:val="18"/>
          <w:szCs w:val="18"/>
          <w:i w:val="1"/>
          <w:iCs w:val="1"/>
          <w:color w:val="auto"/>
        </w:rPr>
        <w:t>Private Cloud Solutions</w:t>
      </w:r>
      <w:r>
        <w:rPr>
          <w:rFonts w:ascii="Times New Roman" w:cs="Times New Roman" w:eastAsia="Times New Roman" w:hAnsi="Times New Roman"/>
          <w:sz w:val="18"/>
          <w:szCs w:val="18"/>
          <w:color w:val="auto"/>
        </w:rPr>
        <w:t>: These solutions are specific to certain customer use cases including AI, ERP services like SAP and Oracle, Epic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workloads for customers in our healthcare vertical, and Sovereign and Government compliant services.</w:t>
      </w:r>
    </w:p>
    <w:p>
      <w:pPr>
        <w:spacing w:after="0" w:line="263" w:lineRule="exact"/>
        <w:rPr>
          <w:rFonts w:ascii="Arial" w:cs="Arial" w:eastAsia="Arial" w:hAnsi="Arial"/>
          <w:sz w:val="22"/>
          <w:szCs w:val="22"/>
          <w:color w:val="auto"/>
        </w:rPr>
      </w:pPr>
    </w:p>
    <w:p>
      <w:pPr>
        <w:ind w:left="1300" w:right="140" w:hanging="320"/>
        <w:spacing w:after="0"/>
        <w:tabs>
          <w:tab w:leader="none" w:pos="1295" w:val="left"/>
        </w:tabs>
        <w:numPr>
          <w:ilvl w:val="1"/>
          <w:numId w:val="9"/>
        </w:numPr>
        <w:rPr>
          <w:rFonts w:ascii="Arial" w:cs="Arial" w:eastAsia="Arial" w:hAnsi="Arial"/>
          <w:sz w:val="22"/>
          <w:szCs w:val="22"/>
          <w:color w:val="auto"/>
        </w:rPr>
      </w:pPr>
      <w:r>
        <w:rPr>
          <w:rFonts w:ascii="Times New Roman" w:cs="Times New Roman" w:eastAsia="Times New Roman" w:hAnsi="Times New Roman"/>
          <w:sz w:val="18"/>
          <w:szCs w:val="18"/>
          <w:i w:val="1"/>
          <w:iCs w:val="1"/>
          <w:color w:val="auto"/>
        </w:rPr>
        <w:t>Private Cloud Services</w:t>
      </w:r>
      <w:r>
        <w:rPr>
          <w:rFonts w:ascii="Times New Roman" w:cs="Times New Roman" w:eastAsia="Times New Roman" w:hAnsi="Times New Roman"/>
          <w:sz w:val="18"/>
          <w:szCs w:val="18"/>
          <w:color w:val="auto"/>
        </w:rPr>
        <w:t>: To solve our customers’ challenges and meet them where they are in their digital transformation, we provide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managed services, professional services, Elastic Engineering services, and security services. Additionally, our Rackspace Email service provides a fully managed email platform for customers and carriers.</w:t>
      </w:r>
    </w:p>
    <w:p>
      <w:pPr>
        <w:spacing w:after="0" w:line="222" w:lineRule="exact"/>
        <w:rPr>
          <w:rFonts w:ascii="Arial" w:cs="Arial" w:eastAsia="Arial" w:hAnsi="Arial"/>
          <w:sz w:val="22"/>
          <w:szCs w:val="22"/>
          <w:color w:val="auto"/>
        </w:rPr>
      </w:pPr>
    </w:p>
    <w:p>
      <w:pPr>
        <w:ind w:left="660" w:hanging="328"/>
        <w:spacing w:after="0" w:line="254"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Public Cloud: </w:t>
      </w:r>
      <w:r>
        <w:rPr>
          <w:rFonts w:ascii="Times New Roman" w:cs="Times New Roman" w:eastAsia="Times New Roman" w:hAnsi="Times New Roman"/>
          <w:sz w:val="18"/>
          <w:szCs w:val="18"/>
          <w:color w:val="auto"/>
        </w:rPr>
        <w:t>These offerings address the challenges of managing applications and data on the AWS, Microsoft Azure and Google Cloud public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clouds. We bundle the underlying public cloud infrastructure with our expertise and experience, managed services and proprietary tools. While the infrastructure providers are responsible for their data centers, servers, storage, networking and operating system software, we help customers navigate, migrate, modernize, architect and deploy their applications on those leading public cloud platforms. After a migration, we manage, secure and optimize the customer’s environments on an ongoing basis using our tools, automation and expertise, while supporting the customer with robust service level agreements. These offerings do not require us to commit significant capital expenditures given that third parties provide the infrastructure.</w:t>
      </w:r>
    </w:p>
    <w:p>
      <w:pPr>
        <w:ind w:left="660" w:right="14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Public Cloud, we deliver innovative Cloud Offerings (pre-defined playbooks) that are delivered using services (Professional Services, Elastic Engineering, and Managed Services) to provide solutions to customer problems across all three public clouds (AWS, Azure, and Google Cloud). These solutions accelerate a "Do With" approach to cloud transformation and are enabled by Rackspace assets and accelerators. We take these solutions to our customers through four service lines - Cloud Platform, Cloud Apps, Cloud Security and Cloud Data.</w:t>
      </w:r>
    </w:p>
    <w:p>
      <w:pPr>
        <w:spacing w:after="0" w:line="213" w:lineRule="exact"/>
        <w:rPr>
          <w:rFonts w:ascii="Times New Roman" w:cs="Times New Roman" w:eastAsia="Times New Roman" w:hAnsi="Times New Roman"/>
          <w:sz w:val="18"/>
          <w:szCs w:val="18"/>
          <w:color w:val="auto"/>
        </w:rPr>
      </w:pPr>
    </w:p>
    <w:p>
      <w:pPr>
        <w:ind w:left="1300" w:hanging="320"/>
        <w:spacing w:after="0" w:line="267" w:lineRule="auto"/>
        <w:tabs>
          <w:tab w:leader="none" w:pos="1295"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Cloud Platform: </w:t>
      </w:r>
      <w:r>
        <w:rPr>
          <w:rFonts w:ascii="Times New Roman" w:cs="Times New Roman" w:eastAsia="Times New Roman" w:hAnsi="Times New Roman"/>
          <w:sz w:val="18"/>
          <w:szCs w:val="18"/>
          <w:color w:val="auto"/>
        </w:rPr>
        <w:t>The Cloud Platform Service Line focuses on providing platform-related services such as cloud strategy and architecture,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platform and infrastructure migrations, and modern cloud infrastructure. The outcomes are to have a well-architected, optimized sustainable workloads on a cloud platform.</w:t>
      </w:r>
    </w:p>
    <w:p>
      <w:pPr>
        <w:spacing w:after="0" w:line="200" w:lineRule="exact"/>
        <w:rPr>
          <w:rFonts w:ascii="Times New Roman" w:cs="Times New Roman" w:eastAsia="Times New Roman" w:hAnsi="Times New Roman"/>
          <w:sz w:val="18"/>
          <w:szCs w:val="18"/>
          <w:color w:val="auto"/>
        </w:rPr>
      </w:pPr>
    </w:p>
    <w:p>
      <w:pPr>
        <w:spacing w:after="0" w:line="353" w:lineRule="exact"/>
        <w:rPr>
          <w:rFonts w:ascii="Times New Roman" w:cs="Times New Roman" w:eastAsia="Times New Roman" w:hAnsi="Times New Roman"/>
          <w:sz w:val="18"/>
          <w:szCs w:val="18"/>
          <w:color w:val="auto"/>
        </w:rPr>
      </w:pPr>
    </w:p>
    <w:p>
      <w:pPr>
        <w:ind w:left="5540" w:hanging="108"/>
        <w:spacing w:after="0"/>
        <w:tabs>
          <w:tab w:leader="none" w:pos="5540"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300" w:right="80" w:hanging="320"/>
        <w:spacing w:after="0" w:line="267" w:lineRule="auto"/>
        <w:tabs>
          <w:tab w:leader="none" w:pos="12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Cloud Apps: </w:t>
      </w:r>
      <w:r>
        <w:rPr>
          <w:rFonts w:ascii="Times New Roman" w:cs="Times New Roman" w:eastAsia="Times New Roman" w:hAnsi="Times New Roman"/>
          <w:sz w:val="18"/>
          <w:szCs w:val="18"/>
          <w:color w:val="auto"/>
        </w:rPr>
        <w:t>The application service line is focused on building and managing applications within a cloud technology stack. It involves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building new cloud-native applications on AWS, Azure, and Google Cloud, as well as modernizing legacy applications through methods like re-platforming, container adoption, refactoring, and rewriting.</w:t>
      </w:r>
    </w:p>
    <w:p>
      <w:pPr>
        <w:spacing w:after="0" w:line="200" w:lineRule="exact"/>
        <w:rPr>
          <w:rFonts w:ascii="Times New Roman" w:cs="Times New Roman" w:eastAsia="Times New Roman" w:hAnsi="Times New Roman"/>
          <w:sz w:val="18"/>
          <w:szCs w:val="18"/>
          <w:color w:val="auto"/>
        </w:rPr>
      </w:pPr>
    </w:p>
    <w:p>
      <w:pPr>
        <w:ind w:left="1300" w:right="340" w:hanging="320"/>
        <w:spacing w:after="0" w:line="290" w:lineRule="auto"/>
        <w:tabs>
          <w:tab w:leader="none" w:pos="1295"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Cloud Security: </w:t>
      </w:r>
      <w:r>
        <w:rPr>
          <w:rFonts w:ascii="Times New Roman" w:cs="Times New Roman" w:eastAsia="Times New Roman" w:hAnsi="Times New Roman"/>
          <w:sz w:val="17"/>
          <w:szCs w:val="17"/>
          <w:color w:val="auto"/>
        </w:rPr>
        <w:t>We provide fully-integrated security solutions that combine cutting-edge technology with our in-house Security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Operations Center to provide customers with threat detection, analysis and remediation capabilities. Additionally, we have integrated security platforms into our management tools to give our customers one view of their organization’s vulnerability and threats.</w:t>
      </w:r>
    </w:p>
    <w:p>
      <w:pPr>
        <w:spacing w:after="0" w:line="400"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We offer additional managed security services to customers in the areas of (i) security threat assessment and prevention, (ii) proactive threat detection and response, (iii) rapid remediation, (iv) governance, risk and compliance assistance across multiple cloud platforms and (v) Privacy and Data Protection services, including detailed access restrictions and reporting. Our 24x7x365 Customer Security Operations Center is staffed by experienced Global Information Assurance Certification (GIAC) security analysts.</w:t>
      </w:r>
    </w:p>
    <w:p>
      <w:pPr>
        <w:spacing w:after="0" w:line="205" w:lineRule="exact"/>
        <w:rPr>
          <w:sz w:val="20"/>
          <w:szCs w:val="20"/>
          <w:color w:val="auto"/>
        </w:rPr>
      </w:pPr>
    </w:p>
    <w:p>
      <w:pPr>
        <w:ind w:left="1300" w:right="80" w:hanging="320"/>
        <w:spacing w:after="0" w:line="261" w:lineRule="auto"/>
        <w:tabs>
          <w:tab w:leader="none" w:pos="129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Cloud Data: </w:t>
      </w:r>
      <w:r>
        <w:rPr>
          <w:rFonts w:ascii="Times New Roman" w:cs="Times New Roman" w:eastAsia="Times New Roman" w:hAnsi="Times New Roman"/>
          <w:sz w:val="18"/>
          <w:szCs w:val="18"/>
          <w:color w:val="auto"/>
        </w:rPr>
        <w:t>Cloud Data Services are dedicated to helping customers accelerate the adoption of modern data solutions while enabling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their business transformation. Leveraging our IP, delivery frameworks, and reference architectures, we provide professional services and managed services across Data Modernization, Cloud Native Data Platforms, Self Service Analytics, AI, and Machine Learning across AWS, Azure, and Google Cloud.</w:t>
      </w:r>
    </w:p>
    <w:p>
      <w:pPr>
        <w:spacing w:after="0" w:line="206" w:lineRule="exact"/>
        <w:rPr>
          <w:sz w:val="20"/>
          <w:szCs w:val="20"/>
          <w:color w:val="auto"/>
        </w:rPr>
      </w:pPr>
    </w:p>
    <w:p>
      <w:pPr>
        <w:ind w:firstLine="648"/>
        <w:spacing w:after="0" w:line="244" w:lineRule="auto"/>
        <w:rPr>
          <w:sz w:val="20"/>
          <w:szCs w:val="20"/>
          <w:color w:val="auto"/>
        </w:rPr>
      </w:pPr>
      <w:r>
        <w:rPr>
          <w:rFonts w:ascii="Times New Roman" w:cs="Times New Roman" w:eastAsia="Times New Roman" w:hAnsi="Times New Roman"/>
          <w:sz w:val="18"/>
          <w:szCs w:val="18"/>
          <w:color w:val="auto"/>
        </w:rPr>
        <w:t>In June 2023, we launched Foundry for Artificial Intelligence (FAIR</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a groundbreaking practice dedicated to helping organizations accelerate the responsible and sustainable adoption of AI solutions across all industries. FAIR offers three service offerings designed to meet the needs of every industry and organizational requirement. FAIR Ideate is an interactive and collaborative ideation workshop that helps organizations uncover actionable use cases for generative AI with defined business impacts. AI readiness diagnostics provide critical considerations for successful AI adoption. FAIR Incubate is an agile and iterative program that co-creates an enterprise's first generative AI solution. It establishes the technology stack and assesses the viability of AI, ensuring seamless integration into organizational processes. FAIR Industrialize is a systematic effort to transform the AI solution into a product, implementing governance, defining metrics, and optimizing the AI model and Distributed Cloud Infrastructure for continuous improvement.</w:t>
      </w:r>
    </w:p>
    <w:p>
      <w:pPr>
        <w:spacing w:after="0" w:line="226" w:lineRule="exact"/>
        <w:rPr>
          <w:sz w:val="20"/>
          <w:szCs w:val="20"/>
          <w:color w:val="auto"/>
        </w:rPr>
      </w:pPr>
    </w:p>
    <w:p>
      <w:pPr>
        <w:ind w:right="20" w:firstLine="486"/>
        <w:spacing w:after="0" w:line="255" w:lineRule="auto"/>
        <w:rPr>
          <w:sz w:val="20"/>
          <w:szCs w:val="20"/>
          <w:color w:val="auto"/>
        </w:rPr>
      </w:pPr>
      <w:r>
        <w:rPr>
          <w:rFonts w:ascii="Times New Roman" w:cs="Times New Roman" w:eastAsia="Times New Roman" w:hAnsi="Times New Roman"/>
          <w:sz w:val="18"/>
          <w:szCs w:val="18"/>
          <w:color w:val="auto"/>
        </w:rPr>
        <w:t>We offer professional services across our entire portfolio, including hybrid solutions, AI, applications, security and data. As part of our professional services process, we meet customers at every stage of their cloud journey and design solutions focused on modernizing their infrastructure and applications to enhance the value of their cloud technologies. This process often serves as the starting point for new business opportunities; following our initial professional services engagement, a customer will typically use any combination of our managed services under long-term contracts, and will often use our professional services multiple times as their technology needs continue to evolve. For some new customer relationships, the early stages of the relationship can be weighted toward infrastructure revenue; in these cases, our customer success sales team is tasked with up-selling and cross-selling additional services, including professional services, to enhance the overall customer relationship.</w:t>
      </w:r>
    </w:p>
    <w:p>
      <w:pPr>
        <w:spacing w:after="0" w:line="212"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b w:val="1"/>
          <w:bCs w:val="1"/>
          <w:color w:val="auto"/>
        </w:rPr>
        <w:t>Our Technology Platform</w:t>
      </w:r>
    </w:p>
    <w:p>
      <w:pPr>
        <w:spacing w:after="0" w:line="256" w:lineRule="exact"/>
        <w:rPr>
          <w:sz w:val="20"/>
          <w:szCs w:val="20"/>
          <w:color w:val="auto"/>
        </w:rPr>
      </w:pPr>
    </w:p>
    <w:p>
      <w:pPr>
        <w:ind w:right="640" w:firstLine="486"/>
        <w:spacing w:after="0" w:line="312" w:lineRule="auto"/>
        <w:rPr>
          <w:sz w:val="20"/>
          <w:szCs w:val="20"/>
          <w:color w:val="auto"/>
        </w:rPr>
      </w:pPr>
      <w:r>
        <w:rPr>
          <w:rFonts w:ascii="Times New Roman" w:cs="Times New Roman" w:eastAsia="Times New Roman" w:hAnsi="Times New Roman"/>
          <w:sz w:val="17"/>
          <w:szCs w:val="17"/>
          <w:color w:val="auto"/>
        </w:rPr>
        <w:t>Our technology platform is at the center of the Fanatical Experience that we deliver to customers. Our technologies focus on removing the complexities of hybrid deployments, unifying compelling aspects of the experience for our customers and enabling us to deliver scalable solutions.</w:t>
      </w:r>
    </w:p>
    <w:p>
      <w:pPr>
        <w:spacing w:after="0" w:line="163" w:lineRule="exact"/>
        <w:rPr>
          <w:sz w:val="20"/>
          <w:szCs w:val="20"/>
          <w:color w:val="auto"/>
        </w:rPr>
      </w:pPr>
    </w:p>
    <w:p>
      <w:pPr>
        <w:ind w:left="660" w:right="180" w:hanging="328"/>
        <w:spacing w:after="0" w:line="291" w:lineRule="auto"/>
        <w:tabs>
          <w:tab w:leader="none" w:pos="655"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Innovative automation </w:t>
      </w:r>
      <w:r>
        <w:rPr>
          <w:rFonts w:ascii="Times New Roman" w:cs="Times New Roman" w:eastAsia="Times New Roman" w:hAnsi="Times New Roman"/>
          <w:sz w:val="17"/>
          <w:szCs w:val="17"/>
          <w:color w:val="auto"/>
        </w:rPr>
        <w:t>drives efficiency for us and our customers, enabling us to rapidly and consistently deliver our solutions across multiple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products and clouds at scale. Data center automation provides services and applications to automate provisioning, configuring and the decommissioning of data center infrastructure. UIPath Robotic Process Automation is deployed across our business to automate repetitive tasks.</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42" w:lineRule="exact"/>
        <w:rPr>
          <w:rFonts w:ascii="Times New Roman" w:cs="Times New Roman" w:eastAsia="Times New Roman" w:hAnsi="Times New Roman"/>
          <w:sz w:val="17"/>
          <w:szCs w:val="17"/>
          <w:color w:val="auto"/>
        </w:rPr>
      </w:pPr>
    </w:p>
    <w:p>
      <w:pPr>
        <w:ind w:left="5540" w:hanging="111"/>
        <w:spacing w:after="0"/>
        <w:tabs>
          <w:tab w:leader="none" w:pos="554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660" w:hanging="328"/>
        <w:spacing w:after="0" w:line="26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AIOps </w:t>
      </w:r>
      <w:r>
        <w:rPr>
          <w:rFonts w:ascii="Times New Roman" w:cs="Times New Roman" w:eastAsia="Times New Roman" w:hAnsi="Times New Roman"/>
          <w:sz w:val="18"/>
          <w:szCs w:val="18"/>
          <w:color w:val="auto"/>
        </w:rPr>
        <w:t>is a new field of software that combines monitoring, machine learning and automation to enhance IT operations. Our AIOps platform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correlates monitoring events across our customers’ physical and virtual devices into a single incident or problem, significantly reducing the time to resolution for complex incidents. We developed a first-of-its-kind multi-tenant AIOps solution that processes millions of compliance-related events each month.</w:t>
      </w:r>
    </w:p>
    <w:p>
      <w:pPr>
        <w:spacing w:after="0" w:line="68" w:lineRule="exact"/>
        <w:rPr>
          <w:rFonts w:ascii="Times New Roman" w:cs="Times New Roman" w:eastAsia="Times New Roman" w:hAnsi="Times New Roman"/>
          <w:sz w:val="18"/>
          <w:szCs w:val="18"/>
          <w:color w:val="auto"/>
        </w:rPr>
      </w:pPr>
    </w:p>
    <w:p>
      <w:pPr>
        <w:ind w:left="660" w:right="220" w:hanging="328"/>
        <w:spacing w:after="0" w:line="286"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Predictive operations </w:t>
      </w:r>
      <w:r>
        <w:rPr>
          <w:rFonts w:ascii="Times New Roman" w:cs="Times New Roman" w:eastAsia="Times New Roman" w:hAnsi="Times New Roman"/>
          <w:sz w:val="18"/>
          <w:szCs w:val="18"/>
          <w:color w:val="auto"/>
        </w:rPr>
        <w:t>enables our data scientists to build sophisticated models to provide actionable insights to our business leaders, increasing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our agility and ability to identify opportunities that enhance our customer relationships.</w:t>
      </w:r>
    </w:p>
    <w:p>
      <w:pPr>
        <w:spacing w:after="0" w:line="46" w:lineRule="exact"/>
        <w:rPr>
          <w:rFonts w:ascii="Times New Roman" w:cs="Times New Roman" w:eastAsia="Times New Roman" w:hAnsi="Times New Roman"/>
          <w:sz w:val="18"/>
          <w:szCs w:val="18"/>
          <w:color w:val="auto"/>
        </w:rPr>
      </w:pPr>
    </w:p>
    <w:p>
      <w:pPr>
        <w:ind w:left="660" w:right="140" w:hanging="328"/>
        <w:spacing w:after="0" w:line="26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Self-service APIs </w:t>
      </w:r>
      <w:r>
        <w:rPr>
          <w:rFonts w:ascii="Times New Roman" w:cs="Times New Roman" w:eastAsia="Times New Roman" w:hAnsi="Times New Roman"/>
          <w:sz w:val="18"/>
          <w:szCs w:val="18"/>
          <w:color w:val="auto"/>
        </w:rPr>
        <w:t>enable our customers to access data and resources programmatically, extending our automation and service delivery into their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native tools and processes. We support integration with our ticketing systems to enable two-way integrated support workflows and billing system integration to enable access to consolidated billing data in hybrid cloud environments. Additionally, our pre-built integration with ServiceNow enables enterprise customers to simplify connectivity between our tools and ServiceNow.</w:t>
      </w:r>
    </w:p>
    <w:p>
      <w:pPr>
        <w:spacing w:after="0" w:line="68" w:lineRule="exact"/>
        <w:rPr>
          <w:rFonts w:ascii="Times New Roman" w:cs="Times New Roman" w:eastAsia="Times New Roman" w:hAnsi="Times New Roman"/>
          <w:sz w:val="18"/>
          <w:szCs w:val="18"/>
          <w:color w:val="auto"/>
        </w:rPr>
      </w:pPr>
    </w:p>
    <w:p>
      <w:pPr>
        <w:ind w:left="660" w:right="40" w:hanging="328"/>
        <w:spacing w:after="0" w:line="259"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Rackspace Technology digital web portals </w:t>
      </w:r>
      <w:r>
        <w:rPr>
          <w:rFonts w:ascii="Times New Roman" w:cs="Times New Roman" w:eastAsia="Times New Roman" w:hAnsi="Times New Roman"/>
          <w:sz w:val="18"/>
          <w:szCs w:val="18"/>
          <w:color w:val="auto"/>
        </w:rPr>
        <w:t>service over 500,000 active monthly users and support product specific self-service, insights, account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management, security management, ticketing and billing. These portals are unified with our custom framework and design language, Pilot and Helix, providing a consistent experience and integrated navigation between our product lines and features. Our custom identity management system authenticates access to our user interfaces and APIs. This includes federation capabilities to integrate with our customers’ identity providers.</w:t>
      </w:r>
    </w:p>
    <w:p>
      <w:pPr>
        <w:spacing w:after="0" w:line="71" w:lineRule="exact"/>
        <w:rPr>
          <w:rFonts w:ascii="Times New Roman" w:cs="Times New Roman" w:eastAsia="Times New Roman" w:hAnsi="Times New Roman"/>
          <w:sz w:val="18"/>
          <w:szCs w:val="18"/>
          <w:color w:val="auto"/>
        </w:rPr>
      </w:pPr>
    </w:p>
    <w:p>
      <w:pPr>
        <w:ind w:left="660" w:right="140" w:hanging="328"/>
        <w:spacing w:after="0" w:line="268"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Unified billing </w:t>
      </w:r>
      <w:r>
        <w:rPr>
          <w:rFonts w:ascii="Times New Roman" w:cs="Times New Roman" w:eastAsia="Times New Roman" w:hAnsi="Times New Roman"/>
          <w:sz w:val="18"/>
          <w:szCs w:val="18"/>
          <w:color w:val="auto"/>
        </w:rPr>
        <w:t>enables us to deliver an integrated single invoice for customers across all cloud deployments. Our systems extract and rerate bills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public cloud hyperscalers and merge data from our products and services to generate a single invoice each month, while applying sophisticated billing and discount models.</w:t>
      </w:r>
    </w:p>
    <w:p>
      <w:pPr>
        <w:spacing w:after="0" w:line="62" w:lineRule="exact"/>
        <w:rPr>
          <w:rFonts w:ascii="Times New Roman" w:cs="Times New Roman" w:eastAsia="Times New Roman" w:hAnsi="Times New Roman"/>
          <w:sz w:val="18"/>
          <w:szCs w:val="18"/>
          <w:color w:val="auto"/>
        </w:rPr>
      </w:pPr>
    </w:p>
    <w:p>
      <w:pPr>
        <w:ind w:left="660" w:right="180" w:hanging="328"/>
        <w:spacing w:after="0" w:line="26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Service management </w:t>
      </w:r>
      <w:r>
        <w:rPr>
          <w:rFonts w:ascii="Times New Roman" w:cs="Times New Roman" w:eastAsia="Times New Roman" w:hAnsi="Times New Roman"/>
          <w:sz w:val="18"/>
          <w:szCs w:val="18"/>
          <w:color w:val="auto"/>
        </w:rPr>
        <w:t>applications ensure scale, speed, quality and consistency in our service delivery. These applications, including our custom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CORE and Encore tools, support configurable rules and routing engines, integrated escalation management, detailed queue management and management visibility and reporting. These tools are augmented with sophisticated workforce management solutions to manage work shifts by utilizing historical data and trends across ticketing, chat and telephony, to maintain and appropriately staff our 24x7x365 operations.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Growth Strategies</w:t>
      </w:r>
    </w:p>
    <w:p>
      <w:pPr>
        <w:spacing w:after="0" w:line="25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 order to continue to drive growth and capture our large market opportunity, key elements of our growth strategies include:</w:t>
      </w:r>
    </w:p>
    <w:p>
      <w:pPr>
        <w:spacing w:after="0" w:line="252" w:lineRule="exact"/>
        <w:rPr>
          <w:sz w:val="20"/>
          <w:szCs w:val="20"/>
          <w:color w:val="auto"/>
        </w:rPr>
      </w:pPr>
    </w:p>
    <w:p>
      <w:pPr>
        <w:ind w:left="660" w:right="20" w:hanging="166"/>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growing our private cloud business with new solutions, such as Rackspace Software Defined Datacenter, Industry Cloud, Sovereign Cloud, Private AI Cloud and Edge;</w:t>
      </w:r>
    </w:p>
    <w:p>
      <w:pPr>
        <w:spacing w:after="0" w:line="53" w:lineRule="exact"/>
        <w:rPr>
          <w:rFonts w:ascii="Times New Roman" w:cs="Times New Roman" w:eastAsia="Times New Roman" w:hAnsi="Times New Roman"/>
          <w:sz w:val="18"/>
          <w:szCs w:val="18"/>
          <w:color w:val="auto"/>
        </w:rPr>
      </w:pPr>
    </w:p>
    <w:p>
      <w:pPr>
        <w:ind w:left="660" w:right="160" w:hanging="166"/>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building innovative solutions to broaden our portfolio, including scaled cloud-native solutions on our public cloud platforms and full-stack cloud offerings for infrastructure, applications and data;</w:t>
      </w:r>
    </w:p>
    <w:p>
      <w:pPr>
        <w:spacing w:after="0" w:line="53" w:lineRule="exact"/>
        <w:rPr>
          <w:rFonts w:ascii="Times New Roman" w:cs="Times New Roman" w:eastAsia="Times New Roman" w:hAnsi="Times New Roman"/>
          <w:sz w:val="18"/>
          <w:szCs w:val="18"/>
          <w:color w:val="auto"/>
        </w:rPr>
      </w:pPr>
    </w:p>
    <w:p>
      <w:pPr>
        <w:ind w:left="660" w:right="120" w:hanging="166"/>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accelerating sales motions to defend our commercial business, expanding into mid-market and selectively targeting enterprise customers with our differentiated solutions both horizontally and vertically;</w:t>
      </w:r>
    </w:p>
    <w:p>
      <w:pPr>
        <w:spacing w:after="0" w:line="53" w:lineRule="exact"/>
        <w:rPr>
          <w:rFonts w:ascii="Times New Roman" w:cs="Times New Roman" w:eastAsia="Times New Roman" w:hAnsi="Times New Roman"/>
          <w:sz w:val="18"/>
          <w:szCs w:val="18"/>
          <w:color w:val="auto"/>
        </w:rPr>
      </w:pPr>
    </w:p>
    <w:p>
      <w:pPr>
        <w:jc w:val="both"/>
        <w:ind w:left="660" w:right="320" w:hanging="166"/>
        <w:spacing w:after="0" w:line="266"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new areas with unmet needs and making smart technology bets to capture those opportunities ahead of the trend. For example, new product offerings such as Rackspace Data Freedom and Managed Kubernetes introduced to claim previously-unfilled white space in the cloud market;</w:t>
      </w:r>
    </w:p>
    <w:p>
      <w:pPr>
        <w:spacing w:after="0" w:line="67" w:lineRule="exact"/>
        <w:rPr>
          <w:rFonts w:ascii="Times New Roman" w:cs="Times New Roman" w:eastAsia="Times New Roman" w:hAnsi="Times New Roman"/>
          <w:sz w:val="18"/>
          <w:szCs w:val="18"/>
          <w:color w:val="auto"/>
        </w:rPr>
      </w:pPr>
    </w:p>
    <w:p>
      <w:pPr>
        <w:ind w:left="660" w:right="20" w:hanging="166"/>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igniting the Racker Culture of innovation and Fanatical Experience for our customers and building on our unique culture by living our core values, embracing a growth mindset and operating with speed while celebrating accomplishments;</w:t>
      </w:r>
    </w:p>
    <w:p>
      <w:pPr>
        <w:spacing w:after="0" w:line="53" w:lineRule="exact"/>
        <w:rPr>
          <w:rFonts w:ascii="Times New Roman" w:cs="Times New Roman" w:eastAsia="Times New Roman" w:hAnsi="Times New Roman"/>
          <w:sz w:val="18"/>
          <w:szCs w:val="18"/>
          <w:color w:val="auto"/>
        </w:rPr>
      </w:pPr>
    </w:p>
    <w:p>
      <w:pPr>
        <w:ind w:left="660" w:right="260" w:hanging="166"/>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automation to drive operational effectiveness and continuous process improvement for ourselves and our customers while remaining ahead of the competition in automation and building on our advantage; and</w:t>
      </w:r>
    </w:p>
    <w:p>
      <w:pPr>
        <w:spacing w:after="0" w:line="53" w:lineRule="exact"/>
        <w:rPr>
          <w:rFonts w:ascii="Times New Roman" w:cs="Times New Roman" w:eastAsia="Times New Roman" w:hAnsi="Times New Roman"/>
          <w:sz w:val="18"/>
          <w:szCs w:val="18"/>
          <w:color w:val="auto"/>
        </w:rPr>
      </w:pPr>
    </w:p>
    <w:p>
      <w:pPr>
        <w:ind w:left="660" w:right="40" w:hanging="166"/>
        <w:spacing w:after="0" w:line="266"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focusing on a holistic strategy enabling optionality for our customers on their AI journey through innovative services and solutions and supporting inferencing and fine-tuning workloads with hybrid AI infrastructure. Additionally, we are implementing AI to enhance cloud optimization and management, incorporating AI into our operations and business, driving AI powered insights.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04"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Our Competition</w:t>
      </w:r>
    </w:p>
    <w:p>
      <w:pPr>
        <w:spacing w:after="0" w:line="364" w:lineRule="exact"/>
        <w:rPr>
          <w:sz w:val="20"/>
          <w:szCs w:val="20"/>
          <w:color w:val="auto"/>
        </w:rPr>
      </w:pPr>
    </w:p>
    <w:p>
      <w:pPr>
        <w:ind w:right="240" w:firstLine="486"/>
        <w:spacing w:after="0" w:line="282" w:lineRule="auto"/>
        <w:rPr>
          <w:sz w:val="20"/>
          <w:szCs w:val="20"/>
          <w:color w:val="auto"/>
        </w:rPr>
      </w:pPr>
      <w:r>
        <w:rPr>
          <w:rFonts w:ascii="Times New Roman" w:cs="Times New Roman" w:eastAsia="Times New Roman" w:hAnsi="Times New Roman"/>
          <w:sz w:val="18"/>
          <w:szCs w:val="18"/>
          <w:color w:val="auto"/>
        </w:rPr>
        <w:t>We believe our technology and services expertise positions us well to compete with other technology and services providers. We face competition primarily from:</w:t>
      </w:r>
    </w:p>
    <w:p>
      <w:pPr>
        <w:spacing w:after="0" w:line="185" w:lineRule="exact"/>
        <w:rPr>
          <w:sz w:val="20"/>
          <w:szCs w:val="20"/>
          <w:color w:val="auto"/>
        </w:rPr>
      </w:pPr>
    </w:p>
    <w:p>
      <w:pPr>
        <w:ind w:left="660" w:hanging="328"/>
        <w:spacing w:after="0" w:line="268"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In-house IT departments of our customers and potential customers </w:t>
      </w:r>
      <w:r>
        <w:rPr>
          <w:rFonts w:ascii="Times New Roman" w:cs="Times New Roman" w:eastAsia="Times New Roman" w:hAnsi="Times New Roman"/>
          <w:sz w:val="18"/>
          <w:szCs w:val="18"/>
          <w:color w:val="auto"/>
        </w:rPr>
        <w:t>provide services for their respective organizations, but typically need help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scaling large technology environments and maximizing the value from their cloud investments, especially when speed, cost and innovation are key constraints.</w:t>
      </w:r>
    </w:p>
    <w:p>
      <w:pPr>
        <w:spacing w:after="0" w:line="62" w:lineRule="exact"/>
        <w:rPr>
          <w:rFonts w:ascii="Times New Roman" w:cs="Times New Roman" w:eastAsia="Times New Roman" w:hAnsi="Times New Roman"/>
          <w:sz w:val="18"/>
          <w:szCs w:val="18"/>
          <w:color w:val="auto"/>
        </w:rPr>
      </w:pPr>
    </w:p>
    <w:p>
      <w:pPr>
        <w:ind w:left="660" w:right="80" w:hanging="328"/>
        <w:spacing w:after="0" w:line="291" w:lineRule="auto"/>
        <w:tabs>
          <w:tab w:leader="none" w:pos="655"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Traditional global IT systems integrators</w:t>
      </w:r>
      <w:r>
        <w:rPr>
          <w:rFonts w:ascii="Times New Roman" w:cs="Times New Roman" w:eastAsia="Times New Roman" w:hAnsi="Times New Roman"/>
          <w:sz w:val="17"/>
          <w:szCs w:val="17"/>
          <w:color w:val="auto"/>
        </w:rPr>
        <w:t>, such as Accenture, Atos, Capgemini, Cognizant, Deloitte, DXC Technology and Kyndryl, offer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consulting and outsourcing, in a labor-intensive model, for large enterprise customers. Many of these businesses largely support legacy technologies and, where cloud capabilities exist, legacy revenue streams disincentivize these companies from fully embracing cloud technologies.</w:t>
      </w:r>
    </w:p>
    <w:p>
      <w:pPr>
        <w:spacing w:after="0" w:line="44" w:lineRule="exact"/>
        <w:rPr>
          <w:rFonts w:ascii="Times New Roman" w:cs="Times New Roman" w:eastAsia="Times New Roman" w:hAnsi="Times New Roman"/>
          <w:sz w:val="17"/>
          <w:szCs w:val="17"/>
          <w:color w:val="auto"/>
        </w:rPr>
      </w:pPr>
    </w:p>
    <w:p>
      <w:pPr>
        <w:jc w:val="both"/>
        <w:ind w:left="660" w:right="80" w:hanging="328"/>
        <w:spacing w:after="0" w:line="268"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Cloud service providers and digital systems integrators </w:t>
      </w:r>
      <w:r>
        <w:rPr>
          <w:rFonts w:ascii="Times New Roman" w:cs="Times New Roman" w:eastAsia="Times New Roman" w:hAnsi="Times New Roman"/>
          <w:sz w:val="18"/>
          <w:szCs w:val="18"/>
          <w:color w:val="auto"/>
        </w:rPr>
        <w:t>provide either consultation and implementation services for digital workflows or cloud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services for a single cloud vendor. The solutions offered by these companies are often narrow in scope and are not well-suited for companies with complex hybrid cloud objectives.</w:t>
      </w:r>
    </w:p>
    <w:p>
      <w:pPr>
        <w:spacing w:after="0" w:line="62" w:lineRule="exact"/>
        <w:rPr>
          <w:rFonts w:ascii="Times New Roman" w:cs="Times New Roman" w:eastAsia="Times New Roman" w:hAnsi="Times New Roman"/>
          <w:sz w:val="18"/>
          <w:szCs w:val="18"/>
          <w:color w:val="auto"/>
        </w:rPr>
      </w:pPr>
    </w:p>
    <w:p>
      <w:pPr>
        <w:ind w:left="660" w:right="20" w:hanging="328"/>
        <w:spacing w:after="0" w:line="286"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Regional managed services providers </w:t>
      </w:r>
      <w:r>
        <w:rPr>
          <w:rFonts w:ascii="Times New Roman" w:cs="Times New Roman" w:eastAsia="Times New Roman" w:hAnsi="Times New Roman"/>
          <w:sz w:val="18"/>
          <w:szCs w:val="18"/>
          <w:color w:val="auto"/>
        </w:rPr>
        <w:t>use a local go-to-market approach, and provide cloud services within a single region or few regions. These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companies are unable to serve the full needs of multinational customers.</w:t>
      </w:r>
    </w:p>
    <w:p>
      <w:pPr>
        <w:spacing w:after="0" w:line="46" w:lineRule="exact"/>
        <w:rPr>
          <w:rFonts w:ascii="Times New Roman" w:cs="Times New Roman" w:eastAsia="Times New Roman" w:hAnsi="Times New Roman"/>
          <w:sz w:val="18"/>
          <w:szCs w:val="18"/>
          <w:color w:val="auto"/>
        </w:rPr>
      </w:pPr>
    </w:p>
    <w:p>
      <w:pPr>
        <w:ind w:left="660" w:right="220" w:hanging="328"/>
        <w:spacing w:after="0" w:line="268"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Colocation providers</w:t>
      </w:r>
      <w:r>
        <w:rPr>
          <w:rFonts w:ascii="Times New Roman" w:cs="Times New Roman" w:eastAsia="Times New Roman" w:hAnsi="Times New Roman"/>
          <w:sz w:val="18"/>
          <w:szCs w:val="18"/>
          <w:color w:val="auto"/>
        </w:rPr>
        <w:t>, such as Equinix, CyrusOne and QTS, provide secure environments for hardware and access to network connectivity. We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believe that these companies provide limited services differentiation, and their customers do not benefit from the economics of cloud-based technologies.</w:t>
      </w:r>
    </w:p>
    <w:p>
      <w:pPr>
        <w:spacing w:after="0" w:line="6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believe the principal competitive factors in our market include, but are not limited to:</w:t>
      </w:r>
    </w:p>
    <w:p>
      <w:pPr>
        <w:spacing w:after="0" w:line="252" w:lineRule="exact"/>
        <w:rPr>
          <w:sz w:val="20"/>
          <w:szCs w:val="20"/>
          <w:color w:val="auto"/>
        </w:rPr>
      </w:pPr>
    </w:p>
    <w:p>
      <w:pPr>
        <w:ind w:left="660" w:hanging="166"/>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Focus on the cloud</w:t>
      </w:r>
    </w:p>
    <w:p>
      <w:pPr>
        <w:spacing w:after="0" w:line="117"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Technology and services expertise</w:t>
      </w:r>
    </w:p>
    <w:p>
      <w:pPr>
        <w:spacing w:after="0" w:line="117"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experience</w:t>
      </w:r>
    </w:p>
    <w:p>
      <w:pPr>
        <w:spacing w:after="0" w:line="117"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Speed of innovation</w:t>
      </w:r>
    </w:p>
    <w:p>
      <w:pPr>
        <w:spacing w:after="0" w:line="117"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Strength of relationships with technology partners</w:t>
      </w:r>
    </w:p>
    <w:p>
      <w:pPr>
        <w:spacing w:after="0" w:line="117"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Automation and scalability</w:t>
      </w:r>
    </w:p>
    <w:p>
      <w:pPr>
        <w:spacing w:after="0" w:line="117"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Standardized operational processes</w:t>
      </w:r>
    </w:p>
    <w:p>
      <w:pPr>
        <w:spacing w:after="0" w:line="117"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Geographic reach</w:t>
      </w:r>
    </w:p>
    <w:p>
      <w:pPr>
        <w:spacing w:after="0" w:line="117"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Brand recognition and reputation</w:t>
      </w:r>
    </w:p>
    <w:p>
      <w:pPr>
        <w:spacing w:after="0" w:line="117"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w:t>
      </w:r>
    </w:p>
    <w:p>
      <w:pPr>
        <w:spacing w:after="0" w:line="252"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We believe that we compare favorably on the basis of the factors listed above. However, many of our competitors have: substantially greater financial, technical and marketing resources; relationships with large vendor partners; larger global presence; larger customer bases; longer operating histories; greater brand recognition; and more established relationships in the industry than we do. Furthermore, new entrants not currently considered to be competitors may enter the market through acquisitions, partnerships or strategic relationships.</w:t>
      </w:r>
    </w:p>
    <w:p>
      <w:pPr>
        <w:spacing w:after="0" w:line="203"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Our Customers</w:t>
      </w:r>
    </w:p>
    <w:p>
      <w:pPr>
        <w:spacing w:after="0" w:line="25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serve a wide range of customers across geography, size and industry.</w:t>
      </w:r>
    </w:p>
    <w:p>
      <w:pPr>
        <w:spacing w:after="0" w:line="252"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Geography. We serve a global customer base. As of December 31, 2024, we served over 81,000 customers in over 120 countries.</w:t>
      </w:r>
    </w:p>
    <w:p>
      <w:pPr>
        <w:spacing w:after="0" w:line="117" w:lineRule="exact"/>
        <w:rPr>
          <w:rFonts w:ascii="Times New Roman" w:cs="Times New Roman" w:eastAsia="Times New Roman" w:hAnsi="Times New Roman"/>
          <w:sz w:val="18"/>
          <w:szCs w:val="18"/>
          <w:color w:val="auto"/>
        </w:rPr>
      </w:pPr>
    </w:p>
    <w:p>
      <w:pPr>
        <w:ind w:left="660" w:right="70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Size. We have a strong presence with customers of all sizes, including enterprise businesses (revenue in excess of $3 billion), mid-market businesses (revenue of $300 million to $3 billion) and commercial customers (revenue less than $300 million).</w:t>
      </w:r>
    </w:p>
    <w:p>
      <w:pPr>
        <w:spacing w:after="0" w:line="53" w:lineRule="exact"/>
        <w:rPr>
          <w:rFonts w:ascii="Times New Roman" w:cs="Times New Roman" w:eastAsia="Times New Roman" w:hAnsi="Times New Roman"/>
          <w:sz w:val="18"/>
          <w:szCs w:val="18"/>
          <w:color w:val="auto"/>
        </w:rPr>
      </w:pPr>
    </w:p>
    <w:p>
      <w:pPr>
        <w:ind w:left="660" w:right="74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We serve customers across all sectors, including highly regulated industries with complex security, compliance and governance requirements.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have low customer concentration; no customer represented 5% or more of our total revenue in 2024.</w:t>
      </w:r>
    </w:p>
    <w:p>
      <w:pPr>
        <w:spacing w:after="0" w:line="2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Our Approach to Partnerships</w:t>
      </w:r>
    </w:p>
    <w:p>
      <w:pPr>
        <w:spacing w:after="0" w:line="256"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We benefit from differentiated partnerships with all major public and private cloud vendors, including AWS, Microsoft Azure, Google Cloud and VMware by Broadcom. These partnerships provide us with a competitive advantage unmatched by our competitors, spanning across multiple disciplines, including:</w:t>
      </w:r>
    </w:p>
    <w:p>
      <w:pPr>
        <w:spacing w:after="0" w:line="199"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Comprehensive alignment: </w:t>
      </w:r>
      <w:r>
        <w:rPr>
          <w:rFonts w:ascii="Times New Roman" w:cs="Times New Roman" w:eastAsia="Times New Roman" w:hAnsi="Times New Roman"/>
          <w:sz w:val="18"/>
          <w:szCs w:val="18"/>
          <w:color w:val="auto"/>
        </w:rPr>
        <w:t>We work with major technology partners through a systematic engagement model across six key areas of our</w:t>
      </w:r>
    </w:p>
    <w:p>
      <w:pPr>
        <w:spacing w:after="0" w:line="31" w:lineRule="exact"/>
        <w:rPr>
          <w:rFonts w:ascii="Times New Roman" w:cs="Times New Roman" w:eastAsia="Times New Roman" w:hAnsi="Times New Roman"/>
          <w:sz w:val="18"/>
          <w:szCs w:val="18"/>
          <w:color w:val="auto"/>
        </w:rPr>
      </w:pPr>
    </w:p>
    <w:p>
      <w:pPr>
        <w:ind w:left="660" w:right="62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executive, alliances, solutions, marketing, sales, and service delivery to ensure alignment on key initiatives. We operate strategic programs that include solutions milestones, performance reviews and long-term strategic initiatives.</w:t>
      </w:r>
    </w:p>
    <w:p>
      <w:pPr>
        <w:spacing w:after="0" w:line="69" w:lineRule="exact"/>
        <w:rPr>
          <w:rFonts w:ascii="Times New Roman" w:cs="Times New Roman" w:eastAsia="Times New Roman" w:hAnsi="Times New Roman"/>
          <w:sz w:val="18"/>
          <w:szCs w:val="18"/>
          <w:color w:val="auto"/>
        </w:rPr>
      </w:pPr>
    </w:p>
    <w:p>
      <w:pPr>
        <w:ind w:left="660" w:right="100" w:hanging="328"/>
        <w:spacing w:after="0" w:line="26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New business opportunities: </w:t>
      </w:r>
      <w:r>
        <w:rPr>
          <w:rFonts w:ascii="Times New Roman" w:cs="Times New Roman" w:eastAsia="Times New Roman" w:hAnsi="Times New Roman"/>
          <w:sz w:val="18"/>
          <w:szCs w:val="18"/>
          <w:color w:val="auto"/>
        </w:rPr>
        <w:t>Our sales teams and pre-sales engineering experts work with sales teams at technology partners to offer bundled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solutions through a combined go-to-market effort. This results in a more compelling value proposition and greater value for our mutual customer. We believe our partners view us as a top services partner for their cloud technologies, as we are often cited as a ‘go-to’ services vendor for new business opportunities.</w:t>
      </w:r>
    </w:p>
    <w:p>
      <w:pPr>
        <w:spacing w:after="0" w:line="68" w:lineRule="exact"/>
        <w:rPr>
          <w:rFonts w:ascii="Times New Roman" w:cs="Times New Roman" w:eastAsia="Times New Roman" w:hAnsi="Times New Roman"/>
          <w:sz w:val="18"/>
          <w:szCs w:val="18"/>
          <w:color w:val="auto"/>
        </w:rPr>
      </w:pPr>
    </w:p>
    <w:p>
      <w:pPr>
        <w:ind w:left="660" w:right="60" w:hanging="328"/>
        <w:spacing w:after="0" w:line="26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Innovative solutions: </w:t>
      </w:r>
      <w:r>
        <w:rPr>
          <w:rFonts w:ascii="Times New Roman" w:cs="Times New Roman" w:eastAsia="Times New Roman" w:hAnsi="Times New Roman"/>
          <w:sz w:val="18"/>
          <w:szCs w:val="18"/>
          <w:color w:val="auto"/>
        </w:rPr>
        <w:t>We work closely with our partners’ product engineering teams as the baseline for our roadmap development and to provide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input into our partners’ development plan. This critical input allows us and our partners to develop complementary services and technology. This has helped us arrive and stay at the forefront of innovation well before our competitors, and develop services and tools related to emerging technologies such as cloud-native application development, machine learning and AI.</w:t>
      </w:r>
    </w:p>
    <w:p>
      <w:pPr>
        <w:spacing w:after="0" w:line="207" w:lineRule="exact"/>
        <w:rPr>
          <w:sz w:val="20"/>
          <w:szCs w:val="20"/>
          <w:color w:val="auto"/>
        </w:rPr>
      </w:pPr>
    </w:p>
    <w:p>
      <w:pPr>
        <w:ind w:right="140" w:firstLine="486"/>
        <w:spacing w:after="0" w:line="266" w:lineRule="auto"/>
        <w:rPr>
          <w:sz w:val="20"/>
          <w:szCs w:val="20"/>
          <w:color w:val="auto"/>
        </w:rPr>
      </w:pPr>
      <w:r>
        <w:rPr>
          <w:rFonts w:ascii="Times New Roman" w:cs="Times New Roman" w:eastAsia="Times New Roman" w:hAnsi="Times New Roman"/>
          <w:sz w:val="18"/>
          <w:szCs w:val="18"/>
          <w:color w:val="auto"/>
        </w:rPr>
        <w:t>We believe these relationships are beneficial to us, our partners and our customers. We and our partners both receive critical inputs for further innovation and benefit from joint go-to-market initiatives, while our customers are able to maximize their use of innovative technologies more efficiently, reduce time-to-market and remain competitive.</w:t>
      </w:r>
    </w:p>
    <w:p>
      <w:pPr>
        <w:spacing w:after="0" w:line="1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Sales and Delivery</w:t>
      </w:r>
    </w:p>
    <w:p>
      <w:pPr>
        <w:spacing w:after="0" w:line="256" w:lineRule="exact"/>
        <w:rPr>
          <w:sz w:val="20"/>
          <w:szCs w:val="20"/>
          <w:color w:val="auto"/>
        </w:rPr>
      </w:pPr>
    </w:p>
    <w:p>
      <w:pPr>
        <w:jc w:val="both"/>
        <w:ind w:right="340" w:firstLine="486"/>
        <w:spacing w:after="0" w:line="266" w:lineRule="auto"/>
        <w:rPr>
          <w:sz w:val="20"/>
          <w:szCs w:val="20"/>
          <w:color w:val="auto"/>
        </w:rPr>
      </w:pPr>
      <w:r>
        <w:rPr>
          <w:rFonts w:ascii="Times New Roman" w:cs="Times New Roman" w:eastAsia="Times New Roman" w:hAnsi="Times New Roman"/>
          <w:sz w:val="18"/>
          <w:szCs w:val="18"/>
          <w:color w:val="auto"/>
        </w:rPr>
        <w:t>Our services are sold via a global direct sales team of over 170 sales representatives and over 570 service delivery managers as of December 31, 2024, through third-party channel partners and through online orders on our website. Our sales model is based on both distributed and centralized sales teams with leads generated from customer referrals, channel partners and corporate marketing efforts.</w:t>
      </w:r>
    </w:p>
    <w:p>
      <w:pPr>
        <w:spacing w:after="0" w:line="203" w:lineRule="exact"/>
        <w:rPr>
          <w:sz w:val="20"/>
          <w:szCs w:val="20"/>
          <w:color w:val="auto"/>
        </w:rPr>
      </w:pPr>
    </w:p>
    <w:p>
      <w:pPr>
        <w:jc w:val="both"/>
        <w:ind w:right="100" w:firstLine="486"/>
        <w:spacing w:after="0" w:line="261" w:lineRule="auto"/>
        <w:rPr>
          <w:sz w:val="20"/>
          <w:szCs w:val="20"/>
          <w:color w:val="auto"/>
        </w:rPr>
      </w:pPr>
      <w:r>
        <w:rPr>
          <w:rFonts w:ascii="Times New Roman" w:cs="Times New Roman" w:eastAsia="Times New Roman" w:hAnsi="Times New Roman"/>
          <w:sz w:val="18"/>
          <w:szCs w:val="18"/>
          <w:color w:val="auto"/>
        </w:rPr>
        <w:t>Professional services are at the core of our consultative sales model and often serve as the gateway to our platform. For new business opportunities, our professional services organization engages closely with a customer to assess and design the best cloud solution for that customer. This is often the first step toward a long-term services agreement with a customer where we manage a customer’s cloud operations and give them the flexibility to evolve their spend with us as their needs change over time.</w:t>
      </w:r>
    </w:p>
    <w:p>
      <w:pPr>
        <w:spacing w:after="0" w:line="207"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Our network of channel and technology partners also plays an important role in our sales efforts. Our channel partners - including management and technical consultancies, technology integrators, software application providers, value-added resellers and web developers - serve as a source of new business opportunities, primarily for small and medium-sized customers. Our technology partners serve as an extension of our sales force, often leading to new business opportunities as their customers recognize the need for a services partner to make the best use of their technology investments. In some cases, we collaborate directly with these partners on go-to-market efforts.</w:t>
      </w:r>
    </w:p>
    <w:p>
      <w:pPr>
        <w:spacing w:after="0" w:line="210" w:lineRule="exact"/>
        <w:rPr>
          <w:sz w:val="20"/>
          <w:szCs w:val="20"/>
          <w:color w:val="auto"/>
        </w:rPr>
      </w:pPr>
    </w:p>
    <w:p>
      <w:pPr>
        <w:ind w:right="180" w:firstLine="486"/>
        <w:spacing w:after="0" w:line="266" w:lineRule="auto"/>
        <w:rPr>
          <w:sz w:val="20"/>
          <w:szCs w:val="20"/>
          <w:color w:val="auto"/>
        </w:rPr>
      </w:pPr>
      <w:r>
        <w:rPr>
          <w:rFonts w:ascii="Times New Roman" w:cs="Times New Roman" w:eastAsia="Times New Roman" w:hAnsi="Times New Roman"/>
          <w:sz w:val="18"/>
          <w:szCs w:val="18"/>
          <w:color w:val="auto"/>
        </w:rPr>
        <w:t>Our Customer Success team includes over 320 Rackers and engages in client relationship, contract management, managing deliverables, client retention and growth of our install base. This team is responsible for understanding the existing customers’ changing business needs and translating them into IT requirements, resulting in successful project execution or alignment of our other service offerings.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Our Culture</w:t>
      </w:r>
    </w:p>
    <w:p>
      <w:pPr>
        <w:spacing w:after="0" w:line="256" w:lineRule="exact"/>
        <w:rPr>
          <w:sz w:val="20"/>
          <w:szCs w:val="20"/>
          <w:color w:val="auto"/>
        </w:rPr>
      </w:pPr>
    </w:p>
    <w:p>
      <w:pPr>
        <w:jc w:val="both"/>
        <w:ind w:right="220" w:firstLine="486"/>
        <w:spacing w:after="0" w:line="261" w:lineRule="auto"/>
        <w:rPr>
          <w:sz w:val="20"/>
          <w:szCs w:val="20"/>
          <w:color w:val="auto"/>
        </w:rPr>
      </w:pPr>
      <w:r>
        <w:rPr>
          <w:rFonts w:ascii="Times New Roman" w:cs="Times New Roman" w:eastAsia="Times New Roman" w:hAnsi="Times New Roman"/>
          <w:sz w:val="18"/>
          <w:szCs w:val="18"/>
          <w:color w:val="auto"/>
        </w:rPr>
        <w:t>At the heart of Fanatical Experience is our unique culture. We invest in the recruitment, development and retention of our Rackers. Inclusion and diversity are top priorities for our company; we attract and cultivate top talent from around the world with diverse backgrounds and a range of expertise. We are highly selective. In our quest to hire the best talent, less than 1% of all applicants are offered positions. We strive to ensure our employees are not just technical experts, but also obsessed with customer outcomes and delivering Fanatical Experience.</w:t>
      </w:r>
    </w:p>
    <w:p>
      <w:pPr>
        <w:spacing w:after="0" w:line="207" w:lineRule="exact"/>
        <w:rPr>
          <w:sz w:val="20"/>
          <w:szCs w:val="20"/>
          <w:color w:val="auto"/>
        </w:rPr>
      </w:pPr>
    </w:p>
    <w:p>
      <w:pPr>
        <w:ind w:right="660" w:firstLine="486"/>
        <w:spacing w:after="0" w:line="282" w:lineRule="auto"/>
        <w:rPr>
          <w:sz w:val="20"/>
          <w:szCs w:val="20"/>
          <w:color w:val="auto"/>
        </w:rPr>
      </w:pPr>
      <w:r>
        <w:rPr>
          <w:rFonts w:ascii="Times New Roman" w:cs="Times New Roman" w:eastAsia="Times New Roman" w:hAnsi="Times New Roman"/>
          <w:sz w:val="18"/>
          <w:szCs w:val="18"/>
          <w:color w:val="auto"/>
        </w:rPr>
        <w:t>We offer Rackers various professional development opportunities through Rackspace University, along with award-winning onboarding and leadership development programs, enabling them to enhance their capabilities across technologies and further their professional growth.</w:t>
      </w:r>
    </w:p>
    <w:p>
      <w:pPr>
        <w:spacing w:after="0" w:line="189"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Our Rackers are passionate about serving our communities as well. Rackspace Technology provides a minimum of 40 hours of paid time for each Racker to volunteer annually, with over 22,000 volunteer hours logged for the year ended December 31, 2024. The Rackspace Foundation, a Racker-funded nonprofit organization, has been supporting underserved San Antonio-area schools through charitable grants since 2008.</w:t>
      </w:r>
    </w:p>
    <w:p>
      <w:pPr>
        <w:spacing w:after="0" w:line="1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Our Employees</w:t>
      </w:r>
    </w:p>
    <w:p>
      <w:pPr>
        <w:spacing w:after="0" w:line="256"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As of December 31, 2024, we employed approximately 5,100 Rackers in 23 countries, including 1,900 Rackers in North America, 900 Rackers in EMEA, and 2,300 Rackers in APJ. Of our North American Rackers, approximately 400 work from our corporate headquarters in San Antonio, Texas. As of December 31, 2024, approximately 70% of all Rackers were classified as work-from-home. None of our employees are represented by a collective bargaining agreement, nor have we experienced any work stoppages.</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5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business is not materially affected by seasonal trends.</w:t>
      </w: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256" w:lineRule="exact"/>
        <w:rPr>
          <w:sz w:val="20"/>
          <w:szCs w:val="20"/>
          <w:color w:val="auto"/>
        </w:rPr>
      </w:pPr>
    </w:p>
    <w:p>
      <w:pPr>
        <w:ind w:right="40" w:firstLine="486"/>
        <w:spacing w:after="0" w:line="266" w:lineRule="auto"/>
        <w:rPr>
          <w:sz w:val="20"/>
          <w:szCs w:val="20"/>
          <w:color w:val="auto"/>
        </w:rPr>
      </w:pPr>
      <w:r>
        <w:rPr>
          <w:rFonts w:ascii="Times New Roman" w:cs="Times New Roman" w:eastAsia="Times New Roman" w:hAnsi="Times New Roman"/>
          <w:sz w:val="18"/>
          <w:szCs w:val="18"/>
          <w:color w:val="auto"/>
        </w:rPr>
        <w:t>Our annual reports on Form 10-K, quarterly reports on Form 10-Q, current reports on Form 8-K, proxy statements for our annual stockholders’ meetings and amendments to those reports are available free of charge on our website, www.rackspace.com. Our website and the information contained on, or that can be accessed through, our website will not be deemed to be incorporated by reference in, and are not considered part of, this Annual Report.</w:t>
      </w:r>
    </w:p>
    <w:p>
      <w:pPr>
        <w:spacing w:after="0" w:line="203" w:lineRule="exact"/>
        <w:rPr>
          <w:sz w:val="20"/>
          <w:szCs w:val="20"/>
          <w:color w:val="auto"/>
        </w:rPr>
      </w:pPr>
    </w:p>
    <w:p>
      <w:pPr>
        <w:ind w:right="480" w:firstLine="486"/>
        <w:spacing w:after="0" w:line="282" w:lineRule="auto"/>
        <w:rPr>
          <w:sz w:val="20"/>
          <w:szCs w:val="20"/>
          <w:color w:val="auto"/>
        </w:rPr>
      </w:pPr>
      <w:r>
        <w:rPr>
          <w:rFonts w:ascii="Times New Roman" w:cs="Times New Roman" w:eastAsia="Times New Roman" w:hAnsi="Times New Roman"/>
          <w:sz w:val="18"/>
          <w:szCs w:val="18"/>
          <w:color w:val="auto"/>
        </w:rPr>
        <w:t>The SEC maintains an internet site that contains reports, proxy and information statements and other information regarding registrants that file electronically with the SEC. You can review copies of these documents on the SEC's website. The SEC’s website address is www.sec.gov.</w:t>
      </w:r>
    </w:p>
    <w:p>
      <w:pPr>
        <w:spacing w:after="0" w:line="1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Any references to websites are intended to be inactive textual references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ITEM 1A – RISK FACTORS</w:t>
      </w: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256" w:lineRule="exact"/>
        <w:rPr>
          <w:sz w:val="20"/>
          <w:szCs w:val="20"/>
          <w:color w:val="auto"/>
        </w:rPr>
      </w:pPr>
    </w:p>
    <w:p>
      <w:pPr>
        <w:ind w:right="260" w:firstLine="486"/>
        <w:spacing w:after="0" w:line="266" w:lineRule="auto"/>
        <w:rPr>
          <w:sz w:val="20"/>
          <w:szCs w:val="20"/>
          <w:color w:val="auto"/>
        </w:rPr>
      </w:pPr>
      <w:r>
        <w:rPr>
          <w:rFonts w:ascii="Times New Roman" w:cs="Times New Roman" w:eastAsia="Times New Roman" w:hAnsi="Times New Roman"/>
          <w:sz w:val="18"/>
          <w:szCs w:val="18"/>
          <w:color w:val="auto"/>
        </w:rPr>
        <w:t>Our ability to execute our strategies is subject to certain risks. The risks described under the heading “Risk Factors” immediately following this summary may cause us not to realize the full benefits of our competitive strengths or may cause us to be unable to successfully execute all or part of our strategies. Some of the more significant challenges and risks we face include the following:</w:t>
      </w:r>
    </w:p>
    <w:p>
      <w:pPr>
        <w:spacing w:after="0" w:line="203" w:lineRule="exact"/>
        <w:rPr>
          <w:sz w:val="20"/>
          <w:szCs w:val="20"/>
          <w:color w:val="auto"/>
        </w:rPr>
      </w:pPr>
    </w:p>
    <w:p>
      <w:pPr>
        <w:ind w:left="660" w:hanging="166"/>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attracting new customers, retaining existing customers and selling additional services and comparable gross margin services to our customers;</w:t>
      </w:r>
    </w:p>
    <w:p>
      <w:pPr>
        <w:spacing w:after="0" w:line="117" w:lineRule="exact"/>
        <w:rPr>
          <w:rFonts w:ascii="Times New Roman" w:cs="Times New Roman" w:eastAsia="Times New Roman" w:hAnsi="Times New Roman"/>
          <w:sz w:val="18"/>
          <w:szCs w:val="18"/>
          <w:color w:val="auto"/>
        </w:rPr>
      </w:pPr>
    </w:p>
    <w:p>
      <w:pPr>
        <w:ind w:left="660" w:right="400" w:hanging="166"/>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general economic conditions and uncertainties affecting markets in which we operate and economic volatility that could adversely impact our business, including fluctuating interest rates;</w:t>
      </w:r>
    </w:p>
    <w:p>
      <w:pPr>
        <w:spacing w:after="0" w:line="5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execute our strategies and adapt to evolving customer demands, including the trend to lower-gross margin offerings;</w:t>
      </w:r>
    </w:p>
    <w:p>
      <w:pPr>
        <w:spacing w:after="0" w:line="117"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associated with impairment of goodwill, intangible assets or other long-lived assets;</w:t>
      </w:r>
    </w:p>
    <w:p>
      <w:pPr>
        <w:spacing w:after="0" w:line="117"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our substantial indebtedness and our obligations to repay such indebtedness;</w:t>
      </w:r>
    </w:p>
    <w:p>
      <w:pPr>
        <w:spacing w:after="0" w:line="117"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and our reliance on, third-party providers, vendors, consultants and software;</w:t>
      </w:r>
    </w:p>
    <w:p>
      <w:pPr>
        <w:spacing w:after="0" w:line="117"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competing successfully against current and future competitors;</w:t>
      </w:r>
    </w:p>
    <w:p>
      <w:pPr>
        <w:spacing w:after="0" w:line="117" w:lineRule="exact"/>
        <w:rPr>
          <w:rFonts w:ascii="Times New Roman" w:cs="Times New Roman" w:eastAsia="Times New Roman" w:hAnsi="Times New Roman"/>
          <w:sz w:val="18"/>
          <w:szCs w:val="18"/>
          <w:color w:val="auto"/>
        </w:rPr>
      </w:pPr>
    </w:p>
    <w:p>
      <w:pPr>
        <w:ind w:left="660" w:right="280" w:hanging="166"/>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breaches, cyber-attacks and other interruptions to our and our third-party service providers’ technological and physical infrastructures; and</w:t>
      </w:r>
    </w:p>
    <w:p>
      <w:pPr>
        <w:spacing w:after="0" w:line="5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meet our service level commitments to customers, including network uptime requirements.</w:t>
      </w:r>
    </w:p>
    <w:p>
      <w:pPr>
        <w:spacing w:after="0" w:line="3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54" w:lineRule="exact"/>
        <w:rPr>
          <w:sz w:val="20"/>
          <w:szCs w:val="20"/>
          <w:color w:val="auto"/>
        </w:rPr>
      </w:pPr>
    </w:p>
    <w:p>
      <w:pPr>
        <w:jc w:val="both"/>
        <w:ind w:right="200"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In addition to the other information set forth in this report, you should carefully consider the risks and uncertainties described below, which could materially and adversely affect our business, financial condition and results of operations. In addition, past financial performance may not be a reliable indicator of future performance and historical trends may not predict results or trends in future periods.</w:t>
      </w:r>
    </w:p>
    <w:p>
      <w:pPr>
        <w:spacing w:after="0" w:line="1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252"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attract new customers, retain existing customers and sell additional services at comparable gross margins to customers, our revenue and results of operations could be adversely affected.</w:t>
      </w:r>
    </w:p>
    <w:p>
      <w:pPr>
        <w:spacing w:after="0" w:line="186" w:lineRule="exact"/>
        <w:rPr>
          <w:sz w:val="20"/>
          <w:szCs w:val="20"/>
          <w:color w:val="auto"/>
        </w:rPr>
      </w:pPr>
    </w:p>
    <w:p>
      <w:pPr>
        <w:ind w:right="180" w:firstLine="486"/>
        <w:spacing w:after="0" w:line="261" w:lineRule="auto"/>
        <w:rPr>
          <w:sz w:val="20"/>
          <w:szCs w:val="20"/>
          <w:color w:val="auto"/>
        </w:rPr>
      </w:pPr>
      <w:r>
        <w:rPr>
          <w:rFonts w:ascii="Times New Roman" w:cs="Times New Roman" w:eastAsia="Times New Roman" w:hAnsi="Times New Roman"/>
          <w:sz w:val="18"/>
          <w:szCs w:val="18"/>
          <w:color w:val="auto"/>
        </w:rPr>
        <w:t>Our ability to maintain or increase our revenues and profit may be impacted by a number of factors, including our ability to attract new customers, retain existing customers and sell additional services at comparable gross margins to our customers. In addition, as we seek to grow our customer base increasingly through outbound sales, we expect to incur higher customer acquisition costs and, to the extent we are unable to retain and sell additional services to existing customers, our revenue and results of operations may decrease.</w:t>
      </w:r>
    </w:p>
    <w:p>
      <w:pPr>
        <w:spacing w:after="0" w:line="207" w:lineRule="exact"/>
        <w:rPr>
          <w:sz w:val="20"/>
          <w:szCs w:val="20"/>
          <w:color w:val="auto"/>
        </w:rPr>
      </w:pPr>
    </w:p>
    <w:p>
      <w:pPr>
        <w:ind w:right="300" w:firstLine="486"/>
        <w:spacing w:after="0" w:line="282" w:lineRule="auto"/>
        <w:rPr>
          <w:sz w:val="20"/>
          <w:szCs w:val="20"/>
          <w:color w:val="auto"/>
        </w:rPr>
      </w:pPr>
      <w:r>
        <w:rPr>
          <w:rFonts w:ascii="Times New Roman" w:cs="Times New Roman" w:eastAsia="Times New Roman" w:hAnsi="Times New Roman"/>
          <w:sz w:val="18"/>
          <w:szCs w:val="18"/>
          <w:color w:val="auto"/>
        </w:rPr>
        <w:t>Growth in the demand for our services may be inhibited and we may be unable to profitably maintain or grow our customer base for a number of reasons, such as:</w:t>
      </w:r>
    </w:p>
    <w:p>
      <w:pPr>
        <w:spacing w:after="0" w:line="189" w:lineRule="exact"/>
        <w:rPr>
          <w:sz w:val="20"/>
          <w:szCs w:val="20"/>
          <w:color w:val="auto"/>
        </w:rPr>
      </w:pPr>
    </w:p>
    <w:p>
      <w:pPr>
        <w:ind w:left="660" w:hanging="166"/>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provide compelling services or effectively market them to new and existing customers;</w:t>
      </w:r>
    </w:p>
    <w:p>
      <w:pPr>
        <w:spacing w:after="0" w:line="117"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our favorable relationships with our third-party cloud service providers;</w:t>
      </w:r>
    </w:p>
    <w:p>
      <w:pPr>
        <w:spacing w:after="0" w:line="117"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migration to platforms that we do not have expertise in managing;</w:t>
      </w:r>
    </w:p>
    <w:p>
      <w:pPr>
        <w:spacing w:after="0" w:line="117"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customers to differentiate our services from those of our competitors or our inability to effectively communicate such distinctions;</w:t>
      </w:r>
    </w:p>
    <w:p>
      <w:pPr>
        <w:spacing w:after="0" w:line="117" w:lineRule="exact"/>
        <w:rPr>
          <w:rFonts w:ascii="Times New Roman" w:cs="Times New Roman" w:eastAsia="Times New Roman" w:hAnsi="Times New Roman"/>
          <w:sz w:val="18"/>
          <w:szCs w:val="18"/>
          <w:color w:val="auto"/>
        </w:rPr>
      </w:pPr>
    </w:p>
    <w:p>
      <w:pPr>
        <w:ind w:left="660" w:right="140" w:hanging="166"/>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decision of customers to host internally, in third-party cloud infrastructure, or in third-party colocation facilities as an alternative to the use of our services;</w:t>
      </w:r>
    </w:p>
    <w:p>
      <w:pPr>
        <w:spacing w:after="0" w:line="5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decision of customers to use internal or other third-party resources to manage their platforms and applications;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60" w:hanging="166"/>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reductions in IT spending by customers or potential customers;</w:t>
      </w:r>
    </w:p>
    <w:p>
      <w:pPr>
        <w:spacing w:after="0" w:line="117"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penetrate international markets;</w:t>
      </w:r>
    </w:p>
    <w:p>
      <w:pPr>
        <w:spacing w:after="0" w:line="117"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the demand for our services due to macroeconomic factors in the markets in which we operate;</w:t>
      </w:r>
    </w:p>
    <w:p>
      <w:pPr>
        <w:spacing w:after="0" w:line="117"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strengthen awareness of our brand;</w:t>
      </w:r>
    </w:p>
    <w:p>
      <w:pPr>
        <w:spacing w:after="0" w:line="117"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past or future cybersecurity-related incidents; and</w:t>
      </w:r>
    </w:p>
    <w:p>
      <w:pPr>
        <w:spacing w:after="0" w:line="117"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reliability, quality or compatibility problems with our services.</w:t>
      </w:r>
    </w:p>
    <w:p>
      <w:pPr>
        <w:spacing w:after="0" w:line="117" w:lineRule="exact"/>
        <w:rPr>
          <w:sz w:val="20"/>
          <w:szCs w:val="20"/>
          <w:color w:val="auto"/>
        </w:rPr>
      </w:pPr>
    </w:p>
    <w:p>
      <w:pPr>
        <w:ind w:right="60" w:firstLine="486"/>
        <w:spacing w:after="0" w:line="256" w:lineRule="auto"/>
        <w:rPr>
          <w:sz w:val="20"/>
          <w:szCs w:val="20"/>
          <w:color w:val="auto"/>
        </w:rPr>
      </w:pPr>
      <w:r>
        <w:rPr>
          <w:rFonts w:ascii="Times New Roman" w:cs="Times New Roman" w:eastAsia="Times New Roman" w:hAnsi="Times New Roman"/>
          <w:sz w:val="18"/>
          <w:szCs w:val="18"/>
          <w:color w:val="auto"/>
        </w:rPr>
        <w:t>Moreover, we may face difficulty retaining existing customers over the long term. Certain customer contracts, particularly within our Private Cloud segment, frequently have initial terms (typically from 12 to 36 months) and, unless terminated, may be renewed or automatically extended for shorter, rolling periods after the initial term. Our customers have no obligation to renew their services after their initial contract periods expire and any termination fees associated with an early termination may not be sufficient to recover our costs associated with such contracts. In addition, most of our services within our Public Cloud segment and legacy OpenStack business are based on a consumption model and can be canceled at any time without penalty. As a result, we may face high rates of customer churn if we are unable to meet our customer needs, requirements and preferences.</w:t>
      </w:r>
    </w:p>
    <w:p>
      <w:pPr>
        <w:spacing w:after="0" w:line="214" w:lineRule="exact"/>
        <w:rPr>
          <w:sz w:val="20"/>
          <w:szCs w:val="20"/>
          <w:color w:val="auto"/>
        </w:rPr>
      </w:pPr>
    </w:p>
    <w:p>
      <w:pPr>
        <w:ind w:right="160" w:firstLine="486"/>
        <w:spacing w:after="0" w:line="261" w:lineRule="auto"/>
        <w:rPr>
          <w:sz w:val="20"/>
          <w:szCs w:val="20"/>
          <w:color w:val="auto"/>
        </w:rPr>
      </w:pPr>
      <w:r>
        <w:rPr>
          <w:rFonts w:ascii="Times New Roman" w:cs="Times New Roman" w:eastAsia="Times New Roman" w:hAnsi="Times New Roman"/>
          <w:sz w:val="18"/>
          <w:szCs w:val="18"/>
          <w:color w:val="auto"/>
        </w:rPr>
        <w:t>Our costs associated with generating revenue from existing customers are generally lower than costs associated with generating revenue from new customers, and depending on the customer and the service offering, there may be substantial variation in the gross margins associated with existing and new customers. Any failure by us in continuing to attract new customers or grow our revenue from existing customers could have a material and adverse effect on our business, financial condition and results of operations.</w:t>
      </w:r>
    </w:p>
    <w:p>
      <w:pPr>
        <w:spacing w:after="0" w:line="203"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affected by general economic conditions and uncertainties affecting markets in which we operate and economic volatility could adversely impact our business.</w:t>
      </w:r>
    </w:p>
    <w:p>
      <w:pPr>
        <w:spacing w:after="0" w:line="186" w:lineRule="exact"/>
        <w:rPr>
          <w:sz w:val="20"/>
          <w:szCs w:val="20"/>
          <w:color w:val="auto"/>
        </w:rPr>
      </w:pPr>
    </w:p>
    <w:p>
      <w:pPr>
        <w:ind w:right="60" w:firstLine="486"/>
        <w:spacing w:after="0" w:line="254" w:lineRule="auto"/>
        <w:rPr>
          <w:sz w:val="20"/>
          <w:szCs w:val="20"/>
          <w:color w:val="auto"/>
        </w:rPr>
      </w:pPr>
      <w:r>
        <w:rPr>
          <w:rFonts w:ascii="Times New Roman" w:cs="Times New Roman" w:eastAsia="Times New Roman" w:hAnsi="Times New Roman"/>
          <w:sz w:val="18"/>
          <w:szCs w:val="18"/>
          <w:color w:val="auto"/>
        </w:rPr>
        <w:t>Our overall performance depends in part on worldwide economic and geopolitical conditions. The U.S., the U.K. and other key international economies have experienced cyclical downturns from time to time in which economic activity was impacted by falling demand for a variety of goods and services, restricted credit, poor liquidity, reduced corporate profitability, volatility in credit and fluctuating interest rates, equity and foreign exchange markets, bankruptcies and overall uncertainty with respect to the economy. These economic conditions can arise suddenly and the full impact of such conditions can remain uncertain. In addition, geopolitical developments, such as existing and potential wars, trade wars or other conflicts, and other events beyond our control. Any form of civil unrest or other conflict can increase levels of political and economic unpredictability regionally or globally and has the potential to increase the volatility of global financial markets. Any of these effects could have a material and adverse impact on our business, financial condition and results of operations.</w:t>
      </w:r>
    </w:p>
    <w:p>
      <w:pPr>
        <w:spacing w:after="0" w:line="215"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successfully execute our strategies and continue to develop and sell the services and solutions our customers demand, our business, financial condition and results of operations may suffer.</w:t>
      </w:r>
    </w:p>
    <w:p>
      <w:pPr>
        <w:spacing w:after="0" w:line="186"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We must adapt to rapidly changing customer demands and preferences in order to successfully execute our strategies. This requires us to anticipate and respond to customer demands and preferences, address business model shifts, optimize our go-to-market execution by improving our cost structure, align sales coverage with strategic goals, improve channel execution and strengthen our services and capabilities in our areas of strategic focus. Any failure to successfully execute our strategies, including any failure to invest in strategic growth areas, could adversely affect our business, financial condition and results of operations.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strategies require significant investments that may adversely affect our near-term revenue growth and results of operations.</w:t>
      </w:r>
    </w:p>
    <w:p>
      <w:pPr>
        <w:spacing w:after="0" w:line="256" w:lineRule="exact"/>
        <w:rPr>
          <w:sz w:val="20"/>
          <w:szCs w:val="20"/>
          <w:color w:val="auto"/>
        </w:rPr>
      </w:pPr>
    </w:p>
    <w:p>
      <w:pPr>
        <w:ind w:right="200" w:firstLine="486"/>
        <w:spacing w:after="0" w:line="256" w:lineRule="auto"/>
        <w:rPr>
          <w:sz w:val="20"/>
          <w:szCs w:val="20"/>
          <w:color w:val="auto"/>
        </w:rPr>
      </w:pPr>
      <w:r>
        <w:rPr>
          <w:rFonts w:ascii="Times New Roman" w:cs="Times New Roman" w:eastAsia="Times New Roman" w:hAnsi="Times New Roman"/>
          <w:sz w:val="18"/>
          <w:szCs w:val="18"/>
          <w:color w:val="auto"/>
        </w:rPr>
        <w:t>We expect the implementation of our strategies to require significant investments, and the investments we must make could result in lower gross margins and raise our operating expenses and capital expenditures. The risks and challenges we face in connection with our strategies include upgrading and integrating our service offerings, expanding our professional services capability, expanding into new geographies, growing in geographies where we currently have an existing presence and ensuring that the performance, features and reliability of our service offerings and our customer service remain competitive in a rapidly changing technological environment. These investments may adversely affect our near-term revenue growth and results of operations, and we cannot assure that they will ultimately be successful.</w:t>
      </w: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history of losses and may not be able to achieve profitability in the future.</w:t>
      </w:r>
    </w:p>
    <w:p>
      <w:pPr>
        <w:spacing w:after="0" w:line="256"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We incurred net losses of $804.8 million, $837.8 million and $858.2 million in the fiscal years ended December 31, 2022, 2023 and 2024, respectively. We may not be able to achieve profitability in the future or on a consistent basis. We have incurred substantial expenses and expended significant resources to market, promote, and sell our services, and we have substantial debt service payments. Our ability to achieve or maintain profitability will depend on our ability to increase our revenue, manage our cost structure, and avoid significant liabilities. Revenue growth may slow or revenue may decline for a number of reasons, including general macroeconomic conditions, increasing competition, or a decrease in the growth of the markets in which we operate. Additionally, we may encounter unforeseen operating expenses, difficulties, complications, delays and other unknown factors that may result in losses in future periods. Any failure to increase our revenue or manage our expenses could prevent us from achieving profitability at all or on a consistent basis, which would cause our business, financial condition and results of operations to suffer.</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required to recognize goodwill, intangible assets or other long-lived asset impairment charges.</w:t>
      </w:r>
    </w:p>
    <w:p>
      <w:pPr>
        <w:spacing w:after="0" w:line="256" w:lineRule="exact"/>
        <w:rPr>
          <w:sz w:val="20"/>
          <w:szCs w:val="20"/>
          <w:color w:val="auto"/>
        </w:rPr>
      </w:pPr>
    </w:p>
    <w:p>
      <w:pPr>
        <w:ind w:right="20" w:firstLine="486"/>
        <w:spacing w:after="0" w:line="266" w:lineRule="auto"/>
        <w:rPr>
          <w:sz w:val="20"/>
          <w:szCs w:val="20"/>
          <w:color w:val="auto"/>
        </w:rPr>
      </w:pPr>
      <w:r>
        <w:rPr>
          <w:rFonts w:ascii="Times New Roman" w:cs="Times New Roman" w:eastAsia="Times New Roman" w:hAnsi="Times New Roman"/>
          <w:sz w:val="18"/>
          <w:szCs w:val="18"/>
          <w:color w:val="auto"/>
        </w:rPr>
        <w:t>Goodwill and indefinite-lived intangible assets are not amortized and are subject to impairment testing at least annually. Prior events have and future events may, cause impairments of our goodwill or long-lived assets based on factors such as the price of our common stock, projected cash flows, assumptions used or other variables.</w:t>
      </w:r>
    </w:p>
    <w:p>
      <w:pPr>
        <w:spacing w:after="0" w:line="203"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In addition, if we divest long-lived assets at prices below their asset value, we must write them down to fair value resulting in long-lived asset impairment charges, which could adversely affect our financial position or results of operations. We cannot accurately predict the amount and timing of any impairment of assets. We have recognized, and we may be required to recognize additional goodwill or other asset impairment charges which could materially and adversely affect our results of operations. See Item 8 of Part II, Financial Statements and Supplementary Data, for further discussion.</w:t>
      </w:r>
    </w:p>
    <w:p>
      <w:pPr>
        <w:spacing w:after="0" w:line="203"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results of operations have historically varied and may fluctuate significantly, which could make our future results difficult to predict and could cause our results of operations to fall below investor or analyst expectations.</w:t>
      </w:r>
    </w:p>
    <w:p>
      <w:pPr>
        <w:spacing w:after="0" w:line="186"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Our results of operations may fluctuate due to a variety of factors, including many of the risks described in this section, many of which are outside of our control. Many of these factors outside our control could result in increased costs, decreases in the amount of expected revenue and diversion of management’s time and energy, which could materially and adversely impact our business. Our period-to-period results of operations are not necessarily an indication of our future operating performance. In addition, in calculating Non-GAAP Net Income (Loss), we utilize estimates of our net effective tax rate, which may fluctuate based on a number of factors, including tax law changes and the geographic distribution of our profits and losses. As a result, our calculation of Non-GAAP Net Income (Loss) could change from period to period, including due to factors not tied to our financial performance. Furthermore, our revenue, gross margins and profitability in any given period are dependent partially on the service, customer and geographic mix reflected in the respective period. Variations in cost structure and gross margins across business units and services may lead to operating profit volatility on an annual and quarterly basis. Fluctuations in our revenue can lead to even greater fluctuations in our results of operations. Our budgeted expense levels depend in part on our expectations of long-term future revenue. Given the fixed nature of certain operating costs related to our personnel and facilities, any substantial adjustment to our expenses to account for lower than expected levels of revenue will be difficult. Consequently, if our revenue does not meet projected levels, our operating expenses would be high relative to our revenue, which would negatively affect our operating performance. If our revenue or operating results do not meet or exceed the expectations of investors or securities analysts, the price of our common stock may decline.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compete successfully against current and future competitors.</w:t>
      </w:r>
    </w:p>
    <w:p>
      <w:pPr>
        <w:spacing w:after="0" w:line="25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market for our services is highly competitive, quickly evolving and subject to rapid changes in technology. We expect to continue to face intense competition from our existing competitors as well as additional competition from new market entrants in the future as the market for our services continues to grow.</w:t>
      </w:r>
    </w:p>
    <w:p>
      <w:pPr>
        <w:spacing w:after="0" w:line="203" w:lineRule="exact"/>
        <w:rPr>
          <w:sz w:val="20"/>
          <w:szCs w:val="20"/>
          <w:color w:val="auto"/>
        </w:rPr>
      </w:pPr>
    </w:p>
    <w:p>
      <w:pPr>
        <w:ind w:right="120" w:firstLine="486"/>
        <w:spacing w:after="0" w:line="282" w:lineRule="auto"/>
        <w:rPr>
          <w:sz w:val="20"/>
          <w:szCs w:val="20"/>
          <w:color w:val="auto"/>
        </w:rPr>
      </w:pPr>
      <w:r>
        <w:rPr>
          <w:rFonts w:ascii="Times New Roman" w:cs="Times New Roman" w:eastAsia="Times New Roman" w:hAnsi="Times New Roman"/>
          <w:sz w:val="18"/>
          <w:szCs w:val="18"/>
          <w:color w:val="auto"/>
        </w:rPr>
        <w:t>Our current and potential competitors vary by size, service offerings and geographic region. These competitors may elect to partner with each other or with focused companies to grow their businesses. They include:</w:t>
      </w:r>
    </w:p>
    <w:p>
      <w:pPr>
        <w:spacing w:after="0" w:line="189" w:lineRule="exact"/>
        <w:rPr>
          <w:sz w:val="20"/>
          <w:szCs w:val="20"/>
          <w:color w:val="auto"/>
        </w:rPr>
      </w:pPr>
    </w:p>
    <w:p>
      <w:pPr>
        <w:ind w:left="660" w:hanging="166"/>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in-house IT departments of our customers and potential customers;</w:t>
      </w:r>
    </w:p>
    <w:p>
      <w:pPr>
        <w:spacing w:after="0" w:line="117" w:lineRule="exact"/>
        <w:rPr>
          <w:rFonts w:ascii="Times New Roman" w:cs="Times New Roman" w:eastAsia="Times New Roman" w:hAnsi="Times New Roman"/>
          <w:sz w:val="18"/>
          <w:szCs w:val="18"/>
          <w:color w:val="auto"/>
        </w:rPr>
      </w:pPr>
    </w:p>
    <w:p>
      <w:pPr>
        <w:ind w:left="660" w:right="60" w:hanging="166"/>
        <w:spacing w:after="0" w:line="282"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traditional global IT systems integrators, including large multi-national providers, such as Accenture, Atos, Capgemini, Cognizant, Deloitte, DXC Technology and Kyndryl;</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47"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60" w:hanging="166"/>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cloud service providers and digital systems integrators;</w:t>
      </w:r>
    </w:p>
    <w:p>
      <w:pPr>
        <w:spacing w:after="0" w:line="117"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regional managed services providers; and</w:t>
      </w:r>
    </w:p>
    <w:p>
      <w:pPr>
        <w:spacing w:after="0" w:line="117"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colocation solutions providers, such as Equinix, CyrusOne and QTS.</w:t>
      </w:r>
    </w:p>
    <w:p>
      <w:pPr>
        <w:spacing w:after="0" w:line="104" w:lineRule="exact"/>
        <w:rPr>
          <w:sz w:val="20"/>
          <w:szCs w:val="20"/>
          <w:color w:val="auto"/>
        </w:rPr>
      </w:pPr>
    </w:p>
    <w:p>
      <w:pPr>
        <w:jc w:val="both"/>
        <w:ind w:right="100" w:firstLine="486"/>
        <w:spacing w:after="0" w:line="266" w:lineRule="auto"/>
        <w:rPr>
          <w:sz w:val="20"/>
          <w:szCs w:val="20"/>
          <w:color w:val="auto"/>
        </w:rPr>
      </w:pPr>
      <w:r>
        <w:rPr>
          <w:rFonts w:ascii="Times New Roman" w:cs="Times New Roman" w:eastAsia="Times New Roman" w:hAnsi="Times New Roman"/>
          <w:sz w:val="18"/>
          <w:szCs w:val="18"/>
          <w:color w:val="auto"/>
        </w:rPr>
        <w:t>The primary competitive factors in our market are: focus on the cloud, technology and service expertise, customer experience, speed of innovation, strength of relationships with technology partners, automation and scalability, standardized operational processes, geographic reach, brand recognition and reputation and price.</w:t>
      </w:r>
    </w:p>
    <w:p>
      <w:pPr>
        <w:spacing w:after="0" w:line="203" w:lineRule="exact"/>
        <w:rPr>
          <w:sz w:val="20"/>
          <w:szCs w:val="20"/>
          <w:color w:val="auto"/>
        </w:rPr>
      </w:pPr>
    </w:p>
    <w:p>
      <w:pPr>
        <w:ind w:right="160" w:firstLine="486"/>
        <w:spacing w:after="0" w:line="266" w:lineRule="auto"/>
        <w:rPr>
          <w:sz w:val="20"/>
          <w:szCs w:val="20"/>
          <w:color w:val="auto"/>
        </w:rPr>
      </w:pPr>
      <w:r>
        <w:rPr>
          <w:rFonts w:ascii="Times New Roman" w:cs="Times New Roman" w:eastAsia="Times New Roman" w:hAnsi="Times New Roman"/>
          <w:sz w:val="18"/>
          <w:szCs w:val="18"/>
          <w:color w:val="auto"/>
        </w:rPr>
        <w:t>Many of our current and potential competitors have substantially greater financial, technical and marketing resources; relationships with large vendor partners; larger global presence; larger customer bases; longer operating histories; greater brand recognition; and more established relationships in the industry than we do. As a result, some of these competitors may be able to:</w:t>
      </w:r>
    </w:p>
    <w:p>
      <w:pPr>
        <w:spacing w:after="0" w:line="203" w:lineRule="exact"/>
        <w:rPr>
          <w:sz w:val="20"/>
          <w:szCs w:val="20"/>
          <w:color w:val="auto"/>
        </w:rPr>
      </w:pPr>
    </w:p>
    <w:p>
      <w:pPr>
        <w:ind w:left="660" w:hanging="166"/>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superior products or services, gain greater market acceptance and expand their service offerings more efficiently or more rapidly;</w:t>
      </w:r>
    </w:p>
    <w:p>
      <w:pPr>
        <w:spacing w:after="0" w:line="117"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adapt to new or emerging technologies and changes in customer requirements more quickly;</w:t>
      </w:r>
    </w:p>
    <w:p>
      <w:pPr>
        <w:spacing w:after="0" w:line="117"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bundle their offerings, including hosting services, with other services they provide at reduced prices;</w:t>
      </w:r>
    </w:p>
    <w:p>
      <w:pPr>
        <w:spacing w:after="0" w:line="117" w:lineRule="exact"/>
        <w:rPr>
          <w:rFonts w:ascii="Times New Roman" w:cs="Times New Roman" w:eastAsia="Times New Roman" w:hAnsi="Times New Roman"/>
          <w:sz w:val="18"/>
          <w:szCs w:val="18"/>
          <w:color w:val="auto"/>
        </w:rPr>
      </w:pPr>
    </w:p>
    <w:p>
      <w:pPr>
        <w:ind w:left="660" w:right="480" w:hanging="166"/>
        <w:spacing w:after="0" w:line="282"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streamline their operational structure, obtain better pricing or secure more favorable contractual terms, allowing them to deliver services and products at a lower cost;</w:t>
      </w:r>
    </w:p>
    <w:p>
      <w:pPr>
        <w:spacing w:after="0" w:line="5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advantage of acquisition, joint venture and other opportunities more readily;</w:t>
      </w:r>
    </w:p>
    <w:p>
      <w:pPr>
        <w:spacing w:after="0" w:line="117" w:lineRule="exact"/>
        <w:rPr>
          <w:rFonts w:ascii="Times New Roman" w:cs="Times New Roman" w:eastAsia="Times New Roman" w:hAnsi="Times New Roman"/>
          <w:sz w:val="18"/>
          <w:szCs w:val="18"/>
          <w:color w:val="auto"/>
        </w:rPr>
      </w:pPr>
    </w:p>
    <w:p>
      <w:pPr>
        <w:ind w:left="660" w:right="140" w:hanging="166"/>
        <w:spacing w:after="0" w:line="282"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more aggressive pricing policies and devote greater resources to the promotion, marketing and sales of their services, which could cause us to have to lower prices for certain services to remain competitive in the market; and</w:t>
      </w:r>
    </w:p>
    <w:p>
      <w:pPr>
        <w:spacing w:after="0" w:line="5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devote greater resources to the R&amp;D of their products and services.</w:t>
      </w:r>
    </w:p>
    <w:p>
      <w:pPr>
        <w:spacing w:after="0" w:line="360" w:lineRule="exact"/>
        <w:rPr>
          <w:sz w:val="20"/>
          <w:szCs w:val="20"/>
          <w:color w:val="auto"/>
        </w:rPr>
      </w:pPr>
    </w:p>
    <w:p>
      <w:pPr>
        <w:ind w:right="100" w:firstLine="486"/>
        <w:spacing w:after="0" w:line="282" w:lineRule="auto"/>
        <w:rPr>
          <w:sz w:val="20"/>
          <w:szCs w:val="20"/>
          <w:color w:val="auto"/>
        </w:rPr>
      </w:pPr>
      <w:r>
        <w:rPr>
          <w:rFonts w:ascii="Times New Roman" w:cs="Times New Roman" w:eastAsia="Times New Roman" w:hAnsi="Times New Roman"/>
          <w:sz w:val="18"/>
          <w:szCs w:val="18"/>
          <w:color w:val="auto"/>
        </w:rPr>
        <w:t>To the extent we face increased price competition, we may have to lower the prices of certain of our services in the future to stay competitive, while simultaneously seeking to maintain or improve our revenue and gross margin.</w:t>
      </w:r>
    </w:p>
    <w:p>
      <w:pPr>
        <w:spacing w:after="0" w:line="189"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In addition, consolidation activity through strategic mergers, acquisitions and joint ventures may result in new competitors that can offer a broader range of products and services, may have greater scale or a lower cost structure. To the extent such consolidation results in the ability of vertically-integrated companies to offer more integrated services to customers than we can, customers may prefer the single-source approach and direct more business to such competitors, thereby impairing our competitive position. Furthermore, new entrants not currently considered to be competitors may enter the market through acquisitions, partnerships or strategic relationships. As we look to market and sell our services to potential customers, we must convince their internal stakeholders that our services are superior to their current solutions. If we are unable to anticipate or react to these competitive challenges, our competitive position would weaken, which could adversely affect our business, financial condition and results of operations.</w:t>
      </w:r>
    </w:p>
    <w:p>
      <w:pPr>
        <w:spacing w:after="0" w:line="216" w:lineRule="exact"/>
        <w:rPr>
          <w:sz w:val="20"/>
          <w:szCs w:val="20"/>
          <w:color w:val="auto"/>
        </w:rPr>
      </w:pPr>
    </w:p>
    <w:p>
      <w:pPr>
        <w:ind w:right="60" w:firstLine="486"/>
        <w:spacing w:after="0" w:line="266" w:lineRule="auto"/>
        <w:rPr>
          <w:sz w:val="20"/>
          <w:szCs w:val="20"/>
          <w:color w:val="auto"/>
        </w:rPr>
      </w:pPr>
      <w:r>
        <w:rPr>
          <w:rFonts w:ascii="Times New Roman" w:cs="Times New Roman" w:eastAsia="Times New Roman" w:hAnsi="Times New Roman"/>
          <w:sz w:val="18"/>
          <w:szCs w:val="18"/>
          <w:color w:val="auto"/>
        </w:rPr>
        <w:t>We may from time to time enter into strategic relationships with one or more of our competitors. By way of example, we have non-exclusive managed service provider relationships with AWS, Microsoft and Google and have entered into agreements with colocation service providers to provide us with colocation space.</w:t>
      </w:r>
    </w:p>
    <w:p>
      <w:pPr>
        <w:spacing w:after="0" w:line="199"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highly dependent on our ability to maintain favorable relationships with our third-party cloud infrastructure providers and the ability of those third-party cloud infrastructure providers to provide the services and features that our customers desire.</w:t>
      </w:r>
    </w:p>
    <w:p>
      <w:pPr>
        <w:spacing w:after="0" w:line="186"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We have non-exclusive managed service provider relationships with AWS, Microsoft and Google. Some of our customers first select their cloud infrastructure platform provider and then engage us to provide the managed services for the selected platform and, more often than not, we resell the cloud infrastructure to the customer (although some customers may elect to purchase the cloud infrastructure directly from the providers). Our agreements with AWS, Microsoft and Google may be terminated at will by the counterparty. If we are unable to maintain these relationships on favorable terms, or at all, we may not be able to retain our current customers or attract new customers, which could have a material and adverse effect on our business, financial condition and results of operations. Further, if our cloud infrastructure providers are unable to provide the types of services and features that meet customer needs, our customers may migrate to alternative cloud infrastructure providers that we may not have the ability to resell and/or support or may not be able to support on a competitive cost structure, which could have a material and adverse effect on our business, financial condition and results of operations.</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120" w:firstLine="486"/>
        <w:spacing w:after="0" w:line="256" w:lineRule="auto"/>
        <w:rPr>
          <w:sz w:val="20"/>
          <w:szCs w:val="20"/>
          <w:color w:val="auto"/>
        </w:rPr>
      </w:pPr>
      <w:r>
        <w:rPr>
          <w:rFonts w:ascii="Times New Roman" w:cs="Times New Roman" w:eastAsia="Times New Roman" w:hAnsi="Times New Roman"/>
          <w:sz w:val="18"/>
          <w:szCs w:val="18"/>
          <w:color w:val="auto"/>
        </w:rPr>
        <w:t>We rely on our relationships with third-party cloud infrastructure providers to help drive revenue to our business. Most of these providers offer services that are complementary to our services; however, some may compete with us in one or more of our service offerings. These providers may decide in the future to terminate their agreements with us and/or to market and sell a competitor’s or their own services rather than ours, which could cause our revenue to decline. Also, we derive tangible and intangible benefits from our association with some of these providers, particularly high-profile providers that reach a large number of companies through the Internet. If a substantial number of these providers terminate their relationship with us, our business, financial condition and results of operations could be adversely affected.</w:t>
      </w:r>
    </w:p>
    <w:p>
      <w:pPr>
        <w:spacing w:after="0" w:line="210"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referral and reseller partners provide revenue to our business, and we benefit from our association with them. The loss of these participants could adversely affect our business.</w:t>
      </w:r>
    </w:p>
    <w:p>
      <w:pPr>
        <w:spacing w:after="0" w:line="186" w:lineRule="exact"/>
        <w:rPr>
          <w:sz w:val="20"/>
          <w:szCs w:val="20"/>
          <w:color w:val="auto"/>
        </w:rPr>
      </w:pPr>
    </w:p>
    <w:p>
      <w:pPr>
        <w:ind w:right="360" w:firstLine="486"/>
        <w:spacing w:after="0" w:line="256" w:lineRule="auto"/>
        <w:rPr>
          <w:sz w:val="20"/>
          <w:szCs w:val="20"/>
          <w:color w:val="auto"/>
        </w:rPr>
      </w:pPr>
      <w:r>
        <w:rPr>
          <w:rFonts w:ascii="Times New Roman" w:cs="Times New Roman" w:eastAsia="Times New Roman" w:hAnsi="Times New Roman"/>
          <w:sz w:val="18"/>
          <w:szCs w:val="18"/>
          <w:color w:val="auto"/>
        </w:rPr>
        <w:t>Our referral and reseller partners drive revenue to our business. Most of these partners offer services that are complementary to our services; however, some may actually compete with us in one or more of our service offerings. These referral and reseller partners may decide in the future to terminate their agreements with us and/or to market and sell a competitor’s or their own services rather than ours, which could cause our revenue to decline. Also, we derive tangible and intangible benefits from our association with some of our referral and reseller partners, particularly high-profile partners that reach a large number of companies through the Internet. If a substantial number of these partners terminate their relationships with us, our business, financial condition and results of operations could be adversely affected.</w:t>
      </w:r>
    </w:p>
    <w:p>
      <w:pPr>
        <w:spacing w:after="0" w:line="214"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We also receive payments and credits from some of our referral and reseller partners, including consideration under volume incentive programs and shared marketing expense programs. Our referral and reseller partners may decide to terminate or reduce the benefits under their incentive programs, or change the conditions under which we may obtain such benefits, and we may fail to achieve the volumes on which our forecasts for incentive payments and credits are based. Any sizable reduction, termination or significant delay in receiving benefits under these programs could adversely impact our business, financial condition and results of operations. If we are unable to timely react to any changes in our referral and reseller partners’ programs, such as the elimination of funding for some of the activities for which we have been compensated in the past, such changes could adversely impact our business, financial condition and results of operations.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hire and retain qualified employees and management personnel, our strategies and our business could be harmed.</w:t>
      </w:r>
    </w:p>
    <w:p>
      <w:pPr>
        <w:spacing w:after="0" w:line="256" w:lineRule="exact"/>
        <w:rPr>
          <w:sz w:val="20"/>
          <w:szCs w:val="20"/>
          <w:color w:val="auto"/>
        </w:rPr>
      </w:pPr>
    </w:p>
    <w:p>
      <w:pPr>
        <w:ind w:right="60" w:firstLine="486"/>
        <w:spacing w:after="0" w:line="253" w:lineRule="auto"/>
        <w:rPr>
          <w:sz w:val="20"/>
          <w:szCs w:val="20"/>
          <w:color w:val="auto"/>
        </w:rPr>
      </w:pPr>
      <w:r>
        <w:rPr>
          <w:rFonts w:ascii="Times New Roman" w:cs="Times New Roman" w:eastAsia="Times New Roman" w:hAnsi="Times New Roman"/>
          <w:sz w:val="18"/>
          <w:szCs w:val="18"/>
          <w:color w:val="auto"/>
        </w:rPr>
        <w:t>Our ability to be successful and to execute on our strategies depends on our ability to identify, hire, train and retain qualified executives, IT professionals, technical engineers, software developers, operations employees and sales and senior management personnel who maintain relationships with our customers and who can provide the technical, strategic and marketing skills required for our company to grow. Our ability to execute on our sales strategy is also dependent on our ability to identify, hire, train and retain a sufficient number of qualified sales personnel. There is a shortage of qualified personnel in these fields, and like many other companies we have recently encountered additional challenges in hiring and retaining qualified personnel. We compete with other companies for this limited pool of potential employees. Furthermore, the implementation of our strategies will result in changes throughout our business, which may create uncertainty for our employees. Such uncertainties may impair our ability to attract, retain and motivate key personnel and could cause customers, suppliers and others who deal with us to seek to change existing business relationships. In addition, the industry in which we operate is generally characterized by significant competition for skilled personnel, and as our industry becomes more competitive, it could become especially difficult to retain personnel with unique in-demand skills and knowledge, whom we would expect to become recruiting targets for our competitors. There is no assurance that we will be able to recruit or retain qualified personnel or successfully transition knowledge from departing employees, and this failure could cause a dilution of our service-oriented culture and our inability to develop and deliver existing or new operations and services, which could cause our business to be negatively impacted.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Security breaches, cyber-attacks and other interruptions to our or our third-party service providers’ infrastructure have disrupted and may continue to disrupt our internal operations and we may be exposed to claims and liability, lose customers, suffer harm to our reputation, lose business-critical compliance certifications and incur additional costs.</w:t>
      </w:r>
    </w:p>
    <w:p>
      <w:pPr>
        <w:spacing w:after="0" w:line="202" w:lineRule="exact"/>
        <w:rPr>
          <w:sz w:val="20"/>
          <w:szCs w:val="20"/>
          <w:color w:val="auto"/>
        </w:rPr>
      </w:pPr>
    </w:p>
    <w:p>
      <w:pPr>
        <w:ind w:right="40" w:firstLine="486"/>
        <w:spacing w:after="0" w:line="255" w:lineRule="auto"/>
        <w:rPr>
          <w:sz w:val="20"/>
          <w:szCs w:val="20"/>
          <w:color w:val="auto"/>
        </w:rPr>
      </w:pPr>
      <w:r>
        <w:rPr>
          <w:rFonts w:ascii="Times New Roman" w:cs="Times New Roman" w:eastAsia="Times New Roman" w:hAnsi="Times New Roman"/>
          <w:sz w:val="18"/>
          <w:szCs w:val="18"/>
          <w:color w:val="auto"/>
        </w:rPr>
        <w:t>We are materially dependent upon our networks, information technology infrastructure and related technology systems to provide services to our customers, manage our internal operations and support our strategic objectives. Many of our customers require access to our services on a continuous basis and may be materially impaired by interruptions in our or our third-party service providers’ infrastructure. The services we offer also involve the transmission of large amounts of sensitive and proprietary information over public communications networks, as well as the processing and storage of confidential customer information, which may include information subject to stringent domestic and foreign data protection laws, including those governing personally identifiable information, protected health information or other types of sensitive data. We also process, store and transmit our own data as part of our business and operations, which may include personally identifiable, confidential or proprietary information.</w:t>
      </w:r>
    </w:p>
    <w:p>
      <w:pPr>
        <w:spacing w:after="0" w:line="216" w:lineRule="exact"/>
        <w:rPr>
          <w:sz w:val="20"/>
          <w:szCs w:val="20"/>
          <w:color w:val="auto"/>
        </w:rPr>
      </w:pPr>
    </w:p>
    <w:p>
      <w:pPr>
        <w:ind w:firstLine="486"/>
        <w:spacing w:after="0" w:line="252" w:lineRule="auto"/>
        <w:rPr>
          <w:sz w:val="20"/>
          <w:szCs w:val="20"/>
          <w:color w:val="auto"/>
        </w:rPr>
      </w:pPr>
      <w:r>
        <w:rPr>
          <w:rFonts w:ascii="Times New Roman" w:cs="Times New Roman" w:eastAsia="Times New Roman" w:hAnsi="Times New Roman"/>
          <w:sz w:val="18"/>
          <w:szCs w:val="18"/>
          <w:color w:val="auto"/>
        </w:rPr>
        <w:t>Cyber-attacks have become more prevalent in our industry, and the techniques used to sabotage or obtain unauthorized access to systems are constantly expanding and evolving. Malicious actors are increasingly sophisticated in their methods, tactics, techniques and procedures, seeking to steal money, gain unauthorized access to, destroy or manipulate data, and disrupt operations, and some of their attacks may not be recognized or discovered until launched or after initial entry into the environment, such as novel or zero-day attacks that are launched before patches are available and defenses can be readied. Malicious actors are also increasingly developing methods to avoid prevention, detection and alerting capabilities, including employing counter-forensic tactics, making response activities more difficult. Like many companies, we have experienced these attacks, including a ransomware incident that caused service disruptions for our Hosted Exchange customers, as previously disclosed in December 2022. When these cyber-attacks occur, we respond to these incidents pursuant to our cybersecurity policies and procedures and in accordance with the law. Our cybersecurity policies and procedures are designed to protect against and mitigate harm from unauthorized access, infrastructure attacks, malicious file attacks, ransomware, data theft, bugs, worms, malicious software programs, remnant data exposure, computer viruses, denial-of-service attacks, accidents, employee error or malfeasance, intentional misconduct by computer “hackers,” state-sponsored cyber-attacks and attempts by outside parties to fraudulently induce our employees or customers to disclose or grant access to our data or our customers’ data. Our current cybersecurity framework is governed and overseen by the Chief Security Officer (“CSO”). The Audit Committee of our Board receives regular cybersecurity updates. When necessary, our internal incident response team engages with external advisors, including outside counsel or outside cybersecurity firms to investigate and remediate.</w:t>
      </w:r>
    </w:p>
    <w:p>
      <w:pPr>
        <w:spacing w:after="0" w:line="224" w:lineRule="exact"/>
        <w:rPr>
          <w:sz w:val="20"/>
          <w:szCs w:val="20"/>
          <w:color w:val="auto"/>
        </w:rPr>
      </w:pPr>
    </w:p>
    <w:p>
      <w:pPr>
        <w:ind w:right="20" w:firstLine="486"/>
        <w:spacing w:after="0" w:line="252" w:lineRule="auto"/>
        <w:rPr>
          <w:sz w:val="20"/>
          <w:szCs w:val="20"/>
          <w:color w:val="auto"/>
        </w:rPr>
      </w:pPr>
      <w:r>
        <w:rPr>
          <w:rFonts w:ascii="Times New Roman" w:cs="Times New Roman" w:eastAsia="Times New Roman" w:hAnsi="Times New Roman"/>
          <w:sz w:val="18"/>
          <w:szCs w:val="18"/>
          <w:color w:val="auto"/>
        </w:rPr>
        <w:t>Our current security measures are monitored and periodically reviewed. Nevertheless, our security measures have in the past and may continue to be circumvented or fail to defeat or mitigate cybersecurity attacks. Additionally, other disruptions can occur, such as infrastructure gaps, hardware and software vulnerabilities, inadequate or missing security controls, exposed or unprotected customer data and the accidental or intentional disclosure of source code or other confidential information by former or current employees. Any such incidents could (i) interfere with the delivery of services to our customers, (ii) impede our customers’ ability to do business, (iii) compromise the security of infrastructure, systems and data, (iv) lead to the dissemination to third parties of proprietary information or sensitive, personal, or confidential data about us, our employees or our customers, including personally identifiable information of individuals involved with our customers and their end users and (v) impact our ability to do business in the ordinary course. Each of these risks could further intensify as we maintain information in digital form stored on servers connected to the Internet, especially in light of the growing frequency, scope and well-documented sophistication of cyber-attacks and intrusions. Some of our systems or vendors’ systems have experienced past security breaches, and, although they did not have a material adverse effect on our operating results, there can be no assurance of a similar result in the future. Cyber breaches and other security incidents may expose us to increased risk of claims and liability, including litigation, regulatory enforcement, notification obligations and indemnity obligations, as well as loss of existing or potential customers, harm to our reputation, increases in our security costs (including spending material resources to investigate or correct the breach or incident and to prevent future security breaches and incidents), disruption of normal business operations, the impairment or loss of industry certifications and government sanctions (including debarment), all of which could have a material and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The security of our services is important in our customers’ decisions to purchase or use our services. Threats to our infrastructure may not only affect the data that we own but also the data belonging to our customers. When customers use our services, they rely on the security of our infrastructure, including hardware and other elements provided by third parties, to ensure the reliability of our services and the protection of their data. We also offer professional services to our customers where we consult on data center solutions and assist with implementations. We offer managed services domestically and in some jurisdictions outside of the U.S. An actual or perceived breach of, or other security incident relating to, our cloud storage systems and networks could result in significant loss. In the event of a claim, we could be liable for substantial damage awards that may significantly exceed our liability insurance coverage by unknown but significant amounts, which could have a material and adverse effect on our financial condition and results of operations. Additionally, we cannot be certain that our insurance coverage will cover any claims against us relating to any such incident, will continue to be available to us on economically reasonable terms, or at all, or that our insurers will not deny coverage as to any such claim. The successful assertion of one or more large claims against us that exceed available insurance coverage, or the occurrence of changes in our insurance policies, including premium increases or the imposition of large deductible or co-insurance requirements, could adversely affect our reputation, business, financial condition and results of operations. The costs could be exacerbated by regulatory fines and penalties, notification costs and the loss of revenue due to brand and reputational harm.</w:t>
      </w:r>
    </w:p>
    <w:p>
      <w:pPr>
        <w:spacing w:after="0" w:line="214"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Similar security risks exist with respect to our business partners and the third-party vendors that we rely on for aspects of our IT support services and administrative functions, including the systems owned, operated or controlled by other unaffiliated operators to the extent we rely on such other systems to deliver services to our customers. Our cybersecurity policies and procedures are designed to vet third-party providers and provide for adequate oversight and cooperation regarding cybersecurity incidents with respect to our third-party vendors, but our ability to monitor our third-party service providers’ data security is limited. As a result, we are subject to the risk that cyber-attacks on, or other security incidents affecting, our business partners and third-party vendors may adversely affect our business even if an attack or breach does not directly impact our systems. It is also possible that security breaches sustained by, or other security incidents affecting, our competitors could result in negative publicity for our entire industry that indirectly harms our reputation and diminishes demand for our services.</w:t>
      </w:r>
    </w:p>
    <w:p>
      <w:pPr>
        <w:spacing w:after="0" w:line="219" w:lineRule="exact"/>
        <w:rPr>
          <w:sz w:val="20"/>
          <w:szCs w:val="20"/>
          <w:color w:val="auto"/>
        </w:rPr>
      </w:pPr>
    </w:p>
    <w:p>
      <w:pPr>
        <w:ind w:right="120" w:firstLine="486"/>
        <w:spacing w:after="0" w:line="254" w:lineRule="auto"/>
        <w:rPr>
          <w:sz w:val="20"/>
          <w:szCs w:val="20"/>
          <w:color w:val="auto"/>
        </w:rPr>
      </w:pPr>
      <w:r>
        <w:rPr>
          <w:rFonts w:ascii="Times New Roman" w:cs="Times New Roman" w:eastAsia="Times New Roman" w:hAnsi="Times New Roman"/>
          <w:sz w:val="18"/>
          <w:szCs w:val="18"/>
          <w:color w:val="auto"/>
        </w:rPr>
        <w:t>In addition, our customers require and expect that we maintain industry-related compliance certifications, such as International Organization for Standardization ("ISO") 27001, Service Organization Controls ("SOC 1, 2, 3") and Payment Card Industry ("PCI"), Federal Information Security Management Act ("FISMA"), Federal Risk and Authorization Management Program ("FedRAMP") and Health Information Trust Alliance (“HITRUST”) in the U.S., Information Security Registered Assessors Program ("IRAP") in Australia and Public Services Network ("PSN") in the U.K. There are significant costs associated with maintaining existing and implementing any newly-adopted industry-related compliance certifications, including costs associated with retroactively building security controls into services which may involve re-engineering technology, processes and staffing. The inability to maintain applicable compliance certifications could result in monetary fines, disruptive participation in forensic audits due to a breach, security-related control failures, customer contract breaches, customer churn and brand and reputational harm.</w:t>
      </w:r>
    </w:p>
    <w:p>
      <w:pPr>
        <w:spacing w:after="0" w:line="2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See Item 1C - “Cybersecurity” for additional information.</w:t>
      </w:r>
    </w:p>
    <w:p>
      <w:pPr>
        <w:spacing w:after="0" w:line="248"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inability to prevent service disruptions and ensure network uptime could lead to significant costs and could harm our business reputation and have a material and adverse effect on our business, financial condition and results of operations.</w:t>
      </w:r>
    </w:p>
    <w:p>
      <w:pPr>
        <w:spacing w:after="0" w:line="186" w:lineRule="exact"/>
        <w:rPr>
          <w:sz w:val="20"/>
          <w:szCs w:val="20"/>
          <w:color w:val="auto"/>
        </w:rPr>
      </w:pPr>
    </w:p>
    <w:p>
      <w:pPr>
        <w:ind w:right="80" w:firstLine="486"/>
        <w:spacing w:after="0" w:line="256" w:lineRule="auto"/>
        <w:rPr>
          <w:sz w:val="20"/>
          <w:szCs w:val="20"/>
          <w:color w:val="auto"/>
        </w:rPr>
      </w:pPr>
      <w:r>
        <w:rPr>
          <w:rFonts w:ascii="Times New Roman" w:cs="Times New Roman" w:eastAsia="Times New Roman" w:hAnsi="Times New Roman"/>
          <w:sz w:val="18"/>
          <w:szCs w:val="18"/>
          <w:color w:val="auto"/>
        </w:rPr>
        <w:t>Our value proposition to customers is highly dependent on the ability of our existing and potential customers to access our services and platform capabilities at any time and within an acceptable amount of time. We have experienced interruptions in service in the past and may in the future experience service interruptions due to such things as power outages, power equipment failures, cooling equipment failures, network connectivity downtime, routing problems, security issues, hard drive failures, database corruption, system failures, natural disasters, software failures, human and software errors, denial-of-service attacks and other computer failures. Because our ability to attract and retain customers depends on our ability to provide customers with highly reliable service, even minor interruptions in our service could harm our reputation.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60" w:firstLine="486"/>
        <w:spacing w:after="0" w:line="254" w:lineRule="auto"/>
        <w:rPr>
          <w:sz w:val="20"/>
          <w:szCs w:val="20"/>
          <w:color w:val="auto"/>
        </w:rPr>
      </w:pPr>
      <w:r>
        <w:rPr>
          <w:rFonts w:ascii="Times New Roman" w:cs="Times New Roman" w:eastAsia="Times New Roman" w:hAnsi="Times New Roman"/>
          <w:sz w:val="18"/>
          <w:szCs w:val="18"/>
          <w:color w:val="auto"/>
        </w:rPr>
        <w:t>Because our service offerings do not require geographic proximity of our data centers to our customers, our infrastructure is consolidated into a few large facilities. Accordingly, any failure or downtime in one of our data center facilities could affect a significant percentage of our customers. The total destruction or severe impairment of any of our data center facilities could result in significant downtime of our services and the loss of customer data. In addition, it may become increasingly difficult to maintain and improve our performance, especially during peak usage times and as our services and platform capabilities become more complex and our user traffic increases. To the extent that our facilities fail or experience downtime or we do not effectively upgrade our systems as needed or continually develop our technology and network architecture to accommodate actual and anticipated changes in technology, our business, financial condition and results of operations may be adversely affected. Service interruptions continue to be a significant risk for us and could materially and adversely impact our business, financial condition and results of operations.</w:t>
      </w:r>
    </w:p>
    <w:p>
      <w:pPr>
        <w:spacing w:after="0" w:line="2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Any future service interruptions could:</w:t>
      </w:r>
    </w:p>
    <w:p>
      <w:pPr>
        <w:spacing w:after="0" w:line="239" w:lineRule="exact"/>
        <w:rPr>
          <w:sz w:val="20"/>
          <w:szCs w:val="20"/>
          <w:color w:val="auto"/>
        </w:rPr>
      </w:pPr>
    </w:p>
    <w:p>
      <w:pPr>
        <w:ind w:left="660" w:hanging="166"/>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our customers to seek damages for losses incurred;</w:t>
      </w:r>
    </w:p>
    <w:p>
      <w:pPr>
        <w:spacing w:after="0" w:line="117"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payment to us by customers;</w:t>
      </w:r>
    </w:p>
    <w:p>
      <w:pPr>
        <w:spacing w:after="0" w:line="117"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legal claims against us;</w:t>
      </w:r>
    </w:p>
    <w:p>
      <w:pPr>
        <w:spacing w:after="0" w:line="117"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divert our resources;</w:t>
      </w:r>
    </w:p>
    <w:p>
      <w:pPr>
        <w:spacing w:after="0" w:line="117"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replace existing equipment or add redundant facilities;</w:t>
      </w:r>
    </w:p>
    <w:p>
      <w:pPr>
        <w:spacing w:after="0" w:line="117"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affect our reputation as a reliable provider of hosting services;</w:t>
      </w:r>
    </w:p>
    <w:p>
      <w:pPr>
        <w:spacing w:after="0" w:line="117"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existing customers to cancel or elect to not renew their contracts; or</w:t>
      </w:r>
    </w:p>
    <w:p>
      <w:pPr>
        <w:spacing w:after="0" w:line="117"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it more difficult for us to attract new customers.</w:t>
      </w:r>
    </w:p>
    <w:p>
      <w:pPr>
        <w:spacing w:after="0" w:line="360" w:lineRule="exact"/>
        <w:rPr>
          <w:sz w:val="20"/>
          <w:szCs w:val="20"/>
          <w:color w:val="auto"/>
        </w:rPr>
      </w:pPr>
    </w:p>
    <w:p>
      <w:pPr>
        <w:ind w:right="40" w:firstLine="486"/>
        <w:spacing w:after="0" w:line="255" w:lineRule="auto"/>
        <w:rPr>
          <w:sz w:val="20"/>
          <w:szCs w:val="20"/>
          <w:color w:val="auto"/>
        </w:rPr>
      </w:pPr>
      <w:r>
        <w:rPr>
          <w:rFonts w:ascii="Times New Roman" w:cs="Times New Roman" w:eastAsia="Times New Roman" w:hAnsi="Times New Roman"/>
          <w:sz w:val="18"/>
          <w:szCs w:val="18"/>
          <w:color w:val="auto"/>
        </w:rPr>
        <w:t>Our customer agreements include certain service level commitments to our customers relating primarily to network uptime, critical infrastructure availability and hardware replacement. If we are unable to meet the stated service level commitments, we may be contractually obligated to provide these customers with service credits for a portion of the service fees paid by our customers. As a result, a failure to deliver services for a relatively short duration could cause us to issue these credits to a large number of affected customers. In addition, we cannot be assured that our customers will accept these credits in lieu of other legal remedies that may be available to them. Our failure to meet our commitments could also result in substantial customer dissatisfaction or loss. Our failure to meet our service level commitments to our customers could lead to future loss of revenues and have a material and adverse effect on our business, financial condition and results of operations.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operate our data centers relies on access to sufficient and reliable electric power.</w:t>
      </w:r>
    </w:p>
    <w:p>
      <w:pPr>
        <w:spacing w:after="0" w:line="256"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Since our data centers rely on third parties to provide power sufficient to meet operational needs, our data centers could have a limited or inadequate amount of electrical resources necessary to meet our customer requirements. We and other data center operators attempt to limit exposure to system downtime due to power outages by using backup generators and power supplies. However, these protections may not limit our exposure to power shortages or outages entirely. Any system downtime resulting from insufficient power resources or power outages could cause physical damage to equipment, increase our susceptibility to security breaches, damage our reputation and lead us to lose current and potential customers, which would harm our business, financial condition and results of operations.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have reliable Internet, telecommunications and fiber optic network connectivity and capacity may adversely affect our results of operations.</w:t>
      </w:r>
    </w:p>
    <w:p>
      <w:pPr>
        <w:spacing w:after="0" w:line="256" w:lineRule="exact"/>
        <w:rPr>
          <w:sz w:val="20"/>
          <w:szCs w:val="20"/>
          <w:color w:val="auto"/>
        </w:rPr>
      </w:pPr>
    </w:p>
    <w:p>
      <w:pPr>
        <w:ind w:right="20" w:firstLine="486"/>
        <w:spacing w:after="0" w:line="255" w:lineRule="auto"/>
        <w:rPr>
          <w:sz w:val="20"/>
          <w:szCs w:val="20"/>
          <w:color w:val="auto"/>
        </w:rPr>
      </w:pPr>
      <w:r>
        <w:rPr>
          <w:rFonts w:ascii="Times New Roman" w:cs="Times New Roman" w:eastAsia="Times New Roman" w:hAnsi="Times New Roman"/>
          <w:sz w:val="18"/>
          <w:szCs w:val="18"/>
          <w:color w:val="auto"/>
        </w:rPr>
        <w:t>Our success depends in part upon the capacity, reliability and performance of our network infrastructure, including our Internet, telecommunications and fiber optic network connectivity providers. We depend on these companies to provide uninterrupted and error-free service through their telecommunications networks. Some of these providers are also our competitors. We exercise little control over these providers, which increases our vulnerability to problems with the services they provide. We have experienced and expect to continue to experience interruptions or delays in network service. Any failure on our part or the part of our third-party suppliers to achieve or maintain high data transmission capacity, reliability or performance could significantly reduce customer demand for our services and have a material and adverse effect on our business, financial condition and results of operations. We also can provide no assurances that our redundancy planning will be effective.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As our customers’ usage of telecommunications capacity increases, we will be required to make additional investments in our capacity to maintain adequate data transmission speeds, the availability of which may be limited or the cost of which may be on terms unacceptable to us. If adequate capacity is not available to us as our customers’ usage increases, our network may be unable to achieve or maintain sufficiently high data transmission capacity, reliability or performance. In addition, our business and results of operations would suffer if our network suppliers increased the prices for their services and we were unable to successfully pass along the increased costs to our customers.</w:t>
      </w:r>
    </w:p>
    <w:p>
      <w:pPr>
        <w:spacing w:after="0" w:line="206"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overestimated our data center capacity requirements in the past. If we overestimate or underestimate our data center capacity requirements, our business, financial condition and results of operations could be adversely affected.</w:t>
      </w:r>
    </w:p>
    <w:p>
      <w:pPr>
        <w:spacing w:after="0" w:line="186" w:lineRule="exact"/>
        <w:rPr>
          <w:sz w:val="20"/>
          <w:szCs w:val="20"/>
          <w:color w:val="auto"/>
        </w:rPr>
      </w:pPr>
    </w:p>
    <w:p>
      <w:pPr>
        <w:ind w:right="60" w:firstLine="486"/>
        <w:spacing w:after="0" w:line="253" w:lineRule="auto"/>
        <w:rPr>
          <w:sz w:val="20"/>
          <w:szCs w:val="20"/>
          <w:color w:val="auto"/>
        </w:rPr>
      </w:pPr>
      <w:r>
        <w:rPr>
          <w:rFonts w:ascii="Times New Roman" w:cs="Times New Roman" w:eastAsia="Times New Roman" w:hAnsi="Times New Roman"/>
          <w:sz w:val="18"/>
          <w:szCs w:val="18"/>
          <w:color w:val="auto"/>
        </w:rPr>
        <w:t>The costs of building out, leasing and maintaining our data centers constitute a significant portion of our capital and operating expenses. To manage our capacity while minimizing unnecessary excess capacity costs, we continuously evaluate our short and long-term data center capacity requirements, and we have overestimated our data center capacity requirements in the past. However, many of the data center sites that we lease are subject to long-term leases. If our capacity needs are reduced, or if we decide to close a data center, we may nonetheless be committed to perform our obligations under the applicable leases including, among other things, paying the base rent for the balance of the lease term. Moreover, as a result of changing technological trends, we have seen customer demand shift towards our offerings provided on the infrastructure of a third-party cloud infrastructure provider, which reduces our data center capacity needs. In addition, the solutions we offer and our customer-based approach may encourage our customers to move to the public cloud, which may reduce our data center capacity needs. If we overestimate our data center capacity requirements and therefore secure excess data center capacity, our operating margins could be materially reduced. If we underestimate our data center capacity requirements, we may not be able to service the expanding needs of our existing customers and may be required to limit new customer acquisition or enter into leases that are not optimal, both of which may materially and adversely impair our business, financial condition and results of operations.</w:t>
      </w:r>
    </w:p>
    <w:p>
      <w:pPr>
        <w:spacing w:after="0" w:line="21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Real or perceived errors, failures or bugs in our customer solutions, software or technology could adversely affect our business, financial condition and results of operations.</w:t>
      </w:r>
    </w:p>
    <w:p>
      <w:pPr>
        <w:spacing w:after="0" w:line="186"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Undetected real or perceived errors, failures, bugs or defects may be present or occur in the future in our customer solutions, software or technology or the technology or software we license from third parties, including open source software. Despite testing by us, real or perceived errors, failures, bugs or defects may not be found until our customers use our services. Real or perceived errors, failures, bugs or defects in our customer solutions could result in negative publicity, loss of or delay in market acceptance of our services and harm to our brand, weakening of our competitive position, claims by customers for losses sustained by them or failure to meet the stated service level commitments in our customer agreements. In such an event, we may be required, or may choose, for customer relations or other reasons, to expend significant additional resources in order to help correct the problem. Any real or perceived errors, failures, bugs or defects in our customer solutions could also impair our ability to attract new customers, retain existing customers or expand their use of our services, which could adversely affect our business, financial condition and results of operations.</w:t>
      </w:r>
    </w:p>
    <w:p>
      <w:pPr>
        <w:spacing w:after="0" w:line="215"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third-party software that may be difficult to replace, or which could cause errors or failures of our service that could lead to lost customers or harm to our reputation.</w:t>
      </w:r>
    </w:p>
    <w:p>
      <w:pPr>
        <w:spacing w:after="0" w:line="186" w:lineRule="exact"/>
        <w:rPr>
          <w:sz w:val="20"/>
          <w:szCs w:val="20"/>
          <w:color w:val="auto"/>
        </w:rPr>
      </w:pPr>
    </w:p>
    <w:p>
      <w:pPr>
        <w:ind w:right="80" w:firstLine="486"/>
        <w:spacing w:after="0" w:line="256" w:lineRule="auto"/>
        <w:rPr>
          <w:sz w:val="20"/>
          <w:szCs w:val="20"/>
          <w:color w:val="auto"/>
        </w:rPr>
      </w:pPr>
      <w:r>
        <w:rPr>
          <w:rFonts w:ascii="Times New Roman" w:cs="Times New Roman" w:eastAsia="Times New Roman" w:hAnsi="Times New Roman"/>
          <w:sz w:val="18"/>
          <w:szCs w:val="18"/>
          <w:color w:val="auto"/>
        </w:rPr>
        <w:t>We rely on software licensed from third parties to offer our services. This software may not continue to be available to us on commercially reasonable terms, or at all. Any loss of the right to use any of this software could result in delays in the provisioning of our services until equivalent technology is either developed by us, or, if available, is identified, obtained and integrated, which could harm our business, and there is no guarantee that we would be successful in developing, identifying, obtaining or integrating equivalent or similar technology, which could result in the loss or limiting of our services or features available in our services. Any errors or defects in third-party software or inadequate or delayed support by our third-party licensors could result in errors or a failure of our service, which could harm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third-party vendors, including our third-party software licensors, increase their prices and we are unable to pass those increased costs to our customers, it could have a material and adverse effect on our results of operations.</w:t>
      </w:r>
    </w:p>
    <w:p>
      <w:pPr>
        <w:spacing w:after="0" w:line="186" w:lineRule="exact"/>
        <w:rPr>
          <w:sz w:val="20"/>
          <w:szCs w:val="20"/>
          <w:color w:val="auto"/>
        </w:rPr>
      </w:pPr>
    </w:p>
    <w:p>
      <w:pPr>
        <w:ind w:right="120" w:firstLine="486"/>
        <w:spacing w:after="0" w:line="258" w:lineRule="auto"/>
        <w:rPr>
          <w:sz w:val="20"/>
          <w:szCs w:val="20"/>
          <w:color w:val="auto"/>
        </w:rPr>
      </w:pPr>
      <w:r>
        <w:rPr>
          <w:rFonts w:ascii="Times New Roman" w:cs="Times New Roman" w:eastAsia="Times New Roman" w:hAnsi="Times New Roman"/>
          <w:sz w:val="18"/>
          <w:szCs w:val="18"/>
          <w:color w:val="auto"/>
        </w:rPr>
        <w:t>If third-party vendors increase their prices and we are unable to successfully pass those costs on to our customers, it could have a material and adverse effect on our results of operations. Many of our contracts with our customers give us the flexibility to increase our prices from time to time; however, notwithstanding our contractual right to do so, raising prices may decrease the demand for our services, cause customers to terminate their existing relationships with us or limit our ability to attract new customers. Our attempts to otherwise mitigate cost increases or achieve cost reductions can also cause disruptions and operational impacts in the near- and medium-term, including increased costs and distraction of management attention.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services depend in part on intellectual property and proprietary rights and technology licensed from third parties.</w:t>
      </w:r>
    </w:p>
    <w:p>
      <w:pPr>
        <w:spacing w:after="0" w:line="256"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Much of our business and many of our services rely on key technologies developed or licensed by third parties. For example, we sell or otherwise provide licenses to use third-party software in connection with the sale of some of our managed service partner offerings. These third-party software components may become obsolete, defective or incompatible with future versions of our services, or relationships with the third-party licensors may deteriorate, or our agreements with the third-party licensors may expire or be terminated. Additionally, some of these licenses may not be available to us in the future on terms that are acceptable or that allow our service offerings to remain competitive. Our inability to obtain licenses or rights on favorable terms could have a material and adverse effect on our business and results of operations. Furthermore, incorporating intellectual property or proprietary rights licensed from third parties on a non-exclusive basis in our services could limit our ability to protect the intellectual property and proprietary rights in our services and our ability to restrict third parties from developing, selling or otherwise providing similar or competitive technology using the same third-party intellectual property or proprietary rights.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to enterprise customers involve risks that may not be present in or that are present to a greater extent than sales to smaller entities.</w:t>
      </w:r>
    </w:p>
    <w:p>
      <w:pPr>
        <w:spacing w:after="0" w:line="256"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color w:val="auto"/>
        </w:rPr>
        <w:t>We continue to focus a significant portion of our sales efforts on enterprise customers. Sales to such customers generally have longer sales cycles, more complex customer requirements, substantial upfront sales costs and contract terms that are less favorable to us, including as it relates to pricing and limitations on liability. A number of factors influence the length and variability of our sales cycle, including the need to educate potential customers about the uses and benefits of our solutions, the discretionary nature of purchasing and budget cycles and the competitive nature of evaluation and purchasing approval processes. As a result, the length of our sales cycle, from identification of the opportunity to deal closure, may vary significantly from customer to customer, with sales to large enterprises typically taking longer to complete.</w:t>
      </w:r>
    </w:p>
    <w:p>
      <w:pPr>
        <w:spacing w:after="0" w:line="210"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Some of our professional services engagements with our clients are based on estimated pricing terms. If our estimates are incorrect, these terms could become unprofitable.</w:t>
      </w:r>
    </w:p>
    <w:p>
      <w:pPr>
        <w:spacing w:after="0" w:line="186"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Some of our customer contracts for professional services are fixed-price contracts to which we commit before we provide services to these clients. In pricing such fixed-price client contracts, we are required to make estimates and assumptions at the time we enter into these contracts that could differ from actual results. As a result, the profit that is anticipated at a contract’s inception is not guaranteed. Our estimates reflect our best judgments about the nature of the engagement and our expected costs in providing the contracted services. However, any increased or unexpected costs or any unanticipated delays in connection with our performance of these engagements, including delays caused by our third-party providers or by factors outside our control, could make these contracts less profitable or unprofitable and could have an adverse impact on our business, financial condition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enhance and protect our brand, our ability to expand our customer base will be impaired and our business, financial condition and results of operations may suffer.</w:t>
      </w:r>
    </w:p>
    <w:p>
      <w:pPr>
        <w:spacing w:after="0" w:line="186"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We believe that maintaining, enhancing and protecting our brand is important to support the marketing and sale of our existing and future services to new customers and expand sales of our services to existing customers. We also believe that the importance of brand recognition will increase as competition in our market increases. Successfully maintaining, enhancing and protecting our brand will depend largely on the effectiveness of our marketing efforts, our ability to provide reliable services that continue to meet the needs of our customers at competitive prices, our ability to maintain our customers’ trust, our ability to successfully differentiate our services and platform capabilities from competitive services and our ability to obtain, maintain, protect and enforce trademark and other intellectual property protection for our brand. Our brand promotion activities may not generate customer awareness or yield increased revenue, and even if they do, any increased revenue may not offset the expenses incurred in building and maintaining our brand. If we fail to successfully promote, maintain and protect our brand, our business, financial condition and results of operations may be adversely affected.</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operate and expand our business is susceptible to risks associated with international sales and operations.</w:t>
      </w:r>
    </w:p>
    <w:p>
      <w:pPr>
        <w:spacing w:after="0" w:line="256" w:lineRule="exact"/>
        <w:rPr>
          <w:sz w:val="20"/>
          <w:szCs w:val="20"/>
          <w:color w:val="auto"/>
        </w:rPr>
      </w:pPr>
    </w:p>
    <w:p>
      <w:pPr>
        <w:ind w:right="120" w:firstLine="486"/>
        <w:spacing w:after="0" w:line="258" w:lineRule="auto"/>
        <w:rPr>
          <w:sz w:val="20"/>
          <w:szCs w:val="20"/>
          <w:color w:val="auto"/>
        </w:rPr>
      </w:pPr>
      <w:r>
        <w:rPr>
          <w:rFonts w:ascii="Times New Roman" w:cs="Times New Roman" w:eastAsia="Times New Roman" w:hAnsi="Times New Roman"/>
          <w:sz w:val="18"/>
          <w:szCs w:val="18"/>
          <w:color w:val="auto"/>
        </w:rPr>
        <w:t>We have operations across the globe. We anticipate that a significant portion of our revenue will continue to be derived from sources outside of the U.S. A key element of our strategy is to further expand our customer base internationally and successfully operate data centers in foreign markets. Managing a global organization is difficult, time consuming and expensive. If we are unable to manage the risks of our global operations and geographic expansion strategy, our business, results of operations and ability to grow could be materially and adversely affected. In addition, conducting international operations subjects us to new risks that we have not generally faced. These risks include:</w:t>
      </w:r>
    </w:p>
    <w:p>
      <w:pPr>
        <w:spacing w:after="0" w:line="210" w:lineRule="exact"/>
        <w:rPr>
          <w:sz w:val="20"/>
          <w:szCs w:val="20"/>
          <w:color w:val="auto"/>
        </w:rPr>
      </w:pPr>
    </w:p>
    <w:p>
      <w:pPr>
        <w:ind w:left="660" w:right="120" w:hanging="166"/>
        <w:spacing w:after="0" w:line="282"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localization of our services, including translation into foreign languages and adapting to local practices and regulatory requirements and differing technology standards or customer requirements;</w:t>
      </w:r>
    </w:p>
    <w:p>
      <w:pPr>
        <w:spacing w:after="0" w:line="5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familiarity with and unexpected changes in foreign regulatory requirements;</w:t>
      </w:r>
    </w:p>
    <w:p>
      <w:pPr>
        <w:spacing w:after="0" w:line="117"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accounts receivable payment cycles and difficulties in collecting accounts receivable;</w:t>
      </w:r>
    </w:p>
    <w:p>
      <w:pPr>
        <w:spacing w:after="0" w:line="117"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managing and staffing international operations;</w:t>
      </w:r>
    </w:p>
    <w:p>
      <w:pPr>
        <w:spacing w:after="0" w:line="117"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currency exchange rates;</w:t>
      </w:r>
    </w:p>
    <w:p>
      <w:pPr>
        <w:spacing w:after="0" w:line="117"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ability to move cash;</w:t>
      </w:r>
    </w:p>
    <w:p>
      <w:pPr>
        <w:spacing w:after="0" w:line="117"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adverse tax consequences, including the complexities of transfer pricing and foreign value added tax systems;</w:t>
      </w:r>
    </w:p>
    <w:p>
      <w:pPr>
        <w:spacing w:after="0" w:line="117"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associated with repatriating earnings generated or held abroad in a tax-efficient manner and changes in tax laws;</w:t>
      </w:r>
    </w:p>
    <w:p>
      <w:pPr>
        <w:spacing w:after="0" w:line="117"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certain third parties, including channel partners with whom we do not have extensive experience;</w:t>
      </w:r>
    </w:p>
    <w:p>
      <w:pPr>
        <w:spacing w:after="0" w:line="117"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burdens of complying with a wide variety of foreign laws and legal standards;</w:t>
      </w:r>
    </w:p>
    <w:p>
      <w:pPr>
        <w:spacing w:after="0" w:line="117"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financial accounting and reporting burdens and complexities;</w:t>
      </w:r>
    </w:p>
    <w:p>
      <w:pPr>
        <w:spacing w:after="0" w:line="117" w:lineRule="exact"/>
        <w:rPr>
          <w:rFonts w:ascii="Times New Roman" w:cs="Times New Roman" w:eastAsia="Times New Roman" w:hAnsi="Times New Roman"/>
          <w:sz w:val="18"/>
          <w:szCs w:val="18"/>
          <w:color w:val="auto"/>
        </w:rPr>
      </w:pPr>
    </w:p>
    <w:p>
      <w:pPr>
        <w:ind w:left="660" w:right="120" w:hanging="166"/>
        <w:spacing w:after="0" w:line="282"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regulations and procedures and actions affecting production, pricing and marketing of services, including policies adopted by countries that may champion or otherwise favor domestic companies and technologies over foreign competitors;</w:t>
      </w:r>
    </w:p>
    <w:p>
      <w:pPr>
        <w:spacing w:after="0" w:line="5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social and economic instability and corruption abroad, terrorist attacks, civil unrest and security concerns in general;</w:t>
      </w:r>
    </w:p>
    <w:p>
      <w:pPr>
        <w:spacing w:after="0" w:line="117"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pandemics and public health emergencies; and</w:t>
      </w:r>
    </w:p>
    <w:p>
      <w:pPr>
        <w:spacing w:after="0" w:line="117"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or varied protection for intellectual property and proprietary rights in some countries.</w:t>
      </w:r>
    </w:p>
    <w:p>
      <w:pPr>
        <w:spacing w:after="0" w:line="360" w:lineRule="exact"/>
        <w:rPr>
          <w:sz w:val="20"/>
          <w:szCs w:val="20"/>
          <w:color w:val="auto"/>
        </w:rPr>
      </w:pPr>
    </w:p>
    <w:p>
      <w:pPr>
        <w:ind w:right="140" w:firstLine="486"/>
        <w:spacing w:after="0" w:line="282" w:lineRule="auto"/>
        <w:rPr>
          <w:sz w:val="20"/>
          <w:szCs w:val="20"/>
          <w:color w:val="auto"/>
        </w:rPr>
      </w:pPr>
      <w:r>
        <w:rPr>
          <w:rFonts w:ascii="Times New Roman" w:cs="Times New Roman" w:eastAsia="Times New Roman" w:hAnsi="Times New Roman"/>
          <w:sz w:val="18"/>
          <w:szCs w:val="18"/>
          <w:color w:val="auto"/>
        </w:rPr>
        <w:t>Operating in international markets also requires significant management attention and financial resources. The investment and additional resources required to establish operations and manage growth in other countries may not produce desired levels of revenue or profitability.</w:t>
      </w:r>
    </w:p>
    <w:p>
      <w:pPr>
        <w:spacing w:after="0" w:line="185" w:lineRule="exact"/>
        <w:rPr>
          <w:sz w:val="20"/>
          <w:szCs w:val="20"/>
          <w:color w:val="auto"/>
        </w:rPr>
      </w:pPr>
    </w:p>
    <w:p>
      <w:pPr>
        <w:ind w:right="10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Failure to develop and maintain adequate internal systems could cause us to be unable to properly provide service to our customers, causing us to lose customers, suffer harm to our reputation and incur additional costs.</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380" w:firstLine="486"/>
        <w:spacing w:after="0" w:line="261" w:lineRule="auto"/>
        <w:rPr>
          <w:sz w:val="20"/>
          <w:szCs w:val="20"/>
          <w:color w:val="auto"/>
        </w:rPr>
      </w:pPr>
      <w:r>
        <w:rPr>
          <w:rFonts w:ascii="Times New Roman" w:cs="Times New Roman" w:eastAsia="Times New Roman" w:hAnsi="Times New Roman"/>
          <w:sz w:val="18"/>
          <w:szCs w:val="18"/>
          <w:color w:val="auto"/>
        </w:rPr>
        <w:t>Some of our enterprise systems have been designed to support individual service offerings, resulting in a lack of standardization among various internal systems, tools and processes across products, platforms, services, functions and geographies, making it difficult to serve customers who use multiple service offerings. This lack of standardization causes us to implement manual processes to overcome the fragmentation, which can result in increased expense and manual errors.</w:t>
      </w:r>
    </w:p>
    <w:p>
      <w:pPr>
        <w:spacing w:after="0" w:line="207"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We continually seek to drive efficiencies in our infrastructure and business processes. Our inability to manage competing priorities, execute multiple concurrent projects, plan and manage resources effectively and meet deadlines and budgets could result in us not being able to implement the systems needed to speed up implementation of customer solutions and deliver our services in a compelling manner to our customers. If we are unable to drive efficiencies in our infrastructure and business processes, our business, financial condition and results of operations could be adversely affected.</w:t>
      </w:r>
    </w:p>
    <w:p>
      <w:pPr>
        <w:spacing w:after="0" w:line="203"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renew the leases on our existing facilities on terms acceptable to us, if at all, which could adversely affect our business, financial condition and results of operations.</w:t>
      </w:r>
    </w:p>
    <w:p>
      <w:pPr>
        <w:spacing w:after="0" w:line="186"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We do not own the facilities occupied by our current data centers but occupy them pursuant to commercial leasing arrangements. The initial terms of our main existing data center leases expire over the next 14 years. Upon the expiration or termination of our data center facility leases, we may not be able to renew these leases on terms acceptable to us, if at all. Even if we are able to renew the leases on our existing data centers, we expect that rental rates, which will be determined based on then-prevailing market rates with respect to the renewal option periods and which will be determined by negotiation with the landlord after the renewal option periods, will be higher than rates we currently pay under our existing lease agreements. Migrations to new facilities could also be expensive and present technical challenges that may result in downtime for our affected customers or loss of data. There can also be no assurances that our plans to mitigate customer downtime for affected customers will be successful. This could damage our reputation and lead us to lose current and potential customers, which could harm our business, financial condition and results of operations.</w:t>
      </w:r>
    </w:p>
    <w:p>
      <w:pPr>
        <w:spacing w:after="0" w:line="215"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a number of third-party providers for data center space, equipment, maintenance and other services, and the loss of, or problems with, one or more of these providers may impede our growth or cause us to lose customers.</w:t>
      </w:r>
    </w:p>
    <w:p>
      <w:pPr>
        <w:spacing w:after="0" w:line="186"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We rely on third-party providers to supply data center space, equipment and maintenance. For example, we lease data center space from third-party landlords, purchase equipment from equipment providers and source equipment maintenance through third parties. While we have entered into various agreements for the lease of data center space, equipment, maintenance and other services, a third-party could fail to comply with their contractual obligations under those agreements. For example, a data center landlord may fail to adequately maintain its facilities or provide an appropriate data center infrastructure for which it is responsible. If that were to happen, we would not likely be able to deliver the services to our customers that we have agreed to provide according to our standards or at all. Additionally, if the third parties that we rely on fail to deliver on their obligations, our customers may lose confidence in our company, which would make it likely that we would not be able to retain those customers, and could harm our business, financial condition and results of operations.</w:t>
      </w:r>
    </w:p>
    <w:p>
      <w:pPr>
        <w:spacing w:after="0" w:line="215"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various laws, directives, regulations, contractual obligations and policies regarding the protection of confidentiality and appropriate use of personal information.</w:t>
      </w:r>
    </w:p>
    <w:p>
      <w:pPr>
        <w:spacing w:after="0" w:line="186" w:lineRule="exact"/>
        <w:rPr>
          <w:sz w:val="20"/>
          <w:szCs w:val="20"/>
          <w:color w:val="auto"/>
        </w:rPr>
      </w:pPr>
    </w:p>
    <w:p>
      <w:pPr>
        <w:ind w:right="40" w:firstLine="486"/>
        <w:spacing w:after="0" w:line="253" w:lineRule="auto"/>
        <w:rPr>
          <w:sz w:val="20"/>
          <w:szCs w:val="20"/>
          <w:color w:val="auto"/>
        </w:rPr>
      </w:pPr>
      <w:r>
        <w:rPr>
          <w:rFonts w:ascii="Times New Roman" w:cs="Times New Roman" w:eastAsia="Times New Roman" w:hAnsi="Times New Roman"/>
          <w:sz w:val="18"/>
          <w:szCs w:val="18"/>
          <w:color w:val="auto"/>
        </w:rPr>
        <w:t>We are subject to a variety of federal, state, local and international laws, directives and regulations, as well as contractual obligations and policies, relating to the collection, use, retention, security, disclosure, transfer and other processing of information, including sensitive, proprietary, healthcare, financial and personal information. The regulatory framework for privacy and security issues worldwide is complex and rapidly evolving and as a result, implementation standards and enforcement practices are likely to remain uncertain for the foreseeable future. Any failure by us, our suppliers or other parties with whom we do business to comply with our contractual commitments, policies or with federal, state, local or international regulations could result in proceedings against us by governmental entities or others. In many jurisdictions, enforcement actions and consequences for noncompliance are rising. In the U.S., these include enforcement actions in response to rules and regulations promulgated under the authority of federal agencies, state attorneys general and legislatures and consumer protection agencies. In addition, security advocates and industry groups have regularly proposed, and may propose in the future, self-regulatory standards with which we must legally comply or that contractually apply to us. If we fail to follow these security standards even if no personal information is compromised, we may incur significant fines or experience a significant increase in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0" w:firstLine="486"/>
        <w:spacing w:after="0" w:line="252" w:lineRule="auto"/>
        <w:rPr>
          <w:sz w:val="20"/>
          <w:szCs w:val="20"/>
          <w:color w:val="auto"/>
        </w:rPr>
      </w:pPr>
      <w:r>
        <w:rPr>
          <w:rFonts w:ascii="Times New Roman" w:cs="Times New Roman" w:eastAsia="Times New Roman" w:hAnsi="Times New Roman"/>
          <w:sz w:val="18"/>
          <w:szCs w:val="18"/>
          <w:color w:val="auto"/>
        </w:rPr>
        <w:t>Internationally, virtually every jurisdiction in which we operate has established its own data security and privacy legal framework with which we or our customers must comply, including but not limited to the U.K. and the E.U. The E.U. has adopted the General Data Protection Regulation ("E.U. GDPR"), which went into effect in May 2018, and together with national legislation, regulations and guidelines of the E.U. member states, contains numerous requirements and changes from previously existing E.U. law, including the increased jurisdictional reach of the European Commission, more robust obligations on data processors and additional requirements for data protection compliance programs by companies. E.U. member states are tasked under the E.U. GDPR to enact, and have enacted, certain legislation that adds to and/or further interprets the E.U. GDPR requirements and potentially extends our obligations and potential liability for failing to meet such obligations. Among other requirements, the E.U. GDPR regulates transfers of personal data subject to the E.U. GDPR to the U.S. as well as other third countries that have not been found to provide adequate protection to such personal data. While we have taken steps to mitigate the impact on us with respect to transfers of data, such as implementing standard contractual clauses, the efficacy and longevity of these transfer mechanisms remains uncertain. Following Brexit, the U.K. enacted a Data Protection Act substantially implementing the GDPR and amended to align with the E.U. GDPR. It is unclear how U.K. data protection laws or regulations will develop in the medium to longer term. We must comply with the E.U. GDPR and the U.K. GDPR, with each regime having the ability to fine up to the greater of €20 million (in the case of the E.U. GDPR) or £17 million (in the case of the U.K. GDPR) and 4% of total annual revenue. Such penalties are in addition to any civil litigation claims by customers and data subjects. The GDPR requirements apply not only to third-party transactions, but also to transfers of information between us and our subsidiaries, including employee information.</w:t>
      </w:r>
    </w:p>
    <w:p>
      <w:pPr>
        <w:spacing w:after="0" w:line="223" w:lineRule="exact"/>
        <w:rPr>
          <w:sz w:val="20"/>
          <w:szCs w:val="20"/>
          <w:color w:val="auto"/>
        </w:rPr>
      </w:pPr>
    </w:p>
    <w:p>
      <w:pPr>
        <w:ind w:right="140" w:firstLine="486"/>
        <w:spacing w:after="0" w:line="261" w:lineRule="auto"/>
        <w:rPr>
          <w:sz w:val="20"/>
          <w:szCs w:val="20"/>
          <w:color w:val="auto"/>
        </w:rPr>
      </w:pPr>
      <w:r>
        <w:rPr>
          <w:rFonts w:ascii="Times New Roman" w:cs="Times New Roman" w:eastAsia="Times New Roman" w:hAnsi="Times New Roman"/>
          <w:sz w:val="18"/>
          <w:szCs w:val="18"/>
          <w:color w:val="auto"/>
        </w:rPr>
        <w:t>Non-compliance with relevant data privacy laws, directives and regulations, such as the E.U. or U.K. GDPR, could result in proceedings against us by governmental entities, customers, data subjects or others. We may also experience difficulty retaining or obtaining new European or multi-national customers due to the legal requirements, compliance cost, potential risk exposure and uncertainty for these entities, and we may experience significantly increased liability with respect to these customers pursuant to the terms set forth in our engagements with them.</w:t>
      </w:r>
    </w:p>
    <w:p>
      <w:pPr>
        <w:spacing w:after="0" w:line="207"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color w:val="auto"/>
        </w:rPr>
        <w:t>Domestic laws in this area are also complex and developing rapidly. Many state legislatures have adopted legislation that regulates how businesses operate online, including measures relating to privacy, data security and data breaches, and the Consumer Financial Protection Bureau and the Federal Trade Commission, have adopted, or are considering adopting, laws and regulations concerning personal information and data security. In addition, laws in all 50 states require businesses to provide notice to customers whose personally identifiable information has been disclosed as a result of a data breach. The laws are not consistent, and compliance in the event of a widespread data breach is costly. States are also constantly amending existing laws, requiring attention to frequently changing regulatory requirements.</w:t>
      </w:r>
    </w:p>
    <w:p>
      <w:pPr>
        <w:spacing w:after="0" w:line="214" w:lineRule="exact"/>
        <w:rPr>
          <w:sz w:val="20"/>
          <w:szCs w:val="20"/>
          <w:color w:val="auto"/>
        </w:rPr>
      </w:pPr>
    </w:p>
    <w:p>
      <w:pPr>
        <w:ind w:right="40" w:firstLine="486"/>
        <w:spacing w:after="0" w:line="256" w:lineRule="auto"/>
        <w:rPr>
          <w:sz w:val="20"/>
          <w:szCs w:val="20"/>
          <w:color w:val="auto"/>
        </w:rPr>
      </w:pPr>
      <w:r>
        <w:rPr>
          <w:rFonts w:ascii="Times New Roman" w:cs="Times New Roman" w:eastAsia="Times New Roman" w:hAnsi="Times New Roman"/>
          <w:sz w:val="18"/>
          <w:szCs w:val="18"/>
          <w:color w:val="auto"/>
        </w:rPr>
        <w:t>Because the interpretation and application of many privacy and data protection laws along with contractually imposed industry standards are uncertain, it is possible that these laws may be interpreted and applied in a manner that is inconsistent with our existing data management practices or the features of our services and platform capabilities. If so, in addition to the possibility of fines, lawsuits, regulatory investigations, imprisonment of company officials and public censure, other claims and penalties, significant costs for remediation and damage to our reputation, we could be required to fundamentally change our business activities and practices or modify our services and platform capabilities, any of which could have an adverse effect on our business.</w:t>
      </w:r>
    </w:p>
    <w:p>
      <w:pPr>
        <w:spacing w:after="0" w:line="214"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In addition, our Board has adopted a code of conduct that applies to all of our directors, officers and employees which, among other things, sets forth our policies regarding the protection of customer, third party, proprietary and confidential information. We also make public statements about our use and disclosure of personal information through information provided on our website, press statements and our privacy policies, and we have a Chief Privacy Officer that oversees our compliance with these policies. Although we endeavor to comply with our public statements and documentation, including our code of conduct and privacy policies, we may at times fail to do so or be alleged to have failed to do so. The publication of our privacy policies and other statements that provide promises and assurances about data privacy and security can subject us to potential government or legal action if they are found to be deceptive, unfair or misrepresentative of our actual practices.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60" w:firstLine="486"/>
        <w:spacing w:after="0" w:line="256" w:lineRule="auto"/>
        <w:rPr>
          <w:sz w:val="20"/>
          <w:szCs w:val="20"/>
          <w:color w:val="auto"/>
        </w:rPr>
      </w:pPr>
      <w:r>
        <w:rPr>
          <w:rFonts w:ascii="Times New Roman" w:cs="Times New Roman" w:eastAsia="Times New Roman" w:hAnsi="Times New Roman"/>
          <w:sz w:val="18"/>
          <w:szCs w:val="18"/>
          <w:color w:val="auto"/>
        </w:rPr>
        <w:t>Any inability to adequately address privacy and security concerns, even if unfounded, or comply with applicable privacy and data security laws, regulations, contractual obligations and policies, could result in additional cost and liability to us, damage our reputation, inhibit sales and have a material and adverse effect on our business. Furthermore, the costs of compliance with, and other burdens imposed by, the laws, regulations, contractual obligations and policies that are applicable to the businesses of our customers may limit the use and adoption of, and reduce the overall demand for, our services. Privacy and data security concerns, whether valid or not valid, may inhibit market adoption of our services, particularly in certain industries and foreign countries. If we are not able to adjust to changing laws, regulations and standards related to the Internet, our business may be harmed.</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Customers could potentially expose us to lawsuits for their lost profits or damages, which could impair our results of operations.</w:t>
      </w:r>
    </w:p>
    <w:p>
      <w:pPr>
        <w:spacing w:after="0" w:line="256" w:lineRule="exact"/>
        <w:rPr>
          <w:sz w:val="20"/>
          <w:szCs w:val="20"/>
          <w:color w:val="auto"/>
        </w:rPr>
      </w:pPr>
    </w:p>
    <w:p>
      <w:pPr>
        <w:ind w:right="100" w:firstLine="486"/>
        <w:spacing w:after="0" w:line="255" w:lineRule="auto"/>
        <w:rPr>
          <w:sz w:val="20"/>
          <w:szCs w:val="20"/>
          <w:color w:val="auto"/>
        </w:rPr>
      </w:pPr>
      <w:r>
        <w:rPr>
          <w:rFonts w:ascii="Times New Roman" w:cs="Times New Roman" w:eastAsia="Times New Roman" w:hAnsi="Times New Roman"/>
          <w:sz w:val="18"/>
          <w:szCs w:val="18"/>
          <w:color w:val="auto"/>
        </w:rPr>
        <w:t>Because our services are critical to many of our customers’ businesses, any significant disruption in our services could result in lost profits or other indirect or consequential damages to our customers. Although we generally require our customers to sign agreements that contain provisions attempting to limit our liability for service outages, we cannot be assured that a court would enforce any contractual limitations on our liability in the event that one of our customers brings a lawsuit against us as the result of a service interruption or other Internet site or application problems that they may ascribe to us. The outcome of any such lawsuit would depend on the specific facts of the case and any legal and policy considerations that we may not be able to mitigate. In such cases, we could be liable for substantial damage awards that may exceed our insurance coverage by unknown but significant amounts, which could materially and adversely impair our business, financial condition and results of operations.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clients include national, provincial, state and local governmental entities.</w:t>
      </w:r>
    </w:p>
    <w:p>
      <w:pPr>
        <w:spacing w:after="0" w:line="25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government work carries various risks inherent in the government contracting process. These risks include, but are not limited to, the following:</w:t>
      </w:r>
    </w:p>
    <w:p>
      <w:pPr>
        <w:spacing w:after="0" w:line="252" w:lineRule="exact"/>
        <w:rPr>
          <w:sz w:val="20"/>
          <w:szCs w:val="20"/>
          <w:color w:val="auto"/>
        </w:rPr>
      </w:pPr>
    </w:p>
    <w:p>
      <w:pPr>
        <w:ind w:left="660" w:right="80" w:hanging="166"/>
        <w:spacing w:after="0" w:line="261"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entities typically fund projects through appropriated monies and demand is affected by public sector budgetary cycles and funding authorizations. While these projects are often planned and executed as multi-year projects, government entities usually reserve the right to change the scope of or terminate these projects for lack of approved funding and/or at their convenience, which also could limit our recovery of incurred costs, reimbursable expenses and profits on work completed prior to the termination.</w:t>
      </w:r>
    </w:p>
    <w:p>
      <w:pPr>
        <w:spacing w:after="0" w:line="71" w:lineRule="exact"/>
        <w:rPr>
          <w:rFonts w:ascii="Times New Roman" w:cs="Times New Roman" w:eastAsia="Times New Roman" w:hAnsi="Times New Roman"/>
          <w:sz w:val="18"/>
          <w:szCs w:val="18"/>
          <w:color w:val="auto"/>
        </w:rPr>
      </w:pPr>
    </w:p>
    <w:p>
      <w:pPr>
        <w:ind w:left="660" w:right="280" w:hanging="166"/>
        <w:spacing w:after="0" w:line="261"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contracts are subject to heightened reputational and contractual risks compared to contracts with commercial clients. For example, government contracts and the proceedings surrounding them are often subject to more extensive scrutiny and publicity. Negative publicity, including an allegation of improper or illegal activity, regardless of its accuracy, or challenges to government contracts awarded to us, may adversely affect our reputation.</w:t>
      </w:r>
    </w:p>
    <w:p>
      <w:pPr>
        <w:spacing w:after="0" w:line="71" w:lineRule="exact"/>
        <w:rPr>
          <w:rFonts w:ascii="Times New Roman" w:cs="Times New Roman" w:eastAsia="Times New Roman" w:hAnsi="Times New Roman"/>
          <w:sz w:val="18"/>
          <w:szCs w:val="18"/>
          <w:color w:val="auto"/>
        </w:rPr>
      </w:pPr>
    </w:p>
    <w:p>
      <w:pPr>
        <w:ind w:left="660" w:right="40" w:hanging="166"/>
        <w:spacing w:after="0" w:line="282"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contracts can be challenged by other interested parties and such challenges, even if unsuccessful, can increase costs, cause delays and defer project implementation and revenue recognition.</w:t>
      </w:r>
    </w:p>
    <w:p>
      <w:pPr>
        <w:spacing w:after="0" w:line="53" w:lineRule="exact"/>
        <w:rPr>
          <w:rFonts w:ascii="Times New Roman" w:cs="Times New Roman" w:eastAsia="Times New Roman" w:hAnsi="Times New Roman"/>
          <w:sz w:val="18"/>
          <w:szCs w:val="18"/>
          <w:color w:val="auto"/>
        </w:rPr>
      </w:pPr>
    </w:p>
    <w:p>
      <w:pPr>
        <w:jc w:val="both"/>
        <w:ind w:left="660" w:right="40" w:hanging="166"/>
        <w:spacing w:after="0" w:line="266"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Terms and conditions of government contracts also tend to be more onerous and are often more difficult to negotiate. For example, these contracts often contain high liability for breaches and feature less favorable payment terms and sometimes require us to take on liability for the performance of third parties.</w:t>
      </w:r>
    </w:p>
    <w:p>
      <w:pPr>
        <w:spacing w:after="0" w:line="67" w:lineRule="exact"/>
        <w:rPr>
          <w:rFonts w:ascii="Times New Roman" w:cs="Times New Roman" w:eastAsia="Times New Roman" w:hAnsi="Times New Roman"/>
          <w:sz w:val="18"/>
          <w:szCs w:val="18"/>
          <w:color w:val="auto"/>
        </w:rPr>
      </w:pPr>
    </w:p>
    <w:p>
      <w:pPr>
        <w:ind w:left="660" w:right="80" w:hanging="166"/>
        <w:spacing w:after="0" w:line="258"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and economic factors such as pending elections, the outcome of elections, changes in leadership among key executive or legislative decision makers, revisions to governmental tax or other policies and reduced tax revenues can affect the number and terms of new government contracts signed or the speed at which new contracts are signed, decrease future levels of spending and authorizations for programs that we bid, shift spending priorities to programs in areas for which we do not provide services and/or lead to changes in enforcement or how compliance with relevant rules or laws is assessed.</w:t>
      </w:r>
    </w:p>
    <w:p>
      <w:pPr>
        <w:spacing w:after="0" w:line="75" w:lineRule="exact"/>
        <w:rPr>
          <w:rFonts w:ascii="Times New Roman" w:cs="Times New Roman" w:eastAsia="Times New Roman" w:hAnsi="Times New Roman"/>
          <w:sz w:val="18"/>
          <w:szCs w:val="18"/>
          <w:color w:val="auto"/>
        </w:rPr>
      </w:pPr>
    </w:p>
    <w:p>
      <w:pPr>
        <w:ind w:left="660" w:hanging="166"/>
        <w:spacing w:after="0" w:line="261"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government client discovers improper or illegal activities during audits or investigations, we may become subject to various civil and criminal penalties, including those under the civil U.S. False Claims Act and administrative sanctions, which may include termination of contracts, forfeiture of profits, suspension of payments, fines and suspensions or debarment from doing business with other agencies of that government. The inherent limitations of internal controls may not prevent or detect all improper or illegal activities.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65"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60" w:right="40" w:hanging="166"/>
        <w:spacing w:after="0" w:line="255"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government contracting regulations impose strict compliance and disclosure obligations. Disclosure is required if certain company personnel have knowledge of “credible evidence” of a violation of federal criminal laws involving fraud, conflict of interest, bribery or improper gratuity, a violation of the civil U.S. False Claims Act or receipt of a significant overpayment from the government. Failure to make required disclosures could be a basis for suspension and/or debarment from federal government contracting in addition to breach of the specific contract and could also impact contracting beyond the U.S. federal level. Reported matters also could lead to audits or investigations and other civil, criminal or administrative sanctions. In addition, contracting with Federal government bodies may subject us to operational requirements or prohibitions which would increase our compliance costs or increase the risk of non-compliance.</w:t>
      </w:r>
    </w:p>
    <w:p>
      <w:pPr>
        <w:spacing w:after="0" w:line="324" w:lineRule="exact"/>
        <w:rPr>
          <w:sz w:val="20"/>
          <w:szCs w:val="20"/>
          <w:color w:val="auto"/>
        </w:rPr>
      </w:pPr>
    </w:p>
    <w:p>
      <w:pPr>
        <w:ind w:right="160" w:firstLine="486"/>
        <w:spacing w:after="0" w:line="266" w:lineRule="auto"/>
        <w:rPr>
          <w:sz w:val="20"/>
          <w:szCs w:val="20"/>
          <w:color w:val="auto"/>
        </w:rPr>
      </w:pPr>
      <w:r>
        <w:rPr>
          <w:rFonts w:ascii="Times New Roman" w:cs="Times New Roman" w:eastAsia="Times New Roman" w:hAnsi="Times New Roman"/>
          <w:sz w:val="18"/>
          <w:szCs w:val="18"/>
          <w:color w:val="auto"/>
        </w:rPr>
        <w:t>The occurrences or conditions described above could affect not only our business with the government entities involved, but also our business with other entities of the same or other governmental bodies or with certain commercial clients and could have a material and adverse effect on our results of operations.</w:t>
      </w:r>
    </w:p>
    <w:p>
      <w:pPr>
        <w:spacing w:after="0" w:line="203" w:lineRule="exact"/>
        <w:rPr>
          <w:sz w:val="20"/>
          <w:szCs w:val="20"/>
          <w:color w:val="auto"/>
        </w:rPr>
      </w:pPr>
    </w:p>
    <w:p>
      <w:pPr>
        <w:ind w:right="80" w:firstLine="486"/>
        <w:spacing w:after="0" w:line="256" w:lineRule="auto"/>
        <w:rPr>
          <w:sz w:val="20"/>
          <w:szCs w:val="20"/>
          <w:color w:val="auto"/>
        </w:rPr>
      </w:pPr>
      <w:r>
        <w:rPr>
          <w:rFonts w:ascii="Times New Roman" w:cs="Times New Roman" w:eastAsia="Times New Roman" w:hAnsi="Times New Roman"/>
          <w:sz w:val="18"/>
          <w:szCs w:val="18"/>
          <w:color w:val="auto"/>
        </w:rPr>
        <w:t>In addition, the success of our government solutions business is highly dependent on our FISMA and FedRAMP certifications which evidence our ability to meet certain federal government security compliance requirements. Failure to maintain the FedRAMP certification would result in a breach in many of our government contracts, which in turn, could subject us to liability and result in reputational harm and customer and employee attrition. Further, government contracts are increasingly requiring that FedRAMP-authorized service offerings be hosted on public cloud infrastructure. In the event that we are unable to expand the scope of our FedRAMP-authorized service offerings accordingly, it may impair our ability to successfully bid on government contracts.</w:t>
      </w:r>
    </w:p>
    <w:p>
      <w:pPr>
        <w:spacing w:after="0" w:line="210" w:lineRule="exact"/>
        <w:rPr>
          <w:sz w:val="20"/>
          <w:szCs w:val="20"/>
          <w:color w:val="auto"/>
        </w:rPr>
      </w:pPr>
    </w:p>
    <w:p>
      <w:pPr>
        <w:ind w:right="3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operations and operations of our third-party channel partners in countries outside of the U.S. are subject to a number of anti-corruption, anti-bribery, anti-money laundering and similar laws, and non-compliance with such laws can subject us to criminal or civil liability and harm our business, financial condition and results of operations.</w:t>
      </w:r>
    </w:p>
    <w:p>
      <w:pPr>
        <w:spacing w:after="0" w:line="202" w:lineRule="exact"/>
        <w:rPr>
          <w:sz w:val="20"/>
          <w:szCs w:val="20"/>
          <w:color w:val="auto"/>
        </w:rPr>
      </w:pPr>
    </w:p>
    <w:p>
      <w:pPr>
        <w:ind w:firstLine="486"/>
        <w:spacing w:after="0" w:line="252" w:lineRule="auto"/>
        <w:rPr>
          <w:sz w:val="20"/>
          <w:szCs w:val="20"/>
          <w:color w:val="auto"/>
        </w:rPr>
      </w:pPr>
      <w:r>
        <w:rPr>
          <w:rFonts w:ascii="Times New Roman" w:cs="Times New Roman" w:eastAsia="Times New Roman" w:hAnsi="Times New Roman"/>
          <w:sz w:val="18"/>
          <w:szCs w:val="18"/>
          <w:color w:val="auto"/>
        </w:rPr>
        <w:t>We operate internationally and must comply with complex foreign and U.S. laws including the Foreign Corrupt Practices Act (“FCPA”), the U.K. Bribery Act of 2010 and the United Nations Convention Against Corruption, which prohibit engaging in certain activities to obtain or retain business or to influence a person working in an official capacity. We must also comply with economic and trade sanctions administered by the U.S. Department of the Treasury’s Office of Foreign Assets Control (“OFAC”) and the U.S. Commerce Department based on U.S. foreign policy and national security goals against targeted foreign states, organizations and individuals, as well as other anti-corruption and anti-money laundering laws in the countries in which we conduct activities. We do business and may in the future do additional business in countries and regions in which we may face, directly or indirectly, corrupt demands by officials or by private entities in which corrupt offers are expected. Furthermore, many of our operations require us to use third parties to conduct business or to interact with people who are deemed to be governmental officials under the FCPA. Thus, we face the risk of unauthorized payments or offers of payments or other things of value by our employees, contractors or agents. While it is our policy to implement compliance procedures to prohibit these practices, our due diligence policy and the procedures we undertake may not sufficiently vet our third-party channel partners for these risks prior to entering into a contractual relationship with them. As a result, despite our policies and any safeguards and any future improvements made to them, our employees, contractors, third-party channel partners and agents may engage in conduct for which we might be held responsible, regardless of whether such conduct occurs within or outside the U.S. We may also be held responsible for any violations by an acquired company that occurs prior to an acquisition, or subsequent to the acquisition but before we are able to institute our compliance procedures. A violation of any of these laws, even if prohibited by our policies, may result in severe criminal and/or civil sanctions and other penalties and could have a material and adverse effect on our business.</w:t>
      </w:r>
    </w:p>
    <w:p>
      <w:pPr>
        <w:spacing w:after="0" w:line="222" w:lineRule="exact"/>
        <w:rPr>
          <w:sz w:val="20"/>
          <w:szCs w:val="20"/>
          <w:color w:val="auto"/>
        </w:rPr>
      </w:pPr>
    </w:p>
    <w:p>
      <w:pPr>
        <w:ind w:right="40" w:firstLine="486"/>
        <w:spacing w:after="0" w:line="254" w:lineRule="auto"/>
        <w:rPr>
          <w:sz w:val="20"/>
          <w:szCs w:val="20"/>
          <w:color w:val="auto"/>
        </w:rPr>
      </w:pPr>
      <w:r>
        <w:rPr>
          <w:rFonts w:ascii="Times New Roman" w:cs="Times New Roman" w:eastAsia="Times New Roman" w:hAnsi="Times New Roman"/>
          <w:sz w:val="18"/>
          <w:szCs w:val="18"/>
          <w:color w:val="auto"/>
        </w:rPr>
        <w:t>Compliance with U.S. regulations on trade sanctions and embargoes administered by OFAC and the U.S. Commerce Department also poses a risk to us. We cannot provide services to certain countries subject to U.S. trade sanctions. Furthermore, the laws and regulations concerning import activity, export recordkeeping and reporting, export control and economic sanctions are complex and constantly changing. Any failure to comply with applicable legal and regulatory trading obligations could result in criminal and civil penalties and sanctions, such as fines, imprisonment, debarment from governmental contracts, seizure of shipments and loss of import and export privileges. For example, in 2017, prior to our acquisition of Datapipe, one of Datapipe’s European subsidiaries provided network interconnectivity and distributed denial of attack protection service to an Iranian entity subject to OFAC sanctions. Datapipe self-reported the instance to OFAC and we have taken remedial measures to safeguard against re-occurrence. If we provide services to sanctioned targets in the future in violation of applicable export laws or economic sanctions, we could be subject to government investigations, penalties and reputational harm.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- 31 -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00" w:firstLine="486"/>
        <w:spacing w:after="0" w:line="255" w:lineRule="auto"/>
        <w:rPr>
          <w:sz w:val="20"/>
          <w:szCs w:val="20"/>
          <w:color w:val="auto"/>
        </w:rPr>
      </w:pPr>
      <w:r>
        <w:rPr>
          <w:rFonts w:ascii="Times New Roman" w:cs="Times New Roman" w:eastAsia="Times New Roman" w:hAnsi="Times New Roman"/>
          <w:sz w:val="18"/>
          <w:szCs w:val="18"/>
          <w:color w:val="auto"/>
        </w:rPr>
        <w:t>Detecting, investigating and resolving actual or alleged violations of anti-corruption laws can require a significant diversion of time, resources and attention from senior management. In addition, noncompliance with anti-corruption, anti-bribery or anti-money laundering laws could subject us to whistleblower complaints, investigations, sanctions, settlements, prosecution, enforcement actions, fines, damages, other civil or criminal penalties or injunctions, suspension or debarment from contracting with certain persons, reputational harm, adverse media coverage and other collateral consequences. If any subpoenas or investigations are launched, or governmental or other sanctions are imposed, or if we do not prevail in any possible civil or criminal proceeding, our business, financial condition and results of operations could be harmed. In addition, responding to any action will likely result in a materially significant diversion of management’s attention and resources and significant defense costs and other professional fees.</w:t>
      </w:r>
    </w:p>
    <w:p>
      <w:pPr>
        <w:spacing w:after="0" w:line="212"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of our international operations are conducted in countries or regions experiencing corruption or instability, which subjects us to heightened legal and economic risks.</w:t>
      </w:r>
    </w:p>
    <w:p>
      <w:pPr>
        <w:spacing w:after="0" w:line="186" w:lineRule="exact"/>
        <w:rPr>
          <w:sz w:val="20"/>
          <w:szCs w:val="20"/>
          <w:color w:val="auto"/>
        </w:rPr>
      </w:pPr>
    </w:p>
    <w:p>
      <w:pPr>
        <w:ind w:right="40" w:firstLine="486"/>
        <w:spacing w:after="0" w:line="255" w:lineRule="auto"/>
        <w:rPr>
          <w:sz w:val="20"/>
          <w:szCs w:val="20"/>
          <w:color w:val="auto"/>
        </w:rPr>
      </w:pPr>
      <w:r>
        <w:rPr>
          <w:rFonts w:ascii="Times New Roman" w:cs="Times New Roman" w:eastAsia="Times New Roman" w:hAnsi="Times New Roman"/>
          <w:sz w:val="18"/>
          <w:szCs w:val="18"/>
          <w:color w:val="auto"/>
        </w:rPr>
        <w:t>We do business and may in the future do additional business in certain countries or regions in which corruption is a serious problem. Moreover, to effectively compete in certain non-U.S. jurisdictions, it is frequently necessary or required to establish joint ventures, strategic alliances or marketing arrangements with local operators, partners or agents. In certain instances, these local operators, partners or agents may have interests that are not always aligned with ours. Reliance on local operators, partners or agents could expose us to the risk of being unable to control the scope or quality of our overseas services or being held liable under any anti-corruption laws for actions taken by our strategic or local partners or agents even though these partners or agents may not themselves be subject to such anti-corruption laws. Any determination that we have violated anti-corruption laws could have a material and adverse effect on our business, results of operations, reputation or prospects.</w:t>
      </w:r>
    </w:p>
    <w:p>
      <w:pPr>
        <w:spacing w:after="0" w:line="212"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liable for the material that content providers distribute over our network, and we may have to terminate customers that provide content that is determined to be illegal, which could adversely affect our results of operations.</w:t>
      </w:r>
    </w:p>
    <w:p>
      <w:pPr>
        <w:spacing w:after="0" w:line="186"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color w:val="auto"/>
        </w:rPr>
        <w:t>The laws relating to the liability of private network operators for information carried on, stored on, or disseminated through their networks are unsettled or evolving in many jurisdictions. We have been and expect to continue to be subject to legal claims relating to the content disseminated on our network, including claims under The Digital Millennium Copyright Act of 1998, other similar legislation, regulation and common law. In addition, there are other potential customer activities, such as online gambling and pornography, where we, in our role as a hosting provider, may be held liable as an aider or abettor of our customers. If we need to take costly measures to reduce our exposure to these risks, terminate customer relationships and the associated revenue or defend ourselves against such claims, our business, financial condition and results of operations could be negatively affected.</w:t>
      </w:r>
    </w:p>
    <w:p>
      <w:pPr>
        <w:spacing w:after="0" w:line="210"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Government regulation is continuously evolving and, depending on its evolution, may adversely affect our business, financial condition and results of operations.</w:t>
      </w:r>
    </w:p>
    <w:p>
      <w:pPr>
        <w:spacing w:after="0" w:line="186"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We are subject to varying degrees of regulation in each of the jurisdictions in which we provide services. Local laws and regulations, and their interpretation and enforcement, differ significantly among those jurisdictions. These regulations and laws may cover taxation, privacy, data protection, pricing, content, intellectual property and proprietary rights, distribution, mobile communications, electronic device certification, electronic waste, electronic contracts and other communications, consumer protection, web services, the provision of online payment services, unencumbered Internet access to our services, the design and operation of websites, the characteristics and quality of services, machine learning and AI. These laws can be costly to comply with, can be a significant diversion to management’s time and effort and can subject us to claims or other remedies, as well as negative publicity. Many of these laws were adopted prior to the advent of the Internet and related technologies and, as a result, do not contemplate or address the unique issues that the Internet and related technologies currently produce. Some of the laws that do reference the Internet and related technologies have been and continue to be interpreted by the courts, but their applicability and scope remain largely uncertain.</w:t>
      </w:r>
    </w:p>
    <w:p>
      <w:pPr>
        <w:spacing w:after="0" w:line="211"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failure by us to identify, manage, complete and integrate acquisitions and other significant transactions, including dispositions, successfully could harm our business, financial condition and results of operations.</w:t>
      </w:r>
    </w:p>
    <w:p>
      <w:pPr>
        <w:spacing w:after="0" w:line="186" w:lineRule="exact"/>
        <w:rPr>
          <w:sz w:val="20"/>
          <w:szCs w:val="20"/>
          <w:color w:val="auto"/>
        </w:rPr>
      </w:pPr>
    </w:p>
    <w:p>
      <w:pPr>
        <w:ind w:right="180" w:firstLine="486"/>
        <w:spacing w:after="0" w:line="266" w:lineRule="auto"/>
        <w:rPr>
          <w:sz w:val="20"/>
          <w:szCs w:val="20"/>
          <w:color w:val="auto"/>
        </w:rPr>
      </w:pPr>
      <w:r>
        <w:rPr>
          <w:rFonts w:ascii="Times New Roman" w:cs="Times New Roman" w:eastAsia="Times New Roman" w:hAnsi="Times New Roman"/>
          <w:sz w:val="18"/>
          <w:szCs w:val="18"/>
          <w:color w:val="auto"/>
        </w:rPr>
        <w:t>As part of our strategy, we expect to continue to acquire companies or businesses, enter into strategic alliances and joint ventures and make investments to further our business, both domestically and globally (“Strategic Transactions”). Risks associated with these Strategic Transactions include the following, any of which could adversely affect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- 32 -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60" w:right="280" w:hanging="166"/>
        <w:spacing w:after="0" w:line="282"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identify and successfully complete and integrate Strategic Transactions that further our strategic objectives, we may be required to expend resources to develop services and technology internally, which may put us at a competitive disadvantage.</w:t>
      </w:r>
    </w:p>
    <w:p>
      <w:pPr>
        <w:spacing w:after="0" w:line="53" w:lineRule="exact"/>
        <w:rPr>
          <w:rFonts w:ascii="Times New Roman" w:cs="Times New Roman" w:eastAsia="Times New Roman" w:hAnsi="Times New Roman"/>
          <w:sz w:val="18"/>
          <w:szCs w:val="18"/>
          <w:color w:val="auto"/>
        </w:rPr>
      </w:pPr>
    </w:p>
    <w:p>
      <w:pPr>
        <w:jc w:val="both"/>
        <w:ind w:left="660" w:right="200" w:hanging="166"/>
        <w:spacing w:after="0" w:line="266"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to the inherent limitations in the due diligence process, we may not identify all events and circumstances that could impact the valuation or performance of a Strategic Transaction and cause us to incur various expenses in identifying, investigating and pursuing suitable opportunities, whether or not the transactions are completed.</w:t>
      </w:r>
    </w:p>
    <w:p>
      <w:pPr>
        <w:spacing w:after="0" w:line="67"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Managing Strategic Transactions requires varying levels of management resources, which may divert our attention from other business operations.</w:t>
      </w:r>
    </w:p>
    <w:p>
      <w:pPr>
        <w:spacing w:after="0" w:line="128" w:lineRule="exact"/>
        <w:rPr>
          <w:rFonts w:ascii="Times New Roman" w:cs="Times New Roman" w:eastAsia="Times New Roman" w:hAnsi="Times New Roman"/>
          <w:sz w:val="17"/>
          <w:szCs w:val="17"/>
          <w:color w:val="auto"/>
        </w:rPr>
      </w:pPr>
    </w:p>
    <w:p>
      <w:pPr>
        <w:ind w:left="660" w:right="60" w:hanging="166"/>
        <w:spacing w:after="0" w:line="282"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not realized all anticipated benefits, synergies and cost-savings initiatives from certain previous Strategic Transactions, and in the future, we may not fully realize all or any of the anticipated benefits of any particular Strategic Transaction.</w:t>
      </w:r>
    </w:p>
    <w:p>
      <w:pPr>
        <w:spacing w:after="0" w:line="5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adversely impacted by liabilities that we assume from a company we acquire or in which we invest, whether known or unknown.</w:t>
      </w:r>
    </w:p>
    <w:p>
      <w:pPr>
        <w:spacing w:after="0" w:line="117" w:lineRule="exact"/>
        <w:rPr>
          <w:rFonts w:ascii="Times New Roman" w:cs="Times New Roman" w:eastAsia="Times New Roman" w:hAnsi="Times New Roman"/>
          <w:sz w:val="18"/>
          <w:szCs w:val="18"/>
          <w:color w:val="auto"/>
        </w:rPr>
      </w:pPr>
    </w:p>
    <w:p>
      <w:pPr>
        <w:ind w:left="660" w:right="20" w:hanging="166"/>
        <w:spacing w:after="0" w:line="266"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organizational structure could make it difficult for us to efficiently integrate the Strategic Transactions into our on-going operations and retain and assimilate employees of our organization or those of the acquired business. If key employees depart because of integration issues, or if customers, suppliers or others seek to change their dealings with us because of these changes, our business could be negatively impacted.</w:t>
      </w:r>
    </w:p>
    <w:p>
      <w:pPr>
        <w:spacing w:after="0" w:line="67" w:lineRule="exact"/>
        <w:rPr>
          <w:rFonts w:ascii="Times New Roman" w:cs="Times New Roman" w:eastAsia="Times New Roman" w:hAnsi="Times New Roman"/>
          <w:sz w:val="18"/>
          <w:szCs w:val="18"/>
          <w:color w:val="auto"/>
        </w:rPr>
      </w:pPr>
    </w:p>
    <w:p>
      <w:pPr>
        <w:ind w:left="660" w:right="140" w:hanging="166"/>
        <w:spacing w:after="0" w:line="261"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previous Strategic Transactions have resulted, and in the future any such Strategic Transactions by us may result, in significant costs and expenses, including those related to severance pay, early retirement costs, employee benefit costs, charges from the elimination of duplicative facilities, other liabilities, legal, accounting and financial advisory fees and required payments to executive officers and key employees under retention plans.</w:t>
      </w:r>
    </w:p>
    <w:p>
      <w:pPr>
        <w:spacing w:after="0" w:line="71" w:lineRule="exact"/>
        <w:rPr>
          <w:rFonts w:ascii="Times New Roman" w:cs="Times New Roman" w:eastAsia="Times New Roman" w:hAnsi="Times New Roman"/>
          <w:sz w:val="18"/>
          <w:szCs w:val="18"/>
          <w:color w:val="auto"/>
        </w:rPr>
      </w:pPr>
    </w:p>
    <w:p>
      <w:pPr>
        <w:ind w:left="660" w:right="140" w:hanging="166"/>
        <w:spacing w:after="0" w:line="266"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issue equity or equity-linked securities or borrow to finance Strategic Transactions, and the amount and terms of any potential future acquisition-related or other dilutive issuance of equity or borrowings, as well as other factors, could negatively affect our financial condition and results of operations.</w:t>
      </w:r>
    </w:p>
    <w:p>
      <w:pPr>
        <w:spacing w:after="0" w:line="311"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In addition, we may divest assets or businesses that are no longer a part of our strategy. These divestitures similarly require significant investment of time and resources, may disrupt our business and distract management from other responsibilities and may result in losses on disposition or continued financial involvement in the divested business, including through indemnification or other financial arrangements, for a period following the transaction, which could adversely affect our business, financial condition and results of operations.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results of operations could be materially and adversely affected by fluctuations in foreign currency exchange rates.</w:t>
      </w:r>
    </w:p>
    <w:p>
      <w:pPr>
        <w:spacing w:after="0" w:line="256"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Although we report our results of operations in U.S. dollars, a significant portion of our revenue and expenses are denominated in currencies other than the U.S. dollar. Further, the majority of our customers are invoiced, and the majority of our expenses are paid, by us or our subsidiaries in the functional currency of our company or our subsidiaries, respectively. However, some of our customers are currently invoiced in currencies other than the applicable functional currency. As a result, we may incur foreign currency losses based on changes in exchange rates between the date of the invoice and the date of collection. In addition, large changes in foreign exchange rates relative to our functional currencies could increase the costs of our services to non-U.S. customers relative to local competitors, thereby causing us to lose existing or potential customers to these local competitors. Thus, our results of operations are subject to fluctuations due to changes in foreign currency exchange rates. Further, as we grow our international operations, our exposure to foreign currency risk could become more significant. We have entered into, and in the future we may enter into, foreign currency hedging contracts to reduce foreign currency volatility. However, we currently do not maintain foreign currency hedging contracts with respect to all our foreign currencies, and any contracts we have or may enter into may not fully mitigate our foreign currency risk, may prove disadvantageous or may create additional risks.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- 33 -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commodity and market price risks that affect our results of operations.</w:t>
      </w:r>
    </w:p>
    <w:p>
      <w:pPr>
        <w:spacing w:after="0" w:line="256" w:lineRule="exact"/>
        <w:rPr>
          <w:sz w:val="20"/>
          <w:szCs w:val="20"/>
          <w:color w:val="auto"/>
        </w:rPr>
      </w:pPr>
    </w:p>
    <w:p>
      <w:pPr>
        <w:ind w:right="40" w:firstLine="486"/>
        <w:spacing w:after="0" w:line="254" w:lineRule="auto"/>
        <w:rPr>
          <w:sz w:val="20"/>
          <w:szCs w:val="20"/>
          <w:color w:val="auto"/>
        </w:rPr>
      </w:pPr>
      <w:r>
        <w:rPr>
          <w:rFonts w:ascii="Times New Roman" w:cs="Times New Roman" w:eastAsia="Times New Roman" w:hAnsi="Times New Roman"/>
          <w:sz w:val="18"/>
          <w:szCs w:val="18"/>
          <w:color w:val="auto"/>
        </w:rPr>
        <w:t>We consume a large quantity of power to operate our data centers and as such are exposed to risk associated with fluctuations in the price of power. During 2024, we incurred approximately $40 million in costs to power our data centers. We anticipate an increase in our consumption of power in the future if our private cloud sales grow. Power costs vary by locality and are subject to substantial seasonal fluctuations and changes in energy prices. Certain of our data centers are located within deregulated energy markets. Power costs have historically tracked the general costs of energy and continued increases in electricity costs may negatively impact our gross margins. We periodically evaluate the advisability of entering into fixed-price utilities contracts and have entered into certain fixed-price utilities contracts for some of our power consumption. If we choose not to enter into a fixed-price contract, we expose our cost structure to this commodity price risk. If we do choose to enter into a fixed-price contract, we lose the opportunity to reduce our power costs if the price for power falls below the fixed cost. Therefore, increases in our power costs could result in lower gross margins and materially and adversely impact our results of operations.</w:t>
      </w:r>
    </w:p>
    <w:p>
      <w:pPr>
        <w:spacing w:after="0" w:line="211"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Concerns about greenhouse gas emissions and global climate change may result in environmental taxes, charges, assessments or penalties, resulting in increased electricity prices.</w:t>
      </w:r>
    </w:p>
    <w:p>
      <w:pPr>
        <w:spacing w:after="0" w:line="186" w:lineRule="exact"/>
        <w:rPr>
          <w:sz w:val="20"/>
          <w:szCs w:val="20"/>
          <w:color w:val="auto"/>
        </w:rPr>
      </w:pPr>
    </w:p>
    <w:p>
      <w:pPr>
        <w:ind w:right="60" w:firstLine="486"/>
        <w:spacing w:after="0" w:line="256" w:lineRule="auto"/>
        <w:rPr>
          <w:sz w:val="20"/>
          <w:szCs w:val="20"/>
          <w:color w:val="auto"/>
        </w:rPr>
      </w:pPr>
      <w:r>
        <w:rPr>
          <w:rFonts w:ascii="Times New Roman" w:cs="Times New Roman" w:eastAsia="Times New Roman" w:hAnsi="Times New Roman"/>
          <w:sz w:val="18"/>
          <w:szCs w:val="18"/>
          <w:color w:val="auto"/>
        </w:rPr>
        <w:t>The effects of human activity on the global climate change have attracted considerable public and scientific attention, as well as the attention of the U.S. government. Efforts are being made to reduce greenhouse emissions, particularly those from coal combustion by power plants, some of which we rely upon for power. The added cost of any environmental taxes, charges, assessments or penalties levied on these power plants could be passed on to us, increasing the cost to run our data centers. Additionally, environmental taxes, charges, assessments or penalties could be levied directly on us in proportion to our carbon footprint. Any enactment of laws or passage of regulations regarding greenhouse gas emissions by the U.S., or any domestic or foreign jurisdiction we perform business in, could adversely affect our business, financial condition and results of operations.</w:t>
      </w:r>
    </w:p>
    <w:p>
      <w:pPr>
        <w:spacing w:after="0" w:line="210"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utilize open source software in providing a substantial portion of our services. Our use of open source software, and our contributions to open source projects, could impose limitations on our ability to provide our services, expose us to litigation, cause us to impair our assets and allow third parties to access and use software and technology that we use in our business, all of which could adversely affect our business, financial condition and results of operations.</w:t>
      </w:r>
    </w:p>
    <w:p>
      <w:pPr>
        <w:spacing w:after="0" w:line="207"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We utilize open source software, including Linux-based software, in providing a substantial portion of our services and we expect to continue to incorporate open source software in a substantial portion of our services in the future. The terms of many open source licenses have not been interpreted by U.S. courts, and there is a risk that such licenses could be construed in a manner that could impose unanticipated conditions or restrictions on our ability to offer our services. Moreover, we cannot ensure that we have not incorporated additional open source software in a manner that is inconsistent with the terms of the applicable license. If we fail to comply with these licenses, or if we combine our proprietary software with open source software in a certain manner, we may be subject to certain requirements, including requirements that we offer our solutions that incorporate the open source software for no cost, that we make available the source code for modifications or derivative works we create based upon, incorporating or using the open source software, and that we license such modifications or derivative works under the terms of applicable open source licenses.</w:t>
      </w:r>
    </w:p>
    <w:p>
      <w:pPr>
        <w:spacing w:after="0" w:line="219"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Additionally, the use and distribution of open source software can lead to greater risks than the use of third-party commercial software, as some open source projects have known vulnerabilities and open source software does not come with warranties or other contractual protections regarding infringement claims or the quality of the code. From time to time parties have asserted claims against companies that distribute or use open source software in their products and services, asserting that open source software infringes their intellectual property rights. We have been subject to suits, and could be subject to suits in the future, by parties claiming infringement of intellectual property rights with respect to what we believe to be open source software. Litigation could be costly for us to defend, and in such an event, we could be required to seek licenses from third parties to continue using such software or offering certain of our services. If we are unable to obtain a required license, we may have to discontinue the use of such software or the sale of our affected services, which could cause us to breach customer agreements and incur liability to customers. The cost of obtaining such licenses, or the consequences of failing to obtain them, could adversely affect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firstLine="486"/>
        <w:spacing w:after="0" w:line="270" w:lineRule="auto"/>
        <w:rPr>
          <w:sz w:val="20"/>
          <w:szCs w:val="20"/>
          <w:color w:val="auto"/>
        </w:rPr>
      </w:pPr>
      <w:r>
        <w:rPr>
          <w:rFonts w:ascii="Times New Roman" w:cs="Times New Roman" w:eastAsia="Times New Roman" w:hAnsi="Times New Roman"/>
          <w:sz w:val="17"/>
          <w:szCs w:val="17"/>
          <w:color w:val="auto"/>
        </w:rPr>
        <w:t>We also participate in open source projects, including contributing portions of our proprietary software code to such open source projects. Our participation in open source projects, and our use of open source solutions in a substantial portion of our services, could result in an impairment of design and development assets. In addition, our activities with these open source projects could subject us to additional risks of litigation, including indirect infringement claims based on third-party contributors because of our participation in these projects. Furthermore, our participation in open source projects may allow third parties, including our competitors, to have access to software that we use in our business, which could limit our ability to restrict third parties from developing, selling or otherwise providing similar or competitive technology or services, and which may enable our competitors to provide similar services with lower development effort and time, which could ultimately result in a loss of sales for us. While we may be able to claim protection of our intellectual property under other rights, such as trade secrets or contractual rights, our participation in open source projects limits our ability to assert certain of our patent rights against third parties (even if we were to conclude that their use infringes our patents with competing offerings), unless such third parties assert patent rights against us. This limitation on our ability to assert our patent rights against others could harm our business and ability to compete.</w:t>
      </w:r>
    </w:p>
    <w:p>
      <w:pPr>
        <w:spacing w:after="0" w:line="200"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is dependent on our ability to continue to obtain, maintain, protect and enforce the intellectual property and proprietary rights on which our business relies. If we are not successful in obtaining, maintaining, protecting and enforcing our intellectual property and proprietary rights, our business, financial condition and results of operations could be materially and adversely affected.</w:t>
      </w:r>
    </w:p>
    <w:p>
      <w:pPr>
        <w:spacing w:after="0" w:line="202"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In addition to our use of open source software, we rely on patent, copyright, trademark, service mark and trade secret laws, as well as confidentiality procedures and contractual restrictions, to establish and protect our intellectual property and proprietary rights, all of which provide only limited protection. For example, we do not have any patent rights related to our proprietary tools, technology, processes and systems, including Rackspace Fabric, and rely on confidentiality agreements to protect such proprietary rights. We cannot assure you that any future patent, copyright, trademark or service mark registrations will be issued for pending or future applications or that any registered or unregistered copyrights, trademarks or service marks will be enforceable or provide adequate protection of our intellectual property and proprietary rights. Furthermore, the legal standards relating to the validity, enforceability and scope of protection of intellectual property and proprietary rights are uncertain.</w:t>
      </w:r>
    </w:p>
    <w:p>
      <w:pPr>
        <w:spacing w:after="0" w:line="216"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color w:val="auto"/>
        </w:rPr>
        <w:t>We regard our trademarks, trade names and service marks as having significant value, and our brand is an important factor in the marketing of our services. We intend to rely on both registration and common law protection for our trademarks. However, we may be unable to prevent competitors from acquiring trademarks or service marks and other intellectual property and proprietary rights that are similar to, infringe upon, misappropriate, violate or diminish the value of our trademarks and service marks and our other intellectual property and proprietary rights. The value of our intellectual property and proprietary rights could diminish if others assert rights in or ownership of our intellectual property or proprietary rights, or in trademarks that are similar to our trademarks.</w:t>
      </w:r>
    </w:p>
    <w:p>
      <w:pPr>
        <w:spacing w:after="0" w:line="214"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 xml:space="preserve">We also endeavor to enter into agreements with our employees, contractors and parties with whom we do business to limit access to and disclosure of our proprietary information. However, we cannot guarantee that we have entered into such agreements with each party that has or may have had access to our proprietary information, including our know-how and trade secrets. Additionally, we currently have patents issued and patent applications pending in the U.S. and the E.U., primarily related to our legacy OpenStack business. However, our patent applications may be challenged and/or ultimately rejected, and our issued patents may be contested, circumvented, found unenforceable or invalidated. Even if we continue to seek patent protection in the future, we may be unable to obtain or maintain patent protection for our technology. In addition, any patents issued from pending or future patent applications owned by or licensed to us in the future may not provide us with competitive advantages, or may be circumvented or successfully challenged, invalidated or held unenforceable through administrative process, including re-examination,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interference and derivation proceedings and equivalent proceedings in foreign jurisdictions (e.g., opposition proceedings) or litigation. There may be issued patents, or pending patent applications that may result in issued patents, of which we are not aware held by third parties that, if found to be valid and enforceable, could be alleged to be infringed by our current or future technologies or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- 35 -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60" w:firstLine="486"/>
        <w:spacing w:after="0" w:line="253" w:lineRule="auto"/>
        <w:rPr>
          <w:sz w:val="20"/>
          <w:szCs w:val="20"/>
          <w:color w:val="auto"/>
        </w:rPr>
      </w:pPr>
      <w:r>
        <w:rPr>
          <w:rFonts w:ascii="Times New Roman" w:cs="Times New Roman" w:eastAsia="Times New Roman" w:hAnsi="Times New Roman"/>
          <w:sz w:val="18"/>
          <w:szCs w:val="18"/>
          <w:color w:val="auto"/>
        </w:rPr>
        <w:t>Third parties may independently develop technologies that are substantially equivalent, superior to, or otherwise competitive to the technologies we employ in our services or that infringe, misappropriate or otherwise violate our intellectual property and proprietary rights. If we fail to protect our intellectual property and proprietary rights adequately, our competitors may gain access to our proprietary technology and develop and commercialize substantially identical services or technologies, and the steps we have taken may not prevent unauthorized use, access, distribution, misappropriation, reverse engineering or disclosure of our intellectual property and proprietary information, including our know-how and trade secrets. Enforcement of our intellectual property and proprietary rights also depends on successful legal actions against infringers and parties who misappropriate or otherwise violate our intellectual property and proprietary rights, including our proprietary information and trade secrets, but these actions may not be successful, even when our rights have been infringed, misappropriated or otherwise violated. In addition, the laws of some foreign countries do not protect our intellectual property and proprietary rights to the same extent as the laws of the U.S., and patent, trademark, copyright and trade secret protection may not be available to us in every country in which our services are available.</w:t>
      </w:r>
    </w:p>
    <w:p>
      <w:pPr>
        <w:spacing w:after="0" w:line="221" w:lineRule="exact"/>
        <w:rPr>
          <w:sz w:val="20"/>
          <w:szCs w:val="20"/>
          <w:color w:val="auto"/>
        </w:rPr>
      </w:pPr>
    </w:p>
    <w:p>
      <w:pPr>
        <w:ind w:right="120" w:firstLine="486"/>
        <w:spacing w:after="0" w:line="254" w:lineRule="auto"/>
        <w:rPr>
          <w:sz w:val="20"/>
          <w:szCs w:val="20"/>
          <w:color w:val="auto"/>
        </w:rPr>
      </w:pPr>
      <w:r>
        <w:rPr>
          <w:rFonts w:ascii="Times New Roman" w:cs="Times New Roman" w:eastAsia="Times New Roman" w:hAnsi="Times New Roman"/>
          <w:sz w:val="18"/>
          <w:szCs w:val="18"/>
          <w:color w:val="auto"/>
        </w:rPr>
        <w:t>Despite the measures taken by us, it may be possible for a third party to copy or otherwise obtain and use our intellectual property and proprietary rights, including our technology and information, without authorization. Policing unauthorized use of our proprietary technologies and other intellectual property and our services is difficult, time-consuming and costly, and litigation could become necessary in the future to protect or enforce our intellectual property and proprietary rights. Any such litigation could be time consuming and expensive to prosecute or resolve, result in substantial diversion of management attention and resources and harm our business and results of operations. Furthermore, any such litigation may ultimately be unsuccessful and could result in the impairment or loss of portions of our intellectual property and proprietary rights. Additionally, our efforts to enforce our intellectual property and proprietary rights may be met with defenses, counterclaims and countersuits attacking the validity and enforceability of our intellectual property and proprietary rights, and if such defenses, counterclaims or countersuits are successful, we could lose valuable intellectual property and proprietary rights.</w:t>
      </w:r>
    </w:p>
    <w:p>
      <w:pPr>
        <w:spacing w:after="0" w:line="211"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Third-party claims of intellectual property or proprietary right infringement, misappropriation or other violation may be costly to defend and may limit or disrupt our ability to sell our services.</w:t>
      </w:r>
    </w:p>
    <w:p>
      <w:pPr>
        <w:spacing w:after="0" w:line="186" w:lineRule="exact"/>
        <w:rPr>
          <w:sz w:val="20"/>
          <w:szCs w:val="20"/>
          <w:color w:val="auto"/>
        </w:rPr>
      </w:pPr>
    </w:p>
    <w:p>
      <w:pPr>
        <w:ind w:firstLine="486"/>
        <w:spacing w:after="0" w:line="251" w:lineRule="auto"/>
        <w:rPr>
          <w:sz w:val="20"/>
          <w:szCs w:val="20"/>
          <w:color w:val="auto"/>
        </w:rPr>
      </w:pPr>
      <w:r>
        <w:rPr>
          <w:rFonts w:ascii="Times New Roman" w:cs="Times New Roman" w:eastAsia="Times New Roman" w:hAnsi="Times New Roman"/>
          <w:sz w:val="18"/>
          <w:szCs w:val="18"/>
          <w:color w:val="auto"/>
        </w:rPr>
        <w:t>Third-party claims of intellectual property or proprietary right infringement, misappropriation or other violation are commonplace in technology-related industries. Companies in the technology industry, holding companies, non-practicing entities and other adverse intellectual property owners who may or may not have relevant service revenue, but are seeking to profit from royalties in connection with grants of licenses, own large numbers of patents, copyrights, trademarks, service marks and trade secrets and frequently make claims of allegations of infringement, misappropriation or other violations of intellectual property and proprietary rights and may pursue litigation against us. These or other parties have claimed in the past, and could claim in the future, that we have misappropriated, violated, infringed or misused intellectual property proprietary rights. Additionally, as we expand our use of AI, there may be uncertainty regarding intellectual property ownership and license rights of AI algorithms and content generated by AI, and we may become subject to similar claims of infringement in the future. We could incur substantial costs in defending any such litigation, and any such litigation, regardless of merit or outcome, could be time consuming and expensive to settle or litigate and could divert the attention of our technical and management personnel and could harm our business, results of operations and reputation. An adverse determination in any such litigation could prevent us from offering our services to our customers and may require that we procure or develop substitute services that do not infringe, misappropriate or otherwise violate, which could be costly, time-consuming or impossible, or require us to obtain a costly and/or unfavorable license. Certain of our agreements with our customers and other third parties include indemnification provisions under which we agree to indemnify or otherwise be liable to them for losses suffered or incurred as a result of claims of infringement, misappropriation or other violation of intellectual property rights. For any intellectual property or proprietary right claim against us or our customers or such other third parties, we may also have to pay damages (including treble damages and attorneys’ fees if we are found to have willfully infringed a party’s rights), indemnify our customers or such other third parties against damages or stop using technology or intellectual property found to be in violation of a third party’s rights, which could harm our business. We may be unable to replace or obtain a license for those technologies with technologies that have the same features or functionality and that are of equal quality and performance standards on commercially reasonable terms or at all. Licensing replacement technologies and intellectual property may significantly increase our operating expenses or may require us to restrict our business activities in one or more respects. We may also be required to develop alternative technology and intellectual property that is non-infringing, misappropriating or violating, which could require significant effort, time and expense and ultimately may not be an alternative that functions as well as the original or is accepted in the marketplace.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- 36 -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have additional tax liabilities.</w:t>
      </w:r>
    </w:p>
    <w:p>
      <w:pPr>
        <w:spacing w:after="0" w:line="256" w:lineRule="exact"/>
        <w:rPr>
          <w:sz w:val="20"/>
          <w:szCs w:val="20"/>
          <w:color w:val="auto"/>
        </w:rPr>
      </w:pPr>
    </w:p>
    <w:p>
      <w:pPr>
        <w:ind w:right="20" w:firstLine="486"/>
        <w:spacing w:after="0" w:line="255" w:lineRule="auto"/>
        <w:rPr>
          <w:sz w:val="20"/>
          <w:szCs w:val="20"/>
          <w:color w:val="auto"/>
        </w:rPr>
      </w:pPr>
      <w:r>
        <w:rPr>
          <w:rFonts w:ascii="Times New Roman" w:cs="Times New Roman" w:eastAsia="Times New Roman" w:hAnsi="Times New Roman"/>
          <w:sz w:val="18"/>
          <w:szCs w:val="18"/>
          <w:color w:val="auto"/>
        </w:rPr>
        <w:t>We are subject to a variety of taxes and tax collection obligations in the U.S. (federal and state) and numerous foreign jurisdictions. Significant judgment is required in determining our worldwide provision for income taxes. We may recognize additional tax expense and be subject to additional tax liabilities, including other liabilities for tax collection obligations due to changes in laws, regulations, administrative practices, principles and interpretations related to tax, including changes to the global tax framework, competition and other laws and accounting rules in various jurisdictions. Such changes could come about as a result of economic, political and other conditions, or certain jurisdictions aggressively interpreting their laws in an effort to raise additional tax revenue. An increasing number of jurisdictions are considering or have unilaterally adopted laws or country-by-country reporting requirements that could adversely affect our effective tax rates or result in other costs to us which could adversely affect our operating results.</w:t>
      </w:r>
    </w:p>
    <w:p>
      <w:pPr>
        <w:spacing w:after="0" w:line="216" w:lineRule="exact"/>
        <w:rPr>
          <w:sz w:val="20"/>
          <w:szCs w:val="20"/>
          <w:color w:val="auto"/>
        </w:rPr>
      </w:pPr>
    </w:p>
    <w:p>
      <w:pPr>
        <w:ind w:right="60" w:firstLine="486"/>
        <w:spacing w:after="0" w:line="258" w:lineRule="auto"/>
        <w:rPr>
          <w:sz w:val="20"/>
          <w:szCs w:val="20"/>
          <w:color w:val="auto"/>
        </w:rPr>
      </w:pPr>
      <w:r>
        <w:rPr>
          <w:rFonts w:ascii="Times New Roman" w:cs="Times New Roman" w:eastAsia="Times New Roman" w:hAnsi="Times New Roman"/>
          <w:sz w:val="18"/>
          <w:szCs w:val="18"/>
          <w:color w:val="auto"/>
        </w:rPr>
        <w:t>We are also currently subject to tax audits in various jurisdictions, and these jurisdictions may assess additional tax liabilities against us. Developments in an audit, investigation or other tax controversy could have a material and adverse effect on our operating results or cash flows in the period or periods for which that development occurs, as well as for prior and subsequent periods. We regularly assess the likelihood of an adverse outcome resulting from these proceedings to determine the adequacy of our tax accruals. Although we believe our tax estimates are reasonable, the final outcome of audits, investigations and any other tax controversies could be materially different from our historical tax accruals.</w:t>
      </w:r>
    </w:p>
    <w:p>
      <w:pPr>
        <w:spacing w:after="0" w:line="206"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cross border trade policies, including the imposition of tariffs and the resulting consequences, may have a material and adverse impact on our business, financial condition and results of operations.</w:t>
      </w:r>
    </w:p>
    <w:p>
      <w:pPr>
        <w:spacing w:after="0" w:line="186"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The U.S. government has an evolving approach to cross border trade policy and in some cases it may seek to renegotiate, or potentially terminate, certain existing bilateral or multilateral trade agreements. It has also imposed and may continue to impose additional tariffs on certain foreign goods, including information and communication technology products. These measures may materially increase costs for goods imported into the U.S. This in turn could mean that a larger portion of our customers’ IT spending will be made on hardware costs and less will be available to spend on our services, which could adversely affect our business, financial condition and results of operations. In addition, non-U.S. governments have imposed and may continue to impose tariffs (including retaliatory tariffs) on the import of U.S. goods, which could similarly impact the amount of IT spending available to customers located outside of the U.S. In particular, geopolitical and trade tensions between the U.S. and China have been escalating and it is difficult to predict what further trade-related actions the U.S. and other governments may take, whether the new 2025 U.S. administration may heighten tensions and the longer-term implications of trade-related actions on various market opportunities.</w:t>
      </w: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 Related to Our Indebtedness</w:t>
      </w:r>
    </w:p>
    <w:p>
      <w:pPr>
        <w:spacing w:after="0" w:line="252"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substantial indebtedness could materially and adversely affect our ability to raise additional capital to fund our operations, limit our ability to react to changes in the economy or our industry and prevent us from making debt service payments.</w:t>
      </w:r>
    </w:p>
    <w:p>
      <w:pPr>
        <w:spacing w:after="0" w:line="18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are a highly leveraged company. As of December 31, 2024, we had $2,449.4 million face value of outstanding indebtedness, in addition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$375.0 million of undrawn commitments under the New Revolving Credit Facility and $23.5 million of letters of credit issued thereunder. Our outstanding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indebtedness as of December 31, 2024 included $272.9 million of borrowings under the FLFO Term Loan Facility, $1,626.8 million of borrowings 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FLSO Term Loan Facility, $61.8 million of borrowings under the Term Loan Facility, $318.6 million of 3.50% FLSO Senior Secured Notes, $125.4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 of 5.375% Senior Notes, and $43.9 million of 3.50% Senior Secured Notes. For the years ended December 31, 2023 and 2024, we made total debt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service payments, consisting of required principal and interest payments, of approximately $200.7 million and $162.1 million, respectively, which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represented 53.5% and 406.2%, respectively, of our cash flow from operations (or 36.3% and 88.9%, respectively, of our cash flow from operations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calculated prior to any deductions for cash interest payments).</w:t>
      </w:r>
    </w:p>
    <w:p>
      <w:pPr>
        <w:spacing w:after="0" w:line="23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substantial indebtedness could have important consequences. For example, it could:</w:t>
      </w:r>
    </w:p>
    <w:p>
      <w:pPr>
        <w:spacing w:after="0" w:line="117" w:lineRule="exact"/>
        <w:rPr>
          <w:sz w:val="20"/>
          <w:szCs w:val="20"/>
          <w:color w:val="auto"/>
        </w:rPr>
      </w:pPr>
    </w:p>
    <w:p>
      <w:pPr>
        <w:ind w:left="660" w:hanging="166"/>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ability to borrow money for our working capital, capital expenditures, debt service requirements, strategic initiatives or other purposes;</w:t>
      </w:r>
    </w:p>
    <w:p>
      <w:pPr>
        <w:spacing w:after="0" w:line="117" w:lineRule="exact"/>
        <w:rPr>
          <w:rFonts w:ascii="Times New Roman" w:cs="Times New Roman" w:eastAsia="Times New Roman" w:hAnsi="Times New Roman"/>
          <w:sz w:val="18"/>
          <w:szCs w:val="18"/>
          <w:color w:val="auto"/>
        </w:rPr>
      </w:pPr>
    </w:p>
    <w:p>
      <w:pPr>
        <w:jc w:val="both"/>
        <w:ind w:left="660" w:hanging="166"/>
        <w:spacing w:after="0" w:line="266"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it more difficult for us to satisfy our obligations with respect to our indebtedness and any failure to comply with the obligations of any of our debt instruments, including restrictive covenants and borrowing conditions, could result in an event of default under the agreements governing our indebtedness;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61"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60" w:right="340" w:hanging="166"/>
        <w:spacing w:after="0" w:line="282"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dedicate a substantial portion of our cash flow from operations to the payment of interest and the repayment of our indebtedness, thereby reducing funds available to us for other purposes;</w:t>
      </w:r>
    </w:p>
    <w:p>
      <w:pPr>
        <w:spacing w:after="0" w:line="5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flexibility in planning for, or reacting to, changes in our operations or business;</w:t>
      </w:r>
    </w:p>
    <w:p>
      <w:pPr>
        <w:spacing w:after="0" w:line="117"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us more highly leveraged than some of our competitors, which may place us at a competitive disadvantage;</w:t>
      </w:r>
    </w:p>
    <w:p>
      <w:pPr>
        <w:spacing w:after="0" w:line="117"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our rent expense on leased space and interest expense from financing leases, which could be significant;</w:t>
      </w:r>
    </w:p>
    <w:p>
      <w:pPr>
        <w:spacing w:after="0" w:line="117"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us more vulnerable to downturns in our business, our industry or the economy;</w:t>
      </w:r>
    </w:p>
    <w:p>
      <w:pPr>
        <w:spacing w:after="0" w:line="117" w:lineRule="exact"/>
        <w:rPr>
          <w:rFonts w:ascii="Times New Roman" w:cs="Times New Roman" w:eastAsia="Times New Roman" w:hAnsi="Times New Roman"/>
          <w:sz w:val="18"/>
          <w:szCs w:val="18"/>
          <w:color w:val="auto"/>
        </w:rPr>
      </w:pPr>
    </w:p>
    <w:p>
      <w:pPr>
        <w:ind w:left="660" w:right="860" w:hanging="166"/>
        <w:spacing w:after="0" w:line="282"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 us from making strategic acquisitions, engaging in development activities, introducing new technologies or exploiting business opportunities;</w:t>
      </w:r>
    </w:p>
    <w:p>
      <w:pPr>
        <w:spacing w:after="0" w:line="5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us to make non-strategic divestitures;</w:t>
      </w:r>
    </w:p>
    <w:p>
      <w:pPr>
        <w:spacing w:after="0" w:line="117" w:lineRule="exact"/>
        <w:rPr>
          <w:rFonts w:ascii="Times New Roman" w:cs="Times New Roman" w:eastAsia="Times New Roman" w:hAnsi="Times New Roman"/>
          <w:sz w:val="18"/>
          <w:szCs w:val="18"/>
          <w:color w:val="auto"/>
        </w:rPr>
      </w:pPr>
    </w:p>
    <w:p>
      <w:pPr>
        <w:ind w:left="660" w:right="260" w:hanging="166"/>
        <w:spacing w:after="0" w:line="282"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along with the financial and other restrictive covenants in our indebtedness, among other things, our ability to borrow additional funds or dispose of assets;</w:t>
      </w:r>
    </w:p>
    <w:p>
      <w:pPr>
        <w:spacing w:after="0" w:line="53" w:lineRule="exact"/>
        <w:rPr>
          <w:rFonts w:ascii="Times New Roman" w:cs="Times New Roman" w:eastAsia="Times New Roman" w:hAnsi="Times New Roman"/>
          <w:sz w:val="18"/>
          <w:szCs w:val="18"/>
          <w:color w:val="auto"/>
        </w:rPr>
      </w:pPr>
    </w:p>
    <w:p>
      <w:pPr>
        <w:ind w:left="660" w:hanging="166"/>
        <w:spacing w:after="0" w:line="282"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prevent us from repurchasing or repaying our senior notes or credit facilities upon certain change of control events, which would result in an event of default under the agreements governing such debt; or</w:t>
      </w:r>
    </w:p>
    <w:p>
      <w:pPr>
        <w:spacing w:after="0" w:line="53" w:lineRule="exact"/>
        <w:rPr>
          <w:rFonts w:ascii="Times New Roman" w:cs="Times New Roman" w:eastAsia="Times New Roman" w:hAnsi="Times New Roman"/>
          <w:sz w:val="18"/>
          <w:szCs w:val="18"/>
          <w:color w:val="auto"/>
        </w:rPr>
      </w:pPr>
    </w:p>
    <w:p>
      <w:pPr>
        <w:ind w:left="660" w:right="300" w:hanging="166"/>
        <w:spacing w:after="0" w:line="282"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expose us to the risk of increased interest rates, as certain of our borrowings, including borrowings under the New Senior Facilities and Senior Facilities, are at variable rates of interest.</w:t>
      </w:r>
    </w:p>
    <w:p>
      <w:pPr>
        <w:spacing w:after="0" w:line="54" w:lineRule="exact"/>
        <w:rPr>
          <w:sz w:val="20"/>
          <w:szCs w:val="20"/>
          <w:color w:val="auto"/>
        </w:rPr>
      </w:pPr>
    </w:p>
    <w:p>
      <w:pPr>
        <w:ind w:right="60" w:firstLine="486"/>
        <w:spacing w:after="0" w:line="266" w:lineRule="auto"/>
        <w:rPr>
          <w:sz w:val="20"/>
          <w:szCs w:val="20"/>
          <w:color w:val="auto"/>
        </w:rPr>
      </w:pPr>
      <w:r>
        <w:rPr>
          <w:rFonts w:ascii="Times New Roman" w:cs="Times New Roman" w:eastAsia="Times New Roman" w:hAnsi="Times New Roman"/>
          <w:sz w:val="18"/>
          <w:szCs w:val="18"/>
          <w:color w:val="auto"/>
        </w:rPr>
        <w:t>In addition, many of our debt instruments contain restrictive covenants that limit our ability to engage in activities that may be in our long-term best interest. Our failure to comply with those covenants could result in an event of default which, if not cured or waived, could result in the acceleration of substantially all of our indebtedness.</w:t>
      </w:r>
    </w:p>
    <w:p>
      <w:pPr>
        <w:spacing w:after="0" w:line="64"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Despite our substantial indebtedness, we may still be able to incur significantly more debt, including secured debt, which could intensify the risks associated with our indebtedness.</w:t>
      </w:r>
    </w:p>
    <w:p>
      <w:pPr>
        <w:spacing w:after="0" w:line="186"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We and our subsidiaries may be able to incur substantial indebtedness in the future. Although the terms of many of our debt instruments contain restrictions on our subsidiaries’ ability to incur additional indebtedness (including secured indebtedness), these restrictions are subject to a number of important qualifications and exceptions, and the indebtedness incurred (including secured indebtedness) in compliance with these restrictions could be substantial. In addition, these restrictions do not prevent us from incurring indebtedness or our subsidiaries from incurring obligations that do not constitute indebtedness under the terms of such instruments. To the extent that we incur additional indebtedness or such other obligations, the risk associated with our substantial indebtedness as described above under the risk factor “</w:t>
      </w:r>
      <w:r>
        <w:rPr>
          <w:rFonts w:ascii="Times New Roman" w:cs="Times New Roman" w:eastAsia="Times New Roman" w:hAnsi="Times New Roman"/>
          <w:sz w:val="18"/>
          <w:szCs w:val="18"/>
          <w:i w:val="1"/>
          <w:iCs w:val="1"/>
          <w:color w:val="auto"/>
        </w:rPr>
        <w:t>Our substantial indebtedness could materially and adversely affect our ability to raise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additional capital to fund our operations, limit our ability to react to changes in the economy or our industry and prevent us from making debt service payments</w:t>
      </w:r>
      <w:r>
        <w:rPr>
          <w:rFonts w:ascii="Times New Roman" w:cs="Times New Roman" w:eastAsia="Times New Roman" w:hAnsi="Times New Roman"/>
          <w:sz w:val="18"/>
          <w:szCs w:val="18"/>
          <w:color w:val="auto"/>
        </w:rPr>
        <w:t>,” including our potential inability to service our debt, will increase.</w:t>
      </w:r>
    </w:p>
    <w:p>
      <w:pPr>
        <w:spacing w:after="0" w:line="219" w:lineRule="exact"/>
        <w:rPr>
          <w:sz w:val="20"/>
          <w:szCs w:val="20"/>
          <w:color w:val="auto"/>
        </w:rPr>
      </w:pPr>
    </w:p>
    <w:p>
      <w:pPr>
        <w:ind w:right="220" w:firstLine="486"/>
        <w:spacing w:after="0" w:line="282" w:lineRule="auto"/>
        <w:rPr>
          <w:sz w:val="20"/>
          <w:szCs w:val="20"/>
          <w:color w:val="auto"/>
        </w:rPr>
      </w:pPr>
      <w:r>
        <w:rPr>
          <w:rFonts w:ascii="Times New Roman" w:cs="Times New Roman" w:eastAsia="Times New Roman" w:hAnsi="Times New Roman"/>
          <w:sz w:val="18"/>
          <w:szCs w:val="18"/>
          <w:color w:val="auto"/>
        </w:rPr>
        <w:t>As of December 31, 2024, we had $375.0 million available for additional borrowing under the New Revolving Credit Facility portion of our New Senior Facilities (with $23.5 million of letters of credit issued thereunder), all of which would be secured.</w:t>
      </w:r>
    </w:p>
    <w:p>
      <w:pPr>
        <w:spacing w:after="0" w:line="185"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generate sufficient cash to service all of our indebtedness and to fund our working capital and capital expenditures and may be forced to take other actions to satisfy our obligations under our indebtedness that may not be successful.</w:t>
      </w:r>
    </w:p>
    <w:p>
      <w:pPr>
        <w:spacing w:after="0" w:line="18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ability to satisfy our debt obligations will depend upon, among other things:</w:t>
      </w:r>
    </w:p>
    <w:p>
      <w:pPr>
        <w:spacing w:after="0" w:line="252" w:lineRule="exact"/>
        <w:rPr>
          <w:sz w:val="20"/>
          <w:szCs w:val="20"/>
          <w:color w:val="auto"/>
        </w:rPr>
      </w:pPr>
    </w:p>
    <w:p>
      <w:pPr>
        <w:ind w:left="660" w:right="40" w:hanging="166"/>
        <w:spacing w:after="0" w:line="282"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financial and operating performance, which will be affected by prevailing economic, industry and competitive conditions and financial, business, legislative, regulatory and other factors, many of which are beyond our control;</w:t>
      </w:r>
    </w:p>
    <w:p>
      <w:pPr>
        <w:spacing w:after="0" w:line="53" w:lineRule="exact"/>
        <w:rPr>
          <w:rFonts w:ascii="Times New Roman" w:cs="Times New Roman" w:eastAsia="Times New Roman" w:hAnsi="Times New Roman"/>
          <w:sz w:val="18"/>
          <w:szCs w:val="18"/>
          <w:color w:val="auto"/>
        </w:rPr>
      </w:pPr>
    </w:p>
    <w:p>
      <w:pPr>
        <w:ind w:left="660" w:right="480" w:hanging="166"/>
        <w:spacing w:after="0" w:line="282"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ability to refinance or restructure our existing debt obligations, which depends on among other things, the condition of the capital markets, our financial condition and the terms of existing or future debt agreements; and</w:t>
      </w:r>
    </w:p>
    <w:p>
      <w:pPr>
        <w:spacing w:after="0" w:line="53" w:lineRule="exact"/>
        <w:rPr>
          <w:rFonts w:ascii="Times New Roman" w:cs="Times New Roman" w:eastAsia="Times New Roman" w:hAnsi="Times New Roman"/>
          <w:sz w:val="18"/>
          <w:szCs w:val="18"/>
          <w:color w:val="auto"/>
        </w:rPr>
      </w:pPr>
    </w:p>
    <w:p>
      <w:pPr>
        <w:ind w:left="660" w:right="200" w:hanging="166"/>
        <w:spacing w:after="0" w:line="282"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ability to borrow under our New Revolving Credit Facility, the availability of which depends on, among other things, our compliance with the covenants in the New First Lien Credit Agreement.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90"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0" w:firstLine="486"/>
        <w:spacing w:after="0" w:line="253" w:lineRule="auto"/>
        <w:rPr>
          <w:sz w:val="20"/>
          <w:szCs w:val="20"/>
          <w:color w:val="auto"/>
        </w:rPr>
      </w:pPr>
      <w:r>
        <w:rPr>
          <w:rFonts w:ascii="Times New Roman" w:cs="Times New Roman" w:eastAsia="Times New Roman" w:hAnsi="Times New Roman"/>
          <w:sz w:val="18"/>
          <w:szCs w:val="18"/>
          <w:color w:val="auto"/>
        </w:rPr>
        <w:t>We cannot be certain that our business will generate cash flow from operations, or that we will be able to draw under our New Revolving Credit Facility or otherwise, in an amount sufficient to fund our liquidity needs. If our cash flows and capital resources are insufficient to service our indebtedness and other liquidity needs, we may be forced to reduce or delay capital expenditures, sell assets, seek additional capital or restructure or refinance our indebtedness. These alternative measures may not be successful and may not permit us to meet our scheduled debt service obligations. Our ability to restructure or refinance our debt will depend on the condition of the capital markets and our financial condition at such time. Any refinancing of our debt could be at higher interest rates and may require us to comply with more onerous covenants, which could further restrict our business operations. We cannot be certain that we will be able to restructure or refinance any of our debt on commercially reasonable terms or at all. In addition, the terms of existing or future debt agreements may restrict us from adopting some of these alternatives. In the absence of such operating results and resources, we could face substantial liquidity problems and might be required to dispose of material assets or operations to meet our debt service and other obligations. We may not be able to consummate those dispositions for fair market value or at all. Furthermore, any proceeds that we could realize from any such dispositions may not be adequate to meet our debt service obligations when due. Our equityholders, including Apollo and its affiliates, have no continuing obligation to provide us with debt or equity financing. Our inability to generate sufficient cash flow to satisfy our debt obligations, or to refinance our indebtedness on commercially reasonable terms or at all, would result in a material and adverse effect on our financial condition and results of operations.</w:t>
      </w:r>
    </w:p>
    <w:p>
      <w:pPr>
        <w:spacing w:after="0" w:line="214"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If we cannot make scheduled payments on our indebtedness, we will be in default, and holders of our notes and the lenders under our credit facilities could declare all outstanding principal and interest to be due and payable, the lenders under our credit facilities could terminate their commitments to loan money, our secured lenders and holders of our secured notes could foreclose against the assets securing their indebtedness and we could be forced into bankruptcy or liquidation.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debt agreements contain restrictions that limit our flexibility in operating our business.</w:t>
      </w:r>
    </w:p>
    <w:p>
      <w:pPr>
        <w:spacing w:after="0" w:line="256" w:lineRule="exact"/>
        <w:rPr>
          <w:sz w:val="20"/>
          <w:szCs w:val="20"/>
          <w:color w:val="auto"/>
        </w:rPr>
      </w:pPr>
    </w:p>
    <w:p>
      <w:pPr>
        <w:ind w:right="620" w:firstLine="486"/>
        <w:spacing w:after="0" w:line="282" w:lineRule="auto"/>
        <w:rPr>
          <w:sz w:val="20"/>
          <w:szCs w:val="20"/>
          <w:color w:val="auto"/>
        </w:rPr>
      </w:pPr>
      <w:r>
        <w:rPr>
          <w:rFonts w:ascii="Times New Roman" w:cs="Times New Roman" w:eastAsia="Times New Roman" w:hAnsi="Times New Roman"/>
          <w:sz w:val="18"/>
          <w:szCs w:val="18"/>
          <w:color w:val="auto"/>
        </w:rPr>
        <w:t>Our debt agreements contain, and any other existing or future indebtedness of ours would likely contain, a number of covenants that impose significant operating and financial restrictions on us, including restrictions on our subsidiaries’ ability to, among other things:</w:t>
      </w:r>
    </w:p>
    <w:p>
      <w:pPr>
        <w:spacing w:after="0" w:line="200" w:lineRule="exact"/>
        <w:rPr>
          <w:sz w:val="20"/>
          <w:szCs w:val="20"/>
          <w:color w:val="auto"/>
        </w:rPr>
      </w:pPr>
    </w:p>
    <w:p>
      <w:pPr>
        <w:spacing w:after="0" w:line="205" w:lineRule="exact"/>
        <w:rPr>
          <w:sz w:val="20"/>
          <w:szCs w:val="20"/>
          <w:color w:val="auto"/>
        </w:rPr>
      </w:pPr>
    </w:p>
    <w:p>
      <w:pPr>
        <w:ind w:left="660" w:hanging="166"/>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debt, guarantee indebtedness or issue certain preferred shares;</w:t>
      </w:r>
    </w:p>
    <w:p>
      <w:pPr>
        <w:spacing w:after="0" w:line="117"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on or make distributions in respect of, or repurchase or redeem, our capital stock or make other restricted payments;</w:t>
      </w:r>
    </w:p>
    <w:p>
      <w:pPr>
        <w:spacing w:after="0" w:line="117"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prepay, redeem or repurchase certain debt;</w:t>
      </w:r>
    </w:p>
    <w:p>
      <w:pPr>
        <w:spacing w:after="0" w:line="117"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loans or certain investments;</w:t>
      </w:r>
    </w:p>
    <w:p>
      <w:pPr>
        <w:spacing w:after="0" w:line="117"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certain assets;</w:t>
      </w:r>
    </w:p>
    <w:p>
      <w:pPr>
        <w:spacing w:after="0" w:line="117"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liens on certain assets;</w:t>
      </w:r>
    </w:p>
    <w:p>
      <w:pPr>
        <w:spacing w:after="0" w:line="117"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 merge, sell or otherwise dispose of all or substantially all of our assets;</w:t>
      </w:r>
    </w:p>
    <w:p>
      <w:pPr>
        <w:spacing w:after="0" w:line="117"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certain transactions with our affiliates;</w:t>
      </w:r>
    </w:p>
    <w:p>
      <w:pPr>
        <w:spacing w:after="0" w:line="117"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substantially alter the businesses we conduct;</w:t>
      </w:r>
    </w:p>
    <w:p>
      <w:pPr>
        <w:spacing w:after="0" w:line="117"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agreements restricting our subsidiaries’ ability to pay dividends; and</w:t>
      </w:r>
    </w:p>
    <w:p>
      <w:pPr>
        <w:spacing w:after="0" w:line="117"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designate our subsidiaries as unrestricted subsidiaries.</w:t>
      </w:r>
    </w:p>
    <w:p>
      <w:pPr>
        <w:spacing w:after="0" w:line="117" w:lineRule="exact"/>
        <w:rPr>
          <w:sz w:val="20"/>
          <w:szCs w:val="20"/>
          <w:color w:val="auto"/>
        </w:rPr>
      </w:pPr>
    </w:p>
    <w:p>
      <w:pPr>
        <w:ind w:right="860" w:firstLine="486"/>
        <w:spacing w:after="0" w:line="282" w:lineRule="auto"/>
        <w:rPr>
          <w:sz w:val="20"/>
          <w:szCs w:val="20"/>
          <w:color w:val="auto"/>
        </w:rPr>
      </w:pPr>
      <w:r>
        <w:rPr>
          <w:rFonts w:ascii="Times New Roman" w:cs="Times New Roman" w:eastAsia="Times New Roman" w:hAnsi="Times New Roman"/>
          <w:sz w:val="18"/>
          <w:szCs w:val="18"/>
          <w:color w:val="auto"/>
        </w:rPr>
        <w:t>In addition, the New Revolving Credit Facility requires us to comply with a super-priority net senior secured leverage ratio under certain circumstances.</w:t>
      </w:r>
    </w:p>
    <w:p>
      <w:pPr>
        <w:spacing w:after="0" w:line="54" w:lineRule="exact"/>
        <w:rPr>
          <w:sz w:val="20"/>
          <w:szCs w:val="20"/>
          <w:color w:val="auto"/>
        </w:rPr>
      </w:pPr>
    </w:p>
    <w:p>
      <w:pPr>
        <w:ind w:right="380" w:firstLine="486"/>
        <w:spacing w:after="0" w:line="258" w:lineRule="auto"/>
        <w:rPr>
          <w:sz w:val="20"/>
          <w:szCs w:val="20"/>
          <w:color w:val="auto"/>
        </w:rPr>
      </w:pPr>
      <w:r>
        <w:rPr>
          <w:rFonts w:ascii="Times New Roman" w:cs="Times New Roman" w:eastAsia="Times New Roman" w:hAnsi="Times New Roman"/>
          <w:sz w:val="18"/>
          <w:szCs w:val="18"/>
          <w:color w:val="auto"/>
        </w:rPr>
        <w:t>As a result of these covenants, we are limited in the manner in which we conduct our business, and we may be unable to engage in favorable business activities or finance future operations or capital needs. A failure to comply with the covenants could result in an event of default under the applicable agreements governing such indebtedness, which, if not cured or waived, could have a material and adverse effect on our business, financial condition and results of operations. In the event of any such event of default, the lenders under the New Senior Facilities and the Senior Facilities, as applicable:</w:t>
      </w:r>
    </w:p>
    <w:p>
      <w:pPr>
        <w:spacing w:after="0" w:line="21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 will not be required to lend any additional amounts to us;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- 39 -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60" w:right="440" w:hanging="166"/>
        <w:spacing w:after="0" w:line="282"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could elect to declare all borrowings outstanding, together with accrued and unpaid interest and fees, to be due and payable and terminate all commitments to extend further credit;</w:t>
      </w:r>
    </w:p>
    <w:p>
      <w:pPr>
        <w:spacing w:after="0" w:line="5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could require us to apply our available cash to repay these borrowings; or</w:t>
      </w:r>
    </w:p>
    <w:p>
      <w:pPr>
        <w:spacing w:after="0" w:line="117" w:lineRule="exact"/>
        <w:rPr>
          <w:rFonts w:ascii="Times New Roman" w:cs="Times New Roman" w:eastAsia="Times New Roman" w:hAnsi="Times New Roman"/>
          <w:sz w:val="18"/>
          <w:szCs w:val="18"/>
          <w:color w:val="auto"/>
        </w:rPr>
      </w:pPr>
    </w:p>
    <w:p>
      <w:pPr>
        <w:ind w:left="660" w:right="400" w:hanging="166"/>
        <w:spacing w:after="0" w:line="282"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could effectively prevent us from making debt service payments on the 3.50% FLSO Senior Secured Notes, the 5.375% Senior Notes and the 3.50% Senior Secured Notes;</w:t>
      </w:r>
    </w:p>
    <w:p>
      <w:pPr>
        <w:spacing w:after="0" w:line="54"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any of which could result in an event of default under the 3.50% FLSO Senior Secured Notes Indenture, 5.375% Notes Indenture and the 3.50% Notes Indenture.</w:t>
      </w:r>
    </w:p>
    <w:p>
      <w:pPr>
        <w:spacing w:after="0" w:line="189"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Such actions by the lenders could cause cross defaults under our other indebtedness. If we were unable to repay those amounts, the lenders under our credit facilities and any of our other existing or future secured indebtedness could proceed against the collateral granted to them. We have pledged substantially all of our assets as collateral under the New Senior Facilities and the Senior Facilities.</w:t>
      </w:r>
    </w:p>
    <w:p>
      <w:pPr>
        <w:spacing w:after="0" w:line="203" w:lineRule="exact"/>
        <w:rPr>
          <w:sz w:val="20"/>
          <w:szCs w:val="20"/>
          <w:color w:val="auto"/>
        </w:rPr>
      </w:pPr>
    </w:p>
    <w:p>
      <w:pPr>
        <w:ind w:right="880" w:firstLine="486"/>
        <w:spacing w:after="0" w:line="282" w:lineRule="auto"/>
        <w:rPr>
          <w:sz w:val="20"/>
          <w:szCs w:val="20"/>
          <w:color w:val="auto"/>
        </w:rPr>
      </w:pPr>
      <w:r>
        <w:rPr>
          <w:rFonts w:ascii="Times New Roman" w:cs="Times New Roman" w:eastAsia="Times New Roman" w:hAnsi="Times New Roman"/>
          <w:sz w:val="18"/>
          <w:szCs w:val="18"/>
          <w:color w:val="auto"/>
        </w:rPr>
        <w:t>If any of our outstanding indebtedness were to be accelerated, there can be no assurance that our assets would be sufficient to repay such indebtedness in full.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variable rate indebtedness subjects us to interest rate risk, which could cause our debt service obligations to increase significantly.</w:t>
      </w:r>
    </w:p>
    <w:p>
      <w:pPr>
        <w:spacing w:after="0" w:line="256" w:lineRule="exact"/>
        <w:rPr>
          <w:sz w:val="20"/>
          <w:szCs w:val="20"/>
          <w:color w:val="auto"/>
        </w:rPr>
      </w:pPr>
    </w:p>
    <w:p>
      <w:pPr>
        <w:ind w:right="40" w:firstLine="486"/>
        <w:spacing w:after="0" w:line="256" w:lineRule="auto"/>
        <w:rPr>
          <w:sz w:val="20"/>
          <w:szCs w:val="20"/>
          <w:color w:val="auto"/>
        </w:rPr>
      </w:pPr>
      <w:r>
        <w:rPr>
          <w:rFonts w:ascii="Times New Roman" w:cs="Times New Roman" w:eastAsia="Times New Roman" w:hAnsi="Times New Roman"/>
          <w:sz w:val="18"/>
          <w:szCs w:val="18"/>
          <w:color w:val="auto"/>
        </w:rPr>
        <w:t>Borrowings under the New Senior Facilities and the Senior Facilities are at variable rates of interest and expose us to interest rate risk. As of December 31, 2024, assuming the New Revolving Credit Facility was fully drawn, each 0.125% change in assumed blended interest rates would result in a $3 million change in annual interest expense on indebtedness under the New Senior Facilities and the Senior Facilities. We have entered into, and in the future we may enter into, interest rate swaps that involve the exchange of floating for fixed rate interest payments to reduce interest rate volatility. However, we currently do not maintain interest rate swaps with respect to all our variable rate indebtedness, and any swaps we have or may enter into may not fully mitigate our interest rate risk, may prove disadvantageous or may create additional risks.</w:t>
      </w:r>
    </w:p>
    <w:p>
      <w:pPr>
        <w:spacing w:after="0" w:line="214"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The New Senior Facilities and the Senior Facilities carry floating interest rates that are tied to SOFR. The Federal Reserve Bank of New York, as administrator of SOFR, may make methodological or other changes that could change the value of SOFR, including changes related to the method by which SOFR is calculated, eligibility criteria applicable to the transactions used to calculate SOFR or timing related to the publication of SOFR. If the manner in which SOFR is calculated is changed, that change may result in a change in the amount of our annual interest expense on our indebtedness under the New Senior Facilities and the Senior Facilities.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- 40 -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downgrade in our credit ratings could limit our ability to obtain future financing, increase our borrowing costs and adversely affect the market price of our existing debt securities or otherwise impair our business, financial condition and results of operations.</w:t>
      </w:r>
    </w:p>
    <w:p>
      <w:pPr>
        <w:spacing w:after="0" w:line="186" w:lineRule="exact"/>
        <w:rPr>
          <w:sz w:val="20"/>
          <w:szCs w:val="20"/>
          <w:color w:val="auto"/>
        </w:rPr>
      </w:pPr>
    </w:p>
    <w:p>
      <w:pPr>
        <w:ind w:right="20" w:firstLine="486"/>
        <w:spacing w:after="0" w:line="258" w:lineRule="auto"/>
        <w:rPr>
          <w:sz w:val="20"/>
          <w:szCs w:val="20"/>
          <w:color w:val="auto"/>
        </w:rPr>
      </w:pPr>
      <w:r>
        <w:rPr>
          <w:rFonts w:ascii="Times New Roman" w:cs="Times New Roman" w:eastAsia="Times New Roman" w:hAnsi="Times New Roman"/>
          <w:sz w:val="18"/>
          <w:szCs w:val="18"/>
          <w:color w:val="auto"/>
        </w:rPr>
        <w:t>Nationally recognized credit rating organizations have issued credit ratings relating to our long-term debt. Our outstanding debt under the New Senior Facilities, the Senior Facilities, the 3.50% FLSO Senior Secured Notes, the 5.375% Senior Notes and the 3.50% Senior Secured Notes currently has non-investment grade ratings. Certain of these organizations have downgraded our credit ratings in the past. There can be no assurance that any rating assigned to any of our debt securities or loans will remain in effect for any given period or that any such ratings will not be lowered, suspended or withdrawn entirely by a rating agency if, in that rating agency’s judgment, circumstances so warrant.</w:t>
      </w:r>
    </w:p>
    <w:p>
      <w:pPr>
        <w:spacing w:after="0" w:line="210"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Any additional actual or anticipated changes or downgrades in our credit ratings, including any announcement that our ratings are under review for a downgrade, could:</w:t>
      </w:r>
    </w:p>
    <w:p>
      <w:pPr>
        <w:spacing w:after="0" w:line="189" w:lineRule="exact"/>
        <w:rPr>
          <w:sz w:val="20"/>
          <w:szCs w:val="20"/>
          <w:color w:val="auto"/>
        </w:rPr>
      </w:pPr>
    </w:p>
    <w:p>
      <w:pPr>
        <w:ind w:left="660" w:hanging="166"/>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adversely affect the market price of some or all our outstanding debt securities or loans;</w:t>
      </w:r>
    </w:p>
    <w:p>
      <w:pPr>
        <w:spacing w:after="0" w:line="117"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access to the capital markets or otherwise adversely affect the availability of other new financing on favorable terms, if at all;</w:t>
      </w:r>
    </w:p>
    <w:p>
      <w:pPr>
        <w:spacing w:after="0" w:line="117"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new or more restrictive covenants in agreements governing the terms of any future indebtedness that we may incur;</w:t>
      </w:r>
    </w:p>
    <w:p>
      <w:pPr>
        <w:spacing w:after="0" w:line="117"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cost of borrowing; and</w:t>
      </w:r>
    </w:p>
    <w:p>
      <w:pPr>
        <w:spacing w:after="0" w:line="117"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our business, financial condition and results of operations.</w:t>
      </w:r>
    </w:p>
    <w:p>
      <w:pPr>
        <w:spacing w:after="0" w:line="3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may fluctuate significantly.</w:t>
      </w:r>
    </w:p>
    <w:p>
      <w:pPr>
        <w:spacing w:after="0" w:line="256" w:lineRule="exact"/>
        <w:rPr>
          <w:sz w:val="20"/>
          <w:szCs w:val="20"/>
          <w:color w:val="auto"/>
        </w:rPr>
      </w:pPr>
    </w:p>
    <w:p>
      <w:pPr>
        <w:ind w:right="540" w:firstLine="486"/>
        <w:spacing w:after="0" w:line="282" w:lineRule="auto"/>
        <w:rPr>
          <w:sz w:val="20"/>
          <w:szCs w:val="20"/>
          <w:color w:val="auto"/>
        </w:rPr>
      </w:pPr>
      <w:r>
        <w:rPr>
          <w:rFonts w:ascii="Times New Roman" w:cs="Times New Roman" w:eastAsia="Times New Roman" w:hAnsi="Times New Roman"/>
          <w:sz w:val="18"/>
          <w:szCs w:val="18"/>
          <w:color w:val="auto"/>
        </w:rPr>
        <w:t>The market price of our common stock could vary significantly as a result of a number of factors, some of which are beyond our control. The following factors could affect our stock price:</w:t>
      </w:r>
    </w:p>
    <w:p>
      <w:pPr>
        <w:spacing w:after="0" w:line="54" w:lineRule="exact"/>
        <w:rPr>
          <w:sz w:val="20"/>
          <w:szCs w:val="20"/>
          <w:color w:val="auto"/>
        </w:rPr>
      </w:pPr>
    </w:p>
    <w:p>
      <w:pPr>
        <w:ind w:left="660" w:hanging="166"/>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and financial performance and prospects;</w:t>
      </w:r>
    </w:p>
    <w:p>
      <w:pPr>
        <w:spacing w:after="0" w:line="117" w:lineRule="exact"/>
        <w:rPr>
          <w:rFonts w:ascii="Times New Roman" w:cs="Times New Roman" w:eastAsia="Times New Roman" w:hAnsi="Times New Roman"/>
          <w:sz w:val="18"/>
          <w:szCs w:val="18"/>
          <w:color w:val="auto"/>
        </w:rPr>
      </w:pPr>
    </w:p>
    <w:p>
      <w:pPr>
        <w:ind w:left="660" w:right="260" w:hanging="166"/>
        <w:spacing w:after="0" w:line="282"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variations in the rate of growth (if any) of our financial or operational indicators, such as EPS, net income, revenues, Non-GAAP Net Income, Non-GAAP Operating Profit, and Adjusted EBITDA;</w:t>
      </w:r>
    </w:p>
    <w:p>
      <w:pPr>
        <w:spacing w:after="0" w:line="5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 reaction to our press releases, our other public announcements and our filings with the SEC;</w:t>
      </w:r>
    </w:p>
    <w:p>
      <w:pPr>
        <w:spacing w:after="0" w:line="117"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actions by our competitors;</w:t>
      </w:r>
    </w:p>
    <w:p>
      <w:pPr>
        <w:spacing w:after="0" w:line="117"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operating performance and the stock market valuations of other companies;</w:t>
      </w:r>
    </w:p>
    <w:p>
      <w:pPr>
        <w:spacing w:after="0" w:line="117"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related to litigation;</w:t>
      </w:r>
    </w:p>
    <w:p>
      <w:pPr>
        <w:spacing w:after="0" w:line="117"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meet revenue or earnings estimates made by research analysts or other investors;</w:t>
      </w:r>
    </w:p>
    <w:p>
      <w:pPr>
        <w:spacing w:after="0" w:line="117"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revenue or earnings estimates, or changes in recommendations or withdrawal of research coverage, by equity research analysts;</w:t>
      </w:r>
    </w:p>
    <w:p>
      <w:pPr>
        <w:spacing w:after="0" w:line="117"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speculation in the press or investment community;</w:t>
      </w:r>
    </w:p>
    <w:p>
      <w:pPr>
        <w:spacing w:after="0" w:line="117"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by us or our stockholders, or the perception that such sales may occur;</w:t>
      </w:r>
    </w:p>
    <w:p>
      <w:pPr>
        <w:spacing w:after="0" w:line="117"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 policies, guidance, interpretations or standards;</w:t>
      </w:r>
    </w:p>
    <w:p>
      <w:pPr>
        <w:spacing w:after="0" w:line="117"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management personnel;</w:t>
      </w:r>
    </w:p>
    <w:p>
      <w:pPr>
        <w:spacing w:after="0" w:line="117"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by our stockholders;</w:t>
      </w:r>
    </w:p>
    <w:p>
      <w:pPr>
        <w:spacing w:after="0" w:line="117"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conditions;</w:t>
      </w:r>
    </w:p>
    <w:p>
      <w:pPr>
        <w:spacing w:after="0" w:line="117"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domestic and international economic, legal and regulatory factors unrelated to our performance;</w:t>
      </w:r>
    </w:p>
    <w:p>
      <w:pPr>
        <w:spacing w:after="0" w:line="117"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weakness in our internal control over financial reporting; and</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11"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 the realization of any risks described under this “Risk Factors” section, or other risks that may materialize in the future.</w:t>
      </w:r>
    </w:p>
    <w:p>
      <w:pPr>
        <w:spacing w:after="0" w:line="117" w:lineRule="exact"/>
        <w:rPr>
          <w:sz w:val="20"/>
          <w:szCs w:val="20"/>
          <w:color w:val="auto"/>
        </w:rPr>
      </w:pPr>
    </w:p>
    <w:p>
      <w:pPr>
        <w:ind w:right="20" w:firstLine="486"/>
        <w:spacing w:after="0" w:line="258" w:lineRule="auto"/>
        <w:rPr>
          <w:sz w:val="20"/>
          <w:szCs w:val="20"/>
          <w:color w:val="auto"/>
        </w:rPr>
      </w:pPr>
      <w:r>
        <w:rPr>
          <w:rFonts w:ascii="Times New Roman" w:cs="Times New Roman" w:eastAsia="Times New Roman" w:hAnsi="Times New Roman"/>
          <w:sz w:val="18"/>
          <w:szCs w:val="18"/>
          <w:color w:val="auto"/>
        </w:rPr>
        <w:t>The stock markets in general have experienced extreme volatility that has often been unrelated to the operating performance of particular companies. These broad market fluctuations may adversely affect the trading price of our common stock. Securities class action litigation has often been instituted against companies following periods of volatility in the overall market and in the market price of a company’s securities. Such litigation, if instituted against us, could result in very substantial costs, divert our management’s attention and resources and harm our business, financial condition and results of operations.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sales of our common stock in the public market, or the perception in the public market that such sales may occur, could reduce our stock price.</w:t>
      </w:r>
    </w:p>
    <w:p>
      <w:pPr>
        <w:spacing w:after="0" w:line="256" w:lineRule="exact"/>
        <w:rPr>
          <w:sz w:val="20"/>
          <w:szCs w:val="20"/>
          <w:color w:val="auto"/>
        </w:rPr>
      </w:pPr>
    </w:p>
    <w:p>
      <w:pPr>
        <w:ind w:right="40" w:firstLine="486"/>
        <w:spacing w:after="0" w:line="253" w:lineRule="auto"/>
        <w:rPr>
          <w:sz w:val="20"/>
          <w:szCs w:val="20"/>
          <w:color w:val="auto"/>
        </w:rPr>
      </w:pPr>
      <w:r>
        <w:rPr>
          <w:rFonts w:ascii="Times New Roman" w:cs="Times New Roman" w:eastAsia="Times New Roman" w:hAnsi="Times New Roman"/>
          <w:sz w:val="18"/>
          <w:szCs w:val="18"/>
          <w:color w:val="auto"/>
        </w:rPr>
        <w:t>As of December 31, 2024, we had 232.2 million shares of common stock issued and approximately 28.6 million shares of common stock underlying outstanding options and restricted stock under the 2017 Incentive Plan and the 2020 Incentive Plan, and we have reserved an additional 42.1 million shares of common stock for issuance under the 2020 Incentive Plan and 8.3 million shares of common stock for issuance under the ESPP and we may be required to issue additional shares of common stock to an affiliate of ABRY under the merger agreement related to the acquisition of Datapipe. In addition, certain of our existing stockholders, including Apollo and ABRY, have certain rights to require us to register the sale of common stock held by them including in connection with underwritten offerings. Additionally, we filed a registration statement in respect of all shares of common stock that we may issue under the 2017 Incentive Plan, the 2020 Incentive Plan and the ESPP. After registration, these shares can be freely sold in the public market upon issuance. Sales of significant amounts of stock in the public market upon expiration of applicable lock-up agreements, the perception that such sales may occur, or early release of any lock-up agreements, could adversely affect prevailing market prices of our common stock or make it more difficult for you to sell your shares of common stock at a time and price that you deem appropriate.</w:t>
      </w:r>
    </w:p>
    <w:p>
      <w:pPr>
        <w:spacing w:after="0" w:line="217"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maintain effective internal controls, our financial statements may be inaccurate and the value of your investment in our common stock could decrease.</w:t>
      </w:r>
    </w:p>
    <w:p>
      <w:pPr>
        <w:spacing w:after="0" w:line="186"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We expect to continue incurring significant expenses and devote substantial management effort toward ensuring compliance with the requirements of the Sarbanes-Oxley Act, including with respect to compliance with the requirements of Section 404(b) of the Sarbanes-Oxley Act. If we fail to achieve and maintain an effective internal control environment, we could suffer material misstatements in our consolidated financial statements and fail in meeting our reporting obligations, which would likely cause investors to lose confidence in our reported financial information. Additionally, ineffective internal control over financial reporting could expose us to increased risk of fraud or misuse of corporate assets and subject us to potential delisting from the Nasdaq, regulatory investigations, civil or criminal sanctions and litigation, any of which would have a material and adverse effect on our business, financial condition, results of operations and the market price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continue to be controlled by Apollo, and Apollo’s interests may conflict with our interests and the interests of other stockholders.</w:t>
      </w:r>
    </w:p>
    <w:p>
      <w:pPr>
        <w:spacing w:after="0" w:line="256" w:lineRule="exact"/>
        <w:rPr>
          <w:sz w:val="20"/>
          <w:szCs w:val="20"/>
          <w:color w:val="auto"/>
        </w:rPr>
      </w:pPr>
    </w:p>
    <w:p>
      <w:pPr>
        <w:ind w:firstLine="486"/>
        <w:spacing w:after="0" w:line="252" w:lineRule="auto"/>
        <w:rPr>
          <w:sz w:val="20"/>
          <w:szCs w:val="20"/>
          <w:color w:val="auto"/>
        </w:rPr>
      </w:pPr>
      <w:r>
        <w:rPr>
          <w:rFonts w:ascii="Times New Roman" w:cs="Times New Roman" w:eastAsia="Times New Roman" w:hAnsi="Times New Roman"/>
          <w:sz w:val="18"/>
          <w:szCs w:val="18"/>
          <w:color w:val="auto"/>
        </w:rPr>
        <w:t>As of December 31, 2024, Apollo beneficially owned approximately 57% of the voting power of our outstanding common stock. Therefore, individuals affiliated with Apollo will have effective control over the outcome of votes on all matters requiring approval by our stockholders, including the election of directors, entering into significant corporate transactions such as mergers, tender offers, the sale of all or substantially all of our assets and issuance of additional debt or equity. The interests of Apollo and its affiliates could conflict with or differ from our interests or the interests of our other stockholders. For example, the concentration of ownership held by Apollo could delay, defer or prevent a change in control of our company or impede a merger, takeover or other business combination which may otherwise be favorable for us. Additionally, Apollo and its affiliates are in the business of making investments in companies and may, from time to time, acquire and hold interests in or provide advice to businesses that compete directly or indirectly with us, or are suppliers or customers of ours. Apollo and its affiliates may also pursue acquisition opportunities that may be complementary to our business, and as a result, those acquisition opportunities may not be available to us. Any such investment may increase the potential for the conflicts of interest discussed in this risk factor. So long as Apollo continues to directly or indirectly beneficially own a significant amount of our equity, even if such amount is less than 50%, Apollo will continue to be able to substantially influence or effectively control our ability to enter into corporate transactions. Apollo also has a right to nominate a number of directors comprising a percentage of our Board in accordance with their beneficial ownership of the voting power of our outstanding common stock (rounded up to the nearest whole number), which currently represents at least a majority of our Board. In addition, we have an executive committee that serves at the discretion of our Board and includes two members nominated by Apollo, who are authorized to take actions (subject to certain exceptions) that they reasonably determine are appropriate.</w:t>
      </w:r>
    </w:p>
    <w:p>
      <w:pPr>
        <w:spacing w:after="0" w:line="219"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“controlled company” within the meaning of the Nasdaq’s rules and, as a result, qualify for and intend to rely on exemptions from certain corporate governance requirements.</w:t>
      </w:r>
    </w:p>
    <w:p>
      <w:pPr>
        <w:spacing w:after="0" w:line="186" w:lineRule="exact"/>
        <w:rPr>
          <w:sz w:val="20"/>
          <w:szCs w:val="20"/>
          <w:color w:val="auto"/>
        </w:rPr>
      </w:pPr>
    </w:p>
    <w:p>
      <w:pPr>
        <w:ind w:right="140" w:firstLine="486"/>
        <w:spacing w:after="0" w:line="261" w:lineRule="auto"/>
        <w:rPr>
          <w:sz w:val="20"/>
          <w:szCs w:val="20"/>
          <w:color w:val="auto"/>
        </w:rPr>
      </w:pPr>
      <w:r>
        <w:rPr>
          <w:rFonts w:ascii="Times New Roman" w:cs="Times New Roman" w:eastAsia="Times New Roman" w:hAnsi="Times New Roman"/>
          <w:sz w:val="18"/>
          <w:szCs w:val="18"/>
          <w:color w:val="auto"/>
        </w:rPr>
        <w:t>Apollo controls a majority of the voting power of our outstanding voting stock, and as a result we are a controlled company within the meaning of the Nasdaq’s corporate governance standards. Under the Nasdaq rules, a company of which more than 50% of the voting power is held by another person or group of persons acting together is a controlled company and may elect not to comply with certain corporate governance requirements, including the requirements that:</w:t>
      </w:r>
    </w:p>
    <w:p>
      <w:pPr>
        <w:spacing w:after="0" w:line="207" w:lineRule="exact"/>
        <w:rPr>
          <w:sz w:val="20"/>
          <w:szCs w:val="20"/>
          <w:color w:val="auto"/>
        </w:rPr>
      </w:pPr>
    </w:p>
    <w:p>
      <w:pPr>
        <w:ind w:left="660" w:hanging="166"/>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majority of the Board consist of independent directors;</w:t>
      </w:r>
    </w:p>
    <w:p>
      <w:pPr>
        <w:spacing w:after="0" w:line="117" w:lineRule="exact"/>
        <w:rPr>
          <w:rFonts w:ascii="Times New Roman" w:cs="Times New Roman" w:eastAsia="Times New Roman" w:hAnsi="Times New Roman"/>
          <w:sz w:val="18"/>
          <w:szCs w:val="18"/>
          <w:color w:val="auto"/>
        </w:rPr>
      </w:pPr>
    </w:p>
    <w:p>
      <w:pPr>
        <w:ind w:left="660" w:right="160" w:hanging="166"/>
        <w:spacing w:after="0" w:line="266"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nominating and corporate governance committee be composed entirely of independent directors or otherwise require that the nominees for directors are determined or recommended to our Board by the independent members of our Board pursuant to a formal resolution addressing the nominations process and such related matters as may be required under the federal securities laws; and</w:t>
      </w:r>
    </w:p>
    <w:p>
      <w:pPr>
        <w:spacing w:after="0" w:line="67"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compensation committee be composed entirely of independent directors.</w:t>
      </w:r>
    </w:p>
    <w:p>
      <w:pPr>
        <w:spacing w:after="0" w:line="117"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We intend to utilize these exemptions as long as we remain a controlled company. Accordingly, you may not have the same protections afforded to stockholders of companies that are subject to all of the corporate governance requirements of the Nasdaq. There can be no assurances that we will remain a “controlled company” and, following the loss of such status, we may need to modify our Board and committee compositions in order to be in compliance with applicable Nasdaq rules.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- 43 -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holding company and rely on dividends, distributions and other payments, advances and transfers of funds from our subsidiaries to meet our obligations.</w:t>
      </w:r>
    </w:p>
    <w:p>
      <w:pPr>
        <w:spacing w:after="0" w:line="186"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We are a holding company that does not conduct any business operations of our own. As a result, we are largely dependent upon cash dividends and distributions and other transfers, including for payments in respect of our indebtedness, from our subsidiaries to meet our obligations. The agreements governing the indebtedness of our subsidiaries impose restrictions on our subsidiaries’ ability to pay dividends or other distributions to us. See Item 7 of Part II, Management’s Discussion and Analysis of Financial Condition and Results of Operations - "Liquidity and Capital Resources." Each of our subsidiaries is a distinct legal entity, and under certain circumstances legal and contractual restrictions may limit our ability to obtain cash from them and we may be limited in our ability to cause any future joint ventures to distribute their earnings to us. The deterioration of the earnings from, or other available assets of, our subsidiaries for any reason could also limit or impair their ability to pay dividends or other distributions to us.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anticipate paying dividends on our common stock in the foreseeable future.</w:t>
      </w:r>
    </w:p>
    <w:p>
      <w:pPr>
        <w:spacing w:after="0" w:line="256"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We do not anticipate paying any dividends in the foreseeable future on our common stock. We intend to retain all future earnings for the operation and expansion of our business and the repayment of outstanding debt. Our New Senior Facilities, Senior Facilities and the Indentures contain, and any future indebtedness likely will contain, restrictive covenants that impose significant operating and financial restrictions on us, including restrictions on our ability to pay dividends and make other restricted payments.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about our business or publish negative reports, our stock price could decline.</w:t>
      </w:r>
    </w:p>
    <w:p>
      <w:pPr>
        <w:spacing w:after="0" w:line="256" w:lineRule="exact"/>
        <w:rPr>
          <w:sz w:val="20"/>
          <w:szCs w:val="20"/>
          <w:color w:val="auto"/>
        </w:rPr>
      </w:pPr>
    </w:p>
    <w:p>
      <w:pPr>
        <w:jc w:val="both"/>
        <w:ind w:right="80" w:firstLine="486"/>
        <w:spacing w:after="0" w:line="281" w:lineRule="auto"/>
        <w:rPr>
          <w:sz w:val="20"/>
          <w:szCs w:val="20"/>
          <w:color w:val="auto"/>
        </w:rPr>
      </w:pPr>
      <w:r>
        <w:rPr>
          <w:rFonts w:ascii="Times New Roman" w:cs="Times New Roman" w:eastAsia="Times New Roman" w:hAnsi="Times New Roman"/>
          <w:sz w:val="17"/>
          <w:szCs w:val="17"/>
          <w:color w:val="auto"/>
        </w:rPr>
        <w:t>The trading market for our common stock will be influenced by the research and reports that industry or securities analysts publish about us or our business. If one or more of these analysts ceases coverage of us or fails to publish reports on us regularly, we could lose visibility in the financial markets, which in turn could cause our stock price or trading volume to decline. Moreover, if one or more of the analysts who cover our company downgrades our common stock, publishes unfavorable research about our business or if our operating results do not meet their expectations, our stock price could decline.</w:t>
      </w:r>
    </w:p>
    <w:p>
      <w:pPr>
        <w:spacing w:after="0" w:line="200" w:lineRule="exact"/>
        <w:rPr>
          <w:sz w:val="20"/>
          <w:szCs w:val="20"/>
          <w:color w:val="auto"/>
        </w:rPr>
      </w:pPr>
    </w:p>
    <w:p>
      <w:pPr>
        <w:spacing w:after="0" w:line="34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- 44 -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ITEM 1B – UNRESOLVED STAFF COMMENTS</w:t>
      </w:r>
    </w:p>
    <w:p>
      <w:pPr>
        <w:spacing w:after="0" w:line="25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ITEM 1C – CYBERSECURITY</w:t>
      </w:r>
    </w:p>
    <w:p>
      <w:pPr>
        <w:spacing w:after="0" w:line="256" w:lineRule="exact"/>
        <w:rPr>
          <w:sz w:val="20"/>
          <w:szCs w:val="20"/>
          <w:color w:val="auto"/>
        </w:rPr>
      </w:pPr>
    </w:p>
    <w:p>
      <w:pPr>
        <w:jc w:val="both"/>
        <w:ind w:right="200" w:firstLine="486"/>
        <w:spacing w:after="0" w:line="261" w:lineRule="auto"/>
        <w:rPr>
          <w:sz w:val="20"/>
          <w:szCs w:val="20"/>
          <w:color w:val="auto"/>
        </w:rPr>
      </w:pPr>
      <w:r>
        <w:rPr>
          <w:rFonts w:ascii="Times New Roman" w:cs="Times New Roman" w:eastAsia="Times New Roman" w:hAnsi="Times New Roman"/>
          <w:sz w:val="18"/>
          <w:szCs w:val="18"/>
          <w:color w:val="auto"/>
        </w:rPr>
        <w:t>We are materially dependent upon our networks, information technology infrastructure and related technology systems to provide services to our customers, manage our internal operations and support our strategic objectives. Cyber-attacks have become prevalent in our industry, and the techniques used to sabotage or obtain unauthorized access to systems are constantly expanding and evolving. Malicious actors are increasingly sophisticated in their methods, tactics, techniques and procedures, seeking to steal money, gain unauthorized access to, destroy or manipulate data, and disrupt operations.</w:t>
      </w:r>
    </w:p>
    <w:p>
      <w:pPr>
        <w:spacing w:after="0" w:line="207"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As of the date of this report, we have not identified any cybersecurity threats or cybersecurity incidents that have materially affected or are reasonably anticipated to have a material adverse effect on our business. However, we have experienced and expect to continue to experience cybersecurity threats and cybersecurity incidents. As an example, in December 2022, we previously disclosed a ransomware incident that caused service disruptions for our Hosted Exchange customers. We are committed to maintaining robust governance and oversight of cybersecurity risks and implementing recognized industry best practices to help prevent, detect, mitigate and respond to these risks; however, we cannot provide assurance that cybersecurity risks will not materially affect our business in the future, including our business strategy, results of operations, or financial condition or that our controls, processes and procedures will be fully complied with or that our program will be fully effective in protecting the confidentiality, integrity and availability of our information systems.</w:t>
      </w:r>
    </w:p>
    <w:p>
      <w:pPr>
        <w:spacing w:after="0" w:line="219"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color w:val="auto"/>
        </w:rPr>
        <w:t>Cybersecurity threats, whether or not successful, could result in our incurring significant costs related to rebuilding our internal systems, writing down inventory value, implementing additional threat protection measures, providing modifications or replacements to our products and services, defending against litigation, responding to regulatory inquiries or actions, paying damages, providing customers with incentives to maintain a business relationship with us, or taking other remedial steps with respect to third parties, as well as incurring significant reputational harm. In addition, these threats are constantly evolving, thereby increasing the difficulty of successfully defending against them or implementing adequate preventative measures. We have seen an increase in cyberattack volume, frequency and sophistication.</w:t>
      </w:r>
    </w:p>
    <w:p>
      <w:pPr>
        <w:spacing w:after="0" w:line="212" w:lineRule="exact"/>
        <w:rPr>
          <w:sz w:val="20"/>
          <w:szCs w:val="20"/>
          <w:color w:val="auto"/>
        </w:rPr>
      </w:pPr>
    </w:p>
    <w:p>
      <w:pPr>
        <w:ind w:firstLine="486"/>
        <w:spacing w:after="0" w:line="267" w:lineRule="auto"/>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Risk Factors - Security breaches, cyber-attacks and other interruptions to our or our third-party service providers’ infrastructure have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disrupted and may continue to disrupt our internal operations and we may be exposed to claims and liability, lose customers, suffer harm to our reputation, lose business-critical compliance certifications and incur additional costs.</w:t>
      </w:r>
      <w:r>
        <w:rPr>
          <w:rFonts w:ascii="Times New Roman" w:cs="Times New Roman" w:eastAsia="Times New Roman" w:hAnsi="Times New Roman"/>
          <w:sz w:val="18"/>
          <w:szCs w:val="18"/>
          <w:color w:val="auto"/>
        </w:rPr>
        <w:t>" for more information on our cybersecurity risks.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 and Strategy</w:t>
      </w:r>
    </w:p>
    <w:p>
      <w:pPr>
        <w:spacing w:after="0" w:line="256" w:lineRule="exact"/>
        <w:rPr>
          <w:sz w:val="20"/>
          <w:szCs w:val="20"/>
          <w:color w:val="auto"/>
        </w:rPr>
      </w:pPr>
    </w:p>
    <w:p>
      <w:pPr>
        <w:ind w:right="420" w:firstLine="486"/>
        <w:spacing w:after="0" w:line="261" w:lineRule="auto"/>
        <w:rPr>
          <w:sz w:val="20"/>
          <w:szCs w:val="20"/>
          <w:color w:val="auto"/>
        </w:rPr>
      </w:pPr>
      <w:r>
        <w:rPr>
          <w:rFonts w:ascii="Times New Roman" w:cs="Times New Roman" w:eastAsia="Times New Roman" w:hAnsi="Times New Roman"/>
          <w:sz w:val="18"/>
          <w:szCs w:val="18"/>
          <w:color w:val="auto"/>
        </w:rPr>
        <w:t>Cybersecurity risk management is a component of the company’s broader enterprise risk management program and we have established cybersecurity policies and procedures to protect against and mitigate harm from cybersecurity incidents. We respond to cybersecurity incidents in accordance with our cybersecurity policies and procedures and applicable law. Rackspace maintains a cross-functional approach to cybersecurity risk, which is designed to help prevent, identify, assess, manage, mitigate, and respond to cybersecurity threats.</w:t>
      </w:r>
    </w:p>
    <w:p>
      <w:pPr>
        <w:spacing w:after="0" w:line="207"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Our cybersecurity strategy focuses on implementing effective and efficient controls, technologies, and other processes to assess, identify, manage and address material cybersecurity risks. These include, among other things: annual and ongoing security awareness training for employees; mechanisms to detect and monitor unusual network activity; and containment and incident response tools. We monitor issues that are internally discovered or externally reported that may affect our operations, systems, network, data, products and/or services, and have processes to assess those issues for potential cybersecurity impact or risk.</w:t>
      </w:r>
    </w:p>
    <w:p>
      <w:pPr>
        <w:spacing w:after="0" w:line="210"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We regularly assess and deploy technical safeguards designed to protect our information systems from cybersecurity threats. Such safeguards are regularly evaluated and improved based on vulnerability assessments, cybersecurity threat intelligence and incident response experience. Our cybersecurity policies and procedures include incident response plans which guide our employees, senior management, the Audit Committee and the Board on our response to cybersecurity incidents, including escalation processes, as appropriate.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- 45 -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Our team engages with external cybersecurity advisors and experts, including outside counsel and outside cybersecurity firms, assessors, auditors and consultants as necessary or appropriate. We also maintain numerous industry-related compliance certifications for various aspects of our business, such as International Organization for Standardization ("ISO") 27001, Service Organization Controls ("SOC 1, 2, 3") and Payment Card Industry ("PCI"), Federal Information Security Management Act ("FISMA"), Federal Risk and Authorization Management Program ("FedRAMP") and Health Information Trust Alliance (“HITRUST”) in the U.S., Information Security Registered Assessors Program ("IRAP") in Australia and Public Services Network ("PSN") in the U.K.</w:t>
      </w:r>
    </w:p>
    <w:p>
      <w:pPr>
        <w:spacing w:after="0" w:line="214" w:lineRule="exact"/>
        <w:rPr>
          <w:sz w:val="20"/>
          <w:szCs w:val="20"/>
          <w:color w:val="auto"/>
        </w:rPr>
      </w:pPr>
    </w:p>
    <w:p>
      <w:pPr>
        <w:ind w:right="140" w:firstLine="486"/>
        <w:spacing w:after="0" w:line="261" w:lineRule="auto"/>
        <w:rPr>
          <w:sz w:val="20"/>
          <w:szCs w:val="20"/>
          <w:color w:val="auto"/>
        </w:rPr>
      </w:pPr>
      <w:r>
        <w:rPr>
          <w:rFonts w:ascii="Times New Roman" w:cs="Times New Roman" w:eastAsia="Times New Roman" w:hAnsi="Times New Roman"/>
          <w:sz w:val="18"/>
          <w:szCs w:val="18"/>
          <w:color w:val="auto"/>
        </w:rPr>
        <w:t>Our cybersecurity policies and procedures are designed to vet key third-party providers and provide for oversight and cooperation regarding cybersecurity incidents. In addition, our cybersecurity policies and procedures require our third-party providers to meet appropriate security requirements and we investigate security incidents that have impacted our third-party providers, as appropriate; however, our ability to monitor our third-party service providers’ data security is limited.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25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Board Oversight</w:t>
      </w:r>
    </w:p>
    <w:p>
      <w:pPr>
        <w:spacing w:after="0" w:line="256"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color w:val="auto"/>
        </w:rPr>
        <w:t>The Audit Committee of our Board oversees our cybersecurity risk. The Audit Committee receives regular cybersecurity specific updates from management (including our CSO and/or other key personnel), typically on a quarterly basis, about the prevention, detection, mitigation, and remediation of cybersecurity threats and cybersecurity incidents, as well as the evolving cybersecurity landscape, recent program enhancements and other relevant topics. The Audit Committee reports to our Board and a number of our Audit Committee and Board members have experience in assessing and managing cybersecurity risks. In addition to this regular reporting, significant cybersecurity risks or threats may also be escalated to the Audit Committee and/or the Board on an as-needed basis.</w:t>
      </w:r>
    </w:p>
    <w:p>
      <w:pPr>
        <w:spacing w:after="0" w:line="21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Management’s Role</w:t>
      </w:r>
    </w:p>
    <w:p>
      <w:pPr>
        <w:spacing w:after="0" w:line="256" w:lineRule="exact"/>
        <w:rPr>
          <w:sz w:val="20"/>
          <w:szCs w:val="20"/>
          <w:color w:val="auto"/>
        </w:rPr>
      </w:pPr>
    </w:p>
    <w:p>
      <w:pPr>
        <w:ind w:right="300" w:firstLine="486"/>
        <w:spacing w:after="0" w:line="261" w:lineRule="auto"/>
        <w:rPr>
          <w:sz w:val="20"/>
          <w:szCs w:val="20"/>
          <w:color w:val="auto"/>
        </w:rPr>
      </w:pPr>
      <w:r>
        <w:rPr>
          <w:rFonts w:ascii="Times New Roman" w:cs="Times New Roman" w:eastAsia="Times New Roman" w:hAnsi="Times New Roman"/>
          <w:sz w:val="18"/>
          <w:szCs w:val="18"/>
          <w:color w:val="auto"/>
        </w:rPr>
        <w:t xml:space="preserve">Our CSO leads our overall cybersecurity function and supervises our cybersecurity team’s efforts to prevent, detect, mitigate and remediate cybersecurity risks and incidents. She provides regular updates directly to the Audit Committee, typically on a quarterly basis. She has over 20 years of experience in information security leadership positions, including with large technology and healthcare companies as well as several large financial institutions. She holds a </w:t>
      </w:r>
      <w:r>
        <w:rPr>
          <w:rFonts w:ascii="Times New Roman" w:cs="Times New Roman" w:eastAsia="Times New Roman" w:hAnsi="Times New Roman"/>
          <w:sz w:val="18"/>
          <w:szCs w:val="18"/>
          <w:color w:val="0D0D0D"/>
        </w:rPr>
        <w:t>Bachelor of Science</w:t>
      </w:r>
      <w:r>
        <w:rPr>
          <w:rFonts w:ascii="Times New Roman" w:cs="Times New Roman" w:eastAsia="Times New Roman" w:hAnsi="Times New Roman"/>
          <w:sz w:val="18"/>
          <w:szCs w:val="18"/>
          <w:color w:val="auto"/>
        </w:rPr>
        <w:t xml:space="preserve"> from Arizona State University and has been with us since 2019.</w:t>
      </w:r>
    </w:p>
    <w:p>
      <w:pPr>
        <w:spacing w:after="0" w:line="207" w:lineRule="exact"/>
        <w:rPr>
          <w:sz w:val="20"/>
          <w:szCs w:val="20"/>
          <w:color w:val="auto"/>
        </w:rPr>
      </w:pPr>
    </w:p>
    <w:p>
      <w:pPr>
        <w:ind w:right="60" w:firstLine="486"/>
        <w:spacing w:after="0" w:line="258" w:lineRule="auto"/>
        <w:rPr>
          <w:sz w:val="20"/>
          <w:szCs w:val="20"/>
          <w:color w:val="auto"/>
        </w:rPr>
      </w:pPr>
      <w:r>
        <w:rPr>
          <w:rFonts w:ascii="Times New Roman" w:cs="Times New Roman" w:eastAsia="Times New Roman" w:hAnsi="Times New Roman"/>
          <w:sz w:val="18"/>
          <w:szCs w:val="18"/>
          <w:color w:val="0D0D0D"/>
        </w:rPr>
        <w:t>Our CSO reports to our President – Artificial Intelligence, Technology and Sustainability, who has been a Chief Information Officer or Chief Technology Officer of two other large publicly traded companies. He provides overall leadership and guidance for the company’s technology department, including the cybersecurity team. He holds a Master of Business Administration in international business from The Ohio State University, a Master of Computer Applications in computer science from the University of Mumbai, a Bachelor of Science in physics from the University of Madras and has been with us since 2021.</w:t>
      </w:r>
    </w:p>
    <w:p>
      <w:pPr>
        <w:spacing w:after="0" w:line="210" w:lineRule="exact"/>
        <w:rPr>
          <w:sz w:val="20"/>
          <w:szCs w:val="20"/>
          <w:color w:val="auto"/>
        </w:rPr>
      </w:pPr>
    </w:p>
    <w:p>
      <w:pPr>
        <w:ind w:right="100" w:firstLine="486"/>
        <w:spacing w:after="0" w:line="282" w:lineRule="auto"/>
        <w:rPr>
          <w:sz w:val="20"/>
          <w:szCs w:val="20"/>
          <w:color w:val="auto"/>
        </w:rPr>
      </w:pPr>
      <w:r>
        <w:rPr>
          <w:rFonts w:ascii="Times New Roman" w:cs="Times New Roman" w:eastAsia="Times New Roman" w:hAnsi="Times New Roman"/>
          <w:sz w:val="18"/>
          <w:szCs w:val="18"/>
          <w:color w:val="0D0D0D"/>
        </w:rPr>
        <w:t>Key security, risk, and compliance personnel across a cross-functional group of internal stakeholders, including senior management, meet regularly to develop and continually evaluate our cybersecurity policies and procedures, including discussions of the following:</w:t>
      </w:r>
    </w:p>
    <w:p>
      <w:pPr>
        <w:spacing w:after="0" w:line="189" w:lineRule="exact"/>
        <w:rPr>
          <w:sz w:val="20"/>
          <w:szCs w:val="20"/>
          <w:color w:val="auto"/>
        </w:rPr>
      </w:pPr>
    </w:p>
    <w:p>
      <w:pPr>
        <w:ind w:left="660" w:hanging="166"/>
        <w:spacing w:after="0"/>
        <w:tabs>
          <w:tab w:leader="none" w:pos="660" w:val="left"/>
        </w:tabs>
        <w:numPr>
          <w:ilvl w:val="0"/>
          <w:numId w:val="38"/>
        </w:numPr>
        <w:rPr>
          <w:rFonts w:ascii="Times New Roman" w:cs="Times New Roman" w:eastAsia="Times New Roman" w:hAnsi="Times New Roman"/>
          <w:sz w:val="18"/>
          <w:szCs w:val="18"/>
          <w:color w:val="0D0D0D"/>
        </w:rPr>
      </w:pPr>
      <w:r>
        <w:rPr>
          <w:rFonts w:ascii="Times New Roman" w:cs="Times New Roman" w:eastAsia="Times New Roman" w:hAnsi="Times New Roman"/>
          <w:sz w:val="18"/>
          <w:szCs w:val="18"/>
          <w:color w:val="0D0D0D"/>
        </w:rPr>
        <w:t>cybersecurity strategies for preservation of the confidentiality, integrity and availability of company and customer information;</w:t>
      </w:r>
    </w:p>
    <w:p>
      <w:pPr>
        <w:spacing w:after="0" w:line="117" w:lineRule="exact"/>
        <w:rPr>
          <w:rFonts w:ascii="Times New Roman" w:cs="Times New Roman" w:eastAsia="Times New Roman" w:hAnsi="Times New Roman"/>
          <w:sz w:val="18"/>
          <w:szCs w:val="18"/>
          <w:color w:val="0D0D0D"/>
        </w:rPr>
      </w:pPr>
    </w:p>
    <w:p>
      <w:pPr>
        <w:ind w:left="700" w:hanging="206"/>
        <w:spacing w:after="0"/>
        <w:tabs>
          <w:tab w:leader="none" w:pos="700" w:val="left"/>
        </w:tabs>
        <w:numPr>
          <w:ilvl w:val="0"/>
          <w:numId w:val="38"/>
        </w:numPr>
        <w:rPr>
          <w:rFonts w:ascii="Times New Roman" w:cs="Times New Roman" w:eastAsia="Times New Roman" w:hAnsi="Times New Roman"/>
          <w:sz w:val="18"/>
          <w:szCs w:val="18"/>
          <w:color w:val="0D0D0D"/>
        </w:rPr>
      </w:pPr>
      <w:r>
        <w:rPr>
          <w:rFonts w:ascii="Times New Roman" w:cs="Times New Roman" w:eastAsia="Times New Roman" w:hAnsi="Times New Roman"/>
          <w:sz w:val="18"/>
          <w:szCs w:val="18"/>
          <w:color w:val="0D0D0D"/>
        </w:rPr>
        <w:t>identification, prevention and mitigation of cybersecurity threats and incidents; and</w:t>
      </w:r>
    </w:p>
    <w:p>
      <w:pPr>
        <w:spacing w:after="0" w:line="117" w:lineRule="exact"/>
        <w:rPr>
          <w:rFonts w:ascii="Times New Roman" w:cs="Times New Roman" w:eastAsia="Times New Roman" w:hAnsi="Times New Roman"/>
          <w:sz w:val="18"/>
          <w:szCs w:val="18"/>
          <w:color w:val="0D0D0D"/>
        </w:rPr>
      </w:pPr>
    </w:p>
    <w:p>
      <w:pPr>
        <w:ind w:left="660" w:right="60" w:hanging="166"/>
        <w:spacing w:after="0" w:line="282" w:lineRule="auto"/>
        <w:tabs>
          <w:tab w:leader="none" w:pos="655" w:val="left"/>
        </w:tabs>
        <w:numPr>
          <w:ilvl w:val="0"/>
          <w:numId w:val="38"/>
        </w:numPr>
        <w:rPr>
          <w:rFonts w:ascii="Times New Roman" w:cs="Times New Roman" w:eastAsia="Times New Roman" w:hAnsi="Times New Roman"/>
          <w:sz w:val="18"/>
          <w:szCs w:val="18"/>
          <w:color w:val="0D0D0D"/>
        </w:rPr>
      </w:pPr>
      <w:r>
        <w:rPr>
          <w:rFonts w:ascii="Times New Roman" w:cs="Times New Roman" w:eastAsia="Times New Roman" w:hAnsi="Times New Roman"/>
          <w:sz w:val="18"/>
          <w:szCs w:val="18"/>
          <w:color w:val="0D0D0D"/>
        </w:rPr>
        <w:t>effective response to cybersecurity incidents (including escalation procedures of certain cybersecurity incidents so that decisions regarding public disclosure and other required reporting can be made by the appropriate personnel in a timely manner).</w:t>
      </w:r>
    </w:p>
    <w:p>
      <w:pPr>
        <w:spacing w:after="0" w:line="200" w:lineRule="exact"/>
        <w:rPr>
          <w:rFonts w:ascii="Times New Roman" w:cs="Times New Roman" w:eastAsia="Times New Roman" w:hAnsi="Times New Roman"/>
          <w:sz w:val="18"/>
          <w:szCs w:val="18"/>
          <w:color w:val="0D0D0D"/>
        </w:rPr>
      </w:pPr>
    </w:p>
    <w:p>
      <w:pPr>
        <w:spacing w:after="0" w:line="200" w:lineRule="exact"/>
        <w:rPr>
          <w:rFonts w:ascii="Times New Roman" w:cs="Times New Roman" w:eastAsia="Times New Roman" w:hAnsi="Times New Roman"/>
          <w:sz w:val="18"/>
          <w:szCs w:val="18"/>
          <w:color w:val="0D0D0D"/>
        </w:rPr>
      </w:pPr>
    </w:p>
    <w:p>
      <w:pPr>
        <w:spacing w:after="0" w:line="200" w:lineRule="exact"/>
        <w:rPr>
          <w:rFonts w:ascii="Times New Roman" w:cs="Times New Roman" w:eastAsia="Times New Roman" w:hAnsi="Times New Roman"/>
          <w:sz w:val="18"/>
          <w:szCs w:val="18"/>
          <w:color w:val="0D0D0D"/>
        </w:rPr>
      </w:pPr>
    </w:p>
    <w:p>
      <w:pPr>
        <w:spacing w:after="0" w:line="290" w:lineRule="exact"/>
        <w:rPr>
          <w:rFonts w:ascii="Times New Roman" w:cs="Times New Roman" w:eastAsia="Times New Roman" w:hAnsi="Times New Roman"/>
          <w:sz w:val="18"/>
          <w:szCs w:val="18"/>
          <w:color w:val="0D0D0D"/>
        </w:rPr>
      </w:pPr>
    </w:p>
    <w:p>
      <w:pPr>
        <w:ind w:left="5540" w:hanging="111"/>
        <w:spacing w:after="0"/>
        <w:tabs>
          <w:tab w:leader="none" w:pos="554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ITEM 2 – PROPERTIES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Office Space</w:t>
      </w:r>
    </w:p>
    <w:p>
      <w:pPr>
        <w:spacing w:after="0" w:line="256"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In March 2024, we completed the sale of our former corporate headquarters facility in Windcrest, Texas, which is in the San Antonio, Texas area. The property consisted of 1.2 million square feet. During the second quarter of 2024, the lease for our new corporate headquarters, signed in February 2023, commenced. The lease agreement is for approximately 93,000 square feet of office space in San Antonio, Texas, and has an initial lease term of 11 years, with three 5-year renewal options. In addition to our corporate headquarters, we lease office locations throughout the U.S., Europe, the Asia Pacific Region, Mexico and other locations throughout the world. To retain operational flexibility, we are increasingly utilizing shorter-term shared office facilities rather than entering into traditional longer-term office leases.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Data Centers</w:t>
      </w:r>
    </w:p>
    <w:p>
      <w:pPr>
        <w:spacing w:after="0" w:line="25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December 31, 2024, we leased data centers located across the U.S., the U.K., Hong Kong, Australia and other locations throughout the world.</w:t>
      </w:r>
    </w:p>
    <w:p>
      <w:pPr>
        <w:spacing w:after="0" w:line="252" w:lineRule="exact"/>
        <w:rPr>
          <w:sz w:val="20"/>
          <w:szCs w:val="20"/>
          <w:color w:val="auto"/>
        </w:rPr>
      </w:pPr>
    </w:p>
    <w:p>
      <w:pPr>
        <w:ind w:right="40" w:firstLine="486"/>
        <w:spacing w:after="0" w:line="282" w:lineRule="auto"/>
        <w:rPr>
          <w:sz w:val="20"/>
          <w:szCs w:val="20"/>
          <w:color w:val="auto"/>
        </w:rPr>
      </w:pPr>
      <w:r>
        <w:rPr>
          <w:rFonts w:ascii="Times New Roman" w:cs="Times New Roman" w:eastAsia="Times New Roman" w:hAnsi="Times New Roman"/>
          <w:sz w:val="18"/>
          <w:szCs w:val="18"/>
          <w:color w:val="auto"/>
        </w:rPr>
        <w:t>We believe that our existing office space and data center facilities are adequate for our current needs and that suitable additional or alternative space will be available in the future to meet our anticipated needs.</w:t>
      </w:r>
    </w:p>
    <w:p>
      <w:pPr>
        <w:spacing w:after="0" w:line="18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ITEM 3 – LEGAL PROCEEDINGS</w:t>
      </w:r>
    </w:p>
    <w:p>
      <w:pPr>
        <w:spacing w:after="0" w:line="256" w:lineRule="exact"/>
        <w:rPr>
          <w:sz w:val="20"/>
          <w:szCs w:val="20"/>
          <w:color w:val="auto"/>
        </w:rPr>
      </w:pPr>
    </w:p>
    <w:p>
      <w:pPr>
        <w:jc w:val="both"/>
        <w:ind w:right="560" w:firstLine="486"/>
        <w:spacing w:after="0" w:line="266" w:lineRule="auto"/>
        <w:rPr>
          <w:sz w:val="20"/>
          <w:szCs w:val="20"/>
          <w:color w:val="auto"/>
        </w:rPr>
      </w:pPr>
      <w:r>
        <w:rPr>
          <w:rFonts w:ascii="Times New Roman" w:cs="Times New Roman" w:eastAsia="Times New Roman" w:hAnsi="Times New Roman"/>
          <w:sz w:val="18"/>
          <w:szCs w:val="18"/>
          <w:color w:val="auto"/>
        </w:rPr>
        <w:t>We have contingencies resulting from various litigation, claims and commitments. We record accruals for loss contingencies when losses are considered probable and can be reasonably estimated. The amount that will ultimately be paid related to these matters may differ from the recorded accruals, and the timing of such payments is uncertain.</w:t>
      </w:r>
    </w:p>
    <w:p>
      <w:pPr>
        <w:spacing w:after="0" w:line="203" w:lineRule="exact"/>
        <w:rPr>
          <w:sz w:val="20"/>
          <w:szCs w:val="20"/>
          <w:color w:val="auto"/>
        </w:rPr>
      </w:pPr>
    </w:p>
    <w:p>
      <w:pPr>
        <w:ind w:right="280" w:firstLine="486"/>
        <w:spacing w:after="0" w:line="266" w:lineRule="auto"/>
        <w:rPr>
          <w:sz w:val="20"/>
          <w:szCs w:val="20"/>
          <w:color w:val="auto"/>
        </w:rPr>
      </w:pPr>
      <w:r>
        <w:rPr>
          <w:rFonts w:ascii="Times New Roman" w:cs="Times New Roman" w:eastAsia="Times New Roman" w:hAnsi="Times New Roman"/>
          <w:sz w:val="18"/>
          <w:szCs w:val="18"/>
          <w:color w:val="auto"/>
        </w:rPr>
        <w:t>From time to time we may be subject to various legal proceedings arising in the ordinary course of business. In addition, from time to time, third parties may bring intellectual property claims against us asserting that certain of our offerings, services and technologies infringe, misappropriate or otherwise violate the intellectual property or proprietary rights of others.</w:t>
      </w:r>
    </w:p>
    <w:p>
      <w:pPr>
        <w:spacing w:after="0" w:line="203" w:lineRule="exact"/>
        <w:rPr>
          <w:sz w:val="20"/>
          <w:szCs w:val="20"/>
          <w:color w:val="auto"/>
        </w:rPr>
      </w:pPr>
    </w:p>
    <w:p>
      <w:pPr>
        <w:ind w:right="600" w:firstLine="486"/>
        <w:spacing w:after="0" w:line="282" w:lineRule="auto"/>
        <w:rPr>
          <w:sz w:val="20"/>
          <w:szCs w:val="20"/>
          <w:color w:val="auto"/>
        </w:rPr>
      </w:pPr>
      <w:r>
        <w:rPr>
          <w:rFonts w:ascii="Times New Roman" w:cs="Times New Roman" w:eastAsia="Times New Roman" w:hAnsi="Times New Roman"/>
          <w:sz w:val="18"/>
          <w:szCs w:val="18"/>
          <w:color w:val="auto"/>
        </w:rPr>
        <w:t>We are not party to any litigation, the outcome of which, if determined adversely to us, would individually or in the aggregate be reasonably expected to have a material and adverse effect on our business, financial position or results of operations.</w:t>
      </w:r>
    </w:p>
    <w:p>
      <w:pPr>
        <w:spacing w:after="0" w:line="200" w:lineRule="exact"/>
        <w:rPr>
          <w:sz w:val="20"/>
          <w:szCs w:val="20"/>
          <w:color w:val="auto"/>
        </w:rPr>
      </w:pPr>
    </w:p>
    <w:p>
      <w:pPr>
        <w:spacing w:after="0" w:line="22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ITEM 4 – MINE SAFETY DISCLOSURES</w:t>
      </w:r>
    </w:p>
    <w:p>
      <w:pPr>
        <w:spacing w:after="0" w:line="25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- 47 -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5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ITEM 5 – MARKET FOR REGISTRANT'S COMMON EQUITY, RELATED STOCKHOLDER MATTERS AND ISSUER PURCHASES OF</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EQUITY SECURITIES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Information for Common Stock</w:t>
      </w:r>
    </w:p>
    <w:p>
      <w:pPr>
        <w:spacing w:after="0" w:line="256" w:lineRule="exact"/>
        <w:rPr>
          <w:sz w:val="20"/>
          <w:szCs w:val="20"/>
          <w:color w:val="auto"/>
        </w:rPr>
      </w:pPr>
    </w:p>
    <w:p>
      <w:pPr>
        <w:ind w:right="100" w:firstLine="486"/>
        <w:spacing w:after="0" w:line="282" w:lineRule="auto"/>
        <w:rPr>
          <w:sz w:val="20"/>
          <w:szCs w:val="20"/>
          <w:color w:val="auto"/>
        </w:rPr>
      </w:pPr>
      <w:r>
        <w:rPr>
          <w:rFonts w:ascii="Times New Roman" w:cs="Times New Roman" w:eastAsia="Times New Roman" w:hAnsi="Times New Roman"/>
          <w:sz w:val="18"/>
          <w:szCs w:val="18"/>
          <w:color w:val="auto"/>
        </w:rPr>
        <w:t>Our common stock has been listed on the Nasdaq, under the symbol "RXT" since August 5, 2020. Prior to that date, there was no public market for our common stock.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Holders of Record</w:t>
      </w:r>
    </w:p>
    <w:p>
      <w:pPr>
        <w:spacing w:after="0" w:line="256" w:lineRule="exact"/>
        <w:rPr>
          <w:sz w:val="20"/>
          <w:szCs w:val="20"/>
          <w:color w:val="auto"/>
        </w:rPr>
      </w:pPr>
    </w:p>
    <w:p>
      <w:pPr>
        <w:jc w:val="both"/>
        <w:ind w:right="40" w:firstLine="486"/>
        <w:spacing w:after="0" w:line="266" w:lineRule="auto"/>
        <w:rPr>
          <w:sz w:val="20"/>
          <w:szCs w:val="20"/>
          <w:color w:val="auto"/>
        </w:rPr>
      </w:pPr>
      <w:r>
        <w:rPr>
          <w:rFonts w:ascii="Times New Roman" w:cs="Times New Roman" w:eastAsia="Times New Roman" w:hAnsi="Times New Roman"/>
          <w:sz w:val="18"/>
          <w:szCs w:val="18"/>
          <w:color w:val="auto"/>
        </w:rPr>
        <w:t>As of March 17, 2025, there were 13 registered stockholders of record of our common stock. Because many of our shares of common stock are held by brokers and other institutions on behalf of stockholders, we are unable to estimate the total number of stockholders represented by these stockholders of record.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 Policy</w:t>
      </w:r>
    </w:p>
    <w:p>
      <w:pPr>
        <w:spacing w:after="0" w:line="256"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We have not to date paid any cash dividends on our common stock and we currently do not intend to pay cash dividends on our common stock in the foreseeable future. However, we may, in the future, decide to pay dividends on our common stock. Any declaration and payment of cash dividends in the future, if any, will be at the discretion of our Board and will depend upon such factors as earnings levels, cash flows, capital requirements, levels of indebtedness, restrictions imposed by applicable law, our overall financial condition, restrictions in our debt agreements and any other factors deemed relevant by our Board.</w:t>
      </w:r>
    </w:p>
    <w:p>
      <w:pPr>
        <w:spacing w:after="0" w:line="210" w:lineRule="exact"/>
        <w:rPr>
          <w:sz w:val="20"/>
          <w:szCs w:val="20"/>
          <w:color w:val="auto"/>
        </w:rPr>
      </w:pPr>
    </w:p>
    <w:p>
      <w:pPr>
        <w:ind w:right="60" w:firstLine="486"/>
        <w:spacing w:after="0" w:line="281" w:lineRule="auto"/>
        <w:rPr>
          <w:sz w:val="20"/>
          <w:szCs w:val="20"/>
          <w:color w:val="auto"/>
        </w:rPr>
      </w:pPr>
      <w:r>
        <w:rPr>
          <w:rFonts w:ascii="Times New Roman" w:cs="Times New Roman" w:eastAsia="Times New Roman" w:hAnsi="Times New Roman"/>
          <w:sz w:val="17"/>
          <w:szCs w:val="17"/>
          <w:color w:val="auto"/>
        </w:rPr>
        <w:t>As a holding company, our ability to pay dividends depends on our receipt of cash dividends from our operating subsidiaries. Our ability to pay dividends will therefore be restricted as a result of restrictions on their ability to pay dividends to us under our Senior Facilities, the Indentures and under other current and future indebtedness that we or they may incur. See Item 1A of Part I “Risk Factors—Risks Related to Ownership of our Common Stock” and Item 7 of Part II “Management’s Discussion and Analysis of Financial Condition and Results of Operations—Liquidity and Capital Resources.”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Securities Authorized for Issuance under Equity Compensation Plans</w:t>
      </w:r>
    </w:p>
    <w:p>
      <w:pPr>
        <w:spacing w:after="0" w:line="256" w:lineRule="exact"/>
        <w:rPr>
          <w:sz w:val="20"/>
          <w:szCs w:val="20"/>
          <w:color w:val="auto"/>
        </w:rPr>
      </w:pPr>
    </w:p>
    <w:p>
      <w:pPr>
        <w:ind w:right="20" w:firstLine="486"/>
        <w:spacing w:after="0" w:line="282" w:lineRule="auto"/>
        <w:rPr>
          <w:sz w:val="20"/>
          <w:szCs w:val="20"/>
          <w:color w:val="auto"/>
        </w:rPr>
      </w:pPr>
      <w:r>
        <w:rPr>
          <w:rFonts w:ascii="Times New Roman" w:cs="Times New Roman" w:eastAsia="Times New Roman" w:hAnsi="Times New Roman"/>
          <w:sz w:val="18"/>
          <w:szCs w:val="18"/>
          <w:color w:val="auto"/>
        </w:rPr>
        <w:t>For information regarding securities authorized for issuance under equity compensation plans, see Part III, Item 12 - "Security Ownership of Certain Beneficial Owners and Management and Related Stockholder Matters."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Performance Graph</w:t>
      </w:r>
    </w:p>
    <w:p>
      <w:pPr>
        <w:spacing w:after="0" w:line="256" w:lineRule="exact"/>
        <w:rPr>
          <w:sz w:val="20"/>
          <w:szCs w:val="20"/>
          <w:color w:val="auto"/>
        </w:rPr>
      </w:pPr>
    </w:p>
    <w:p>
      <w:pPr>
        <w:ind w:right="40" w:firstLine="486"/>
        <w:spacing w:after="0" w:line="256" w:lineRule="auto"/>
        <w:rPr>
          <w:sz w:val="20"/>
          <w:szCs w:val="20"/>
          <w:color w:val="auto"/>
        </w:rPr>
      </w:pPr>
      <w:r>
        <w:rPr>
          <w:rFonts w:ascii="Times New Roman" w:cs="Times New Roman" w:eastAsia="Times New Roman" w:hAnsi="Times New Roman"/>
          <w:sz w:val="18"/>
          <w:szCs w:val="18"/>
          <w:color w:val="auto"/>
        </w:rPr>
        <w:t>The graph set forth below compares the cumulative total stockholder return on our common stock between August 5, 2020 (the date our common stock commenced trading on the Nasdaq) and December 31, 2024 with the cumulative total return of (i) the Standard &amp; Poor's ("S&amp;P") 500 Index and (ii) the S&amp;P 500 Information Technology Index over the same period. All values assume the investment of $100 in our common stock and both of the other indices on August 5, 2020 and assumes the reinvestment of dividends. The graph uses the closing market price on August 5, 2020 of $16.39 per share as the initial value of our common stock. The comparisons shown below are based upon historical data. We caution that the stock price performance shown is not necessarily indicative of, nor is it intended to forecast, the potential future performance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- 48 -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887730</wp:posOffset>
            </wp:positionH>
            <wp:positionV relativeFrom="paragraph">
              <wp:posOffset>394335</wp:posOffset>
            </wp:positionV>
            <wp:extent cx="5683250" cy="29578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83250" cy="2957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02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Company/Index</w:t>
            </w:r>
          </w:p>
        </w:tc>
        <w:tc>
          <w:tcPr>
            <w:tcW w:w="100" w:type="dxa"/>
            <w:vAlign w:val="bottom"/>
          </w:tcPr>
          <w:p>
            <w:pPr>
              <w:spacing w:after="0"/>
              <w:rPr>
                <w:sz w:val="16"/>
                <w:szCs w:val="16"/>
                <w:color w:val="auto"/>
              </w:rPr>
            </w:pPr>
          </w:p>
        </w:tc>
        <w:tc>
          <w:tcPr>
            <w:tcW w:w="1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August 5, 2020</w:t>
            </w:r>
          </w:p>
        </w:tc>
        <w:tc>
          <w:tcPr>
            <w:tcW w:w="120" w:type="dxa"/>
            <w:vAlign w:val="bottom"/>
          </w:tcPr>
          <w:p>
            <w:pPr>
              <w:spacing w:after="0"/>
              <w:rPr>
                <w:sz w:val="16"/>
                <w:szCs w:val="16"/>
                <w:color w:val="auto"/>
              </w:rPr>
            </w:pPr>
          </w:p>
        </w:tc>
        <w:tc>
          <w:tcPr>
            <w:tcW w:w="12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40" w:type="dxa"/>
            <w:vAlign w:val="bottom"/>
          </w:tcPr>
          <w:p>
            <w:pPr>
              <w:spacing w:after="0"/>
              <w:rPr>
                <w:sz w:val="16"/>
                <w:szCs w:val="16"/>
                <w:color w:val="auto"/>
              </w:rPr>
            </w:pPr>
          </w:p>
        </w:tc>
        <w:tc>
          <w:tcPr>
            <w:tcW w:w="12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40" w:type="dxa"/>
            <w:vAlign w:val="bottom"/>
          </w:tcPr>
          <w:p>
            <w:pPr>
              <w:spacing w:after="0"/>
              <w:rPr>
                <w:sz w:val="16"/>
                <w:szCs w:val="16"/>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40" w:type="dxa"/>
            <w:vAlign w:val="bottom"/>
          </w:tcPr>
          <w:p>
            <w:pPr>
              <w:spacing w:after="0"/>
              <w:rPr>
                <w:sz w:val="16"/>
                <w:szCs w:val="16"/>
                <w:color w:val="auto"/>
              </w:rPr>
            </w:pPr>
          </w:p>
        </w:tc>
        <w:tc>
          <w:tcPr>
            <w:tcW w:w="12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40" w:type="dxa"/>
            <w:vAlign w:val="bottom"/>
          </w:tcPr>
          <w:p>
            <w:pPr>
              <w:spacing w:after="0"/>
              <w:rPr>
                <w:sz w:val="16"/>
                <w:szCs w:val="16"/>
                <w:color w:val="auto"/>
              </w:rPr>
            </w:pPr>
          </w:p>
        </w:tc>
        <w:tc>
          <w:tcPr>
            <w:tcW w:w="114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4"/>
        </w:trPr>
        <w:tc>
          <w:tcPr>
            <w:tcW w:w="302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11"/>
        </w:trPr>
        <w:tc>
          <w:tcPr>
            <w:tcW w:w="292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Rackspace Technology, Inc.</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116.29</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82.18</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18.00</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12.20</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13.48</w:t>
            </w:r>
          </w:p>
        </w:tc>
        <w:tc>
          <w:tcPr>
            <w:tcW w:w="0" w:type="dxa"/>
            <w:vAlign w:val="bottom"/>
          </w:tcPr>
          <w:p>
            <w:pPr>
              <w:spacing w:after="0"/>
              <w:rPr>
                <w:sz w:val="1"/>
                <w:szCs w:val="1"/>
                <w:color w:val="auto"/>
              </w:rPr>
            </w:pPr>
          </w:p>
        </w:tc>
      </w:tr>
      <w:tr>
        <w:trPr>
          <w:trHeight w:val="213"/>
        </w:trPr>
        <w:tc>
          <w:tcPr>
            <w:tcW w:w="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S&amp;P 500</w:t>
            </w:r>
          </w:p>
        </w:tc>
        <w:tc>
          <w:tcPr>
            <w:tcW w:w="23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Index</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112.87</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143.22</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115.38</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143.33</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176.74</w:t>
            </w:r>
          </w:p>
        </w:tc>
        <w:tc>
          <w:tcPr>
            <w:tcW w:w="0" w:type="dxa"/>
            <w:vAlign w:val="bottom"/>
          </w:tcPr>
          <w:p>
            <w:pPr>
              <w:spacing w:after="0"/>
              <w:rPr>
                <w:sz w:val="1"/>
                <w:szCs w:val="1"/>
                <w:color w:val="auto"/>
              </w:rPr>
            </w:pPr>
          </w:p>
        </w:tc>
      </w:tr>
      <w:tr>
        <w:trPr>
          <w:trHeight w:val="219"/>
        </w:trPr>
        <w:tc>
          <w:tcPr>
            <w:tcW w:w="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S&amp;P 500</w:t>
            </w:r>
          </w:p>
        </w:tc>
        <w:tc>
          <w:tcPr>
            <w:tcW w:w="2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Information Technology Index</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114.45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152.62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108.50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169.69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230.24</w:t>
            </w:r>
          </w:p>
        </w:tc>
        <w:tc>
          <w:tcPr>
            <w:tcW w:w="0" w:type="dxa"/>
            <w:vAlign w:val="bottom"/>
          </w:tcPr>
          <w:p>
            <w:pPr>
              <w:spacing w:after="0"/>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Unregistered Sales of Equity Securities</w:t>
      </w:r>
    </w:p>
    <w:p>
      <w:pPr>
        <w:spacing w:after="0" w:line="25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Issuer Purchases of Equity Securities</w:t>
      </w:r>
    </w:p>
    <w:p>
      <w:pPr>
        <w:spacing w:after="0" w:line="25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6 -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ITEM 7 - MANAGEMENT’S DISCUSSION AND ANALYSIS OF FINANCIAL CONDITION</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AND RESULTS OF OPERATIONS</w:t>
      </w:r>
    </w:p>
    <w:p>
      <w:pPr>
        <w:spacing w:after="0" w:line="232" w:lineRule="exact"/>
        <w:rPr>
          <w:sz w:val="20"/>
          <w:szCs w:val="20"/>
          <w:color w:val="auto"/>
        </w:rPr>
      </w:pPr>
    </w:p>
    <w:p>
      <w:pPr>
        <w:ind w:right="40"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MD&amp;A is intended to help readers understand our results of operations, financial condition and cash flows and should be read in conjunction with the audited consolidated financial statements and the related notes included elsewhere in this Annual Report. References to “Rackspace Technology,” “we,” “our company,” “the company,” “us,” or “our” refer to Rackspace Technology and its consolidated subsidiaries.</w:t>
      </w:r>
    </w:p>
    <w:p>
      <w:pPr>
        <w:spacing w:after="0" w:line="200" w:lineRule="exact"/>
        <w:rPr>
          <w:sz w:val="20"/>
          <w:szCs w:val="20"/>
          <w:color w:val="auto"/>
        </w:rPr>
      </w:pPr>
    </w:p>
    <w:p>
      <w:pPr>
        <w:ind w:firstLine="486"/>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discussion contains forward-looking statements that involve risk, assumptions and uncertainties, such as statements of our plans, objectives, expectations, intentions and forecasts. Our actual results and the timing of selected events could differ materially from those discussed in these forward-looking statements as a result of several factors, including those set forth under the section of this Annual Report titled “Risk Factors” and elsewhere in this Annual Report. You should carefully read the “Risk Factors” to gain an understanding of the important factors that could cause actual results to differ materially from our forward-looking statements. Please also see “Special Note Regarding Forward-Looking Statements” contained elsewhere in this Annual Report.</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- 50 -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21" w:right="47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6" w:lineRule="exact"/>
        <w:rPr>
          <w:sz w:val="20"/>
          <w:szCs w:val="20"/>
          <w:color w:val="auto"/>
        </w:rPr>
      </w:pPr>
    </w:p>
    <w:p>
      <w:pPr>
        <w:ind w:right="60" w:firstLine="486"/>
        <w:spacing w:after="0" w:line="256" w:lineRule="auto"/>
        <w:rPr>
          <w:sz w:val="20"/>
          <w:szCs w:val="20"/>
          <w:color w:val="auto"/>
        </w:rPr>
      </w:pPr>
      <w:r>
        <w:rPr>
          <w:rFonts w:ascii="Times New Roman" w:cs="Times New Roman" w:eastAsia="Times New Roman" w:hAnsi="Times New Roman"/>
          <w:sz w:val="18"/>
          <w:szCs w:val="18"/>
          <w:color w:val="auto"/>
        </w:rPr>
        <w:t>We are a leading end-to-end, hybrid cloud and AI solutions company. We design, build and operate our customers’ cloud environments across all major technology platforms, irrespective of technology stack or deployment model. We partner with our customers at every stage of their cloud journey, enabling them to modernize applications, build new products and adopt innovative technologies. We serve our customers with a unique combination of proprietary technology resulting from over $1 billion of investment and services expertise from a team of highly skilled consultants and engineers. And we provide our customers with unbiased expertise and technology solutions, delivered over the world’s leading cloud services, all wrapped in Fanatical Experience.</w:t>
      </w:r>
    </w:p>
    <w:p>
      <w:pPr>
        <w:spacing w:after="0" w:line="214" w:lineRule="exact"/>
        <w:rPr>
          <w:sz w:val="20"/>
          <w:szCs w:val="20"/>
          <w:color w:val="auto"/>
        </w:rPr>
      </w:pPr>
    </w:p>
    <w:p>
      <w:pPr>
        <w:ind w:right="60" w:firstLine="486"/>
        <w:spacing w:after="0" w:line="266" w:lineRule="auto"/>
        <w:rPr>
          <w:sz w:val="20"/>
          <w:szCs w:val="20"/>
          <w:color w:val="auto"/>
        </w:rPr>
      </w:pPr>
      <w:r>
        <w:rPr>
          <w:rFonts w:ascii="Times New Roman" w:cs="Times New Roman" w:eastAsia="Times New Roman" w:hAnsi="Times New Roman"/>
          <w:sz w:val="18"/>
          <w:szCs w:val="18"/>
          <w:color w:val="auto"/>
        </w:rPr>
        <w:t>We aim to be our customers’ most trusted advisor and services partner in their path to cloud transformation and to accelerate the value of their cloud investments. We give customers the ability to make fluid decisions when choosing the right technologies, and we recommend solutions based on customers’ unique objectives. In this way, we empower our customers to harness the full benefits of cloud adoption.</w:t>
      </w:r>
    </w:p>
    <w:p>
      <w:pPr>
        <w:spacing w:after="0" w:line="203" w:lineRule="exact"/>
        <w:rPr>
          <w:sz w:val="20"/>
          <w:szCs w:val="20"/>
          <w:color w:val="auto"/>
        </w:rPr>
      </w:pPr>
    </w:p>
    <w:p>
      <w:pPr>
        <w:ind w:right="80" w:firstLine="486"/>
        <w:spacing w:after="0" w:line="282" w:lineRule="auto"/>
        <w:rPr>
          <w:sz w:val="20"/>
          <w:szCs w:val="20"/>
          <w:color w:val="auto"/>
        </w:rPr>
      </w:pPr>
      <w:r>
        <w:rPr>
          <w:rFonts w:ascii="Times New Roman" w:cs="Times New Roman" w:eastAsia="Times New Roman" w:hAnsi="Times New Roman"/>
          <w:sz w:val="18"/>
          <w:szCs w:val="18"/>
          <w:color w:val="auto"/>
        </w:rPr>
        <w:t>Our team of 5,100 highly skilled Rackers, including consultants and engineers, partners with companies at every stage of their cloud transformation journey</w:t>
      </w:r>
    </w:p>
    <w:p>
      <w:pPr>
        <w:spacing w:after="0" w:line="189" w:lineRule="exact"/>
        <w:rPr>
          <w:sz w:val="20"/>
          <w:szCs w:val="20"/>
          <w:color w:val="auto"/>
        </w:rPr>
      </w:pPr>
    </w:p>
    <w:p>
      <w:pPr>
        <w:ind w:right="180" w:firstLine="486"/>
        <w:spacing w:after="0" w:line="261" w:lineRule="auto"/>
        <w:rPr>
          <w:sz w:val="20"/>
          <w:szCs w:val="20"/>
          <w:color w:val="auto"/>
        </w:rPr>
      </w:pPr>
      <w:r>
        <w:rPr>
          <w:rFonts w:ascii="Times New Roman" w:cs="Times New Roman" w:eastAsia="Times New Roman" w:hAnsi="Times New Roman"/>
          <w:sz w:val="18"/>
          <w:szCs w:val="18"/>
          <w:color w:val="auto"/>
        </w:rPr>
        <w:t>We deliver our services to a global customer base through an integrated service delivery model. We have a presence in more than 60 cities around the world. This footprint allows us to better serve customers based in various countries, especially multinational companies requiring cross-border solutions. We have a strong presence with customers of all sizes, including enterprise businesses (revenue in excess of $3 billion), mid-market businesses (revenue of $300 million to $3 billion) and commercial customers (revenue less than $300 million).</w:t>
      </w:r>
    </w:p>
    <w:p>
      <w:pPr>
        <w:spacing w:after="0" w:line="207" w:lineRule="exact"/>
        <w:rPr>
          <w:sz w:val="20"/>
          <w:szCs w:val="20"/>
          <w:color w:val="auto"/>
        </w:rPr>
      </w:pPr>
    </w:p>
    <w:p>
      <w:pPr>
        <w:ind w:right="160" w:firstLine="486"/>
        <w:spacing w:after="0" w:line="261" w:lineRule="auto"/>
        <w:rPr>
          <w:sz w:val="20"/>
          <w:szCs w:val="20"/>
          <w:color w:val="auto"/>
        </w:rPr>
      </w:pPr>
      <w:r>
        <w:rPr>
          <w:rFonts w:ascii="Times New Roman" w:cs="Times New Roman" w:eastAsia="Times New Roman" w:hAnsi="Times New Roman"/>
          <w:sz w:val="18"/>
          <w:szCs w:val="18"/>
          <w:color w:val="auto"/>
        </w:rPr>
        <w:t>Effective on January 1, 2023, we reorganized around a two-business unit operating model, Public Cloud and Private Cloud. This two-business unit operating model ensures increased focus, delivery, and service quality for our customers. Beginning in 2023, we changed our segment reporting to reflect this reorganization under two reportable segments: Public Cloud and Private Cloud. We have reflected this change in all historical comparative periods presented within this MD&amp;A.</w:t>
      </w:r>
    </w:p>
    <w:p>
      <w:pPr>
        <w:spacing w:after="0" w:line="207"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Our Public Cloud segment is a services-centric, capital-light model providing value-added cloud solutions through managed services, Elastic Engineering and professional services offerings for customer environments hosted on the AWS, Microsoft Azure and Google Cloud public cloud platforms. Our Private Cloud segment is a technology-forward, capital-intensive model providing managed service offerings for customer environments hosted in one of our data centers as well as in those owned by customers or by third parties such as colocation providers. Private Cloud also includes our legacy OpenStack Public Cloud business that we ceased to actively market to customers in 2017. See Item 8 of Part II, Financial Statements and Supplementary Data - Note 16, "Segment Reporting" for additional information about our segments.</w:t>
      </w:r>
    </w:p>
    <w:p>
      <w:pPr>
        <w:spacing w:after="0" w:line="214" w:lineRule="exact"/>
        <w:rPr>
          <w:sz w:val="20"/>
          <w:szCs w:val="20"/>
          <w:color w:val="auto"/>
        </w:rPr>
      </w:pPr>
    </w:p>
    <w:p>
      <w:pPr>
        <w:ind w:right="280" w:firstLine="486"/>
        <w:spacing w:after="0" w:line="256" w:lineRule="auto"/>
        <w:rPr>
          <w:sz w:val="20"/>
          <w:szCs w:val="20"/>
          <w:color w:val="auto"/>
        </w:rPr>
      </w:pPr>
      <w:r>
        <w:rPr>
          <w:rFonts w:ascii="Times New Roman" w:cs="Times New Roman" w:eastAsia="Times New Roman" w:hAnsi="Times New Roman"/>
          <w:sz w:val="18"/>
          <w:szCs w:val="18"/>
          <w:color w:val="auto"/>
        </w:rPr>
        <w:t>We generate revenue primarily through the sale of consumption-based contracts for our services offerings, which are recurring in nature. We also generate revenue from the sale of professional services related to designing and building customer solutions, which are non-recurring in nature. Arrangements within our Private Cloud segment generally have a fixed term, typically from 12 to 36 months, with a monthly recurring fee based on the computing resources provided to and utilized by the customer, the complexity of the underlying infrastructure and the level of support we provide. Our other primary sources of revenue are for services within our Public Cloud segment and legacy OpenStack business. Contracts for these arrangements typically operate on a consumption model and can be canceled at any time without penalty.</w:t>
      </w:r>
    </w:p>
    <w:p>
      <w:pPr>
        <w:spacing w:after="0" w:line="214" w:lineRule="exact"/>
        <w:rPr>
          <w:sz w:val="20"/>
          <w:szCs w:val="20"/>
          <w:color w:val="auto"/>
        </w:rPr>
      </w:pPr>
    </w:p>
    <w:p>
      <w:pPr>
        <w:ind w:right="140" w:firstLine="486"/>
        <w:spacing w:after="0" w:line="261" w:lineRule="auto"/>
        <w:rPr>
          <w:sz w:val="20"/>
          <w:szCs w:val="20"/>
          <w:color w:val="auto"/>
        </w:rPr>
      </w:pPr>
      <w:r>
        <w:rPr>
          <w:rFonts w:ascii="Times New Roman" w:cs="Times New Roman" w:eastAsia="Times New Roman" w:hAnsi="Times New Roman"/>
          <w:sz w:val="18"/>
          <w:szCs w:val="18"/>
          <w:color w:val="auto"/>
        </w:rPr>
        <w:t>We sell our services through direct sales teams, third-party channel partners and via online orders. Our sales model is based on both distributed and centralized sales teams with leads generated from technology partners, customer referrals, channel partners and corporate marketing efforts. We offer customers the flexibility to select the best combination of resources in order to meet the requirements of their unique applications and provide the technology to seamlessly operate and manage multiple cloud computing environments.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- 51 -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Key Factors Affecting Our Performance</w:t>
      </w:r>
    </w:p>
    <w:p>
      <w:pPr>
        <w:spacing w:after="0" w:line="256" w:lineRule="exact"/>
        <w:rPr>
          <w:sz w:val="20"/>
          <w:szCs w:val="20"/>
          <w:color w:val="auto"/>
        </w:rPr>
      </w:pPr>
    </w:p>
    <w:p>
      <w:pPr>
        <w:jc w:val="both"/>
        <w:ind w:right="100" w:firstLine="486"/>
        <w:spacing w:after="0" w:line="266" w:lineRule="auto"/>
        <w:rPr>
          <w:sz w:val="20"/>
          <w:szCs w:val="20"/>
          <w:color w:val="auto"/>
        </w:rPr>
      </w:pPr>
      <w:r>
        <w:rPr>
          <w:rFonts w:ascii="Times New Roman" w:cs="Times New Roman" w:eastAsia="Times New Roman" w:hAnsi="Times New Roman"/>
          <w:sz w:val="18"/>
          <w:szCs w:val="18"/>
          <w:color w:val="auto"/>
        </w:rPr>
        <w:t>We believe our combination of proprietary technology, automation capabilities and technical expertise creates a value proposition for our customers that is hard to replicate for both competitors and in-house IT departments. Our continued success depends to a significant extent on our ability to meet the challenges presented by our highly competitive and dynamic market, including the following key factors: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Differentiating Our Service Offerings in a Competitive Market Environment</w:t>
      </w:r>
    </w:p>
    <w:p>
      <w:pPr>
        <w:spacing w:after="0" w:line="256" w:lineRule="exact"/>
        <w:rPr>
          <w:sz w:val="20"/>
          <w:szCs w:val="20"/>
          <w:color w:val="auto"/>
        </w:rPr>
      </w:pPr>
    </w:p>
    <w:p>
      <w:pPr>
        <w:ind w:right="120" w:firstLine="486"/>
        <w:spacing w:after="0" w:line="255" w:lineRule="auto"/>
        <w:rPr>
          <w:sz w:val="20"/>
          <w:szCs w:val="20"/>
          <w:color w:val="auto"/>
        </w:rPr>
      </w:pPr>
      <w:r>
        <w:rPr>
          <w:rFonts w:ascii="Times New Roman" w:cs="Times New Roman" w:eastAsia="Times New Roman" w:hAnsi="Times New Roman"/>
          <w:sz w:val="18"/>
          <w:szCs w:val="18"/>
          <w:color w:val="auto"/>
        </w:rPr>
        <w:t>Our success depends to a significant extent on our ability to continue to differentiate, expand and upgrade our service offerings in line with developing customer needs, while deepening our relationships with leading public cloud service providers and establishing new relationships, including with sales partners. We are a certified premier consulting and managed services partner to some of the largest cloud computing platforms, including AWS, Microsoft Azure, Google Cloud, Oracle, SAP and VMware by Broadcom. We believe we are unique in our ability to serve customers across major technology stacks and deployment options, all while delivering Fanatical Experience. Our existing and prospective customers are also under increasing pressure to move from on-premise or self-managed IT to the cloud to compete effectively in a digital economy and maximize the value of their cloud investments, which we believe presents an opportunity for professional services projects as well as new recurring business.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Customer Relationships and Retention</w:t>
      </w:r>
    </w:p>
    <w:p>
      <w:pPr>
        <w:spacing w:after="0" w:line="256"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Our success greatly depends on our ability to retain and develop opportunities with our existing customers and to attract new customers. We operate in a growing but competitive and evolving market environment, requiring innovation to differentiate us from our competitors. We believe that our integrated cloud service portfolio and our differentiated customer experience and technology are keys to retaining and growing revenue from existing customers as well as acquiring new customers. For example, we believe that Rackspace Fabric provides customers a unified experience across their entire cloud and security footprint, and that our Rackspace Elastic Engineering model helps customers embrace a cloud native approach with on-demand access to a dedicated team of highly skilled cloud architects and engineers. These offerings differentiate us from legacy IT service providers that operate under long-term fixed and project-based fee structures often tethered to their existing technologies with less automation.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Mix Shift</w:t>
      </w:r>
    </w:p>
    <w:p>
      <w:pPr>
        <w:spacing w:after="0" w:line="256"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The mix of revenue has shifted in recent years, from our Private Cloud offerings to infrastructure resale and services within Public Cloud. Private Cloud offerings are generally hosted on our own infrastructure and deliver higher segment operating margins, but also require a higher level of capital expenditures. Conversely, Public Cloud segment operating margins are lower, driven by high volumes of infrastructure resale revenue which come at significantly lower margins. However, Public Cloud requires significantly less capital expenditures. Going forward, we will continue to take a workload-centric approach and both Public and Private Cloud will be the net recipients of the workloads. The focus in Private Cloud will be to defend and expand our revenue with new solutions. The focus in Public Cloud is on expanding segment operating margins by driving cost efficiencies and growing higher-margin services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Key Components of Statement of Operations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43"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A substantial amount of our revenue, particularly within our Private Cloud segment, is generated pursuant to contracts that typically have a fixed term (typically from 12 to 36 months). Our customers generally have the right to cancel their contracts by providing us with written notice prior to the end of the fixed term, though most of our contracts provide for termination fees in the event of cancellation prior to the end of their term, typically amounting to the outstanding value of the contract. These contracts include a monthly recurring fee, which is determined based on the computing resources utilized and provided to the customer, the complexity of the underlying infrastructure and the level of support we provide. Most of our services within our Public Cloud segment and legacy OpenStack business generate usage-based revenue invoiced on a monthly basis and can be canceled at any time without penalty. We also generate revenue from usage-based fees and fees from professional services earned from customers using our hosting and other services. We typically recognize revenue on a daily basis, as services are provided, in an amount that reflects the consideration to which we expect to be entitled in exchange for our services. Our usage-based arrangements generally include a variable consideration component, consisting of monthly utility fees, with a defined price and undefined quantity. Our customer contracts also typically contain service level guarantees, including with respect to network uptime requirements, that provide discounts when we fail to meet specific obligations and, with respect to certain products, we may offer volume discounts based on usage. As these variable consideration components consist of a single distinct daily service provided on a single performance obligation, we account for all of them as services are provided and earned.</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56" w:lineRule="exact"/>
        <w:rPr>
          <w:sz w:val="20"/>
          <w:szCs w:val="20"/>
          <w:color w:val="auto"/>
        </w:rPr>
      </w:pPr>
    </w:p>
    <w:p>
      <w:pPr>
        <w:ind w:right="20" w:firstLine="486"/>
        <w:spacing w:after="0" w:line="281" w:lineRule="auto"/>
        <w:rPr>
          <w:sz w:val="20"/>
          <w:szCs w:val="20"/>
          <w:color w:val="auto"/>
        </w:rPr>
      </w:pPr>
      <w:r>
        <w:rPr>
          <w:rFonts w:ascii="Times New Roman" w:cs="Times New Roman" w:eastAsia="Times New Roman" w:hAnsi="Times New Roman"/>
          <w:sz w:val="17"/>
          <w:szCs w:val="17"/>
          <w:color w:val="auto"/>
        </w:rPr>
        <w:t>Cost of revenue consists primarily of usage charges for third-party infrastructure and personnel costs (including salaries, bonuses, benefits and share-based compensation) for engineers, developers and other employees involved in the delivery of services to our customers. Cost of revenue also includes depreciation of servers, software and other systems infrastructure, data center rent and other infrastructure maintenance and support costs, including software license costs and utilities. Cost of revenue is driven mainly by demand for our services, our service mix and the cost of labor in a given geography.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256" w:lineRule="exact"/>
        <w:rPr>
          <w:sz w:val="20"/>
          <w:szCs w:val="20"/>
          <w:color w:val="auto"/>
        </w:rPr>
      </w:pPr>
    </w:p>
    <w:p>
      <w:pPr>
        <w:ind w:right="220" w:firstLine="486"/>
        <w:spacing w:after="0" w:line="258" w:lineRule="auto"/>
        <w:rPr>
          <w:sz w:val="20"/>
          <w:szCs w:val="20"/>
          <w:color w:val="auto"/>
        </w:rPr>
      </w:pPr>
      <w:r>
        <w:rPr>
          <w:rFonts w:ascii="Times New Roman" w:cs="Times New Roman" w:eastAsia="Times New Roman" w:hAnsi="Times New Roman"/>
          <w:sz w:val="18"/>
          <w:szCs w:val="18"/>
          <w:color w:val="auto"/>
        </w:rPr>
        <w:t>SG&amp;A expenses consist primarily of personnel costs (including salaries, bonuses, commissions, benefits and share-based compensation) for our sales force, executive team and corporate administrative and support employees, including our human resources, finance, accounting and legal functions. SG&amp;A also includes R&amp;D costs, repair and maintenance of corporate infrastructure, facilities rent, third-party advisory fees (including audit, legal and management consulting costs), marketing and advertising costs and insurance, as well as the amortization of related intangible assets and certain depreciation of fixed assets.</w:t>
      </w:r>
    </w:p>
    <w:p>
      <w:pPr>
        <w:spacing w:after="0" w:line="210" w:lineRule="exact"/>
        <w:rPr>
          <w:sz w:val="20"/>
          <w:szCs w:val="20"/>
          <w:color w:val="auto"/>
        </w:rPr>
      </w:pPr>
    </w:p>
    <w:p>
      <w:pPr>
        <w:ind w:right="480" w:firstLine="486"/>
        <w:spacing w:after="0" w:line="282" w:lineRule="auto"/>
        <w:rPr>
          <w:sz w:val="20"/>
          <w:szCs w:val="20"/>
          <w:color w:val="auto"/>
        </w:rPr>
      </w:pPr>
      <w:r>
        <w:rPr>
          <w:rFonts w:ascii="Times New Roman" w:cs="Times New Roman" w:eastAsia="Times New Roman" w:hAnsi="Times New Roman"/>
          <w:sz w:val="18"/>
          <w:szCs w:val="18"/>
          <w:color w:val="auto"/>
        </w:rPr>
        <w:t>SG&amp;A also includes transaction costs related to acquisitions and financings along with costs related to integration and business transformation initiatives which may impact the comparability of SG&amp;A between periods.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56" w:lineRule="exact"/>
        <w:rPr>
          <w:sz w:val="20"/>
          <w:szCs w:val="20"/>
          <w:color w:val="auto"/>
        </w:rPr>
      </w:pPr>
    </w:p>
    <w:p>
      <w:pPr>
        <w:ind w:right="40" w:firstLine="486"/>
        <w:spacing w:after="0" w:line="258" w:lineRule="auto"/>
        <w:rPr>
          <w:sz w:val="20"/>
          <w:szCs w:val="20"/>
          <w:color w:val="auto"/>
        </w:rPr>
      </w:pPr>
      <w:r>
        <w:rPr>
          <w:rFonts w:ascii="Times New Roman" w:cs="Times New Roman" w:eastAsia="Times New Roman" w:hAnsi="Times New Roman"/>
          <w:sz w:val="18"/>
          <w:szCs w:val="18"/>
          <w:color w:val="auto"/>
        </w:rPr>
        <w:t>Our income tax benefit and deferred tax assets and liabilities reflect management’s best assessment of estimated current and future taxes to be paid. To date, we have recorded consolidated tax benefits, reflecting our net losses, though certain of our non-U.S. subsidiaries have incurred corporate tax expense according to the relevant taxing jurisdictions. We are under certain domestic and foreign tax audits. Due to the complexity involved with certain tax matters, there is the possibility that the various taxing authorities may disagree with certain tax positions filed on our income tax returns. We believe we have made adequate provision for all uncertain tax positions. See Item 8 of Part II, Financial Statements and Supplementary Data - Note 13,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- 53 -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6" w:lineRule="exact"/>
        <w:rPr>
          <w:sz w:val="20"/>
          <w:szCs w:val="20"/>
          <w:color w:val="auto"/>
        </w:rPr>
      </w:pPr>
    </w:p>
    <w:p>
      <w:pPr>
        <w:ind w:right="40" w:firstLine="486"/>
        <w:spacing w:after="0" w:line="282" w:lineRule="auto"/>
        <w:rPr>
          <w:sz w:val="20"/>
          <w:szCs w:val="20"/>
          <w:color w:val="auto"/>
        </w:rPr>
      </w:pPr>
      <w:r>
        <w:rPr>
          <w:rFonts w:ascii="Times New Roman" w:cs="Times New Roman" w:eastAsia="Times New Roman" w:hAnsi="Times New Roman"/>
          <w:sz w:val="18"/>
          <w:szCs w:val="18"/>
          <w:color w:val="auto"/>
        </w:rPr>
        <w:t>We discuss our historical results of operations, and the key components of those results, below. Past financial results are not necessarily indicative of future results.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2023 Compared to Year Ended December 31, 2024</w:t>
      </w:r>
    </w:p>
    <w:p>
      <w:pPr>
        <w:spacing w:after="0" w:line="256" w:lineRule="exact"/>
        <w:rPr>
          <w:sz w:val="20"/>
          <w:szCs w:val="20"/>
          <w:color w:val="auto"/>
        </w:rPr>
      </w:pPr>
    </w:p>
    <w:p>
      <w:pPr>
        <w:ind w:right="14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sets forth our results of operations for the specified periods, as well as changes between periods and as a percentage of revenue for those same periods (totals in table may not foot due to rounding):</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6"/>
          </w:tcPr>
          <w:p>
            <w:pPr>
              <w:jc w:val="right"/>
              <w:ind w:right="66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3"/>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Year-Over-Year Comparison</w:t>
            </w:r>
          </w:p>
        </w:tc>
        <w:tc>
          <w:tcPr>
            <w:tcW w:w="0" w:type="dxa"/>
            <w:vAlign w:val="bottom"/>
          </w:tcPr>
          <w:p>
            <w:pPr>
              <w:spacing w:after="0"/>
              <w:rPr>
                <w:sz w:val="1"/>
                <w:szCs w:val="1"/>
                <w:color w:val="auto"/>
              </w:rPr>
            </w:pPr>
          </w:p>
        </w:tc>
      </w:tr>
      <w:tr>
        <w:trPr>
          <w:trHeight w:val="209"/>
        </w:trPr>
        <w:tc>
          <w:tcPr>
            <w:tcW w:w="3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millions, except %)</w:t>
            </w:r>
          </w:p>
        </w:tc>
        <w:tc>
          <w:tcPr>
            <w:tcW w:w="200" w:type="dxa"/>
            <w:vAlign w:val="bottom"/>
          </w:tcPr>
          <w:p>
            <w:pPr>
              <w:spacing w:after="0"/>
              <w:rPr>
                <w:sz w:val="18"/>
                <w:szCs w:val="18"/>
                <w:color w:val="auto"/>
              </w:rPr>
            </w:pPr>
          </w:p>
        </w:tc>
        <w:tc>
          <w:tcPr>
            <w:tcW w:w="1300" w:type="dxa"/>
            <w:vAlign w:val="bottom"/>
            <w:gridSpan w:val="3"/>
          </w:tcPr>
          <w:p>
            <w:pPr>
              <w:jc w:val="right"/>
              <w:ind w:right="6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10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 Revenue</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3"/>
          </w:tcPr>
          <w:p>
            <w:pPr>
              <w:jc w:val="right"/>
              <w:ind w:right="6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10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 Revenue</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 w:type="dxa"/>
            <w:vAlign w:val="bottom"/>
          </w:tcPr>
          <w:p>
            <w:pPr>
              <w:spacing w:after="0"/>
              <w:rPr>
                <w:sz w:val="18"/>
                <w:szCs w:val="18"/>
                <w:color w:val="auto"/>
              </w:rPr>
            </w:pPr>
          </w:p>
        </w:tc>
        <w:tc>
          <w:tcPr>
            <w:tcW w:w="130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11"/>
        </w:trPr>
        <w:tc>
          <w:tcPr>
            <w:tcW w:w="3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2,957.1</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2,737.1</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(220.0)</w:t>
            </w:r>
          </w:p>
        </w:tc>
        <w:tc>
          <w:tcPr>
            <w:tcW w:w="1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0" w:type="dxa"/>
            <w:vAlign w:val="bottom"/>
          </w:tcPr>
          <w:p>
            <w:pPr>
              <w:spacing w:after="0"/>
              <w:rPr>
                <w:sz w:val="1"/>
                <w:szCs w:val="1"/>
                <w:color w:val="auto"/>
              </w:rPr>
            </w:pPr>
          </w:p>
        </w:tc>
      </w:tr>
      <w:tr>
        <w:trPr>
          <w:trHeight w:val="213"/>
        </w:trPr>
        <w:tc>
          <w:tcPr>
            <w:tcW w:w="3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(2,328.3)</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(78.7)%</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(2,203.7)</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(80.5)%</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124.6</w:t>
            </w:r>
          </w:p>
        </w:tc>
        <w:tc>
          <w:tcPr>
            <w:tcW w:w="14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0" w:type="dxa"/>
            <w:vAlign w:val="bottom"/>
          </w:tcPr>
          <w:p>
            <w:pPr>
              <w:spacing w:after="0"/>
              <w:rPr>
                <w:sz w:val="1"/>
                <w:szCs w:val="1"/>
                <w:color w:val="auto"/>
              </w:rPr>
            </w:pPr>
          </w:p>
        </w:tc>
      </w:tr>
      <w:tr>
        <w:trPr>
          <w:trHeight w:val="212"/>
        </w:trPr>
        <w:tc>
          <w:tcPr>
            <w:tcW w:w="3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Gross profit</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628.8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533.4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(95.4)</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0" w:type="dxa"/>
            <w:vAlign w:val="bottom"/>
          </w:tcPr>
          <w:p>
            <w:pPr>
              <w:spacing w:after="0"/>
              <w:rPr>
                <w:sz w:val="1"/>
                <w:szCs w:val="1"/>
                <w:color w:val="auto"/>
              </w:rPr>
            </w:pPr>
          </w:p>
        </w:tc>
      </w:tr>
      <w:tr>
        <w:trPr>
          <w:trHeight w:val="213"/>
        </w:trPr>
        <w:tc>
          <w:tcPr>
            <w:tcW w:w="32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(767.2)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(707.6)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59.6</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0" w:type="dxa"/>
            <w:vAlign w:val="bottom"/>
          </w:tcPr>
          <w:p>
            <w:pPr>
              <w:spacing w:after="0"/>
              <w:rPr>
                <w:sz w:val="1"/>
                <w:szCs w:val="1"/>
                <w:color w:val="auto"/>
              </w:rPr>
            </w:pPr>
          </w:p>
        </w:tc>
      </w:tr>
      <w:tr>
        <w:trPr>
          <w:trHeight w:val="219"/>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Impairment of goodwill</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(708.8)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(714.9)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0.9 %</w:t>
            </w:r>
          </w:p>
        </w:tc>
        <w:tc>
          <w:tcPr>
            <w:tcW w:w="0" w:type="dxa"/>
            <w:vAlign w:val="bottom"/>
          </w:tcPr>
          <w:p>
            <w:pPr>
              <w:spacing w:after="0"/>
              <w:rPr>
                <w:sz w:val="1"/>
                <w:szCs w:val="1"/>
                <w:color w:val="auto"/>
              </w:rPr>
            </w:pPr>
          </w:p>
        </w:tc>
      </w:tr>
      <w:tr>
        <w:trPr>
          <w:trHeight w:val="213"/>
        </w:trPr>
        <w:tc>
          <w:tcPr>
            <w:tcW w:w="3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Impairment of assets, net</w:t>
            </w: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(52.2)</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32.2</w:t>
            </w:r>
          </w:p>
        </w:tc>
        <w:tc>
          <w:tcPr>
            <w:tcW w:w="14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(61.7)%</w:t>
            </w:r>
          </w:p>
        </w:tc>
        <w:tc>
          <w:tcPr>
            <w:tcW w:w="0" w:type="dxa"/>
            <w:vAlign w:val="bottom"/>
          </w:tcPr>
          <w:p>
            <w:pPr>
              <w:spacing w:after="0"/>
              <w:rPr>
                <w:sz w:val="1"/>
                <w:szCs w:val="1"/>
                <w:color w:val="auto"/>
              </w:rPr>
            </w:pPr>
          </w:p>
        </w:tc>
      </w:tr>
      <w:tr>
        <w:trPr>
          <w:trHeight w:val="212"/>
        </w:trPr>
        <w:tc>
          <w:tcPr>
            <w:tcW w:w="3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Loss from operations</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(899.4)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(909.1)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1.1 %</w:t>
            </w:r>
          </w:p>
        </w:tc>
        <w:tc>
          <w:tcPr>
            <w:tcW w:w="0" w:type="dxa"/>
            <w:vAlign w:val="bottom"/>
          </w:tcPr>
          <w:p>
            <w:pPr>
              <w:spacing w:after="0"/>
              <w:rPr>
                <w:sz w:val="1"/>
                <w:szCs w:val="1"/>
                <w:color w:val="auto"/>
              </w:rPr>
            </w:pPr>
          </w:p>
        </w:tc>
      </w:tr>
      <w:tr>
        <w:trPr>
          <w:trHeight w:val="213"/>
        </w:trPr>
        <w:tc>
          <w:tcPr>
            <w:tcW w:w="3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income (expense):</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123.6</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(55.8)%</w:t>
            </w:r>
          </w:p>
        </w:tc>
        <w:tc>
          <w:tcPr>
            <w:tcW w:w="0" w:type="dxa"/>
            <w:vAlign w:val="bottom"/>
          </w:tcPr>
          <w:p>
            <w:pPr>
              <w:spacing w:after="0"/>
              <w:rPr>
                <w:sz w:val="1"/>
                <w:szCs w:val="1"/>
                <w:color w:val="auto"/>
              </w:rPr>
            </w:pPr>
          </w:p>
        </w:tc>
      </w:tr>
      <w:tr>
        <w:trPr>
          <w:trHeight w:val="213"/>
        </w:trPr>
        <w:tc>
          <w:tcPr>
            <w:tcW w:w="3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Gain on investments, net</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(66.7)%</w:t>
            </w:r>
          </w:p>
        </w:tc>
        <w:tc>
          <w:tcPr>
            <w:tcW w:w="0" w:type="dxa"/>
            <w:vAlign w:val="bottom"/>
          </w:tcPr>
          <w:p>
            <w:pPr>
              <w:spacing w:after="0"/>
              <w:rPr>
                <w:sz w:val="1"/>
                <w:szCs w:val="1"/>
                <w:color w:val="auto"/>
              </w:rPr>
            </w:pPr>
          </w:p>
        </w:tc>
      </w:tr>
      <w:tr>
        <w:trPr>
          <w:trHeight w:val="165"/>
        </w:trPr>
        <w:tc>
          <w:tcPr>
            <w:tcW w:w="324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Gain on debt extinguishment, net of debt</w:t>
            </w:r>
          </w:p>
        </w:tc>
        <w:tc>
          <w:tcPr>
            <w:tcW w:w="20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271.3</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9.2 %</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147.2</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5.4 %</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(124.1)</w:t>
            </w:r>
          </w:p>
        </w:tc>
        <w:tc>
          <w:tcPr>
            <w:tcW w:w="14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modification costs</w:t>
            </w:r>
          </w:p>
        </w:tc>
        <w:tc>
          <w:tcPr>
            <w:tcW w:w="20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4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expense, net</w:t>
            </w: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(21.7)</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100" w:type="dxa"/>
            <w:vAlign w:val="bottom"/>
            <w:tcBorders>
              <w:bottom w:val="single" w:sz="8" w:color="CCEEFF"/>
            </w:tcBorders>
          </w:tcPr>
          <w:p>
            <w:pPr>
              <w:spacing w:after="0"/>
              <w:rPr>
                <w:sz w:val="18"/>
                <w:szCs w:val="18"/>
                <w:color w:val="auto"/>
              </w:rPr>
            </w:pPr>
          </w:p>
        </w:tc>
        <w:tc>
          <w:tcPr>
            <w:tcW w:w="13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212"/>
        </w:trPr>
        <w:tc>
          <w:tcPr>
            <w:tcW w:w="3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other income (expense)</w:t>
            </w: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1.5 %</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1.0 %</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(38.7)%</w:t>
            </w:r>
          </w:p>
        </w:tc>
        <w:tc>
          <w:tcPr>
            <w:tcW w:w="0" w:type="dxa"/>
            <w:vAlign w:val="bottom"/>
          </w:tcPr>
          <w:p>
            <w:pPr>
              <w:spacing w:after="0"/>
              <w:rPr>
                <w:sz w:val="1"/>
                <w:szCs w:val="1"/>
                <w:color w:val="auto"/>
              </w:rPr>
            </w:pPr>
          </w:p>
        </w:tc>
      </w:tr>
      <w:tr>
        <w:trPr>
          <w:trHeight w:val="207"/>
        </w:trPr>
        <w:tc>
          <w:tcPr>
            <w:tcW w:w="32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Loss before income taxes</w:t>
            </w:r>
          </w:p>
        </w:tc>
        <w:tc>
          <w:tcPr>
            <w:tcW w:w="2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(854.4)</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(881.5)</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3.2 %</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Benefit for income taxes</w:t>
            </w: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0.6 %</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0.8 %</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40.4 %</w:t>
            </w:r>
          </w:p>
        </w:tc>
        <w:tc>
          <w:tcPr>
            <w:tcW w:w="0" w:type="dxa"/>
            <w:vAlign w:val="bottom"/>
          </w:tcPr>
          <w:p>
            <w:pPr>
              <w:spacing w:after="0"/>
              <w:rPr>
                <w:sz w:val="1"/>
                <w:szCs w:val="1"/>
                <w:color w:val="auto"/>
              </w:rPr>
            </w:pPr>
          </w:p>
        </w:tc>
      </w:tr>
      <w:tr>
        <w:trPr>
          <w:trHeight w:val="212"/>
        </w:trPr>
        <w:tc>
          <w:tcPr>
            <w:tcW w:w="32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Net loss</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(837.8)</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(28.3)%</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(858.2)</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(31.4)%</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(20.4)</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2.4 %</w:t>
            </w:r>
          </w:p>
        </w:tc>
        <w:tc>
          <w:tcPr>
            <w:tcW w:w="0" w:type="dxa"/>
            <w:vAlign w:val="bottom"/>
          </w:tcPr>
          <w:p>
            <w:pPr>
              <w:spacing w:after="0"/>
              <w:rPr>
                <w:sz w:val="1"/>
                <w:szCs w:val="1"/>
                <w:color w:val="auto"/>
              </w:rPr>
            </w:pPr>
          </w:p>
        </w:tc>
      </w:tr>
      <w:tr>
        <w:trPr>
          <w:trHeight w:val="21"/>
        </w:trPr>
        <w:tc>
          <w:tcPr>
            <w:tcW w:w="3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NM = not meaningful.</w:t>
      </w: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54"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Revenue decreased $220 million, or 7.4%, to $2,737 million in 2024 from $2,957 million in 2023. Revenue declined due to decreases in both Private Cloud and Public Cloud revenue, as discussed below.</w:t>
      </w:r>
    </w:p>
    <w:p>
      <w:pPr>
        <w:spacing w:after="0" w:line="189" w:lineRule="exact"/>
        <w:rPr>
          <w:sz w:val="20"/>
          <w:szCs w:val="20"/>
          <w:color w:val="auto"/>
        </w:rPr>
      </w:pPr>
    </w:p>
    <w:p>
      <w:pPr>
        <w:ind w:right="200" w:firstLine="486"/>
        <w:spacing w:after="0" w:line="282" w:lineRule="auto"/>
        <w:rPr>
          <w:sz w:val="20"/>
          <w:szCs w:val="20"/>
          <w:color w:val="auto"/>
        </w:rPr>
      </w:pPr>
      <w:r>
        <w:rPr>
          <w:rFonts w:ascii="Times New Roman" w:cs="Times New Roman" w:eastAsia="Times New Roman" w:hAnsi="Times New Roman"/>
          <w:sz w:val="18"/>
          <w:szCs w:val="18"/>
          <w:color w:val="auto"/>
        </w:rPr>
        <w:t>After removing the impact from foreign currency fluctuations, on a constant currency basis, revenue decreased 7.7%. The following table presents revenue growth by segment:</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4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4"/>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00" w:type="dxa"/>
            <w:vAlign w:val="bottom"/>
          </w:tcPr>
          <w:p>
            <w:pPr>
              <w:spacing w:after="0"/>
              <w:rPr>
                <w:sz w:val="18"/>
                <w:szCs w:val="18"/>
                <w:color w:val="auto"/>
              </w:rPr>
            </w:pPr>
          </w:p>
        </w:tc>
        <w:tc>
          <w:tcPr>
            <w:tcW w:w="3500" w:type="dxa"/>
            <w:vAlign w:val="bottom"/>
            <w:tcBorders>
              <w:bottom w:val="single" w:sz="8" w:color="auto"/>
            </w:tcBorders>
            <w:gridSpan w:val="3"/>
          </w:tcPr>
          <w:p>
            <w:pPr>
              <w:jc w:val="right"/>
              <w:ind w:right="1299"/>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13"/>
        </w:trPr>
        <w:tc>
          <w:tcPr>
            <w:tcW w:w="4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millions, except %)</w:t>
            </w:r>
          </w:p>
        </w:tc>
        <w:tc>
          <w:tcPr>
            <w:tcW w:w="360" w:type="dxa"/>
            <w:vAlign w:val="bottom"/>
          </w:tcPr>
          <w:p>
            <w:pPr>
              <w:spacing w:after="0"/>
              <w:rPr>
                <w:sz w:val="18"/>
                <w:szCs w:val="18"/>
                <w:color w:val="auto"/>
              </w:rPr>
            </w:pPr>
          </w:p>
        </w:tc>
        <w:tc>
          <w:tcPr>
            <w:tcW w:w="120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1800" w:type="dxa"/>
            <w:vAlign w:val="bottom"/>
            <w:gridSpan w:val="2"/>
          </w:tcPr>
          <w:p>
            <w:pPr>
              <w:ind w:left="620"/>
              <w:spacing w:after="0"/>
              <w:rPr>
                <w:sz w:val="20"/>
                <w:szCs w:val="20"/>
                <w:color w:val="auto"/>
              </w:rPr>
            </w:pPr>
            <w:r>
              <w:rPr>
                <w:rFonts w:ascii="Times New Roman" w:cs="Times New Roman" w:eastAsia="Times New Roman" w:hAnsi="Times New Roman"/>
                <w:sz w:val="16"/>
                <w:szCs w:val="16"/>
                <w:b w:val="1"/>
                <w:bCs w:val="1"/>
                <w:color w:val="auto"/>
              </w:rPr>
              <w:t>Actual</w:t>
            </w:r>
          </w:p>
        </w:tc>
        <w:tc>
          <w:tcPr>
            <w:tcW w:w="1700" w:type="dxa"/>
            <w:vAlign w:val="bottom"/>
          </w:tcPr>
          <w:p>
            <w:pPr>
              <w:jc w:val="right"/>
              <w:ind w:right="19"/>
              <w:spacing w:after="0" w:line="213" w:lineRule="exact"/>
              <w:rPr>
                <w:sz w:val="20"/>
                <w:szCs w:val="20"/>
                <w:color w:val="auto"/>
              </w:rPr>
            </w:pPr>
            <w:r>
              <w:rPr>
                <w:rFonts w:ascii="Times New Roman" w:cs="Times New Roman" w:eastAsia="Times New Roman" w:hAnsi="Times New Roman"/>
                <w:sz w:val="16"/>
                <w:szCs w:val="16"/>
                <w:b w:val="1"/>
                <w:bCs w:val="1"/>
                <w:color w:val="auto"/>
              </w:rPr>
              <w:t xml:space="preserve">Constant Currency </w:t>
            </w:r>
            <w:r>
              <w:rPr>
                <w:rFonts w:ascii="Times New Roman" w:cs="Times New Roman" w:eastAsia="Times New Roman" w:hAnsi="Times New Roman"/>
                <w:sz w:val="21"/>
                <w:szCs w:val="21"/>
                <w:b w:val="1"/>
                <w:bCs w:val="1"/>
                <w:color w:val="auto"/>
                <w:vertAlign w:val="superscript"/>
              </w:rPr>
              <w:t>(1)</w:t>
            </w:r>
          </w:p>
        </w:tc>
      </w:tr>
      <w:tr>
        <w:trPr>
          <w:trHeight w:val="209"/>
        </w:trPr>
        <w:tc>
          <w:tcPr>
            <w:tcW w:w="4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Public Cloud</w:t>
            </w:r>
          </w:p>
        </w:tc>
        <w:tc>
          <w:tcPr>
            <w:tcW w:w="360" w:type="dxa"/>
            <w:vAlign w:val="bottom"/>
            <w:tcBorders>
              <w:top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1,742.7</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1,682.6</w:t>
            </w:r>
          </w:p>
        </w:tc>
        <w:tc>
          <w:tcPr>
            <w:tcW w:w="10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r>
      <w:tr>
        <w:trPr>
          <w:trHeight w:val="213"/>
        </w:trPr>
        <w:tc>
          <w:tcPr>
            <w:tcW w:w="4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Private Cloud</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1,214.4</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1,054.5</w:t>
            </w:r>
          </w:p>
        </w:tc>
        <w:tc>
          <w:tcPr>
            <w:tcW w:w="18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100" w:type="dxa"/>
            <w:vAlign w:val="bottom"/>
            <w:tcBorders>
              <w:bottom w:val="single" w:sz="8" w:color="CCEEFF"/>
            </w:tcBorders>
          </w:tcPr>
          <w:p>
            <w:pPr>
              <w:spacing w:after="0"/>
              <w:rPr>
                <w:sz w:val="18"/>
                <w:szCs w:val="18"/>
                <w:color w:val="auto"/>
              </w:rPr>
            </w:pPr>
          </w:p>
        </w:tc>
        <w:tc>
          <w:tcPr>
            <w:tcW w:w="17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(13.6)%</w:t>
            </w:r>
          </w:p>
        </w:tc>
      </w:tr>
      <w:tr>
        <w:trPr>
          <w:trHeight w:val="237"/>
        </w:trPr>
        <w:tc>
          <w:tcPr>
            <w:tcW w:w="44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2,957.1</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2,737.1</w:t>
            </w:r>
          </w:p>
        </w:tc>
        <w:tc>
          <w:tcPr>
            <w:tcW w:w="18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0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w:t>
            </w: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r>
    </w:tbl>
    <w:p>
      <w:pPr>
        <w:spacing w:after="0" w:line="79" w:lineRule="exact"/>
        <w:rPr>
          <w:sz w:val="20"/>
          <w:szCs w:val="20"/>
          <w:color w:val="auto"/>
        </w:rPr>
      </w:pPr>
    </w:p>
    <w:p>
      <w:pPr>
        <w:ind w:left="400" w:hanging="392"/>
        <w:spacing w:after="0"/>
        <w:tabs>
          <w:tab w:leader="none" w:pos="40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Refer to "</w:t>
      </w:r>
      <w:r>
        <w:rPr>
          <w:rFonts w:ascii="Times New Roman" w:cs="Times New Roman" w:eastAsia="Times New Roman" w:hAnsi="Times New Roman"/>
          <w:sz w:val="16"/>
          <w:szCs w:val="16"/>
          <w:i w:val="1"/>
          <w:iCs w:val="1"/>
          <w:color w:val="auto"/>
        </w:rPr>
        <w:t>Non-GAAP Financial Measures</w:t>
      </w:r>
      <w:r>
        <w:rPr>
          <w:rFonts w:ascii="Times New Roman" w:cs="Times New Roman" w:eastAsia="Times New Roman" w:hAnsi="Times New Roman"/>
          <w:sz w:val="16"/>
          <w:szCs w:val="16"/>
          <w:color w:val="auto"/>
        </w:rPr>
        <w:t>" in this section for further explanation and reconciliation.</w:t>
      </w:r>
    </w:p>
    <w:p>
      <w:pPr>
        <w:spacing w:after="0" w:line="246" w:lineRule="exact"/>
        <w:rPr>
          <w:sz w:val="20"/>
          <w:szCs w:val="20"/>
          <w:color w:val="auto"/>
        </w:rPr>
      </w:pPr>
    </w:p>
    <w:p>
      <w:pPr>
        <w:ind w:right="140" w:firstLine="486"/>
        <w:spacing w:after="0" w:line="282" w:lineRule="auto"/>
        <w:rPr>
          <w:sz w:val="20"/>
          <w:szCs w:val="20"/>
          <w:color w:val="auto"/>
        </w:rPr>
      </w:pPr>
      <w:r>
        <w:rPr>
          <w:rFonts w:ascii="Times New Roman" w:cs="Times New Roman" w:eastAsia="Times New Roman" w:hAnsi="Times New Roman"/>
          <w:sz w:val="18"/>
          <w:szCs w:val="18"/>
          <w:color w:val="auto"/>
        </w:rPr>
        <w:t>Public Cloud revenue in 2024 decreased 3.4% on an actual basis and 3.5% on a constant currency basis, from 2023. The decline was due to weaker demand for services in the earlier part of the year.</w:t>
      </w:r>
    </w:p>
    <w:p>
      <w:pPr>
        <w:spacing w:after="0" w:line="189" w:lineRule="exact"/>
        <w:rPr>
          <w:sz w:val="20"/>
          <w:szCs w:val="20"/>
          <w:color w:val="auto"/>
        </w:rPr>
      </w:pPr>
    </w:p>
    <w:p>
      <w:pPr>
        <w:ind w:right="140" w:firstLine="486"/>
        <w:spacing w:after="0" w:line="282" w:lineRule="auto"/>
        <w:rPr>
          <w:sz w:val="20"/>
          <w:szCs w:val="20"/>
          <w:color w:val="auto"/>
        </w:rPr>
      </w:pPr>
      <w:r>
        <w:rPr>
          <w:rFonts w:ascii="Times New Roman" w:cs="Times New Roman" w:eastAsia="Times New Roman" w:hAnsi="Times New Roman"/>
          <w:sz w:val="18"/>
          <w:szCs w:val="18"/>
          <w:color w:val="auto"/>
        </w:rPr>
        <w:t>Private Cloud revenue in 2024 decreased 13.2% on an actual basis and 13.6% on a constant currency basis, from 2023, due to customers rolling off legacy private cloud offerings.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w:t>
      </w:r>
    </w:p>
    <w:p>
      <w:pPr>
        <w:spacing w:after="0" w:line="254" w:lineRule="exact"/>
        <w:rPr>
          <w:sz w:val="20"/>
          <w:szCs w:val="20"/>
          <w:color w:val="auto"/>
        </w:rPr>
      </w:pPr>
    </w:p>
    <w:p>
      <w:pPr>
        <w:ind w:right="120" w:firstLine="486"/>
        <w:spacing w:after="0" w:line="258" w:lineRule="auto"/>
        <w:rPr>
          <w:sz w:val="20"/>
          <w:szCs w:val="20"/>
          <w:color w:val="auto"/>
        </w:rPr>
      </w:pPr>
      <w:r>
        <w:rPr>
          <w:rFonts w:ascii="Times New Roman" w:cs="Times New Roman" w:eastAsia="Times New Roman" w:hAnsi="Times New Roman"/>
          <w:sz w:val="18"/>
          <w:szCs w:val="18"/>
          <w:color w:val="auto"/>
        </w:rPr>
        <w:t>Cost of revenue decreased $125 million, or 5%, to $2,204 million in 2024 from $2,328 million in 2023. The decrease in cost of revenue was primarily due to an increase in the useful life of certain customer gear assets, as discussed in Item 8 of Part II, Financial Statements and Supplementary Data - Note 1, "Company Overview, Basis of Presentation, and Summary of Significant Accounting Policies", which resulted in a decline in depreciation expense between periods. Additionally, a reduction in headcount drove a decrease in personnel costs. Also contributing to the reduction in cost of revenue was license expense due to decreased usage between periods.</w:t>
      </w:r>
    </w:p>
    <w:p>
      <w:pPr>
        <w:spacing w:after="0" w:line="210" w:lineRule="exact"/>
        <w:rPr>
          <w:sz w:val="20"/>
          <w:szCs w:val="20"/>
          <w:color w:val="auto"/>
        </w:rPr>
      </w:pPr>
    </w:p>
    <w:p>
      <w:pPr>
        <w:jc w:val="both"/>
        <w:ind w:right="40" w:firstLine="486"/>
        <w:spacing w:after="0" w:line="266" w:lineRule="auto"/>
        <w:rPr>
          <w:sz w:val="20"/>
          <w:szCs w:val="20"/>
          <w:color w:val="auto"/>
        </w:rPr>
      </w:pPr>
      <w:r>
        <w:rPr>
          <w:rFonts w:ascii="Times New Roman" w:cs="Times New Roman" w:eastAsia="Times New Roman" w:hAnsi="Times New Roman"/>
          <w:sz w:val="18"/>
          <w:szCs w:val="18"/>
          <w:color w:val="auto"/>
        </w:rPr>
        <w:t>As a percentage of revenue, cost of revenue increased 180 basis points in 2024 to 80.5% from 78.7% in 2023, as the decline in revenue outpaced the decrease in cost of revenue. Usage charges for third-party infrastructure drove a 370 basis point increase. The decrease in other expenses, discussed above, partially offset the increase.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254" w:lineRule="exact"/>
        <w:rPr>
          <w:sz w:val="20"/>
          <w:szCs w:val="20"/>
          <w:color w:val="auto"/>
        </w:rPr>
      </w:pPr>
    </w:p>
    <w:p>
      <w:pPr>
        <w:jc w:val="both"/>
        <w:ind w:right="40" w:firstLine="486"/>
        <w:spacing w:after="0" w:line="282" w:lineRule="auto"/>
        <w:rPr>
          <w:sz w:val="20"/>
          <w:szCs w:val="20"/>
          <w:color w:val="auto"/>
        </w:rPr>
      </w:pPr>
      <w:r>
        <w:rPr>
          <w:rFonts w:ascii="Times New Roman" w:cs="Times New Roman" w:eastAsia="Times New Roman" w:hAnsi="Times New Roman"/>
          <w:sz w:val="18"/>
          <w:szCs w:val="18"/>
          <w:color w:val="auto"/>
        </w:rPr>
        <w:t>Our gross profit was $533 million in 2024, a decrease of $95 million from $629 million in 2023. Our gross margin was 19.5% in 2024, a decrease of 180 basis points from 21.3% in 2023.</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254"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SG&amp;A expenses decreased $60 million, or 8%, to $708 million in 2024 from $767 million in 2023. 2023 includes $12 million of expense recognized for a UK office that we exited in the second quarter of 2023, prior to the lease end date. Further contributing to the decrease year-over-year was additional insurance recovery proceeds related to the Hosted Exchange incident received in the current period. In addition, personnel costs decreased due to a reduction in salaries driven by lower headcount and decreases in severance and commissions expense, partially offset by an increase in non-equity incentive compensation. Other non-personnel cost fluctuations included lower professional fees, a reduction in depreciation and amortization expense, and business optimization related expenses between periods. We also had an increase in the gain on sale of certain assets which further contributed to the reduction in SG&amp;A expenses.</w:t>
      </w:r>
    </w:p>
    <w:p>
      <w:pPr>
        <w:spacing w:after="0" w:line="21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SG&amp;A expenses as a percentage of revenue was 25.9% for 2024 and 2023.</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 from Operations, Segment Operating Profit, and Non-GAAP Operating Profit</w:t>
      </w:r>
    </w:p>
    <w:p>
      <w:pPr>
        <w:spacing w:after="0" w:line="25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Our loss from operations was $909 million in 2024 compared to $899 million in 2023. Our Non-GAAP Operating Profit was $106 million in 2024, a decrease of $52 million from $157 million in 2023. Non-GAAP Operating Profit is a non-GAAP financial measure. See “Non-GAAP Financial Measures” below for more information.</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- 55 -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table below presents a reconciliation of loss from operations to Non-GAAP Operating Profit.</w:t>
      </w:r>
    </w:p>
    <w:p>
      <w:pPr>
        <w:spacing w:after="0" w:line="295" w:lineRule="exact"/>
        <w:rPr>
          <w:sz w:val="20"/>
          <w:szCs w:val="20"/>
          <w:color w:val="auto"/>
        </w:rPr>
      </w:pPr>
    </w:p>
    <w:p>
      <w:pPr>
        <w:ind w:left="8700"/>
        <w:spacing w:after="0"/>
        <w:rPr>
          <w:sz w:val="20"/>
          <w:szCs w:val="20"/>
          <w:color w:val="auto"/>
        </w:rPr>
      </w:pPr>
      <w:r>
        <w:rPr>
          <w:rFonts w:ascii="Times New Roman" w:cs="Times New Roman" w:eastAsia="Times New Roman" w:hAnsi="Times New Roman"/>
          <w:sz w:val="16"/>
          <w:szCs w:val="16"/>
          <w:b w:val="1"/>
          <w:bCs w:val="1"/>
          <w:color w:val="auto"/>
        </w:rPr>
        <w:t>Year Ended 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3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1"/>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from operations</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(899.4)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(909.1)</w:t>
            </w:r>
          </w:p>
        </w:tc>
      </w:tr>
      <w:tr>
        <w:trPr>
          <w:trHeight w:val="213"/>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63.4</w:t>
            </w:r>
          </w:p>
        </w:tc>
      </w:tr>
      <w:tr>
        <w:trPr>
          <w:trHeight w:val="219"/>
        </w:trPr>
        <w:tc>
          <w:tcPr>
            <w:tcW w:w="794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 xml:space="preserve">Transaction-related adjustments, net </w:t>
            </w:r>
            <w:r>
              <w:rPr>
                <w:rFonts w:ascii="Times New Roman" w:cs="Times New Roman" w:eastAsia="Times New Roman" w:hAnsi="Times New Roman"/>
                <w:sz w:val="21"/>
                <w:szCs w:val="21"/>
                <w:color w:val="auto"/>
                <w:vertAlign w:val="superscript"/>
              </w:rPr>
              <w:t>(a)</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r>
      <w:tr>
        <w:trPr>
          <w:trHeight w:val="216"/>
        </w:trPr>
        <w:tc>
          <w:tcPr>
            <w:tcW w:w="794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Restructuring and transformation expenses </w:t>
            </w:r>
            <w:r>
              <w:rPr>
                <w:rFonts w:ascii="Times New Roman" w:cs="Times New Roman" w:eastAsia="Times New Roman" w:hAnsi="Times New Roman"/>
                <w:sz w:val="21"/>
                <w:szCs w:val="21"/>
                <w:color w:val="auto"/>
                <w:vertAlign w:val="superscript"/>
              </w:rPr>
              <w:t>(b)</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58.5</w:t>
            </w:r>
          </w:p>
        </w:tc>
      </w:tr>
      <w:tr>
        <w:trPr>
          <w:trHeight w:val="216"/>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Hosted Exchange incident expenses, net of proceeds received or expected to be received under our insurance coverage</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r>
      <w:tr>
        <w:trPr>
          <w:trHeight w:val="213"/>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Impairment of goodwill</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708.8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714.9</w:t>
            </w:r>
          </w:p>
        </w:tc>
      </w:tr>
      <w:tr>
        <w:trPr>
          <w:trHeight w:val="219"/>
        </w:trPr>
        <w:tc>
          <w:tcPr>
            <w:tcW w:w="794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 xml:space="preserve">UK office closure </w:t>
            </w:r>
            <w:r>
              <w:rPr>
                <w:rFonts w:ascii="Times New Roman" w:cs="Times New Roman" w:eastAsia="Times New Roman" w:hAnsi="Times New Roman"/>
                <w:sz w:val="21"/>
                <w:szCs w:val="21"/>
                <w:color w:val="auto"/>
                <w:vertAlign w:val="superscript"/>
              </w:rPr>
              <w:t>(c)</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Impairment of assets, net</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w:t>
            </w:r>
          </w:p>
        </w:tc>
      </w:tr>
      <w:tr>
        <w:trPr>
          <w:trHeight w:val="219"/>
        </w:trPr>
        <w:tc>
          <w:tcPr>
            <w:tcW w:w="794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 xml:space="preserve">Amortization of intangible assets </w:t>
            </w:r>
            <w:r>
              <w:rPr>
                <w:rFonts w:ascii="Times New Roman" w:cs="Times New Roman" w:eastAsia="Times New Roman" w:hAnsi="Times New Roman"/>
                <w:sz w:val="21"/>
                <w:szCs w:val="21"/>
                <w:color w:val="auto"/>
                <w:vertAlign w:val="superscript"/>
              </w:rPr>
              <w:t>(d)</w:t>
            </w: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154.1</w:t>
            </w:r>
          </w:p>
        </w:tc>
      </w:tr>
      <w:tr>
        <w:trPr>
          <w:trHeight w:val="209"/>
        </w:trPr>
        <w:tc>
          <w:tcPr>
            <w:tcW w:w="79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Non-GAAP Operating Profit</w:t>
            </w: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157.2</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105.6</w:t>
            </w:r>
          </w:p>
        </w:tc>
      </w:tr>
      <w:tr>
        <w:trPr>
          <w:trHeight w:val="21"/>
        </w:trPr>
        <w:tc>
          <w:tcPr>
            <w:tcW w:w="79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left="480" w:right="280" w:hanging="339"/>
        <w:spacing w:after="0" w:line="263" w:lineRule="auto"/>
        <w:tabs>
          <w:tab w:leader="none" w:pos="48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legal, professional, accounting and other advisory fees related to acquisitions, integration costs of acquired businesses, purchase accounting adjustments, and exploratory acquisition and divestiture costs and expenses related to financing activities.</w:t>
      </w:r>
    </w:p>
    <w:p>
      <w:pPr>
        <w:spacing w:after="0" w:line="28" w:lineRule="exact"/>
        <w:rPr>
          <w:rFonts w:ascii="Times New Roman" w:cs="Times New Roman" w:eastAsia="Times New Roman" w:hAnsi="Times New Roman"/>
          <w:sz w:val="16"/>
          <w:szCs w:val="16"/>
          <w:color w:val="auto"/>
        </w:rPr>
      </w:pPr>
    </w:p>
    <w:p>
      <w:pPr>
        <w:ind w:left="480" w:right="40" w:hanging="344"/>
        <w:spacing w:after="0" w:line="254" w:lineRule="auto"/>
        <w:tabs>
          <w:tab w:leader="none" w:pos="48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consulting and advisory fees related to business transformation and optimization activities, as well as associated severance, certain facility closure costs, and lease termination expenses. Also includes payroll taxes associated with the exercise of stock options and vesting of restricted stock. The year ended December 31, 2024 also includes a $9.0 million MEIA early termination fee associated with the sale of our corporate headquarters in March 2024.</w:t>
      </w:r>
    </w:p>
    <w:p>
      <w:pPr>
        <w:spacing w:after="0" w:line="23" w:lineRule="exact"/>
        <w:rPr>
          <w:rFonts w:ascii="Times New Roman" w:cs="Times New Roman" w:eastAsia="Times New Roman" w:hAnsi="Times New Roman"/>
          <w:sz w:val="16"/>
          <w:szCs w:val="16"/>
          <w:color w:val="auto"/>
        </w:rPr>
      </w:pPr>
    </w:p>
    <w:p>
      <w:pPr>
        <w:ind w:left="480" w:hanging="339"/>
        <w:spacing w:after="0"/>
        <w:tabs>
          <w:tab w:leader="none" w:pos="48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Expense recognized related to the closure of a UK office that we exited in the second quarter of 2023 prior to the lease end date.</w:t>
      </w:r>
    </w:p>
    <w:p>
      <w:pPr>
        <w:spacing w:after="0" w:line="59" w:lineRule="exact"/>
        <w:rPr>
          <w:rFonts w:ascii="Times New Roman" w:cs="Times New Roman" w:eastAsia="Times New Roman" w:hAnsi="Times New Roman"/>
          <w:sz w:val="16"/>
          <w:szCs w:val="16"/>
          <w:color w:val="auto"/>
        </w:rPr>
      </w:pPr>
    </w:p>
    <w:p>
      <w:pPr>
        <w:ind w:left="480" w:hanging="344"/>
        <w:spacing w:after="0"/>
        <w:tabs>
          <w:tab w:leader="none" w:pos="48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of our intangible assets are attributable to acquisitions, including the Rackspace Acquisition in 2016.</w:t>
      </w:r>
    </w:p>
    <w:p>
      <w:pPr>
        <w:spacing w:after="0" w:line="36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segment operating profit and segment operating margin for the periods indicated, and the change between periods is shown in the table below:</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0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gridSpan w:val="4"/>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millions, except %)</w:t>
            </w: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right"/>
              <w:ind w:right="919"/>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right"/>
              <w:ind w:right="919"/>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3"/>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Year-Over-Year Comparison</w:t>
            </w:r>
          </w:p>
        </w:tc>
        <w:tc>
          <w:tcPr>
            <w:tcW w:w="0" w:type="dxa"/>
            <w:vAlign w:val="bottom"/>
          </w:tcPr>
          <w:p>
            <w:pPr>
              <w:spacing w:after="0"/>
              <w:rPr>
                <w:sz w:val="1"/>
                <w:szCs w:val="1"/>
                <w:color w:val="auto"/>
              </w:rPr>
            </w:pPr>
          </w:p>
        </w:tc>
      </w:tr>
      <w:tr>
        <w:trPr>
          <w:trHeight w:val="157"/>
        </w:trPr>
        <w:tc>
          <w:tcPr>
            <w:tcW w:w="404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Segment operating profit:</w:t>
            </w:r>
          </w:p>
        </w:tc>
        <w:tc>
          <w:tcPr>
            <w:tcW w:w="180" w:type="dxa"/>
            <w:vAlign w:val="bottom"/>
          </w:tcPr>
          <w:p>
            <w:pPr>
              <w:spacing w:after="0"/>
              <w:rPr>
                <w:sz w:val="13"/>
                <w:szCs w:val="13"/>
                <w:color w:val="auto"/>
              </w:rPr>
            </w:pPr>
          </w:p>
        </w:tc>
        <w:tc>
          <w:tcPr>
            <w:tcW w:w="80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w w:val="99"/>
              </w:rPr>
              <w:t>% of Segment</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w w:val="99"/>
              </w:rPr>
              <w:t>% of Segment</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 w:type="dxa"/>
            <w:vAlign w:val="bottom"/>
          </w:tcPr>
          <w:p>
            <w:pPr>
              <w:spacing w:after="0"/>
              <w:rPr>
                <w:sz w:val="13"/>
                <w:szCs w:val="13"/>
                <w:color w:val="auto"/>
              </w:rPr>
            </w:pPr>
          </w:p>
        </w:tc>
        <w:tc>
          <w:tcPr>
            <w:tcW w:w="1160" w:type="dxa"/>
            <w:vAlign w:val="bottom"/>
            <w:vMerge w:val="restart"/>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14"/>
        </w:trPr>
        <w:tc>
          <w:tcPr>
            <w:tcW w:w="40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16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14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Public Cloud</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81.8</w:t>
            </w:r>
          </w:p>
        </w:tc>
        <w:tc>
          <w:tcPr>
            <w:tcW w:w="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4.7 %</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w:t>
            </w: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2.6 %</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center"/>
              <w:ind w:left="379"/>
              <w:spacing w:after="0"/>
              <w:rPr>
                <w:sz w:val="20"/>
                <w:szCs w:val="20"/>
                <w:color w:val="auto"/>
              </w:rPr>
            </w:pPr>
            <w:r>
              <w:rPr>
                <w:rFonts w:ascii="Times New Roman" w:cs="Times New Roman" w:eastAsia="Times New Roman" w:hAnsi="Times New Roman"/>
                <w:sz w:val="16"/>
                <w:szCs w:val="16"/>
                <w:color w:val="auto"/>
                <w:w w:val="98"/>
              </w:rPr>
              <w:t>(37.6)</w:t>
            </w:r>
          </w:p>
        </w:tc>
        <w:tc>
          <w:tcPr>
            <w:tcW w:w="1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w:t>
            </w:r>
          </w:p>
        </w:tc>
        <w:tc>
          <w:tcPr>
            <w:tcW w:w="0" w:type="dxa"/>
            <w:vAlign w:val="bottom"/>
          </w:tcPr>
          <w:p>
            <w:pPr>
              <w:spacing w:after="0"/>
              <w:rPr>
                <w:sz w:val="1"/>
                <w:szCs w:val="1"/>
                <w:color w:val="auto"/>
              </w:rPr>
            </w:pPr>
          </w:p>
        </w:tc>
      </w:tr>
      <w:tr>
        <w:trPr>
          <w:trHeight w:val="213"/>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Private Cloud</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343.0</w:t>
            </w: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28.2 %</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294.4</w:t>
            </w: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27.9 %</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center"/>
              <w:ind w:left="379"/>
              <w:spacing w:after="0"/>
              <w:rPr>
                <w:sz w:val="20"/>
                <w:szCs w:val="20"/>
                <w:color w:val="auto"/>
              </w:rPr>
            </w:pPr>
            <w:r>
              <w:rPr>
                <w:rFonts w:ascii="Times New Roman" w:cs="Times New Roman" w:eastAsia="Times New Roman" w:hAnsi="Times New Roman"/>
                <w:sz w:val="16"/>
                <w:szCs w:val="16"/>
                <w:color w:val="auto"/>
                <w:w w:val="98"/>
              </w:rPr>
              <w:t>(48.6)</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Corporate functions</w:t>
            </w: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(267.6)</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(233.0)</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center"/>
              <w:ind w:left="399"/>
              <w:spacing w:after="0"/>
              <w:rPr>
                <w:sz w:val="20"/>
                <w:szCs w:val="20"/>
                <w:color w:val="auto"/>
              </w:rPr>
            </w:pPr>
            <w:r>
              <w:rPr>
                <w:rFonts w:ascii="Times New Roman" w:cs="Times New Roman" w:eastAsia="Times New Roman" w:hAnsi="Times New Roman"/>
                <w:sz w:val="16"/>
                <w:szCs w:val="16"/>
                <w:color w:val="auto"/>
                <w:w w:val="99"/>
              </w:rPr>
              <w:t>34.6</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0" w:type="dxa"/>
            <w:vAlign w:val="bottom"/>
          </w:tcPr>
          <w:p>
            <w:pPr>
              <w:spacing w:after="0"/>
              <w:rPr>
                <w:sz w:val="1"/>
                <w:szCs w:val="1"/>
                <w:color w:val="auto"/>
              </w:rPr>
            </w:pPr>
          </w:p>
        </w:tc>
      </w:tr>
      <w:tr>
        <w:trPr>
          <w:trHeight w:val="212"/>
        </w:trPr>
        <w:tc>
          <w:tcPr>
            <w:tcW w:w="40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Non-GAAP Operating Profit</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157.2</w:t>
            </w:r>
          </w:p>
        </w:tc>
        <w:tc>
          <w:tcPr>
            <w:tcW w:w="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105.6</w:t>
            </w:r>
          </w:p>
        </w:tc>
        <w:tc>
          <w:tcPr>
            <w:tcW w:w="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center"/>
              <w:ind w:left="379"/>
              <w:spacing w:after="0"/>
              <w:rPr>
                <w:sz w:val="20"/>
                <w:szCs w:val="20"/>
                <w:color w:val="auto"/>
              </w:rPr>
            </w:pPr>
            <w:r>
              <w:rPr>
                <w:rFonts w:ascii="Times New Roman" w:cs="Times New Roman" w:eastAsia="Times New Roman" w:hAnsi="Times New Roman"/>
                <w:sz w:val="16"/>
                <w:szCs w:val="16"/>
                <w:color w:val="auto"/>
                <w:w w:val="98"/>
              </w:rPr>
              <w:t>(51.6)</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(32.8)%</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right="340" w:firstLine="486"/>
        <w:spacing w:after="0" w:line="282" w:lineRule="auto"/>
        <w:rPr>
          <w:sz w:val="20"/>
          <w:szCs w:val="20"/>
          <w:color w:val="auto"/>
        </w:rPr>
      </w:pPr>
      <w:r>
        <w:rPr>
          <w:rFonts w:ascii="Times New Roman" w:cs="Times New Roman" w:eastAsia="Times New Roman" w:hAnsi="Times New Roman"/>
          <w:sz w:val="18"/>
          <w:szCs w:val="18"/>
          <w:color w:val="auto"/>
        </w:rPr>
        <w:t>Public Cloud operating profit decreased 46% in 2024 from 2023. Segment operating profit as a percentage of segment revenue decreased by 210 basis points, reflecting a 3% decrease in segment revenue, partially offset by a 1% decrease in segment operating expenses.</w:t>
      </w:r>
    </w:p>
    <w:p>
      <w:pPr>
        <w:spacing w:after="0" w:line="189"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Private Cloud operating profit decreased 14% in 2024 from 2023. Segment operating profit as a percentage of segment `revenue decreased by 30 basis points, due to a 13% decrease in segment revenue; inline with a 13% decrease in segment operating expenses. The decrease in operating expenses was largely driven by a reduction in depreciation expense due to an increase in the useful life of certain customer gear assets, as discussed in “Cost of Revenue” above. Also contributing to the reduction in Private Cloud operating expenses was a decrease in license expense and personnel costs between periods.</w:t>
      </w:r>
    </w:p>
    <w:p>
      <w:pPr>
        <w:spacing w:after="0" w:line="207" w:lineRule="exact"/>
        <w:rPr>
          <w:sz w:val="20"/>
          <w:szCs w:val="20"/>
          <w:color w:val="auto"/>
        </w:rPr>
      </w:pPr>
    </w:p>
    <w:p>
      <w:pPr>
        <w:ind w:right="60" w:firstLine="486"/>
        <w:spacing w:after="0" w:line="261" w:lineRule="auto"/>
        <w:rPr>
          <w:sz w:val="20"/>
          <w:szCs w:val="20"/>
          <w:color w:val="auto"/>
        </w:rPr>
      </w:pPr>
      <w:r>
        <w:rPr>
          <w:rFonts w:ascii="Times New Roman" w:cs="Times New Roman" w:eastAsia="Times New Roman" w:hAnsi="Times New Roman"/>
          <w:sz w:val="18"/>
          <w:szCs w:val="18"/>
          <w:color w:val="auto"/>
        </w:rPr>
        <w:t>Centralized corporate functions that provide services to the segments in areas such as accounting, information technology, marketing, legal and human resources are not allocated to the segments and are included in "corporate functions" in the table above. This expense decreased 13% in 2024 due to a reduction in depreciation and amortization expense driven by certain assets reaching the end of their useful life. Additionally, our continued focus on cost management further contributed to the cost reduction.</w:t>
      </w:r>
    </w:p>
    <w:p>
      <w:pPr>
        <w:spacing w:after="0" w:line="207" w:lineRule="exact"/>
        <w:rPr>
          <w:sz w:val="20"/>
          <w:szCs w:val="20"/>
          <w:color w:val="auto"/>
        </w:rPr>
      </w:pPr>
    </w:p>
    <w:p>
      <w:pPr>
        <w:ind w:right="180" w:firstLine="486"/>
        <w:spacing w:after="0" w:line="282" w:lineRule="auto"/>
        <w:rPr>
          <w:sz w:val="20"/>
          <w:szCs w:val="20"/>
          <w:color w:val="auto"/>
        </w:rPr>
      </w:pPr>
      <w:r>
        <w:rPr>
          <w:rFonts w:ascii="Times New Roman" w:cs="Times New Roman" w:eastAsia="Times New Roman" w:hAnsi="Times New Roman"/>
          <w:sz w:val="18"/>
          <w:szCs w:val="18"/>
          <w:color w:val="auto"/>
        </w:rPr>
        <w:t>For more information about our segment operating profit, see Item 8 of Part II, Financial Statements and Supplementary Data - Note 16, "Segment Reporting."</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of Goodwill</w:t>
      </w:r>
    </w:p>
    <w:p>
      <w:pPr>
        <w:spacing w:after="0" w:line="2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recorded a total of $715 million and $709 million in non-cash goodwill impairment charges in 2024 and 2023, respectively.</w:t>
      </w:r>
    </w:p>
    <w:p>
      <w:pPr>
        <w:spacing w:after="0" w:line="25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 connection with the preparation of the March 2024 Refinancing Transactions that were completed in March and April 2024, as further described</w:t>
      </w:r>
    </w:p>
    <w:p>
      <w:pPr>
        <w:spacing w:after="0" w:line="5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Item 8 of Part II, Financial Statements and Supplementary Data - Note 7, "Debt", we updated our internal forecasts. As of February 29, 2024, we assessed our Board approved 2024 internal budget along with several events and circumstances that could affect the significant inputs used to determine the fair value of our reporting units, including the significance of the amount, if any, of excess carrying value over fair value, consistency of our current and forecasted operating margins and cash flows, budgeted-to-actual performance, timing of the expected effects of our strategic initiatives, overall change in economic climate, changes in the industry and competitive environment, changes to our risk-adjusted discount rates and earnings quality and sustainability. After considering all available evidence in our evaluation of goodwill impairment indicators, we determined it appropriate to perform an interim quantitative assessment of our reporting units as of February 29, 2024. The results of this goodwill impairment analysis indicated an impairment of goodwill within our Public Cloud and Private Cloud reporting units of $385 million and $188 million, respectively, recorded in the first quarter of 2024.</w:t>
      </w:r>
    </w:p>
    <w:p>
      <w:pPr>
        <w:spacing w:after="0" w:line="219" w:lineRule="exact"/>
        <w:rPr>
          <w:sz w:val="20"/>
          <w:szCs w:val="20"/>
          <w:color w:val="auto"/>
        </w:rPr>
      </w:pPr>
    </w:p>
    <w:p>
      <w:pPr>
        <w:ind w:right="40" w:firstLine="486"/>
        <w:spacing w:after="0" w:line="256" w:lineRule="auto"/>
        <w:rPr>
          <w:sz w:val="20"/>
          <w:szCs w:val="20"/>
          <w:color w:val="auto"/>
        </w:rPr>
      </w:pPr>
      <w:r>
        <w:rPr>
          <w:rFonts w:ascii="Times New Roman" w:cs="Times New Roman" w:eastAsia="Times New Roman" w:hAnsi="Times New Roman"/>
          <w:sz w:val="18"/>
          <w:szCs w:val="18"/>
          <w:color w:val="auto"/>
        </w:rPr>
        <w:t>We performed an interim goodwill impairment analysis as of September 30, 2024 based on our assessment of several events and circumstances that could affect the significant inputs used to determine the fair value of our reporting units, including the significance of the amount, if any, of excess carrying value over fair value, consistency of our current and forecasted operating margins and cash flows, budgeted-to-actual performance, timing of the expected effects of our strategic initiatives, overall change in economic climate, changes in the industry and competitive environment, changes to our risk-adjusted discount rates and earnings quality and sustainability. The results of this goodwill impairment analysis indicated an impairment of goodwill within our Public Cloud and Private Cloud reporting units of $69 million and $73 million, respectively, recorded in the third quarter of 2024.</w:t>
      </w:r>
    </w:p>
    <w:p>
      <w:pPr>
        <w:spacing w:after="0" w:line="214"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Due to the change in our segment reporting as a result of the business reorganization as of January 1, 2023, we completed a quantitative goodwill impairment analysis both prior and subsequent to the aforementioned change. The results of the quantitative goodwill impairment analysis performed as of January 1, 2023, subsequent to the change, indicated an impairment within our Private Cloud reporting unit, and we recorded a non-cash impairment charge of $271 million in the first quarter of 2023.</w:t>
      </w:r>
    </w:p>
    <w:p>
      <w:pPr>
        <w:spacing w:after="0" w:line="207" w:lineRule="exact"/>
        <w:rPr>
          <w:sz w:val="20"/>
          <w:szCs w:val="20"/>
          <w:color w:val="auto"/>
        </w:rPr>
      </w:pPr>
    </w:p>
    <w:p>
      <w:pPr>
        <w:ind w:right="40" w:firstLine="486"/>
        <w:spacing w:after="0" w:line="254" w:lineRule="auto"/>
        <w:rPr>
          <w:sz w:val="20"/>
          <w:szCs w:val="20"/>
          <w:color w:val="auto"/>
        </w:rPr>
      </w:pPr>
      <w:r>
        <w:rPr>
          <w:rFonts w:ascii="Times New Roman" w:cs="Times New Roman" w:eastAsia="Times New Roman" w:hAnsi="Times New Roman"/>
          <w:sz w:val="18"/>
          <w:szCs w:val="18"/>
          <w:color w:val="auto"/>
        </w:rPr>
        <w:t>During the first quarter of 2023, we experienced a sustained decline in our stock price resulting in our market capitalization being less than the carrying value of our combined reporting units. As of March 31, 2023, we assessed several events and circumstances that could affect the significant inputs used to determine the fair value of our reporting units, including the significance of the amount, if any, of excess carrying value over fair value, consistency of operating margins and cash flows, budgeted-to-actual performance for the first three months of the year, overall change in economic climate, changes in the industry and competitive environment, and earnings quality and sustainability. After considering all available evidence in our evaluation of goodwill impairment indicators, we determined it appropriate to perform an interim quantitative assessment of our reporting units as of March 31, 2023. The results of this quantitative goodwill impairment analysis indicated an impairment within our Private Cloud reporting unit, and we recorded an additional non-cash impairment charge of $272 million in the first quarter of 2023.</w:t>
      </w:r>
    </w:p>
    <w:p>
      <w:pPr>
        <w:spacing w:after="0" w:line="219" w:lineRule="exact"/>
        <w:rPr>
          <w:sz w:val="20"/>
          <w:szCs w:val="20"/>
          <w:color w:val="auto"/>
        </w:rPr>
      </w:pPr>
    </w:p>
    <w:p>
      <w:pPr>
        <w:ind w:right="20" w:firstLine="486"/>
        <w:spacing w:after="0" w:line="258" w:lineRule="auto"/>
        <w:rPr>
          <w:sz w:val="20"/>
          <w:szCs w:val="20"/>
          <w:color w:val="auto"/>
        </w:rPr>
      </w:pPr>
      <w:r>
        <w:rPr>
          <w:rFonts w:ascii="Times New Roman" w:cs="Times New Roman" w:eastAsia="Times New Roman" w:hAnsi="Times New Roman"/>
          <w:sz w:val="18"/>
          <w:szCs w:val="18"/>
          <w:color w:val="auto"/>
        </w:rPr>
        <w:t>We performed an interim goodwill impairment analysis as of September 30, 2023 based on our assessment of several events and circumstances that affect the significant inputs used to determine the fair value of our reporting units, including the significance of the amount of excess carrying value over fair value, consistency of operating margins and cash flows, budgeted-to-actual performance, overall change in economic climate, changes in the industry and competitive environment, market capitalization and earnings quality and sustainability. As a result, we determined that the carrying value of our Private Cloud reporting unit exceeded its fair value and recorded a non-cash impairment of goodwill of $166 million in the third quarter of 2023.</w:t>
      </w:r>
    </w:p>
    <w:p>
      <w:pPr>
        <w:spacing w:after="0" w:line="21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October 1, 2023, we reassessed our reporting units and combined our Private Cloud and OpenStack Public Cloud reporting units into a new</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Private Cloud reporting unit. We completed a quantitative goodwill impairment analysis as of October 1, 2023, subsequent to the aforementioned change.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results of the quantitative goodwill impairment analysis indicated no impairment to goodwill.</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- 57 -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See Item 8 of Part II, Financial Statements and Supplementary Data - Note 6, "Goodwill and Intangible Assets" for further discussion.</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of Assets, Net</w:t>
      </w:r>
    </w:p>
    <w:p>
      <w:pPr>
        <w:spacing w:after="0" w:line="2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recorded a total of $20 million and $52 million in net asset impairment charges in 2024 and 2023, respectively.</w:t>
      </w:r>
    </w:p>
    <w:p>
      <w:pPr>
        <w:spacing w:after="0" w:line="252" w:lineRule="exact"/>
        <w:rPr>
          <w:sz w:val="20"/>
          <w:szCs w:val="20"/>
          <w:color w:val="auto"/>
        </w:rPr>
      </w:pPr>
    </w:p>
    <w:p>
      <w:pPr>
        <w:ind w:right="160" w:firstLine="486"/>
        <w:spacing w:after="0" w:line="266" w:lineRule="auto"/>
        <w:rPr>
          <w:sz w:val="20"/>
          <w:szCs w:val="20"/>
          <w:color w:val="auto"/>
        </w:rPr>
      </w:pPr>
      <w:r>
        <w:rPr>
          <w:rFonts w:ascii="Times New Roman" w:cs="Times New Roman" w:eastAsia="Times New Roman" w:hAnsi="Times New Roman"/>
          <w:sz w:val="18"/>
          <w:szCs w:val="18"/>
          <w:color w:val="auto"/>
        </w:rPr>
        <w:t>We evaluated our indefinite-lived intangible asset for impairment as of February 29, 2024. As a result of this evaluation, we recorded a $20 million impairment of our indefinite-lived intangible asset in the first quarter of 2024.</w:t>
      </w:r>
    </w:p>
    <w:p>
      <w:pPr>
        <w:spacing w:after="0" w:line="203" w:lineRule="exact"/>
        <w:rPr>
          <w:sz w:val="20"/>
          <w:szCs w:val="20"/>
          <w:color w:val="auto"/>
        </w:rPr>
      </w:pPr>
    </w:p>
    <w:p>
      <w:pPr>
        <w:ind w:right="240" w:firstLine="486"/>
        <w:spacing w:after="0" w:line="266" w:lineRule="auto"/>
        <w:rPr>
          <w:sz w:val="20"/>
          <w:szCs w:val="20"/>
          <w:color w:val="auto"/>
        </w:rPr>
      </w:pPr>
      <w:r>
        <w:rPr>
          <w:rFonts w:ascii="Times New Roman" w:cs="Times New Roman" w:eastAsia="Times New Roman" w:hAnsi="Times New Roman"/>
          <w:sz w:val="18"/>
          <w:szCs w:val="18"/>
          <w:color w:val="auto"/>
        </w:rPr>
        <w:t>We also performed a quantitative assessment of our indefinite-lived intangible asset prior to testing our goodwill for impairment as September 30, 2024, which did not indicate any impairment of the Rackspace trade name.</w:t>
      </w:r>
    </w:p>
    <w:p>
      <w:pPr>
        <w:spacing w:after="0" w:line="189" w:lineRule="exact"/>
        <w:rPr>
          <w:sz w:val="20"/>
          <w:szCs w:val="20"/>
          <w:color w:val="auto"/>
        </w:rPr>
      </w:pPr>
    </w:p>
    <w:p>
      <w:pPr>
        <w:ind w:right="200" w:firstLine="486"/>
        <w:spacing w:after="0" w:line="282" w:lineRule="auto"/>
        <w:rPr>
          <w:sz w:val="20"/>
          <w:szCs w:val="20"/>
          <w:color w:val="auto"/>
        </w:rPr>
      </w:pPr>
      <w:r>
        <w:rPr>
          <w:rFonts w:ascii="Times New Roman" w:cs="Times New Roman" w:eastAsia="Times New Roman" w:hAnsi="Times New Roman"/>
          <w:sz w:val="18"/>
          <w:szCs w:val="18"/>
          <w:color w:val="auto"/>
        </w:rPr>
        <w:t>Similarly, we evaluated our indefinite-lived intangible asset for impairment as of September 30, 2023. As a result of this evaluation, we recorded a $57 million impairment of our indefinite-lived intangible asset in the third quarter of 2023.</w:t>
      </w:r>
    </w:p>
    <w:p>
      <w:pPr>
        <w:spacing w:after="0" w:line="175" w:lineRule="exact"/>
        <w:rPr>
          <w:sz w:val="20"/>
          <w:szCs w:val="20"/>
          <w:color w:val="auto"/>
        </w:rPr>
      </w:pPr>
    </w:p>
    <w:p>
      <w:pPr>
        <w:ind w:right="180" w:firstLine="486"/>
        <w:spacing w:after="0" w:line="282" w:lineRule="auto"/>
        <w:rPr>
          <w:sz w:val="20"/>
          <w:szCs w:val="20"/>
          <w:color w:val="auto"/>
        </w:rPr>
      </w:pPr>
      <w:r>
        <w:rPr>
          <w:rFonts w:ascii="Times New Roman" w:cs="Times New Roman" w:eastAsia="Times New Roman" w:hAnsi="Times New Roman"/>
          <w:sz w:val="18"/>
          <w:szCs w:val="18"/>
          <w:color w:val="auto"/>
        </w:rPr>
        <w:t>In addition, during 2023, we recorded a $5 million net increase in the estimated fair value, less estimated cost to sell, of our corporate headquarters which was classified as held for sale under GAAP as of December 31, 2022.</w:t>
      </w:r>
    </w:p>
    <w:p>
      <w:pPr>
        <w:spacing w:after="0" w:line="189" w:lineRule="exact"/>
        <w:rPr>
          <w:sz w:val="20"/>
          <w:szCs w:val="20"/>
          <w:color w:val="auto"/>
        </w:rPr>
      </w:pPr>
    </w:p>
    <w:p>
      <w:pPr>
        <w:ind w:right="220" w:firstLine="486"/>
        <w:spacing w:after="0" w:line="282" w:lineRule="auto"/>
        <w:rPr>
          <w:sz w:val="20"/>
          <w:szCs w:val="20"/>
          <w:color w:val="auto"/>
        </w:rPr>
      </w:pPr>
      <w:r>
        <w:rPr>
          <w:rFonts w:ascii="Times New Roman" w:cs="Times New Roman" w:eastAsia="Times New Roman" w:hAnsi="Times New Roman"/>
          <w:sz w:val="18"/>
          <w:szCs w:val="18"/>
          <w:color w:val="auto"/>
        </w:rPr>
        <w:t>See Item 8 of Part II, Financial Statements and Supplementary Data - Note 5, "Property, Equipment and Software, net" and Note 6, "Goodwill and Intangible Assets" for further discussion.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254" w:lineRule="exact"/>
        <w:rPr>
          <w:sz w:val="20"/>
          <w:szCs w:val="20"/>
          <w:color w:val="auto"/>
        </w:rPr>
      </w:pPr>
    </w:p>
    <w:p>
      <w:pPr>
        <w:ind w:right="140" w:firstLine="486"/>
        <w:spacing w:after="0" w:line="266" w:lineRule="auto"/>
        <w:rPr>
          <w:sz w:val="20"/>
          <w:szCs w:val="20"/>
          <w:color w:val="auto"/>
        </w:rPr>
      </w:pPr>
      <w:r>
        <w:rPr>
          <w:rFonts w:ascii="Times New Roman" w:cs="Times New Roman" w:eastAsia="Times New Roman" w:hAnsi="Times New Roman"/>
          <w:sz w:val="18"/>
          <w:szCs w:val="18"/>
          <w:color w:val="auto"/>
        </w:rPr>
        <w:t>Interest expense decreased $124 million, or 56%, to $98 million in 2024 from $222 million in 2023, primarily due to the accounting for contractual interest payments on debt instruments entered into as part of the March 2024 Refinancing Transactions, portions of which are recorded as a reduction of related premiums and not as interest expense, which reduces interest expense relative to contractual interest cost.</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Gain on Debt Extinguishment, Net of Debt Modification Costs</w:t>
      </w:r>
    </w:p>
    <w:p>
      <w:pPr>
        <w:spacing w:after="0" w:line="254" w:lineRule="exact"/>
        <w:rPr>
          <w:sz w:val="20"/>
          <w:szCs w:val="20"/>
          <w:color w:val="auto"/>
        </w:rPr>
      </w:pPr>
    </w:p>
    <w:p>
      <w:pPr>
        <w:ind w:right="20" w:firstLine="486"/>
        <w:spacing w:after="0" w:line="266" w:lineRule="auto"/>
        <w:rPr>
          <w:sz w:val="20"/>
          <w:szCs w:val="20"/>
          <w:color w:val="auto"/>
        </w:rPr>
      </w:pPr>
      <w:r>
        <w:rPr>
          <w:rFonts w:ascii="Times New Roman" w:cs="Times New Roman" w:eastAsia="Times New Roman" w:hAnsi="Times New Roman"/>
          <w:sz w:val="18"/>
          <w:szCs w:val="18"/>
          <w:color w:val="auto"/>
        </w:rPr>
        <w:t>We recorded $80 million gain on debt extinguishment, net of debt modification costs in 2024 related to the March 2024 Refinancing Transactions. In addition, we recorded $67 million total gain on debt extinguishment related to repurchases of an aggregate $92 million principal amount of 3.50% FLSO Senior Secured Notes, FLSO Term Loan Facility, and 5.375% Senior Notes in 2024.</w:t>
      </w:r>
    </w:p>
    <w:p>
      <w:pPr>
        <w:spacing w:after="0" w:line="203"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We recorded a $228 million gain on debt extinguishment in 2023 related to repurchases of $352 million principal amount of 5.375% Senior Notes. In addition, we repurchased $36 million principal amount of 3.50% Senior Secured Notes and $56 million principal amount of the Term Loan Facility, which resulted in an $18 million and $26 million gain on debt extinguishment, respectively.</w:t>
      </w:r>
    </w:p>
    <w:p>
      <w:pPr>
        <w:spacing w:after="0" w:line="20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See Item 8 of Part II, Financial Statements and Supplementary Data - Note 7, "Debt" for further discussion.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- 58 -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Expense, Net</w:t>
      </w:r>
    </w:p>
    <w:p>
      <w:pPr>
        <w:spacing w:after="0" w:line="254" w:lineRule="exact"/>
        <w:rPr>
          <w:sz w:val="20"/>
          <w:szCs w:val="20"/>
          <w:color w:val="auto"/>
        </w:rPr>
      </w:pPr>
    </w:p>
    <w:p>
      <w:pPr>
        <w:ind w:right="100" w:firstLine="486"/>
        <w:spacing w:after="0" w:line="266" w:lineRule="auto"/>
        <w:rPr>
          <w:sz w:val="20"/>
          <w:szCs w:val="20"/>
          <w:color w:val="auto"/>
        </w:rPr>
      </w:pPr>
      <w:r>
        <w:rPr>
          <w:rFonts w:ascii="Times New Roman" w:cs="Times New Roman" w:eastAsia="Times New Roman" w:hAnsi="Times New Roman"/>
          <w:sz w:val="18"/>
          <w:szCs w:val="18"/>
          <w:color w:val="auto"/>
        </w:rPr>
        <w:t>The increase in other expense, net to $22 million in 2024 from $5 million in 2023 is primarily due to a full year of costs incurred in 2024 related to the Receivables Purchase Facility entered into in September 2023.</w:t>
      </w:r>
    </w:p>
    <w:p>
      <w:pPr>
        <w:spacing w:after="0" w:line="203"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See Item 8 of Part II, Financial Statements and Supplementary Data - Note 3, "Sale of Receivables" for further discussion regarding the Receivables Purchase Facility.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Benefit for Income Taxes</w:t>
      </w:r>
    </w:p>
    <w:p>
      <w:pPr>
        <w:spacing w:after="0" w:line="254"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Our income tax benefit increased by $7 million to $23 million in 2024 from $17 million in 2023. Our effective tax rate increased from 1.9% in 2023 to 2.6% in 2024. The increase in the effective tax rate year-over-year is primarily due to the tax impact associated with goodwill impairments recorded in both the first and third quarters of 2024 as well as goodwill impairments recorded in 2023, the majority of which were nondeductible for income tax purposes, and the income tax benefit of $103 million related to the March 2024 Refinancing Transactions discussed above. The difference between the effective tax rate and the statutory rate in 2024 is primarily due to the tax impact associated with changes in the valuation allowance, the tax impact associated with the goodwill impairments recorded in the first and third quarters of 2024, the majority of which were nondeductible for income tax purposes, and the tax impact of the March 2024 Refinancing Transactions.</w:t>
      </w:r>
    </w:p>
    <w:p>
      <w:pPr>
        <w:spacing w:after="0" w:line="216" w:lineRule="exact"/>
        <w:rPr>
          <w:sz w:val="20"/>
          <w:szCs w:val="20"/>
          <w:color w:val="auto"/>
        </w:rPr>
      </w:pPr>
    </w:p>
    <w:p>
      <w:pPr>
        <w:ind w:right="60" w:firstLine="486"/>
        <w:spacing w:after="0" w:line="282" w:lineRule="auto"/>
        <w:rPr>
          <w:sz w:val="20"/>
          <w:szCs w:val="20"/>
          <w:color w:val="auto"/>
        </w:rPr>
      </w:pPr>
      <w:r>
        <w:rPr>
          <w:rFonts w:ascii="Times New Roman" w:cs="Times New Roman" w:eastAsia="Times New Roman" w:hAnsi="Times New Roman"/>
          <w:sz w:val="18"/>
          <w:szCs w:val="18"/>
          <w:color w:val="auto"/>
        </w:rPr>
        <w:t>For a full reconciliation of our effective tax rate to the U.S. federal statutory rate and further explanation of our benefit for income taxes, see Item 8 of Part II, Financial Statements and Supplementary Data - Note 13, "Taxes."</w:t>
      </w:r>
    </w:p>
    <w:p>
      <w:pPr>
        <w:spacing w:after="0" w:line="200" w:lineRule="exact"/>
        <w:rPr>
          <w:sz w:val="20"/>
          <w:szCs w:val="20"/>
          <w:color w:val="auto"/>
        </w:rPr>
      </w:pPr>
    </w:p>
    <w:p>
      <w:pPr>
        <w:spacing w:after="0" w:line="34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- 59 -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2022 Compared to Year Ended December 31, 2023</w:t>
      </w:r>
    </w:p>
    <w:p>
      <w:pPr>
        <w:spacing w:after="0" w:line="256" w:lineRule="exact"/>
        <w:rPr>
          <w:sz w:val="20"/>
          <w:szCs w:val="20"/>
          <w:color w:val="auto"/>
        </w:rPr>
      </w:pPr>
    </w:p>
    <w:p>
      <w:pPr>
        <w:ind w:right="14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sets forth our results of operations for the specified periods, as well as changes between periods and as a percentage of revenue for those same periods (totals in table may not foot due to rounding):</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6"/>
          </w:tcPr>
          <w:p>
            <w:pPr>
              <w:jc w:val="right"/>
              <w:ind w:right="66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4"/>
        </w:trPr>
        <w:tc>
          <w:tcPr>
            <w:tcW w:w="3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Year-Over-Year Comparison</w:t>
            </w:r>
          </w:p>
        </w:tc>
      </w:tr>
      <w:tr>
        <w:trPr>
          <w:trHeight w:val="209"/>
        </w:trPr>
        <w:tc>
          <w:tcPr>
            <w:tcW w:w="3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millions, except %)</w:t>
            </w:r>
          </w:p>
        </w:tc>
        <w:tc>
          <w:tcPr>
            <w:tcW w:w="200" w:type="dxa"/>
            <w:vAlign w:val="bottom"/>
          </w:tcPr>
          <w:p>
            <w:pPr>
              <w:spacing w:after="0"/>
              <w:rPr>
                <w:sz w:val="18"/>
                <w:szCs w:val="18"/>
                <w:color w:val="auto"/>
              </w:rPr>
            </w:pPr>
          </w:p>
        </w:tc>
        <w:tc>
          <w:tcPr>
            <w:tcW w:w="1300" w:type="dxa"/>
            <w:vAlign w:val="bottom"/>
            <w:gridSpan w:val="3"/>
          </w:tcPr>
          <w:p>
            <w:pPr>
              <w:jc w:val="right"/>
              <w:ind w:right="6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8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 Revenue</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3"/>
          </w:tcPr>
          <w:p>
            <w:pPr>
              <w:jc w:val="right"/>
              <w:ind w:right="6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10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 Revenue</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20" w:type="dxa"/>
            <w:vAlign w:val="bottom"/>
          </w:tcPr>
          <w:p>
            <w:pPr>
              <w:spacing w:after="0"/>
              <w:rPr>
                <w:sz w:val="18"/>
                <w:szCs w:val="18"/>
                <w:color w:val="auto"/>
              </w:rPr>
            </w:pPr>
          </w:p>
        </w:tc>
        <w:tc>
          <w:tcPr>
            <w:tcW w:w="130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11"/>
        </w:trPr>
        <w:tc>
          <w:tcPr>
            <w:tcW w:w="3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3,122.3</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2,957.1</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(165.2)</w:t>
            </w:r>
          </w:p>
        </w:tc>
        <w:tc>
          <w:tcPr>
            <w:tcW w:w="12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r>
      <w:tr>
        <w:trPr>
          <w:trHeight w:val="213"/>
        </w:trPr>
        <w:tc>
          <w:tcPr>
            <w:tcW w:w="3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(2,265.4)</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(72.6)%</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(2,328.3)</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(78.7)%</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(62.9)</w:t>
            </w:r>
          </w:p>
        </w:tc>
        <w:tc>
          <w:tcPr>
            <w:tcW w:w="14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2.8 %</w:t>
            </w:r>
          </w:p>
        </w:tc>
      </w:tr>
      <w:tr>
        <w:trPr>
          <w:trHeight w:val="212"/>
        </w:trPr>
        <w:tc>
          <w:tcPr>
            <w:tcW w:w="3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Gross profit</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856.9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27.4 %</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628.8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(228.1)</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w:t>
            </w:r>
          </w:p>
        </w:tc>
      </w:tr>
      <w:tr>
        <w:trPr>
          <w:trHeight w:val="213"/>
        </w:trPr>
        <w:tc>
          <w:tcPr>
            <w:tcW w:w="32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(855.3)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(767.2)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88.1</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(10.3)%</w:t>
            </w:r>
          </w:p>
        </w:tc>
      </w:tr>
      <w:tr>
        <w:trPr>
          <w:trHeight w:val="219"/>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Impairment of goodwill</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(534.5)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(708.8)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(174.3)</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32.6 %</w:t>
            </w:r>
          </w:p>
        </w:tc>
      </w:tr>
      <w:tr>
        <w:trPr>
          <w:trHeight w:val="213"/>
        </w:trPr>
        <w:tc>
          <w:tcPr>
            <w:tcW w:w="3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Impairment of assets, net</w:t>
            </w: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(146.1)</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(52.2)</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93.9</w:t>
            </w:r>
          </w:p>
        </w:tc>
        <w:tc>
          <w:tcPr>
            <w:tcW w:w="14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(64.3)%</w:t>
            </w:r>
          </w:p>
        </w:tc>
      </w:tr>
      <w:tr>
        <w:trPr>
          <w:trHeight w:val="212"/>
        </w:trPr>
        <w:tc>
          <w:tcPr>
            <w:tcW w:w="3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Loss from operations</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(679.0)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(899.4)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(220.4)</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32.5 %</w:t>
            </w:r>
          </w:p>
        </w:tc>
      </w:tr>
      <w:tr>
        <w:trPr>
          <w:trHeight w:val="213"/>
        </w:trPr>
        <w:tc>
          <w:tcPr>
            <w:tcW w:w="3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income (expense):</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9"/>
        </w:trPr>
        <w:tc>
          <w:tcPr>
            <w:tcW w:w="3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6.3 %</w:t>
            </w:r>
          </w:p>
        </w:tc>
      </w:tr>
      <w:tr>
        <w:trPr>
          <w:trHeight w:val="213"/>
        </w:trPr>
        <w:tc>
          <w:tcPr>
            <w:tcW w:w="3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Gain (loss) on investments, net</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NM</w:t>
            </w:r>
          </w:p>
        </w:tc>
      </w:tr>
      <w:tr>
        <w:trPr>
          <w:trHeight w:val="219"/>
        </w:trPr>
        <w:tc>
          <w:tcPr>
            <w:tcW w:w="3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Gain on debt extinguishment</w:t>
            </w:r>
          </w:p>
        </w:tc>
        <w:tc>
          <w:tcPr>
            <w:tcW w:w="20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271.3</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r>
      <w:tr>
        <w:trPr>
          <w:trHeight w:val="213"/>
        </w:trPr>
        <w:tc>
          <w:tcPr>
            <w:tcW w:w="3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expense, net</w:t>
            </w: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4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(50.0)%</w:t>
            </w:r>
          </w:p>
        </w:tc>
      </w:tr>
      <w:tr>
        <w:trPr>
          <w:trHeight w:val="212"/>
        </w:trPr>
        <w:tc>
          <w:tcPr>
            <w:tcW w:w="3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other income (expense)</w:t>
            </w:r>
          </w:p>
        </w:tc>
        <w:tc>
          <w:tcPr>
            <w:tcW w:w="2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(218.7)</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1.5 %</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263.7</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NM</w:t>
            </w:r>
          </w:p>
        </w:tc>
      </w:tr>
      <w:tr>
        <w:trPr>
          <w:trHeight w:val="207"/>
        </w:trPr>
        <w:tc>
          <w:tcPr>
            <w:tcW w:w="32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Loss before income taxes</w:t>
            </w: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(897.7)</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(854.4)</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43.3</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(4.8)%</w:t>
            </w:r>
          </w:p>
        </w:tc>
      </w:tr>
      <w:tr>
        <w:trPr>
          <w:trHeight w:val="216"/>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Benefit for income taxes</w:t>
            </w:r>
          </w:p>
        </w:tc>
        <w:tc>
          <w:tcPr>
            <w:tcW w:w="2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92.9</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3.0 %</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0.6 %</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(76.3)</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(82.1)%</w:t>
            </w:r>
          </w:p>
        </w:tc>
      </w:tr>
      <w:tr>
        <w:trPr>
          <w:trHeight w:val="212"/>
        </w:trPr>
        <w:tc>
          <w:tcPr>
            <w:tcW w:w="32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Net loss</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(804.8)</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(25.8)%</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(837.8)</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(28.3)%</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(33.0)</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4.1 %</w:t>
            </w:r>
          </w:p>
        </w:tc>
      </w:tr>
      <w:tr>
        <w:trPr>
          <w:trHeight w:val="21"/>
        </w:trPr>
        <w:tc>
          <w:tcPr>
            <w:tcW w:w="3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54" w:lineRule="exact"/>
        <w:rPr>
          <w:sz w:val="20"/>
          <w:szCs w:val="20"/>
          <w:color w:val="auto"/>
        </w:rPr>
      </w:pPr>
    </w:p>
    <w:p>
      <w:pPr>
        <w:ind w:right="60" w:firstLine="486"/>
        <w:spacing w:after="0" w:line="282" w:lineRule="auto"/>
        <w:rPr>
          <w:sz w:val="20"/>
          <w:szCs w:val="20"/>
          <w:color w:val="auto"/>
        </w:rPr>
      </w:pPr>
      <w:r>
        <w:rPr>
          <w:rFonts w:ascii="Times New Roman" w:cs="Times New Roman" w:eastAsia="Times New Roman" w:hAnsi="Times New Roman"/>
          <w:sz w:val="18"/>
          <w:szCs w:val="18"/>
          <w:color w:val="auto"/>
        </w:rPr>
        <w:t>Revenue decreased $165 million, or 5.3%, to $2,957 million in 2023 from $3,122 million in 2022. Revenue declined primarily due to Private Cloud, partially offset by growth in Public Cloud, as discussed below.</w:t>
      </w:r>
    </w:p>
    <w:p>
      <w:pPr>
        <w:spacing w:after="0" w:line="189" w:lineRule="exact"/>
        <w:rPr>
          <w:sz w:val="20"/>
          <w:szCs w:val="20"/>
          <w:color w:val="auto"/>
        </w:rPr>
      </w:pPr>
    </w:p>
    <w:p>
      <w:pPr>
        <w:ind w:right="280" w:firstLine="486"/>
        <w:spacing w:after="0" w:line="282" w:lineRule="auto"/>
        <w:rPr>
          <w:sz w:val="20"/>
          <w:szCs w:val="20"/>
          <w:color w:val="auto"/>
        </w:rPr>
      </w:pPr>
      <w:r>
        <w:rPr>
          <w:rFonts w:ascii="Times New Roman" w:cs="Times New Roman" w:eastAsia="Times New Roman" w:hAnsi="Times New Roman"/>
          <w:sz w:val="18"/>
          <w:szCs w:val="18"/>
          <w:color w:val="auto"/>
        </w:rPr>
        <w:t>Revenue was not materially impacted by foreign currency fluctuations as revenue on a constant currency basis also declined 5.3%. The following table presents revenue growth by segment:</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4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4"/>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00" w:type="dxa"/>
            <w:vAlign w:val="bottom"/>
          </w:tcPr>
          <w:p>
            <w:pPr>
              <w:spacing w:after="0"/>
              <w:rPr>
                <w:sz w:val="18"/>
                <w:szCs w:val="18"/>
                <w:color w:val="auto"/>
              </w:rPr>
            </w:pPr>
          </w:p>
        </w:tc>
        <w:tc>
          <w:tcPr>
            <w:tcW w:w="3500" w:type="dxa"/>
            <w:vAlign w:val="bottom"/>
            <w:tcBorders>
              <w:bottom w:val="single" w:sz="8" w:color="auto"/>
            </w:tcBorders>
            <w:gridSpan w:val="3"/>
          </w:tcPr>
          <w:p>
            <w:pPr>
              <w:jc w:val="right"/>
              <w:ind w:right="1299"/>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13"/>
        </w:trPr>
        <w:tc>
          <w:tcPr>
            <w:tcW w:w="4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millions, except %)</w:t>
            </w:r>
          </w:p>
        </w:tc>
        <w:tc>
          <w:tcPr>
            <w:tcW w:w="360" w:type="dxa"/>
            <w:vAlign w:val="bottom"/>
          </w:tcPr>
          <w:p>
            <w:pPr>
              <w:spacing w:after="0"/>
              <w:rPr>
                <w:sz w:val="18"/>
                <w:szCs w:val="18"/>
                <w:color w:val="auto"/>
              </w:rPr>
            </w:pPr>
          </w:p>
        </w:tc>
        <w:tc>
          <w:tcPr>
            <w:tcW w:w="120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1800" w:type="dxa"/>
            <w:vAlign w:val="bottom"/>
            <w:gridSpan w:val="2"/>
          </w:tcPr>
          <w:p>
            <w:pPr>
              <w:ind w:left="620"/>
              <w:spacing w:after="0"/>
              <w:rPr>
                <w:sz w:val="20"/>
                <w:szCs w:val="20"/>
                <w:color w:val="auto"/>
              </w:rPr>
            </w:pPr>
            <w:r>
              <w:rPr>
                <w:rFonts w:ascii="Times New Roman" w:cs="Times New Roman" w:eastAsia="Times New Roman" w:hAnsi="Times New Roman"/>
                <w:sz w:val="16"/>
                <w:szCs w:val="16"/>
                <w:b w:val="1"/>
                <w:bCs w:val="1"/>
                <w:color w:val="auto"/>
              </w:rPr>
              <w:t>Actual</w:t>
            </w:r>
          </w:p>
        </w:tc>
        <w:tc>
          <w:tcPr>
            <w:tcW w:w="1700" w:type="dxa"/>
            <w:vAlign w:val="bottom"/>
          </w:tcPr>
          <w:p>
            <w:pPr>
              <w:jc w:val="right"/>
              <w:ind w:right="19"/>
              <w:spacing w:after="0" w:line="213" w:lineRule="exact"/>
              <w:rPr>
                <w:sz w:val="20"/>
                <w:szCs w:val="20"/>
                <w:color w:val="auto"/>
              </w:rPr>
            </w:pPr>
            <w:r>
              <w:rPr>
                <w:rFonts w:ascii="Times New Roman" w:cs="Times New Roman" w:eastAsia="Times New Roman" w:hAnsi="Times New Roman"/>
                <w:sz w:val="16"/>
                <w:szCs w:val="16"/>
                <w:b w:val="1"/>
                <w:bCs w:val="1"/>
                <w:color w:val="auto"/>
              </w:rPr>
              <w:t xml:space="preserve">Constant Currency </w:t>
            </w:r>
            <w:r>
              <w:rPr>
                <w:rFonts w:ascii="Times New Roman" w:cs="Times New Roman" w:eastAsia="Times New Roman" w:hAnsi="Times New Roman"/>
                <w:sz w:val="21"/>
                <w:szCs w:val="21"/>
                <w:b w:val="1"/>
                <w:bCs w:val="1"/>
                <w:color w:val="auto"/>
                <w:vertAlign w:val="superscript"/>
              </w:rPr>
              <w:t>(1)</w:t>
            </w:r>
          </w:p>
        </w:tc>
      </w:tr>
      <w:tr>
        <w:trPr>
          <w:trHeight w:val="210"/>
        </w:trPr>
        <w:tc>
          <w:tcPr>
            <w:tcW w:w="4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Public Cloud</w:t>
            </w:r>
          </w:p>
        </w:tc>
        <w:tc>
          <w:tcPr>
            <w:tcW w:w="360" w:type="dxa"/>
            <w:vAlign w:val="bottom"/>
            <w:tcBorders>
              <w:top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1,738.5</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1,742.7</w:t>
            </w:r>
          </w:p>
        </w:tc>
        <w:tc>
          <w:tcPr>
            <w:tcW w:w="10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0.2 %</w:t>
            </w:r>
          </w:p>
        </w:tc>
        <w:tc>
          <w:tcPr>
            <w:tcW w:w="10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0.3 %</w:t>
            </w:r>
          </w:p>
        </w:tc>
      </w:tr>
      <w:tr>
        <w:trPr>
          <w:trHeight w:val="213"/>
        </w:trPr>
        <w:tc>
          <w:tcPr>
            <w:tcW w:w="4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Private Cloud</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1,383.8</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1,214.4</w:t>
            </w:r>
          </w:p>
        </w:tc>
        <w:tc>
          <w:tcPr>
            <w:tcW w:w="18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100" w:type="dxa"/>
            <w:vAlign w:val="bottom"/>
            <w:tcBorders>
              <w:bottom w:val="single" w:sz="8" w:color="CCEEFF"/>
            </w:tcBorders>
          </w:tcPr>
          <w:p>
            <w:pPr>
              <w:spacing w:after="0"/>
              <w:rPr>
                <w:sz w:val="18"/>
                <w:szCs w:val="18"/>
                <w:color w:val="auto"/>
              </w:rPr>
            </w:pPr>
          </w:p>
        </w:tc>
        <w:tc>
          <w:tcPr>
            <w:tcW w:w="17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(12.3)%</w:t>
            </w:r>
          </w:p>
        </w:tc>
      </w:tr>
      <w:tr>
        <w:trPr>
          <w:trHeight w:val="237"/>
        </w:trPr>
        <w:tc>
          <w:tcPr>
            <w:tcW w:w="44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3,122.3</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2,957.1</w:t>
            </w:r>
          </w:p>
        </w:tc>
        <w:tc>
          <w:tcPr>
            <w:tcW w:w="18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r>
    </w:tbl>
    <w:p>
      <w:pPr>
        <w:spacing w:after="0" w:line="79" w:lineRule="exact"/>
        <w:rPr>
          <w:sz w:val="20"/>
          <w:szCs w:val="20"/>
          <w:color w:val="auto"/>
        </w:rPr>
      </w:pPr>
    </w:p>
    <w:p>
      <w:pPr>
        <w:ind w:left="400" w:hanging="392"/>
        <w:spacing w:after="0"/>
        <w:tabs>
          <w:tab w:leader="none" w:pos="40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Refer to "</w:t>
      </w:r>
      <w:r>
        <w:rPr>
          <w:rFonts w:ascii="Times New Roman" w:cs="Times New Roman" w:eastAsia="Times New Roman" w:hAnsi="Times New Roman"/>
          <w:sz w:val="16"/>
          <w:szCs w:val="16"/>
          <w:i w:val="1"/>
          <w:iCs w:val="1"/>
          <w:color w:val="auto"/>
        </w:rPr>
        <w:t>Non-GAAP Financial Measures</w:t>
      </w:r>
      <w:r>
        <w:rPr>
          <w:rFonts w:ascii="Times New Roman" w:cs="Times New Roman" w:eastAsia="Times New Roman" w:hAnsi="Times New Roman"/>
          <w:sz w:val="16"/>
          <w:szCs w:val="16"/>
          <w:color w:val="auto"/>
        </w:rPr>
        <w:t>" in this section for further explanation and reconciliation.</w:t>
      </w:r>
    </w:p>
    <w:p>
      <w:pPr>
        <w:spacing w:after="0" w:line="246" w:lineRule="exact"/>
        <w:rPr>
          <w:sz w:val="20"/>
          <w:szCs w:val="20"/>
          <w:color w:val="auto"/>
        </w:rPr>
      </w:pPr>
    </w:p>
    <w:p>
      <w:pPr>
        <w:jc w:val="both"/>
        <w:ind w:right="200" w:firstLine="486"/>
        <w:spacing w:after="0" w:line="266" w:lineRule="auto"/>
        <w:rPr>
          <w:sz w:val="20"/>
          <w:szCs w:val="20"/>
          <w:color w:val="auto"/>
        </w:rPr>
      </w:pPr>
      <w:r>
        <w:rPr>
          <w:rFonts w:ascii="Times New Roman" w:cs="Times New Roman" w:eastAsia="Times New Roman" w:hAnsi="Times New Roman"/>
          <w:sz w:val="18"/>
          <w:szCs w:val="18"/>
          <w:color w:val="auto"/>
        </w:rPr>
        <w:t>Public Cloud revenue in 2023 increased 0.2% on an actual basis and 0.3% on a constant currency basis, from 2022. Underlying growth was driven by both the acquisition of new customers and increased spend by existing customers, partially offset by cancellations by existing customers. Offerings in this segment with the strongest growth include infrastructure resale on AWS, Microsoft Azure and Google Cloud.</w:t>
      </w:r>
    </w:p>
    <w:p>
      <w:pPr>
        <w:spacing w:after="0" w:line="203" w:lineRule="exact"/>
        <w:rPr>
          <w:sz w:val="20"/>
          <w:szCs w:val="20"/>
          <w:color w:val="auto"/>
        </w:rPr>
      </w:pPr>
    </w:p>
    <w:p>
      <w:pPr>
        <w:ind w:right="140" w:firstLine="486"/>
        <w:spacing w:after="0" w:line="266" w:lineRule="auto"/>
        <w:rPr>
          <w:sz w:val="20"/>
          <w:szCs w:val="20"/>
          <w:color w:val="auto"/>
        </w:rPr>
      </w:pPr>
      <w:r>
        <w:rPr>
          <w:rFonts w:ascii="Times New Roman" w:cs="Times New Roman" w:eastAsia="Times New Roman" w:hAnsi="Times New Roman"/>
          <w:sz w:val="18"/>
          <w:szCs w:val="18"/>
          <w:color w:val="auto"/>
        </w:rPr>
        <w:t>Private Cloud revenue in 2023 decreased 12.2% on an actual basis and 12.3% on a constant currency basis, from 2022, due to customers rolling off old generation private cloud offerings, expected decline in legacy OpenStack offerings, and the impact from the December 2022 Hosted Exchange ransomware incident.</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- 60 -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w:t>
      </w:r>
    </w:p>
    <w:p>
      <w:pPr>
        <w:spacing w:after="0" w:line="254"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Cost of revenue increased $63 million, or 3%, to $2,328 million in 2023 from $2,265 million in 2022, primarily due to an increase in usage charges for third-party infrastructure associated with growth in these offerings. Consulting professional fees and data center costs increased primarily to support growth for certain large customers. Personnel costs declined between periods due to lower headcount and a decrease in non-equity incentive compensation, partially offset by higher severance expense in 2023.</w:t>
      </w:r>
    </w:p>
    <w:p>
      <w:pPr>
        <w:spacing w:after="0" w:line="207" w:lineRule="exact"/>
        <w:rPr>
          <w:sz w:val="20"/>
          <w:szCs w:val="20"/>
          <w:color w:val="auto"/>
        </w:rPr>
      </w:pPr>
    </w:p>
    <w:p>
      <w:pPr>
        <w:ind w:right="120" w:firstLine="486"/>
        <w:spacing w:after="0" w:line="266" w:lineRule="auto"/>
        <w:rPr>
          <w:sz w:val="20"/>
          <w:szCs w:val="20"/>
          <w:color w:val="auto"/>
        </w:rPr>
      </w:pPr>
      <w:r>
        <w:rPr>
          <w:rFonts w:ascii="Times New Roman" w:cs="Times New Roman" w:eastAsia="Times New Roman" w:hAnsi="Times New Roman"/>
          <w:sz w:val="18"/>
          <w:szCs w:val="18"/>
          <w:color w:val="auto"/>
        </w:rPr>
        <w:t>As a percentage of revenue, cost of revenue increased 610 basis points in 2023 to 78.7% from 72.6% in 2022, primarily driven by a 440 basis point increase in usage charges for third-party infrastructure. Higher data center and professional fees also contributed to the increase in basis points between periods.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254" w:lineRule="exact"/>
        <w:rPr>
          <w:sz w:val="20"/>
          <w:szCs w:val="20"/>
          <w:color w:val="auto"/>
        </w:rPr>
      </w:pPr>
    </w:p>
    <w:p>
      <w:pPr>
        <w:ind w:right="140" w:firstLine="486"/>
        <w:spacing w:after="0" w:line="282" w:lineRule="auto"/>
        <w:rPr>
          <w:sz w:val="20"/>
          <w:szCs w:val="20"/>
          <w:color w:val="auto"/>
        </w:rPr>
      </w:pPr>
      <w:r>
        <w:rPr>
          <w:rFonts w:ascii="Times New Roman" w:cs="Times New Roman" w:eastAsia="Times New Roman" w:hAnsi="Times New Roman"/>
          <w:sz w:val="18"/>
          <w:szCs w:val="18"/>
          <w:color w:val="auto"/>
        </w:rPr>
        <w:t>Our gross profit was $629 million in 2023, a decrease of $228 million from $857 million in 2022. Our gross margin was 21.3% in 2023, a decrease of 610 basis points from 27.4% in 2022.</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254" w:lineRule="exact"/>
        <w:rPr>
          <w:sz w:val="20"/>
          <w:szCs w:val="20"/>
          <w:color w:val="auto"/>
        </w:rPr>
      </w:pPr>
    </w:p>
    <w:p>
      <w:pPr>
        <w:ind w:right="100" w:firstLine="486"/>
        <w:spacing w:after="0" w:line="258" w:lineRule="auto"/>
        <w:rPr>
          <w:sz w:val="20"/>
          <w:szCs w:val="20"/>
          <w:color w:val="auto"/>
        </w:rPr>
      </w:pPr>
      <w:r>
        <w:rPr>
          <w:rFonts w:ascii="Times New Roman" w:cs="Times New Roman" w:eastAsia="Times New Roman" w:hAnsi="Times New Roman"/>
          <w:sz w:val="18"/>
          <w:szCs w:val="18"/>
          <w:color w:val="auto"/>
        </w:rPr>
        <w:t>SG&amp;A expenses decreased $88 million, or 10%, to $767 million in 2023 from $855 million in 2022. Contributing to the reduction in expense was a wind down of certain business optimization initiatives between periods. In addition, personnel costs declined between periods due to lower headcount and decreases in non-equity incentive compensation and commissions, partially offset by higher severance expense. Other non-personnel costs fluctuations include lower marketing spend, professional fees, and depreciation and amortization expense, offset by higher office rent. The increase in office rent includes $12 million of expense recognized for a UK office that we exited in the second quarter of 2023, prior to the lease end date.</w:t>
      </w:r>
    </w:p>
    <w:p>
      <w:pPr>
        <w:spacing w:after="0" w:line="21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a percentage of revenue, SG&amp;A expenses decreased 150 basis points, to 25.9% in 2023 from 27.4% in 2022, for the reasons discussed above.</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 from Operations, Segment Operating Profit, and Non-GAAP Operating Profit</w:t>
      </w:r>
    </w:p>
    <w:p>
      <w:pPr>
        <w:spacing w:after="0" w:line="254"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Our loss from operations was $899 million in 2023 compared to $679 million in 2022. Our Non-GAAP Operating Profit was $157 million in 2023, a decrease of $162 million from $319 million in 2022. Non-GAAP Operating Profit is a non-GAAP financial measure. See “Non-GAAP Financial Measures” below for more information.</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- 61 -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table below presents a reconciliation of loss from operations to Non-GAAP Operating Profit.</w:t>
      </w:r>
    </w:p>
    <w:p>
      <w:pPr>
        <w:spacing w:after="0" w:line="295" w:lineRule="exact"/>
        <w:rPr>
          <w:sz w:val="20"/>
          <w:szCs w:val="20"/>
          <w:color w:val="auto"/>
        </w:rPr>
      </w:pPr>
    </w:p>
    <w:p>
      <w:pPr>
        <w:ind w:left="8700"/>
        <w:spacing w:after="0"/>
        <w:rPr>
          <w:sz w:val="20"/>
          <w:szCs w:val="20"/>
          <w:color w:val="auto"/>
        </w:rPr>
      </w:pPr>
      <w:r>
        <w:rPr>
          <w:rFonts w:ascii="Times New Roman" w:cs="Times New Roman" w:eastAsia="Times New Roman" w:hAnsi="Times New Roman"/>
          <w:sz w:val="16"/>
          <w:szCs w:val="16"/>
          <w:b w:val="1"/>
          <w:bCs w:val="1"/>
          <w:color w:val="auto"/>
        </w:rPr>
        <w:t>Year Ended 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3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from operations</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(679.0)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(899.4)</w:t>
            </w:r>
          </w:p>
        </w:tc>
      </w:tr>
      <w:tr>
        <w:trPr>
          <w:trHeight w:val="213"/>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65.4</w:t>
            </w:r>
          </w:p>
        </w:tc>
      </w:tr>
      <w:tr>
        <w:trPr>
          <w:trHeight w:val="219"/>
        </w:trPr>
        <w:tc>
          <w:tcPr>
            <w:tcW w:w="794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 xml:space="preserve">Transaction-related adjustments, net </w:t>
            </w:r>
            <w:r>
              <w:rPr>
                <w:rFonts w:ascii="Times New Roman" w:cs="Times New Roman" w:eastAsia="Times New Roman" w:hAnsi="Times New Roman"/>
                <w:sz w:val="21"/>
                <w:szCs w:val="21"/>
                <w:color w:val="auto"/>
                <w:vertAlign w:val="superscript"/>
              </w:rPr>
              <w:t>(a)</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r>
      <w:tr>
        <w:trPr>
          <w:trHeight w:val="216"/>
        </w:trPr>
        <w:tc>
          <w:tcPr>
            <w:tcW w:w="794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Restructuring and transformation expenses </w:t>
            </w:r>
            <w:r>
              <w:rPr>
                <w:rFonts w:ascii="Times New Roman" w:cs="Times New Roman" w:eastAsia="Times New Roman" w:hAnsi="Times New Roman"/>
                <w:sz w:val="21"/>
                <w:szCs w:val="21"/>
                <w:color w:val="auto"/>
                <w:vertAlign w:val="superscript"/>
              </w:rPr>
              <w:t>(b)</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56.7</w:t>
            </w:r>
          </w:p>
        </w:tc>
      </w:tr>
      <w:tr>
        <w:trPr>
          <w:trHeight w:val="216"/>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Hosted Exchange incident expenses, net of proceeds received or expected to be received under our insurance coverage</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r>
      <w:tr>
        <w:trPr>
          <w:trHeight w:val="213"/>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Impairment of goodwill</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534.5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708.8</w:t>
            </w:r>
          </w:p>
        </w:tc>
      </w:tr>
      <w:tr>
        <w:trPr>
          <w:trHeight w:val="219"/>
        </w:trPr>
        <w:tc>
          <w:tcPr>
            <w:tcW w:w="794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 xml:space="preserve">UK office closure </w:t>
            </w:r>
            <w:r>
              <w:rPr>
                <w:rFonts w:ascii="Times New Roman" w:cs="Times New Roman" w:eastAsia="Times New Roman" w:hAnsi="Times New Roman"/>
                <w:sz w:val="21"/>
                <w:szCs w:val="21"/>
                <w:color w:val="auto"/>
                <w:vertAlign w:val="superscript"/>
              </w:rPr>
              <w:t>(c)</w:t>
            </w:r>
          </w:p>
        </w:tc>
        <w:tc>
          <w:tcPr>
            <w:tcW w:w="3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w:t>
            </w:r>
          </w:p>
        </w:tc>
      </w:tr>
      <w:tr>
        <w:trPr>
          <w:trHeight w:val="213"/>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Impairment of assets, net</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52.2</w:t>
            </w:r>
          </w:p>
        </w:tc>
      </w:tr>
      <w:tr>
        <w:trPr>
          <w:trHeight w:val="219"/>
        </w:trPr>
        <w:tc>
          <w:tcPr>
            <w:tcW w:w="794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 xml:space="preserve">Amortization of intangible assets </w:t>
            </w:r>
            <w:r>
              <w:rPr>
                <w:rFonts w:ascii="Times New Roman" w:cs="Times New Roman" w:eastAsia="Times New Roman" w:hAnsi="Times New Roman"/>
                <w:sz w:val="21"/>
                <w:szCs w:val="21"/>
                <w:color w:val="auto"/>
                <w:vertAlign w:val="superscript"/>
              </w:rPr>
              <w:t>(d)</w:t>
            </w: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161.0</w:t>
            </w:r>
          </w:p>
        </w:tc>
      </w:tr>
      <w:tr>
        <w:trPr>
          <w:trHeight w:val="209"/>
        </w:trPr>
        <w:tc>
          <w:tcPr>
            <w:tcW w:w="79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Non-GAAP Operating Profit</w:t>
            </w: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319.4</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157.2</w:t>
            </w:r>
          </w:p>
        </w:tc>
      </w:tr>
      <w:tr>
        <w:trPr>
          <w:trHeight w:val="21"/>
        </w:trPr>
        <w:tc>
          <w:tcPr>
            <w:tcW w:w="79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left="480" w:right="560" w:hanging="339"/>
        <w:spacing w:after="0" w:line="254" w:lineRule="auto"/>
        <w:tabs>
          <w:tab w:leader="none" w:pos="48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legal, professional, accounting and other advisory fees related to acquisitions, certain one-time compliance costs related to being a public company, integration costs of acquired businesses, purchase accounting adjustments, and exploratory acquisition and divestiture costs and expenses related to financing activities.</w:t>
      </w:r>
    </w:p>
    <w:p>
      <w:pPr>
        <w:spacing w:after="0" w:line="23" w:lineRule="exact"/>
        <w:rPr>
          <w:rFonts w:ascii="Times New Roman" w:cs="Times New Roman" w:eastAsia="Times New Roman" w:hAnsi="Times New Roman"/>
          <w:sz w:val="16"/>
          <w:szCs w:val="16"/>
          <w:color w:val="auto"/>
        </w:rPr>
      </w:pPr>
    </w:p>
    <w:p>
      <w:pPr>
        <w:ind w:left="480" w:right="40" w:hanging="344"/>
        <w:spacing w:after="0" w:line="252" w:lineRule="auto"/>
        <w:tabs>
          <w:tab w:leader="none" w:pos="48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consulting and advisory fees related to business transformation and optimization activities, as well as associated severance, certain facility closure costs, and lease termination expenses. Also includes payroll taxes associated with the exercise of stock options and vesting of restricted stock. This amount also includes total charges of $5.2 million for the year ended December 31, 2022 related to the July 2021 Restructuring Plan which are not accounted for as exit and disposal costs under ASC 420, including one-time offshore build out costs.</w:t>
      </w:r>
    </w:p>
    <w:p>
      <w:pPr>
        <w:spacing w:after="0" w:line="23" w:lineRule="exact"/>
        <w:rPr>
          <w:rFonts w:ascii="Times New Roman" w:cs="Times New Roman" w:eastAsia="Times New Roman" w:hAnsi="Times New Roman"/>
          <w:sz w:val="16"/>
          <w:szCs w:val="16"/>
          <w:color w:val="auto"/>
        </w:rPr>
      </w:pPr>
    </w:p>
    <w:p>
      <w:pPr>
        <w:ind w:left="480" w:hanging="339"/>
        <w:spacing w:after="0"/>
        <w:tabs>
          <w:tab w:leader="none" w:pos="48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Expense recognized related to the closure of a UK office that we exited in the second quarter of 2023 prior to the lease end date.</w:t>
      </w:r>
    </w:p>
    <w:p>
      <w:pPr>
        <w:spacing w:after="0" w:line="59" w:lineRule="exact"/>
        <w:rPr>
          <w:rFonts w:ascii="Times New Roman" w:cs="Times New Roman" w:eastAsia="Times New Roman" w:hAnsi="Times New Roman"/>
          <w:sz w:val="16"/>
          <w:szCs w:val="16"/>
          <w:color w:val="auto"/>
        </w:rPr>
      </w:pPr>
    </w:p>
    <w:p>
      <w:pPr>
        <w:ind w:left="480" w:hanging="344"/>
        <w:spacing w:after="0"/>
        <w:tabs>
          <w:tab w:leader="none" w:pos="48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of our intangible assets are attributable to acquisitions, including the Rackspace Acquisition in 2016.</w:t>
      </w:r>
    </w:p>
    <w:p>
      <w:pPr>
        <w:spacing w:after="0" w:line="36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segment operating profit and segment operating margin for the periods indicated, and the change between periods is shown in the table below:</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0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gridSpan w:val="4"/>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millions, except %)</w:t>
            </w: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right"/>
              <w:ind w:right="919"/>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right"/>
              <w:ind w:right="919"/>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3"/>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Year-Over-Year Comparison</w:t>
            </w:r>
          </w:p>
        </w:tc>
        <w:tc>
          <w:tcPr>
            <w:tcW w:w="0" w:type="dxa"/>
            <w:vAlign w:val="bottom"/>
          </w:tcPr>
          <w:p>
            <w:pPr>
              <w:spacing w:after="0"/>
              <w:rPr>
                <w:sz w:val="1"/>
                <w:szCs w:val="1"/>
                <w:color w:val="auto"/>
              </w:rPr>
            </w:pPr>
          </w:p>
        </w:tc>
      </w:tr>
      <w:tr>
        <w:trPr>
          <w:trHeight w:val="157"/>
        </w:trPr>
        <w:tc>
          <w:tcPr>
            <w:tcW w:w="404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Segment operating profit:</w:t>
            </w:r>
          </w:p>
        </w:tc>
        <w:tc>
          <w:tcPr>
            <w:tcW w:w="180" w:type="dxa"/>
            <w:vAlign w:val="bottom"/>
          </w:tcPr>
          <w:p>
            <w:pPr>
              <w:spacing w:after="0"/>
              <w:rPr>
                <w:sz w:val="13"/>
                <w:szCs w:val="13"/>
                <w:color w:val="auto"/>
              </w:rPr>
            </w:pPr>
          </w:p>
        </w:tc>
        <w:tc>
          <w:tcPr>
            <w:tcW w:w="820" w:type="dxa"/>
            <w:vAlign w:val="bottom"/>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rPr>
              <w:t>% of Segment</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rPr>
              <w:t>% of Segment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vMerge w:val="restart"/>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 w:type="dxa"/>
            <w:vAlign w:val="bottom"/>
          </w:tcPr>
          <w:p>
            <w:pPr>
              <w:spacing w:after="0"/>
              <w:rPr>
                <w:sz w:val="13"/>
                <w:szCs w:val="13"/>
                <w:color w:val="auto"/>
              </w:rPr>
            </w:pPr>
          </w:p>
        </w:tc>
        <w:tc>
          <w:tcPr>
            <w:tcW w:w="1160" w:type="dxa"/>
            <w:vAlign w:val="bottom"/>
            <w:vMerge w:val="restart"/>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14"/>
        </w:trPr>
        <w:tc>
          <w:tcPr>
            <w:tcW w:w="40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1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Revenue</w:t>
            </w:r>
          </w:p>
        </w:tc>
        <w:tc>
          <w:tcPr>
            <w:tcW w:w="12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Public Cloud</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center"/>
              <w:ind w:left="339"/>
              <w:spacing w:after="0"/>
              <w:rPr>
                <w:sz w:val="20"/>
                <w:szCs w:val="20"/>
                <w:color w:val="auto"/>
              </w:rPr>
            </w:pPr>
            <w:r>
              <w:rPr>
                <w:rFonts w:ascii="Times New Roman" w:cs="Times New Roman" w:eastAsia="Times New Roman" w:hAnsi="Times New Roman"/>
                <w:sz w:val="16"/>
                <w:szCs w:val="16"/>
                <w:color w:val="auto"/>
                <w:w w:val="99"/>
              </w:rPr>
              <w:t>120.7</w:t>
            </w: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6.9 %</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81.8</w:t>
            </w: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4.7 %</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w:t>
            </w:r>
          </w:p>
        </w:tc>
        <w:tc>
          <w:tcPr>
            <w:tcW w:w="1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w:t>
            </w:r>
          </w:p>
        </w:tc>
        <w:tc>
          <w:tcPr>
            <w:tcW w:w="0" w:type="dxa"/>
            <w:vAlign w:val="bottom"/>
          </w:tcPr>
          <w:p>
            <w:pPr>
              <w:spacing w:after="0"/>
              <w:rPr>
                <w:sz w:val="1"/>
                <w:szCs w:val="1"/>
                <w:color w:val="auto"/>
              </w:rPr>
            </w:pPr>
          </w:p>
        </w:tc>
      </w:tr>
      <w:tr>
        <w:trPr>
          <w:trHeight w:val="213"/>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Private Cloud</w:t>
            </w:r>
          </w:p>
        </w:tc>
        <w:tc>
          <w:tcPr>
            <w:tcW w:w="180" w:type="dxa"/>
            <w:vAlign w:val="bottom"/>
          </w:tcPr>
          <w:p>
            <w:pPr>
              <w:spacing w:after="0"/>
              <w:rPr>
                <w:sz w:val="18"/>
                <w:szCs w:val="18"/>
                <w:color w:val="auto"/>
              </w:rPr>
            </w:pPr>
          </w:p>
        </w:tc>
        <w:tc>
          <w:tcPr>
            <w:tcW w:w="820" w:type="dxa"/>
            <w:vAlign w:val="bottom"/>
          </w:tcPr>
          <w:p>
            <w:pPr>
              <w:jc w:val="center"/>
              <w:ind w:left="339"/>
              <w:spacing w:after="0"/>
              <w:rPr>
                <w:sz w:val="20"/>
                <w:szCs w:val="20"/>
                <w:color w:val="auto"/>
              </w:rPr>
            </w:pPr>
            <w:r>
              <w:rPr>
                <w:rFonts w:ascii="Times New Roman" w:cs="Times New Roman" w:eastAsia="Times New Roman" w:hAnsi="Times New Roman"/>
                <w:sz w:val="16"/>
                <w:szCs w:val="16"/>
                <w:color w:val="auto"/>
                <w:w w:val="99"/>
              </w:rPr>
              <w:t>496.2</w:t>
            </w: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35.9 %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343.0</w:t>
            </w: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28.2 %</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(153.2)</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(30.9)%</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Corporate functions</w:t>
            </w: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gridSpan w:val="2"/>
            <w:shd w:val="clear" w:color="auto" w:fill="CCEEFF"/>
          </w:tcPr>
          <w:p>
            <w:pPr>
              <w:jc w:val="center"/>
              <w:ind w:left="259"/>
              <w:spacing w:after="0"/>
              <w:rPr>
                <w:sz w:val="20"/>
                <w:szCs w:val="20"/>
                <w:color w:val="auto"/>
              </w:rPr>
            </w:pPr>
            <w:r>
              <w:rPr>
                <w:rFonts w:ascii="Times New Roman" w:cs="Times New Roman" w:eastAsia="Times New Roman" w:hAnsi="Times New Roman"/>
                <w:sz w:val="16"/>
                <w:szCs w:val="16"/>
                <w:color w:val="auto"/>
              </w:rPr>
              <w:t>(297.5)</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(267.6)</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0" w:type="dxa"/>
            <w:vAlign w:val="bottom"/>
          </w:tcPr>
          <w:p>
            <w:pPr>
              <w:spacing w:after="0"/>
              <w:rPr>
                <w:sz w:val="1"/>
                <w:szCs w:val="1"/>
                <w:color w:val="auto"/>
              </w:rPr>
            </w:pPr>
          </w:p>
        </w:tc>
      </w:tr>
      <w:tr>
        <w:trPr>
          <w:trHeight w:val="212"/>
        </w:trPr>
        <w:tc>
          <w:tcPr>
            <w:tcW w:w="40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Non-GAAP Operating Profit</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center"/>
              <w:ind w:left="339"/>
              <w:spacing w:after="0"/>
              <w:rPr>
                <w:sz w:val="20"/>
                <w:szCs w:val="20"/>
                <w:color w:val="auto"/>
              </w:rPr>
            </w:pPr>
            <w:r>
              <w:rPr>
                <w:rFonts w:ascii="Times New Roman" w:cs="Times New Roman" w:eastAsia="Times New Roman" w:hAnsi="Times New Roman"/>
                <w:sz w:val="16"/>
                <w:szCs w:val="16"/>
                <w:color w:val="auto"/>
                <w:w w:val="99"/>
              </w:rPr>
              <w:t>319.4</w:t>
            </w:r>
          </w:p>
        </w:tc>
        <w:tc>
          <w:tcPr>
            <w:tcW w:w="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157.2</w:t>
            </w:r>
          </w:p>
        </w:tc>
        <w:tc>
          <w:tcPr>
            <w:tcW w:w="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(162.2)</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(50.8)%</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right="120" w:firstLine="486"/>
        <w:spacing w:after="0" w:line="266" w:lineRule="auto"/>
        <w:rPr>
          <w:sz w:val="20"/>
          <w:szCs w:val="20"/>
          <w:color w:val="auto"/>
        </w:rPr>
      </w:pPr>
      <w:r>
        <w:rPr>
          <w:rFonts w:ascii="Times New Roman" w:cs="Times New Roman" w:eastAsia="Times New Roman" w:hAnsi="Times New Roman"/>
          <w:sz w:val="18"/>
          <w:szCs w:val="18"/>
          <w:color w:val="auto"/>
        </w:rPr>
        <w:t>Public Cloud operating profit decreased 32% in 2023 from 2022. Segment operating profit as a percentage of segment revenue decreased by 220 basis points, reflecting a 3% increase in segment operating expenses as segment revenue growth remained relatively flat. The increase in costs was mainly driven by higher third-party infrastructure costs due to the increase in revenue, partially offset by a decrease in personnel costs.</w:t>
      </w:r>
    </w:p>
    <w:p>
      <w:pPr>
        <w:spacing w:after="0" w:line="203" w:lineRule="exact"/>
        <w:rPr>
          <w:sz w:val="20"/>
          <w:szCs w:val="20"/>
          <w:color w:val="auto"/>
        </w:rPr>
      </w:pPr>
    </w:p>
    <w:p>
      <w:pPr>
        <w:ind w:right="60" w:firstLine="486"/>
        <w:spacing w:after="0" w:line="266" w:lineRule="auto"/>
        <w:rPr>
          <w:sz w:val="20"/>
          <w:szCs w:val="20"/>
          <w:color w:val="auto"/>
        </w:rPr>
      </w:pPr>
      <w:r>
        <w:rPr>
          <w:rFonts w:ascii="Times New Roman" w:cs="Times New Roman" w:eastAsia="Times New Roman" w:hAnsi="Times New Roman"/>
          <w:sz w:val="18"/>
          <w:szCs w:val="18"/>
          <w:color w:val="auto"/>
        </w:rPr>
        <w:t>Private Cloud operating profit decreased 31% in 2023 from 2022. Segment operating profit as a percentage of segment revenue decreased by 770 basis points, due to a 12% decrease in segment revenue, partially offset by a 2% decrease in segment operating expenses. The decrease in costs was mainly driven by a reduction in personnel costs.</w:t>
      </w:r>
    </w:p>
    <w:p>
      <w:pPr>
        <w:spacing w:after="0" w:line="203" w:lineRule="exact"/>
        <w:rPr>
          <w:sz w:val="20"/>
          <w:szCs w:val="20"/>
          <w:color w:val="auto"/>
        </w:rPr>
      </w:pPr>
    </w:p>
    <w:p>
      <w:pPr>
        <w:ind w:right="440" w:firstLine="486"/>
        <w:spacing w:after="0" w:line="266" w:lineRule="auto"/>
        <w:rPr>
          <w:sz w:val="20"/>
          <w:szCs w:val="20"/>
          <w:color w:val="auto"/>
        </w:rPr>
      </w:pPr>
      <w:r>
        <w:rPr>
          <w:rFonts w:ascii="Times New Roman" w:cs="Times New Roman" w:eastAsia="Times New Roman" w:hAnsi="Times New Roman"/>
          <w:sz w:val="18"/>
          <w:szCs w:val="18"/>
          <w:color w:val="auto"/>
        </w:rPr>
        <w:t>Centralized corporate functions that provide services to the segments in areas such as accounting, information technology, marketing, legal and human resources are not allocated to the segments and are included in "corporate functions" in the table above. This expense decreased 10% in 2023 primarily due to a decline in depreciation expense as certain property, equipment, and software reached the end of its useful life.</w:t>
      </w:r>
    </w:p>
    <w:p>
      <w:pPr>
        <w:spacing w:after="0" w:line="203" w:lineRule="exact"/>
        <w:rPr>
          <w:sz w:val="20"/>
          <w:szCs w:val="20"/>
          <w:color w:val="auto"/>
        </w:rPr>
      </w:pPr>
    </w:p>
    <w:p>
      <w:pPr>
        <w:ind w:right="180" w:firstLine="486"/>
        <w:spacing w:after="0" w:line="282" w:lineRule="auto"/>
        <w:rPr>
          <w:sz w:val="20"/>
          <w:szCs w:val="20"/>
          <w:color w:val="auto"/>
        </w:rPr>
      </w:pPr>
      <w:r>
        <w:rPr>
          <w:rFonts w:ascii="Times New Roman" w:cs="Times New Roman" w:eastAsia="Times New Roman" w:hAnsi="Times New Roman"/>
          <w:sz w:val="18"/>
          <w:szCs w:val="18"/>
          <w:color w:val="auto"/>
        </w:rPr>
        <w:t>For more information about our segment operating profit, see Item 8 of Part II, Financial Statements and Supplementary Data - Note 16, "Segment Reporting."</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- 62 -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of Goodwill</w:t>
      </w:r>
    </w:p>
    <w:p>
      <w:pPr>
        <w:spacing w:after="0" w:line="2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recorded a total of $709 million and $535 million in non-cash goodwill impairment charges in 2023 and 2022, respectively.</w:t>
      </w:r>
    </w:p>
    <w:p>
      <w:pPr>
        <w:spacing w:after="0" w:line="252"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Due to the change in our segment reporting as a result of the business reorganization as of January 1, 2023, we completed a quantitative goodwill impairment analysis both prior and subsequent to the aforementioned change. The results of the quantitative goodwill impairment analysis performed as of January 1, 2023, subsequent to the change, indicated an impairment within our Private Cloud reporting unit, and we recorded a non-cash impairment charge of $271 million in the first quarter of 2023.</w:t>
      </w:r>
    </w:p>
    <w:p>
      <w:pPr>
        <w:spacing w:after="0" w:line="207" w:lineRule="exact"/>
        <w:rPr>
          <w:sz w:val="20"/>
          <w:szCs w:val="20"/>
          <w:color w:val="auto"/>
        </w:rPr>
      </w:pPr>
    </w:p>
    <w:p>
      <w:pPr>
        <w:ind w:right="40" w:firstLine="486"/>
        <w:spacing w:after="0" w:line="254" w:lineRule="auto"/>
        <w:rPr>
          <w:sz w:val="20"/>
          <w:szCs w:val="20"/>
          <w:color w:val="auto"/>
        </w:rPr>
      </w:pPr>
      <w:r>
        <w:rPr>
          <w:rFonts w:ascii="Times New Roman" w:cs="Times New Roman" w:eastAsia="Times New Roman" w:hAnsi="Times New Roman"/>
          <w:sz w:val="18"/>
          <w:szCs w:val="18"/>
          <w:color w:val="auto"/>
        </w:rPr>
        <w:t>During the first quarter of 2023, we experienced a sustained decline in our stock price resulting in our market capitalization being less than the carrying value of our combined reporting units. As of March 31, 2023, we assessed several events and circumstances that could affect the significant inputs used to determine the fair value of our reporting units, including the significance of the amount, if any, of excess carrying value over fair value, consistency of operating margins and cash flows, budgeted-to-actual performance for the first three months of the year, overall change in economic climate, changes in the industry and competitive environment, and earnings quality and sustainability. After considering all available evidence in our evaluation of goodwill impairment indicators, we determined it appropriate to perform an interim quantitative assessment of our reporting units as of March 31, 2023. The results of this quantitative goodwill impairment analysis indicated an impairment within our Private Cloud reporting unit, and we recorded an additional non-cash impairment charge of $272 million in the first quarter of 2023.</w:t>
      </w:r>
    </w:p>
    <w:p>
      <w:pPr>
        <w:spacing w:after="0" w:line="219" w:lineRule="exact"/>
        <w:rPr>
          <w:sz w:val="20"/>
          <w:szCs w:val="20"/>
          <w:color w:val="auto"/>
        </w:rPr>
      </w:pPr>
    </w:p>
    <w:p>
      <w:pPr>
        <w:ind w:right="20" w:firstLine="486"/>
        <w:spacing w:after="0" w:line="258" w:lineRule="auto"/>
        <w:rPr>
          <w:sz w:val="20"/>
          <w:szCs w:val="20"/>
          <w:color w:val="auto"/>
        </w:rPr>
      </w:pPr>
      <w:r>
        <w:rPr>
          <w:rFonts w:ascii="Times New Roman" w:cs="Times New Roman" w:eastAsia="Times New Roman" w:hAnsi="Times New Roman"/>
          <w:sz w:val="18"/>
          <w:szCs w:val="18"/>
          <w:color w:val="auto"/>
        </w:rPr>
        <w:t>We performed an interim goodwill impairment analysis as of September 30, 2023 based on our assessment of several events and circumstances that affect the significant inputs used to determine the fair value of our reporting units, including the significance of the amount of excess carrying value over fair value, consistency of operating margins and cash flows, budgeted-to-actual performance, overall change in economic climate, changes in the industry and competitive environment, market capitalization and earnings quality and sustainability. As a result, we determined that the carrying value of our Private Cloud reporting unit exceeded its fair value and recorded a non-cash impairment of goodwill of $166 million in the third quarter of 2023.</w:t>
      </w:r>
    </w:p>
    <w:p>
      <w:pPr>
        <w:spacing w:after="0" w:line="21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October 1, 2023, we reassessed our reporting units and combined our Private Cloud and OpenStack Public Cloud reporting units into a new</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Private Cloud reporting unit. We completed a quantitative goodwill impairment analysis as of October 1, 2023, subsequent to the aforementioned change.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results of the quantitative goodwill impairment analysis indicated no impairment to goodwill.</w:t>
      </w:r>
    </w:p>
    <w:p>
      <w:pPr>
        <w:spacing w:after="0" w:line="234"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During the third quarter of 2022, we experienced a sustained decline in our stock price resulting in our market capitalization being less than the carrying value of our combined reporting units. We performed an interim goodwill impairment analysis as of September 1, 2022 based on our assessment of several events and circumstances that affect the significant inputs used to determine the fair value of our reporting units, including the significance of the amount of excess carrying value over fair value, consistency of operating margins and cash flows, budgeted-to-actual performance from prior year, overall change in economic climate, changes in the industry and competitive environment, and earnings quality and sustainability. In addition, as of September 1, 2022, we lowered our projected operating results primarily due to product mix shifts and market concerns related to inflation and other macroeconomic factors. As a result, we determined that the carrying value of our former Multicloud Services reporting unit exceeded its fair value and recorded an impairment of goodwill of $405 million during the third quarter of 2022.</w:t>
      </w:r>
    </w:p>
    <w:p>
      <w:pPr>
        <w:spacing w:after="0" w:line="2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results of our annual goodwill impairment test as of October 1, 2022 did not indicate any impairments of goodwill.</w:t>
      </w:r>
    </w:p>
    <w:p>
      <w:pPr>
        <w:spacing w:after="0" w:line="252" w:lineRule="exact"/>
        <w:rPr>
          <w:sz w:val="20"/>
          <w:szCs w:val="20"/>
          <w:color w:val="auto"/>
        </w:rPr>
      </w:pPr>
    </w:p>
    <w:p>
      <w:pPr>
        <w:ind w:right="20" w:firstLine="486"/>
        <w:spacing w:after="0" w:line="258" w:lineRule="auto"/>
        <w:rPr>
          <w:sz w:val="20"/>
          <w:szCs w:val="20"/>
          <w:color w:val="auto"/>
        </w:rPr>
      </w:pPr>
      <w:r>
        <w:rPr>
          <w:rFonts w:ascii="Times New Roman" w:cs="Times New Roman" w:eastAsia="Times New Roman" w:hAnsi="Times New Roman"/>
          <w:sz w:val="18"/>
          <w:szCs w:val="18"/>
          <w:color w:val="auto"/>
        </w:rPr>
        <w:t>During the fourth quarter of 2022, subsequent to our annual goodwill impairment analysis, we experienced a decline in our market capitalization following a ransomware incident in early December which caused service disruptions on our Hosted Exchange email business. We therefore determined it appropriate to perform an interim quantitative assessment of our reporting units as of December 31, 2022. As a result, we determined that the carrying value of our former Apps &amp; Cross Platform reporting unit exceeded its fair value and recorded an impairment of goodwill of $129 million during the fourth quarter of 2022.</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- 63 -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See Item 8 of Part II, Financial Statements and Supplementary Data - Note 6, "Goodwill and Intangible Assets" for further discussion.</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of Assets, Net</w:t>
      </w:r>
    </w:p>
    <w:p>
      <w:pPr>
        <w:spacing w:after="0" w:line="2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recorded a total of $52 million and $146 million in net asset impairment charges in 2023 and 2022, respectively.</w:t>
      </w:r>
    </w:p>
    <w:p>
      <w:pPr>
        <w:spacing w:after="0" w:line="252" w:lineRule="exact"/>
        <w:rPr>
          <w:sz w:val="20"/>
          <w:szCs w:val="20"/>
          <w:color w:val="auto"/>
        </w:rPr>
      </w:pPr>
    </w:p>
    <w:p>
      <w:pPr>
        <w:ind w:right="40" w:firstLine="486"/>
        <w:spacing w:after="0" w:line="266" w:lineRule="auto"/>
        <w:rPr>
          <w:sz w:val="20"/>
          <w:szCs w:val="20"/>
          <w:color w:val="auto"/>
        </w:rPr>
      </w:pPr>
      <w:r>
        <w:rPr>
          <w:rFonts w:ascii="Times New Roman" w:cs="Times New Roman" w:eastAsia="Times New Roman" w:hAnsi="Times New Roman"/>
          <w:sz w:val="18"/>
          <w:szCs w:val="18"/>
          <w:color w:val="auto"/>
        </w:rPr>
        <w:t>We evaluated our indefinite-lived intangible asset for impairment as of September 30, 2023. As a result of this evaluation, we recorded a $57 million impairment of our indefinite-lived intangible asset in the third quarter of 2023.</w:t>
      </w:r>
    </w:p>
    <w:p>
      <w:pPr>
        <w:spacing w:after="0" w:line="203" w:lineRule="exact"/>
        <w:rPr>
          <w:sz w:val="20"/>
          <w:szCs w:val="20"/>
          <w:color w:val="auto"/>
        </w:rPr>
      </w:pPr>
    </w:p>
    <w:p>
      <w:pPr>
        <w:ind w:right="20" w:firstLine="486"/>
        <w:spacing w:after="0" w:line="266" w:lineRule="auto"/>
        <w:rPr>
          <w:sz w:val="20"/>
          <w:szCs w:val="20"/>
          <w:color w:val="auto"/>
        </w:rPr>
      </w:pPr>
      <w:r>
        <w:rPr>
          <w:rFonts w:ascii="Times New Roman" w:cs="Times New Roman" w:eastAsia="Times New Roman" w:hAnsi="Times New Roman"/>
          <w:sz w:val="18"/>
          <w:szCs w:val="18"/>
          <w:color w:val="auto"/>
        </w:rPr>
        <w:t>Similarly, we evaluated our indefinite-lived intangible asset and long-lived assets for impairment as of September 1, 2022. As a result of these evaluations, we recorded total impairment charges of $59 million in the third quarter of 2022, consisting of a $21 million impairment of our indefinite-lived trade name intangible asset and a $38 million impairment of OpenStack Public Cloud long-lived assets.</w:t>
      </w:r>
    </w:p>
    <w:p>
      <w:pPr>
        <w:spacing w:after="0" w:line="20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December 31, 2022, we recorded an additional $12 million impairment of our indefinite-lived trade name intangible asset.</w:t>
      </w:r>
    </w:p>
    <w:p>
      <w:pPr>
        <w:spacing w:after="0" w:line="252"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Additionally, as of December 31, 2022, our corporate headquarters property was classified as held for sale. The property's previous carrying amount of $83 million was written down to its estimated fair value, less estimated cost to sell, of $12 million, resulting in a $71 million impairment charge recorded in the fourth quarter of 2022. We also wrote-off the remaining $5 million net book value of the related property tax abatement asset in connection with the held for sale classification.</w:t>
      </w:r>
    </w:p>
    <w:p>
      <w:pPr>
        <w:spacing w:after="0" w:line="20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During 2023, we recorded a $5 million net increase in the estimated fair value, less estimated cost to sell, of our corporate headquarters.</w:t>
      </w:r>
    </w:p>
    <w:p>
      <w:pPr>
        <w:spacing w:after="0" w:line="252" w:lineRule="exact"/>
        <w:rPr>
          <w:sz w:val="20"/>
          <w:szCs w:val="20"/>
          <w:color w:val="auto"/>
        </w:rPr>
      </w:pPr>
    </w:p>
    <w:p>
      <w:pPr>
        <w:ind w:right="220" w:firstLine="486"/>
        <w:spacing w:after="0" w:line="282" w:lineRule="auto"/>
        <w:rPr>
          <w:sz w:val="20"/>
          <w:szCs w:val="20"/>
          <w:color w:val="auto"/>
        </w:rPr>
      </w:pPr>
      <w:r>
        <w:rPr>
          <w:rFonts w:ascii="Times New Roman" w:cs="Times New Roman" w:eastAsia="Times New Roman" w:hAnsi="Times New Roman"/>
          <w:sz w:val="18"/>
          <w:szCs w:val="18"/>
          <w:color w:val="auto"/>
        </w:rPr>
        <w:t>See Item 8 of Part II, Financial Statements and Supplementary Data - Note 5, "Property, Equipment and Software, net" and Note 6, "Goodwill and Intangible Assets" for further discussion.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254" w:lineRule="exact"/>
        <w:rPr>
          <w:sz w:val="20"/>
          <w:szCs w:val="20"/>
          <w:color w:val="auto"/>
        </w:rPr>
      </w:pPr>
    </w:p>
    <w:p>
      <w:pPr>
        <w:ind w:right="480" w:firstLine="486"/>
        <w:spacing w:after="0" w:line="282" w:lineRule="auto"/>
        <w:rPr>
          <w:sz w:val="20"/>
          <w:szCs w:val="20"/>
          <w:color w:val="auto"/>
        </w:rPr>
      </w:pPr>
      <w:r>
        <w:rPr>
          <w:rFonts w:ascii="Times New Roman" w:cs="Times New Roman" w:eastAsia="Times New Roman" w:hAnsi="Times New Roman"/>
          <w:sz w:val="18"/>
          <w:szCs w:val="18"/>
          <w:color w:val="auto"/>
        </w:rPr>
        <w:t>Interest expense increased $13 million, or 6%, to $222 million in 2023 from $209 million in 2022, due primarily to rising interest rates and the impact on our variable-rate Term Loan Facility, partially offset by debt repurchases during 2023, as discussed below.</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Gain on Debt Extinguishment</w:t>
      </w:r>
    </w:p>
    <w:p>
      <w:pPr>
        <w:spacing w:after="0" w:line="254"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We recorded a $228 million gain on debt extinguishment in 2023 related to repurchases of $352 million principal amount of 5.375% Senior Notes. In addition, we repurchased $36 million principal amount of 3.50% Senior Secured Notes and $56 million principal amount of the Term Loan Facility, which resulted in an $18 million and $26 million gain on debt extinguishment, respectively.</w:t>
      </w:r>
    </w:p>
    <w:p>
      <w:pPr>
        <w:spacing w:after="0" w:line="20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See Item 8 of Part II, Financial Statements and Supplementary Data - Note 7, "Debt" for further discussion.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- 64 -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Expense, Net</w:t>
      </w:r>
    </w:p>
    <w:p>
      <w:pPr>
        <w:spacing w:after="0" w:line="254" w:lineRule="exact"/>
        <w:rPr>
          <w:sz w:val="20"/>
          <w:szCs w:val="20"/>
          <w:color w:val="auto"/>
        </w:rPr>
      </w:pPr>
    </w:p>
    <w:p>
      <w:pPr>
        <w:ind w:right="20" w:firstLine="486"/>
        <w:spacing w:after="0" w:line="266" w:lineRule="auto"/>
        <w:rPr>
          <w:sz w:val="20"/>
          <w:szCs w:val="20"/>
          <w:color w:val="auto"/>
        </w:rPr>
      </w:pPr>
      <w:r>
        <w:rPr>
          <w:rFonts w:ascii="Times New Roman" w:cs="Times New Roman" w:eastAsia="Times New Roman" w:hAnsi="Times New Roman"/>
          <w:sz w:val="18"/>
          <w:szCs w:val="18"/>
          <w:color w:val="auto"/>
        </w:rPr>
        <w:t>The decrease in other expense, net to $5 million in 2023 from $10 million in 2022 is primarily related to foreign currency transaction gains, partially offset by costs incurred in 2023 related to the Receivables Purchase Facility entered into in September 2023.</w:t>
      </w:r>
    </w:p>
    <w:p>
      <w:pPr>
        <w:spacing w:after="0" w:line="203" w:lineRule="exact"/>
        <w:rPr>
          <w:sz w:val="20"/>
          <w:szCs w:val="20"/>
          <w:color w:val="auto"/>
        </w:rPr>
      </w:pPr>
    </w:p>
    <w:p>
      <w:pPr>
        <w:ind w:right="40" w:firstLine="486"/>
        <w:spacing w:after="0" w:line="266" w:lineRule="auto"/>
        <w:rPr>
          <w:sz w:val="20"/>
          <w:szCs w:val="20"/>
          <w:color w:val="auto"/>
        </w:rPr>
      </w:pPr>
      <w:r>
        <w:rPr>
          <w:rFonts w:ascii="Times New Roman" w:cs="Times New Roman" w:eastAsia="Times New Roman" w:hAnsi="Times New Roman"/>
          <w:sz w:val="18"/>
          <w:szCs w:val="18"/>
          <w:color w:val="auto"/>
        </w:rPr>
        <w:t>See Item 8 of Part II, Financial Statements and Supplementary Data - Note 3, "Sale of Receivables" for further discussion regarding the Receivables Purchase Facility.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Benefit for Income Taxes</w:t>
      </w:r>
    </w:p>
    <w:p>
      <w:pPr>
        <w:spacing w:after="0" w:line="254" w:lineRule="exact"/>
        <w:rPr>
          <w:sz w:val="20"/>
          <w:szCs w:val="20"/>
          <w:color w:val="auto"/>
        </w:rPr>
      </w:pPr>
    </w:p>
    <w:p>
      <w:pPr>
        <w:ind w:firstLine="486"/>
        <w:spacing w:after="0" w:line="259" w:lineRule="auto"/>
        <w:rPr>
          <w:sz w:val="20"/>
          <w:szCs w:val="20"/>
          <w:color w:val="auto"/>
        </w:rPr>
      </w:pPr>
      <w:r>
        <w:rPr>
          <w:rFonts w:ascii="Times New Roman" w:cs="Times New Roman" w:eastAsia="Times New Roman" w:hAnsi="Times New Roman"/>
          <w:sz w:val="18"/>
          <w:szCs w:val="18"/>
          <w:color w:val="auto"/>
        </w:rPr>
        <w:t>Our income tax benefit decreased by $76 million to $17 million in 2023 from $93 million in 2022. Our effective tax rate decreased from 10.3% in 2022 to 1.9% in 2023. The decrease in the effective tax rate year-over-year is primarily due to the tax impact associated with the goodwill impairments recorded in 2023 as well as changes in the valuation allowance. The majority of the goodwill impairments recorded in 2023 were nondeductible for income tax purposes. The difference between the effective tax rate and the statutory rate in 2023 is primarily due to the tax impact associated with the goodwill impairments recorded during the year, executive compensation that is nondeductible under IRC Section 162(m), the geographic distribution of profits, tax effects from nondeductible share-based compensation as well as changes in the valuation allowance.</w:t>
      </w:r>
    </w:p>
    <w:p>
      <w:pPr>
        <w:spacing w:after="0" w:line="212" w:lineRule="exact"/>
        <w:rPr>
          <w:sz w:val="20"/>
          <w:szCs w:val="20"/>
          <w:color w:val="auto"/>
        </w:rPr>
      </w:pPr>
    </w:p>
    <w:p>
      <w:pPr>
        <w:ind w:right="100" w:firstLine="486"/>
        <w:spacing w:after="0" w:line="282" w:lineRule="auto"/>
        <w:rPr>
          <w:sz w:val="20"/>
          <w:szCs w:val="20"/>
          <w:color w:val="auto"/>
        </w:rPr>
      </w:pPr>
      <w:r>
        <w:rPr>
          <w:rFonts w:ascii="Times New Roman" w:cs="Times New Roman" w:eastAsia="Times New Roman" w:hAnsi="Times New Roman"/>
          <w:sz w:val="18"/>
          <w:szCs w:val="18"/>
          <w:color w:val="auto"/>
        </w:rPr>
        <w:t>For a full reconciliation of our effective tax rate to the U.S. federal statutory rate and further explanation of our benefit for income taxes, see Item 8 of Part II, Financial Statements and Supplementary Data - Note 13, "Taxes."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- 65 -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56" w:lineRule="exact"/>
        <w:rPr>
          <w:sz w:val="20"/>
          <w:szCs w:val="20"/>
          <w:color w:val="auto"/>
        </w:rPr>
      </w:pPr>
    </w:p>
    <w:p>
      <w:pPr>
        <w:ind w:right="40" w:firstLine="486"/>
        <w:spacing w:after="0" w:line="255" w:lineRule="auto"/>
        <w:rPr>
          <w:sz w:val="20"/>
          <w:szCs w:val="20"/>
          <w:color w:val="auto"/>
        </w:rPr>
      </w:pPr>
      <w:r>
        <w:rPr>
          <w:rFonts w:ascii="Times New Roman" w:cs="Times New Roman" w:eastAsia="Times New Roman" w:hAnsi="Times New Roman"/>
          <w:sz w:val="18"/>
          <w:szCs w:val="18"/>
          <w:color w:val="auto"/>
        </w:rPr>
        <w:t>We track several non-GAAP financial measures to monitor and manage our underlying financial performance. The following discussion includes the presentation of constant currency revenue, Non-GAAP Gross Profit, Non-GAAP Net Income (Loss), Non-GAAP Operating Profit, Adjusted EBITDA and Non-GAAP Earnings (Loss) Per Share, which are non-GAAP financial measures that exclude the impact of certain costs, losses and gains that are required to be included in our profit and loss measures under GAAP. Although we believe these measures are useful to investors and analysts for the same reasons they are useful to management, as discussed below, these measures are not a substitute for, or superior to, U.S. GAAP financial measures or disclosures. Other companies may calculate similarly-titled non-GAAP measures differently, limiting their usefulness as comparative measures. We have reconciled each of these non-GAAP measures to the applicable most comparable GAAP measure throughout this MD&amp;A.</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Update to Non-GAAP Financial Measures</w:t>
      </w:r>
    </w:p>
    <w:p>
      <w:pPr>
        <w:spacing w:after="0" w:line="256" w:lineRule="exact"/>
        <w:rPr>
          <w:sz w:val="20"/>
          <w:szCs w:val="20"/>
          <w:color w:val="auto"/>
        </w:rPr>
      </w:pPr>
    </w:p>
    <w:p>
      <w:pPr>
        <w:ind w:right="40" w:firstLine="486"/>
        <w:spacing w:after="0" w:line="256" w:lineRule="auto"/>
        <w:rPr>
          <w:sz w:val="20"/>
          <w:szCs w:val="20"/>
          <w:color w:val="auto"/>
        </w:rPr>
      </w:pPr>
      <w:r>
        <w:rPr>
          <w:rFonts w:ascii="Times New Roman" w:cs="Times New Roman" w:eastAsia="Times New Roman" w:hAnsi="Times New Roman"/>
          <w:sz w:val="18"/>
          <w:szCs w:val="18"/>
          <w:color w:val="auto"/>
        </w:rPr>
        <w:t>Beginning in the fourth quarter of 2024, we have updated the presentation of our non-GAAP financial measures to no longer exclude certain cash compensation paid to employees who remain employed with Rackspace which were previously included in “special bonuses and other compensation expenses” and “restructuring and transformation expenses” line items of our reconciliations. Additionally, we have removed “special bonuses and other compensation expenses” line item and the remaining adjustments are now presented within “restructuring and transformation expenses” line item. All prior period Non-GAAP Gross Profit, Non-GAAP Net Income (Loss), Non-GAAP Operating Profit, Adjusted EBITDA and Non-GAAP Earnings (Loss) Per Share financial measures have been recasted to reflect current period presentation.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Constant Currency Revenue</w:t>
      </w:r>
    </w:p>
    <w:p>
      <w:pPr>
        <w:spacing w:after="0" w:line="243" w:lineRule="exact"/>
        <w:rPr>
          <w:sz w:val="20"/>
          <w:szCs w:val="20"/>
          <w:color w:val="auto"/>
        </w:rPr>
      </w:pPr>
    </w:p>
    <w:p>
      <w:pPr>
        <w:ind w:right="100" w:firstLine="486"/>
        <w:spacing w:after="0" w:line="258" w:lineRule="auto"/>
        <w:rPr>
          <w:sz w:val="20"/>
          <w:szCs w:val="20"/>
          <w:color w:val="auto"/>
        </w:rPr>
      </w:pPr>
      <w:r>
        <w:rPr>
          <w:rFonts w:ascii="Times New Roman" w:cs="Times New Roman" w:eastAsia="Times New Roman" w:hAnsi="Times New Roman"/>
          <w:sz w:val="18"/>
          <w:szCs w:val="18"/>
          <w:color w:val="auto"/>
        </w:rPr>
        <w:t>We use constant currency revenue as an additional metric for understanding and assessing our growth excluding the effect of foreign currency rate fluctuations on our international business operations. Constant currency information compares results between periods as if exchange rates had remained constant period over period and is calculated by translating the non-U.S. dollar income statement balances for the most current period to U.S. dollars using the average exchange rate from the comparative period rather than the actual exchange rates in effect during the respective period. We also believe this is an important metric to help investors evaluate our performance in comparison to prior periods.</w:t>
      </w:r>
    </w:p>
    <w:p>
      <w:pPr>
        <w:spacing w:after="0" w:line="210" w:lineRule="exact"/>
        <w:rPr>
          <w:sz w:val="20"/>
          <w:szCs w:val="20"/>
          <w:color w:val="auto"/>
        </w:rPr>
      </w:pPr>
    </w:p>
    <w:p>
      <w:pPr>
        <w:ind w:right="32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tables present, by segment, actual and constant currency revenue and constant currency revenue growth rates, for and between the periods indicated:</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240" w:type="dxa"/>
            <w:vAlign w:val="bottom"/>
          </w:tcPr>
          <w:p>
            <w:pPr>
              <w:spacing w:after="0"/>
              <w:rPr>
                <w:sz w:val="16"/>
                <w:szCs w:val="16"/>
                <w:color w:val="auto"/>
              </w:rPr>
            </w:pPr>
          </w:p>
        </w:tc>
        <w:tc>
          <w:tcPr>
            <w:tcW w:w="3040" w:type="dxa"/>
            <w:vAlign w:val="bottom"/>
            <w:gridSpan w:val="6"/>
            <w:vMerge w:val="restart"/>
          </w:tcPr>
          <w:p>
            <w:pPr>
              <w:jc w:val="center"/>
              <w:ind w:left="759"/>
              <w:spacing w:after="0"/>
              <w:rPr>
                <w:sz w:val="20"/>
                <w:szCs w:val="20"/>
                <w:color w:val="auto"/>
              </w:rPr>
            </w:pPr>
            <w:r>
              <w:rPr>
                <w:rFonts w:ascii="Times New Roman" w:cs="Times New Roman" w:eastAsia="Times New Roman" w:hAnsi="Times New Roman"/>
                <w:sz w:val="16"/>
                <w:szCs w:val="16"/>
                <w:b w:val="1"/>
                <w:bCs w:val="1"/>
                <w:color w:val="auto"/>
              </w:rPr>
              <w:t>Year Ended December 31, 2024</w:t>
            </w: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80" w:type="dxa"/>
            <w:vAlign w:val="bottom"/>
            <w:gridSpan w:val="3"/>
            <w:vMerge w:val="restart"/>
          </w:tcPr>
          <w:p>
            <w:pPr>
              <w:jc w:val="right"/>
              <w:ind w:right="1039"/>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14"/>
        </w:trPr>
        <w:tc>
          <w:tcPr>
            <w:tcW w:w="2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gridSpan w:val="6"/>
            <w:vMerge w:val="continue"/>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980" w:type="dxa"/>
            <w:vAlign w:val="bottom"/>
            <w:tcBorders>
              <w:bottom w:val="single" w:sz="8" w:color="auto"/>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2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Revenue</w:t>
            </w:r>
          </w:p>
        </w:tc>
        <w:tc>
          <w:tcPr>
            <w:tcW w:w="240" w:type="dxa"/>
            <w:vAlign w:val="bottom"/>
          </w:tcPr>
          <w:p>
            <w:pPr>
              <w:spacing w:after="0"/>
              <w:rPr>
                <w:sz w:val="13"/>
                <w:szCs w:val="13"/>
                <w:color w:val="auto"/>
              </w:rPr>
            </w:pPr>
          </w:p>
        </w:tc>
        <w:tc>
          <w:tcPr>
            <w:tcW w:w="12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1500" w:type="dxa"/>
            <w:vAlign w:val="bottom"/>
            <w:gridSpan w:val="3"/>
          </w:tcPr>
          <w:p>
            <w:pPr>
              <w:jc w:val="center"/>
              <w:ind w:right="100"/>
              <w:spacing w:after="0" w:line="158" w:lineRule="exact"/>
              <w:rPr>
                <w:sz w:val="20"/>
                <w:szCs w:val="20"/>
                <w:color w:val="auto"/>
              </w:rPr>
            </w:pPr>
            <w:r>
              <w:rPr>
                <w:rFonts w:ascii="Times New Roman" w:cs="Times New Roman" w:eastAsia="Times New Roman" w:hAnsi="Times New Roman"/>
                <w:sz w:val="16"/>
                <w:szCs w:val="16"/>
                <w:b w:val="1"/>
                <w:bCs w:val="1"/>
                <w:color w:val="auto"/>
              </w:rPr>
              <w:t>Foreign Currency</w:t>
            </w:r>
          </w:p>
        </w:tc>
        <w:tc>
          <w:tcPr>
            <w:tcW w:w="300" w:type="dxa"/>
            <w:vAlign w:val="bottom"/>
          </w:tcPr>
          <w:p>
            <w:pPr>
              <w:spacing w:after="0"/>
              <w:rPr>
                <w:sz w:val="13"/>
                <w:szCs w:val="13"/>
                <w:color w:val="auto"/>
              </w:rPr>
            </w:pPr>
          </w:p>
        </w:tc>
        <w:tc>
          <w:tcPr>
            <w:tcW w:w="1080" w:type="dxa"/>
            <w:vAlign w:val="bottom"/>
          </w:tcPr>
          <w:p>
            <w:pPr>
              <w:jc w:val="right"/>
              <w:ind w:right="219"/>
              <w:spacing w:after="0" w:line="158" w:lineRule="exact"/>
              <w:rPr>
                <w:sz w:val="20"/>
                <w:szCs w:val="20"/>
                <w:color w:val="auto"/>
              </w:rPr>
            </w:pPr>
            <w:r>
              <w:rPr>
                <w:rFonts w:ascii="Times New Roman" w:cs="Times New Roman" w:eastAsia="Times New Roman" w:hAnsi="Times New Roman"/>
                <w:sz w:val="16"/>
                <w:szCs w:val="16"/>
                <w:b w:val="1"/>
                <w:bCs w:val="1"/>
                <w:color w:val="auto"/>
                <w:w w:val="99"/>
              </w:rPr>
              <w:t>Revenue in</w:t>
            </w:r>
          </w:p>
        </w:tc>
        <w:tc>
          <w:tcPr>
            <w:tcW w:w="120" w:type="dxa"/>
            <w:vAlign w:val="bottom"/>
          </w:tcPr>
          <w:p>
            <w:pPr>
              <w:spacing w:after="0"/>
              <w:rPr>
                <w:sz w:val="13"/>
                <w:szCs w:val="13"/>
                <w:color w:val="auto"/>
              </w:rPr>
            </w:pPr>
          </w:p>
        </w:tc>
        <w:tc>
          <w:tcPr>
            <w:tcW w:w="1440" w:type="dxa"/>
            <w:vAlign w:val="bottom"/>
            <w:gridSpan w:val="2"/>
            <w:vMerge w:val="restart"/>
          </w:tcPr>
          <w:p>
            <w:pPr>
              <w:ind w:left="440"/>
              <w:spacing w:after="0"/>
              <w:rPr>
                <w:sz w:val="20"/>
                <w:szCs w:val="20"/>
                <w:color w:val="auto"/>
              </w:rPr>
            </w:pPr>
            <w:r>
              <w:rPr>
                <w:rFonts w:ascii="Times New Roman" w:cs="Times New Roman" w:eastAsia="Times New Roman" w:hAnsi="Times New Roman"/>
                <w:sz w:val="16"/>
                <w:szCs w:val="16"/>
                <w:b w:val="1"/>
                <w:bCs w:val="1"/>
                <w:color w:val="auto"/>
              </w:rPr>
              <w:t>Actual</w:t>
            </w:r>
          </w:p>
        </w:tc>
        <w:tc>
          <w:tcPr>
            <w:tcW w:w="154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Constant Currency</w:t>
            </w:r>
          </w:p>
        </w:tc>
        <w:tc>
          <w:tcPr>
            <w:tcW w:w="0" w:type="dxa"/>
            <w:vAlign w:val="bottom"/>
          </w:tcPr>
          <w:p>
            <w:pPr>
              <w:spacing w:after="0"/>
              <w:rPr>
                <w:sz w:val="1"/>
                <w:szCs w:val="1"/>
                <w:color w:val="auto"/>
              </w:rPr>
            </w:pPr>
          </w:p>
        </w:tc>
      </w:tr>
      <w:tr>
        <w:trPr>
          <w:trHeight w:val="216"/>
        </w:trPr>
        <w:tc>
          <w:tcPr>
            <w:tcW w:w="2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millions, except %)</w:t>
            </w:r>
          </w:p>
        </w:tc>
        <w:tc>
          <w:tcPr>
            <w:tcW w:w="100" w:type="dxa"/>
            <w:vAlign w:val="bottom"/>
          </w:tcPr>
          <w:p>
            <w:pPr>
              <w:spacing w:after="0"/>
              <w:rPr>
                <w:sz w:val="18"/>
                <w:szCs w:val="18"/>
                <w:color w:val="auto"/>
              </w:rPr>
            </w:pPr>
          </w:p>
        </w:tc>
        <w:tc>
          <w:tcPr>
            <w:tcW w:w="152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center"/>
              <w:ind w:right="260"/>
              <w:spacing w:after="0" w:line="216" w:lineRule="exact"/>
              <w:rPr>
                <w:sz w:val="20"/>
                <w:szCs w:val="20"/>
                <w:color w:val="auto"/>
              </w:rPr>
            </w:pPr>
            <w:r>
              <w:rPr>
                <w:rFonts w:ascii="Times New Roman" w:cs="Times New Roman" w:eastAsia="Times New Roman" w:hAnsi="Times New Roman"/>
                <w:sz w:val="16"/>
                <w:szCs w:val="16"/>
                <w:b w:val="1"/>
                <w:bCs w:val="1"/>
                <w:color w:val="auto"/>
                <w:w w:val="95"/>
              </w:rPr>
              <w:t xml:space="preserve">Translation </w:t>
            </w:r>
            <w:r>
              <w:rPr>
                <w:rFonts w:ascii="Times New Roman" w:cs="Times New Roman" w:eastAsia="Times New Roman" w:hAnsi="Times New Roman"/>
                <w:sz w:val="21"/>
                <w:szCs w:val="21"/>
                <w:b w:val="1"/>
                <w:bCs w:val="1"/>
                <w:color w:val="auto"/>
                <w:w w:val="95"/>
                <w:vertAlign w:val="superscript"/>
              </w:rPr>
              <w:t>(a)</w:t>
            </w: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Constant Currency</w:t>
            </w:r>
          </w:p>
        </w:tc>
        <w:tc>
          <w:tcPr>
            <w:tcW w:w="120" w:type="dxa"/>
            <w:vAlign w:val="bottom"/>
          </w:tcPr>
          <w:p>
            <w:pPr>
              <w:spacing w:after="0"/>
              <w:rPr>
                <w:sz w:val="18"/>
                <w:szCs w:val="18"/>
                <w:color w:val="auto"/>
              </w:rPr>
            </w:pPr>
          </w:p>
        </w:tc>
        <w:tc>
          <w:tcPr>
            <w:tcW w:w="1440" w:type="dxa"/>
            <w:vAlign w:val="bottom"/>
            <w:gridSpan w:val="2"/>
            <w:vMerge w:val="continue"/>
          </w:tcPr>
          <w:p>
            <w:pPr>
              <w:spacing w:after="0"/>
              <w:rPr>
                <w:sz w:val="18"/>
                <w:szCs w:val="18"/>
                <w:color w:val="auto"/>
              </w:rPr>
            </w:pPr>
          </w:p>
        </w:tc>
        <w:tc>
          <w:tcPr>
            <w:tcW w:w="15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Public Cloud</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1,742.7</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1,682.6</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1,681.2</w:t>
            </w:r>
          </w:p>
        </w:tc>
        <w:tc>
          <w:tcPr>
            <w:tcW w:w="1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0" w:type="dxa"/>
            <w:vAlign w:val="bottom"/>
          </w:tcPr>
          <w:p>
            <w:pPr>
              <w:spacing w:after="0"/>
              <w:rPr>
                <w:sz w:val="1"/>
                <w:szCs w:val="1"/>
                <w:color w:val="auto"/>
              </w:rPr>
            </w:pPr>
          </w:p>
        </w:tc>
      </w:tr>
      <w:tr>
        <w:trPr>
          <w:trHeight w:val="213"/>
        </w:trPr>
        <w:tc>
          <w:tcPr>
            <w:tcW w:w="2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Private Cloud</w:t>
            </w:r>
          </w:p>
        </w:tc>
        <w:tc>
          <w:tcPr>
            <w:tcW w:w="1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1,214.4</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1,054.5</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1,048.9</w:t>
            </w:r>
          </w:p>
        </w:tc>
        <w:tc>
          <w:tcPr>
            <w:tcW w:w="14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100" w:type="dxa"/>
            <w:vAlign w:val="bottom"/>
            <w:tcBorders>
              <w:bottom w:val="single" w:sz="8" w:color="CCEEFF"/>
            </w:tcBorders>
          </w:tcPr>
          <w:p>
            <w:pPr>
              <w:spacing w:after="0"/>
              <w:rPr>
                <w:sz w:val="18"/>
                <w:szCs w:val="18"/>
                <w:color w:val="auto"/>
              </w:rPr>
            </w:pPr>
          </w:p>
        </w:tc>
        <w:tc>
          <w:tcPr>
            <w:tcW w:w="15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0" w:type="dxa"/>
            <w:vAlign w:val="bottom"/>
          </w:tcPr>
          <w:p>
            <w:pPr>
              <w:spacing w:after="0"/>
              <w:rPr>
                <w:sz w:val="1"/>
                <w:szCs w:val="1"/>
                <w:color w:val="auto"/>
              </w:rPr>
            </w:pPr>
          </w:p>
        </w:tc>
      </w:tr>
      <w:tr>
        <w:trPr>
          <w:trHeight w:val="237"/>
        </w:trPr>
        <w:tc>
          <w:tcPr>
            <w:tcW w:w="21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2,957.1</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2,737.1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2,730.1</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0" w:type="dxa"/>
            <w:vAlign w:val="bottom"/>
          </w:tcPr>
          <w:p>
            <w:pPr>
              <w:spacing w:after="0"/>
              <w:rPr>
                <w:sz w:val="1"/>
                <w:szCs w:val="1"/>
                <w:color w:val="auto"/>
              </w:rPr>
            </w:pPr>
          </w:p>
        </w:tc>
      </w:tr>
      <w:tr>
        <w:trPr>
          <w:trHeight w:val="20"/>
        </w:trPr>
        <w:tc>
          <w:tcPr>
            <w:tcW w:w="2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560" w:hanging="534"/>
        <w:spacing w:after="0"/>
        <w:tabs>
          <w:tab w:leader="none" w:pos="56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effect of foreign currency is calculated by translating current period results using the average exchange rate from the prior comparative period.</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240" w:type="dxa"/>
            <w:vAlign w:val="bottom"/>
          </w:tcPr>
          <w:p>
            <w:pPr>
              <w:spacing w:after="0"/>
              <w:rPr>
                <w:sz w:val="16"/>
                <w:szCs w:val="16"/>
                <w:color w:val="auto"/>
              </w:rPr>
            </w:pPr>
          </w:p>
        </w:tc>
        <w:tc>
          <w:tcPr>
            <w:tcW w:w="3020" w:type="dxa"/>
            <w:vAlign w:val="bottom"/>
            <w:gridSpan w:val="6"/>
            <w:vMerge w:val="restart"/>
          </w:tcPr>
          <w:p>
            <w:pPr>
              <w:jc w:val="center"/>
              <w:ind w:left="739"/>
              <w:spacing w:after="0"/>
              <w:rPr>
                <w:sz w:val="20"/>
                <w:szCs w:val="20"/>
                <w:color w:val="auto"/>
              </w:rPr>
            </w:pPr>
            <w:r>
              <w:rPr>
                <w:rFonts w:ascii="Times New Roman" w:cs="Times New Roman" w:eastAsia="Times New Roman" w:hAnsi="Times New Roman"/>
                <w:sz w:val="16"/>
                <w:szCs w:val="16"/>
                <w:b w:val="1"/>
                <w:bCs w:val="1"/>
                <w:color w:val="auto"/>
              </w:rPr>
              <w:t>Year Ended December 31, 2023</w:t>
            </w: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60" w:type="dxa"/>
            <w:vAlign w:val="bottom"/>
            <w:gridSpan w:val="3"/>
            <w:vMerge w:val="restart"/>
          </w:tcPr>
          <w:p>
            <w:pPr>
              <w:jc w:val="right"/>
              <w:ind w:right="1019"/>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14"/>
        </w:trPr>
        <w:tc>
          <w:tcPr>
            <w:tcW w:w="2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gridSpan w:val="6"/>
            <w:vMerge w:val="continue"/>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960" w:type="dxa"/>
            <w:vAlign w:val="bottom"/>
            <w:tcBorders>
              <w:bottom w:val="single" w:sz="8" w:color="auto"/>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2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240" w:type="dxa"/>
            <w:vAlign w:val="bottom"/>
          </w:tcPr>
          <w:p>
            <w:pPr>
              <w:spacing w:after="0"/>
              <w:rPr>
                <w:sz w:val="13"/>
                <w:szCs w:val="13"/>
                <w:color w:val="auto"/>
              </w:rPr>
            </w:pPr>
          </w:p>
        </w:tc>
        <w:tc>
          <w:tcPr>
            <w:tcW w:w="12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1480" w:type="dxa"/>
            <w:vAlign w:val="bottom"/>
            <w:gridSpan w:val="3"/>
          </w:tcPr>
          <w:p>
            <w:pPr>
              <w:jc w:val="center"/>
              <w:ind w:right="120"/>
              <w:spacing w:after="0" w:line="158" w:lineRule="exact"/>
              <w:rPr>
                <w:sz w:val="20"/>
                <w:szCs w:val="20"/>
                <w:color w:val="auto"/>
              </w:rPr>
            </w:pPr>
            <w:r>
              <w:rPr>
                <w:rFonts w:ascii="Times New Roman" w:cs="Times New Roman" w:eastAsia="Times New Roman" w:hAnsi="Times New Roman"/>
                <w:sz w:val="16"/>
                <w:szCs w:val="16"/>
                <w:b w:val="1"/>
                <w:bCs w:val="1"/>
                <w:color w:val="auto"/>
              </w:rPr>
              <w:t>Foreign Currency</w:t>
            </w:r>
          </w:p>
        </w:tc>
        <w:tc>
          <w:tcPr>
            <w:tcW w:w="300" w:type="dxa"/>
            <w:vAlign w:val="bottom"/>
          </w:tcPr>
          <w:p>
            <w:pPr>
              <w:spacing w:after="0"/>
              <w:rPr>
                <w:sz w:val="13"/>
                <w:szCs w:val="13"/>
                <w:color w:val="auto"/>
              </w:rPr>
            </w:pPr>
          </w:p>
        </w:tc>
        <w:tc>
          <w:tcPr>
            <w:tcW w:w="1080" w:type="dxa"/>
            <w:vAlign w:val="bottom"/>
          </w:tcPr>
          <w:p>
            <w:pPr>
              <w:jc w:val="right"/>
              <w:ind w:right="219"/>
              <w:spacing w:after="0" w:line="158" w:lineRule="exact"/>
              <w:rPr>
                <w:sz w:val="20"/>
                <w:szCs w:val="20"/>
                <w:color w:val="auto"/>
              </w:rPr>
            </w:pPr>
            <w:r>
              <w:rPr>
                <w:rFonts w:ascii="Times New Roman" w:cs="Times New Roman" w:eastAsia="Times New Roman" w:hAnsi="Times New Roman"/>
                <w:sz w:val="16"/>
                <w:szCs w:val="16"/>
                <w:b w:val="1"/>
                <w:bCs w:val="1"/>
                <w:color w:val="auto"/>
                <w:w w:val="99"/>
              </w:rPr>
              <w:t>Revenue in</w:t>
            </w:r>
          </w:p>
        </w:tc>
        <w:tc>
          <w:tcPr>
            <w:tcW w:w="80" w:type="dxa"/>
            <w:vAlign w:val="bottom"/>
          </w:tcPr>
          <w:p>
            <w:pPr>
              <w:spacing w:after="0"/>
              <w:rPr>
                <w:sz w:val="13"/>
                <w:szCs w:val="13"/>
                <w:color w:val="auto"/>
              </w:rPr>
            </w:pPr>
          </w:p>
        </w:tc>
        <w:tc>
          <w:tcPr>
            <w:tcW w:w="1440" w:type="dxa"/>
            <w:vAlign w:val="bottom"/>
            <w:gridSpan w:val="2"/>
            <w:vMerge w:val="restart"/>
          </w:tcPr>
          <w:p>
            <w:pPr>
              <w:ind w:left="440"/>
              <w:spacing w:after="0"/>
              <w:rPr>
                <w:sz w:val="20"/>
                <w:szCs w:val="20"/>
                <w:color w:val="auto"/>
              </w:rPr>
            </w:pPr>
            <w:r>
              <w:rPr>
                <w:rFonts w:ascii="Times New Roman" w:cs="Times New Roman" w:eastAsia="Times New Roman" w:hAnsi="Times New Roman"/>
                <w:sz w:val="16"/>
                <w:szCs w:val="16"/>
                <w:b w:val="1"/>
                <w:bCs w:val="1"/>
                <w:color w:val="auto"/>
              </w:rPr>
              <w:t>Actual</w:t>
            </w:r>
          </w:p>
        </w:tc>
        <w:tc>
          <w:tcPr>
            <w:tcW w:w="152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Constant Currency</w:t>
            </w:r>
          </w:p>
        </w:tc>
        <w:tc>
          <w:tcPr>
            <w:tcW w:w="0" w:type="dxa"/>
            <w:vAlign w:val="bottom"/>
          </w:tcPr>
          <w:p>
            <w:pPr>
              <w:spacing w:after="0"/>
              <w:rPr>
                <w:sz w:val="1"/>
                <w:szCs w:val="1"/>
                <w:color w:val="auto"/>
              </w:rPr>
            </w:pPr>
          </w:p>
        </w:tc>
      </w:tr>
      <w:tr>
        <w:trPr>
          <w:trHeight w:val="216"/>
        </w:trPr>
        <w:tc>
          <w:tcPr>
            <w:tcW w:w="2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millions, except %)</w:t>
            </w:r>
          </w:p>
        </w:tc>
        <w:tc>
          <w:tcPr>
            <w:tcW w:w="100" w:type="dxa"/>
            <w:vAlign w:val="bottom"/>
          </w:tcPr>
          <w:p>
            <w:pPr>
              <w:spacing w:after="0"/>
              <w:rPr>
                <w:sz w:val="18"/>
                <w:szCs w:val="18"/>
                <w:color w:val="auto"/>
              </w:rPr>
            </w:pPr>
          </w:p>
        </w:tc>
        <w:tc>
          <w:tcPr>
            <w:tcW w:w="152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center"/>
              <w:ind w:right="260"/>
              <w:spacing w:after="0" w:line="216" w:lineRule="exact"/>
              <w:rPr>
                <w:sz w:val="20"/>
                <w:szCs w:val="20"/>
                <w:color w:val="auto"/>
              </w:rPr>
            </w:pPr>
            <w:r>
              <w:rPr>
                <w:rFonts w:ascii="Times New Roman" w:cs="Times New Roman" w:eastAsia="Times New Roman" w:hAnsi="Times New Roman"/>
                <w:sz w:val="16"/>
                <w:szCs w:val="16"/>
                <w:b w:val="1"/>
                <w:bCs w:val="1"/>
                <w:color w:val="auto"/>
                <w:w w:val="95"/>
              </w:rPr>
              <w:t xml:space="preserve">Translation </w:t>
            </w:r>
            <w:r>
              <w:rPr>
                <w:rFonts w:ascii="Times New Roman" w:cs="Times New Roman" w:eastAsia="Times New Roman" w:hAnsi="Times New Roman"/>
                <w:sz w:val="21"/>
                <w:szCs w:val="21"/>
                <w:b w:val="1"/>
                <w:bCs w:val="1"/>
                <w:color w:val="auto"/>
                <w:w w:val="95"/>
                <w:vertAlign w:val="superscript"/>
              </w:rPr>
              <w:t>(a)</w:t>
            </w: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Constant Currency</w:t>
            </w:r>
          </w:p>
        </w:tc>
        <w:tc>
          <w:tcPr>
            <w:tcW w:w="80" w:type="dxa"/>
            <w:vAlign w:val="bottom"/>
          </w:tcPr>
          <w:p>
            <w:pPr>
              <w:spacing w:after="0"/>
              <w:rPr>
                <w:sz w:val="18"/>
                <w:szCs w:val="18"/>
                <w:color w:val="auto"/>
              </w:rPr>
            </w:pPr>
          </w:p>
        </w:tc>
        <w:tc>
          <w:tcPr>
            <w:tcW w:w="1440" w:type="dxa"/>
            <w:vAlign w:val="bottom"/>
            <w:gridSpan w:val="2"/>
            <w:vMerge w:val="continue"/>
          </w:tcPr>
          <w:p>
            <w:pPr>
              <w:spacing w:after="0"/>
              <w:rPr>
                <w:sz w:val="18"/>
                <w:szCs w:val="18"/>
                <w:color w:val="auto"/>
              </w:rPr>
            </w:pPr>
          </w:p>
        </w:tc>
        <w:tc>
          <w:tcPr>
            <w:tcW w:w="1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Public Cloud</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1,738.5</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1,742.7</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shd w:val="clear" w:color="auto" w:fill="CCEEFF"/>
          </w:tcPr>
          <w:p>
            <w:pPr>
              <w:jc w:val="center"/>
              <w:ind w:left="839"/>
              <w:spacing w:after="0"/>
              <w:rPr>
                <w:sz w:val="20"/>
                <w:szCs w:val="20"/>
                <w:color w:val="auto"/>
              </w:rPr>
            </w:pPr>
            <w:r>
              <w:rPr>
                <w:rFonts w:ascii="Times New Roman" w:cs="Times New Roman" w:eastAsia="Times New Roman" w:hAnsi="Times New Roman"/>
                <w:sz w:val="16"/>
                <w:szCs w:val="16"/>
                <w:color w:val="auto"/>
                <w:w w:val="99"/>
              </w:rPr>
              <w:t>0.4</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1,743.1</w:t>
            </w:r>
          </w:p>
        </w:tc>
        <w:tc>
          <w:tcPr>
            <w:tcW w:w="8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0.2 %</w:t>
            </w:r>
          </w:p>
        </w:tc>
        <w:tc>
          <w:tcPr>
            <w:tcW w:w="10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0.3 %</w:t>
            </w:r>
          </w:p>
        </w:tc>
        <w:tc>
          <w:tcPr>
            <w:tcW w:w="0" w:type="dxa"/>
            <w:vAlign w:val="bottom"/>
          </w:tcPr>
          <w:p>
            <w:pPr>
              <w:spacing w:after="0"/>
              <w:rPr>
                <w:sz w:val="1"/>
                <w:szCs w:val="1"/>
                <w:color w:val="auto"/>
              </w:rPr>
            </w:pPr>
          </w:p>
        </w:tc>
      </w:tr>
      <w:tr>
        <w:trPr>
          <w:trHeight w:val="213"/>
        </w:trPr>
        <w:tc>
          <w:tcPr>
            <w:tcW w:w="2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Private Cloud</w:t>
            </w:r>
          </w:p>
        </w:tc>
        <w:tc>
          <w:tcPr>
            <w:tcW w:w="1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1,383.8</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1,214.4</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left="799"/>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1,213.2</w:t>
            </w:r>
          </w:p>
        </w:tc>
        <w:tc>
          <w:tcPr>
            <w:tcW w:w="14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100" w:type="dxa"/>
            <w:vAlign w:val="bottom"/>
            <w:tcBorders>
              <w:bottom w:val="single" w:sz="8" w:color="CCEEFF"/>
            </w:tcBorders>
          </w:tcPr>
          <w:p>
            <w:pPr>
              <w:spacing w:after="0"/>
              <w:rPr>
                <w:sz w:val="18"/>
                <w:szCs w:val="18"/>
                <w:color w:val="auto"/>
              </w:rPr>
            </w:pPr>
          </w:p>
        </w:tc>
        <w:tc>
          <w:tcPr>
            <w:tcW w:w="15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0" w:type="dxa"/>
            <w:vAlign w:val="bottom"/>
          </w:tcPr>
          <w:p>
            <w:pPr>
              <w:spacing w:after="0"/>
              <w:rPr>
                <w:sz w:val="1"/>
                <w:szCs w:val="1"/>
                <w:color w:val="auto"/>
              </w:rPr>
            </w:pPr>
          </w:p>
        </w:tc>
      </w:tr>
      <w:tr>
        <w:trPr>
          <w:trHeight w:val="237"/>
        </w:trPr>
        <w:tc>
          <w:tcPr>
            <w:tcW w:w="21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3,122.3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2,957.1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center"/>
              <w:ind w:left="799"/>
              <w:spacing w:after="0"/>
              <w:rPr>
                <w:sz w:val="20"/>
                <w:szCs w:val="20"/>
                <w:color w:val="auto"/>
              </w:rPr>
            </w:pPr>
            <w:r>
              <w:rPr>
                <w:rFonts w:ascii="Times New Roman" w:cs="Times New Roman" w:eastAsia="Times New Roman" w:hAnsi="Times New Roman"/>
                <w:sz w:val="16"/>
                <w:szCs w:val="16"/>
                <w:color w:val="auto"/>
              </w:rPr>
              <w:t>(0.8)</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2,956.3</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0" w:type="dxa"/>
            <w:vAlign w:val="bottom"/>
          </w:tcPr>
          <w:p>
            <w:pPr>
              <w:spacing w:after="0"/>
              <w:rPr>
                <w:sz w:val="1"/>
                <w:szCs w:val="1"/>
                <w:color w:val="auto"/>
              </w:rPr>
            </w:pPr>
          </w:p>
        </w:tc>
      </w:tr>
      <w:tr>
        <w:trPr>
          <w:trHeight w:val="20"/>
        </w:trPr>
        <w:tc>
          <w:tcPr>
            <w:tcW w:w="2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560" w:hanging="534"/>
        <w:spacing w:after="0"/>
        <w:tabs>
          <w:tab w:leader="none" w:pos="56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effect of foreign currency is calculated by translating current period results using the average exchange rate from the prior comparative period.</w:t>
      </w: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345" w:lineRule="exact"/>
        <w:rPr>
          <w:rFonts w:ascii="Times New Roman" w:cs="Times New Roman" w:eastAsia="Times New Roman" w:hAnsi="Times New Roman"/>
          <w:sz w:val="16"/>
          <w:szCs w:val="16"/>
          <w:color w:val="auto"/>
        </w:rPr>
      </w:pPr>
    </w:p>
    <w:p>
      <w:pPr>
        <w:ind w:left="5540" w:hanging="111"/>
        <w:spacing w:after="0"/>
        <w:tabs>
          <w:tab w:leader="none" w:pos="554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Gross Profit</w:t>
      </w:r>
    </w:p>
    <w:p>
      <w:pPr>
        <w:spacing w:after="0" w:line="243" w:lineRule="exact"/>
        <w:rPr>
          <w:sz w:val="20"/>
          <w:szCs w:val="20"/>
          <w:color w:val="auto"/>
        </w:rPr>
      </w:pPr>
    </w:p>
    <w:p>
      <w:pPr>
        <w:ind w:right="160" w:firstLine="486"/>
        <w:spacing w:after="0" w:line="258" w:lineRule="auto"/>
        <w:rPr>
          <w:sz w:val="20"/>
          <w:szCs w:val="20"/>
          <w:color w:val="auto"/>
        </w:rPr>
      </w:pPr>
      <w:r>
        <w:rPr>
          <w:rFonts w:ascii="Times New Roman" w:cs="Times New Roman" w:eastAsia="Times New Roman" w:hAnsi="Times New Roman"/>
          <w:sz w:val="18"/>
          <w:szCs w:val="18"/>
          <w:color w:val="auto"/>
        </w:rPr>
        <w:t>We present Non-GAAP Gross Profit in this MD&amp;A because we believe the measure is useful in analyzing trends in our underlying, recurring gross margins. We define Non-GAAP Gross Profit as gross profit, adjusted to exclude the impact of share-based compensation expense, purchase accounting-related effects, certain business transformation-related costs, and costs related to the Hosted Exchange incident.</w:t>
      </w:r>
    </w:p>
    <w:p>
      <w:pPr>
        <w:spacing w:after="0" w:line="19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table below presents a reconciliation of gross profit to Non-GAAP Gross Profit:</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2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2022</w:t>
            </w: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11"/>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856.9</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628.8</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533.4</w:t>
            </w:r>
          </w:p>
        </w:tc>
        <w:tc>
          <w:tcPr>
            <w:tcW w:w="0" w:type="dxa"/>
            <w:vAlign w:val="bottom"/>
          </w:tcPr>
          <w:p>
            <w:pPr>
              <w:spacing w:after="0"/>
              <w:rPr>
                <w:sz w:val="1"/>
                <w:szCs w:val="1"/>
                <w:color w:val="auto"/>
              </w:rPr>
            </w:pPr>
          </w:p>
        </w:tc>
      </w:tr>
      <w:tr>
        <w:trPr>
          <w:trHeight w:val="213"/>
        </w:trPr>
        <w:tc>
          <w:tcPr>
            <w:tcW w:w="6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0" w:type="dxa"/>
            <w:vAlign w:val="bottom"/>
          </w:tcPr>
          <w:p>
            <w:pPr>
              <w:spacing w:after="0"/>
              <w:rPr>
                <w:sz w:val="1"/>
                <w:szCs w:val="1"/>
                <w:color w:val="auto"/>
              </w:rPr>
            </w:pPr>
          </w:p>
        </w:tc>
      </w:tr>
      <w:tr>
        <w:trPr>
          <w:trHeight w:val="219"/>
        </w:trPr>
        <w:tc>
          <w:tcPr>
            <w:tcW w:w="626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 xml:space="preserve">Purchase accounting impact on expense </w:t>
            </w:r>
            <w:r>
              <w:rPr>
                <w:rFonts w:ascii="Times New Roman" w:cs="Times New Roman" w:eastAsia="Times New Roman" w:hAnsi="Times New Roman"/>
                <w:sz w:val="21"/>
                <w:szCs w:val="21"/>
                <w:color w:val="auto"/>
                <w:vertAlign w:val="superscript"/>
              </w:rPr>
              <w:t>(a)</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216"/>
        </w:trPr>
        <w:tc>
          <w:tcPr>
            <w:tcW w:w="626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Restructuring and transformation expenses </w:t>
            </w:r>
            <w:r>
              <w:rPr>
                <w:rFonts w:ascii="Times New Roman" w:cs="Times New Roman" w:eastAsia="Times New Roman" w:hAnsi="Times New Roman"/>
                <w:sz w:val="21"/>
                <w:szCs w:val="21"/>
                <w:color w:val="auto"/>
                <w:vertAlign w:val="superscript"/>
              </w:rPr>
              <w:t>(b)</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0" w:type="dxa"/>
            <w:vAlign w:val="bottom"/>
          </w:tcPr>
          <w:p>
            <w:pPr>
              <w:spacing w:after="0"/>
              <w:rPr>
                <w:sz w:val="1"/>
                <w:szCs w:val="1"/>
                <w:color w:val="auto"/>
              </w:rPr>
            </w:pPr>
          </w:p>
        </w:tc>
      </w:tr>
      <w:tr>
        <w:trPr>
          <w:trHeight w:val="162"/>
        </w:trPr>
        <w:tc>
          <w:tcPr>
            <w:tcW w:w="626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Hosted Exchange incident expenses, net of proceeds received or expected to be received under</w:t>
            </w:r>
          </w:p>
        </w:tc>
        <w:tc>
          <w:tcPr>
            <w:tcW w:w="36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our insurance coverage</w:t>
            </w: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vMerge w:val="continue"/>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Non-GAAP Gross Profit</w:t>
            </w: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880.1</w:t>
            </w:r>
          </w:p>
        </w:tc>
        <w:tc>
          <w:tcPr>
            <w:tcW w:w="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658.7</w:t>
            </w: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562.6</w:t>
            </w: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8" w:lineRule="exact"/>
        <w:rPr>
          <w:sz w:val="20"/>
          <w:szCs w:val="20"/>
          <w:color w:val="auto"/>
        </w:rPr>
      </w:pPr>
    </w:p>
    <w:p>
      <w:pPr>
        <w:ind w:left="480" w:hanging="454"/>
        <w:spacing w:after="0"/>
        <w:tabs>
          <w:tab w:leader="none" w:pos="48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Adjustment for the impact of purchase accounting from the Rackspace Acquisition on expenses.</w:t>
      </w:r>
    </w:p>
    <w:p>
      <w:pPr>
        <w:spacing w:after="0" w:line="59" w:lineRule="exact"/>
        <w:rPr>
          <w:rFonts w:ascii="Times New Roman" w:cs="Times New Roman" w:eastAsia="Times New Roman" w:hAnsi="Times New Roman"/>
          <w:sz w:val="16"/>
          <w:szCs w:val="16"/>
          <w:color w:val="auto"/>
        </w:rPr>
      </w:pPr>
    </w:p>
    <w:p>
      <w:pPr>
        <w:ind w:left="480" w:right="120" w:hanging="454"/>
        <w:spacing w:after="0" w:line="227" w:lineRule="auto"/>
        <w:tabs>
          <w:tab w:leader="none" w:pos="48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Adjustment for the impact of business transformation and optimization activities, as well as associated severance, certain facility closure costs and lease termination expenses. Also includes payroll taxes associated with the exercise of stock options and vesting of restricted stock. The year ended December 31, 2022 also includes certain costs associated with the July 2021 Restructuring Plan which are not accounted for as exit and disposal costs under ASC 420, including one-time offshore build out costs.</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Net Income (Loss), Non-GAAP Operating Profit and Adjusted EBITDA</w:t>
      </w:r>
    </w:p>
    <w:p>
      <w:pPr>
        <w:spacing w:after="0" w:line="256" w:lineRule="exact"/>
        <w:rPr>
          <w:sz w:val="20"/>
          <w:szCs w:val="20"/>
          <w:color w:val="auto"/>
        </w:rPr>
      </w:pPr>
    </w:p>
    <w:p>
      <w:pPr>
        <w:ind w:right="160" w:firstLine="486"/>
        <w:spacing w:after="0" w:line="261" w:lineRule="auto"/>
        <w:rPr>
          <w:sz w:val="20"/>
          <w:szCs w:val="20"/>
          <w:color w:val="auto"/>
        </w:rPr>
      </w:pPr>
      <w:r>
        <w:rPr>
          <w:rFonts w:ascii="Times New Roman" w:cs="Times New Roman" w:eastAsia="Times New Roman" w:hAnsi="Times New Roman"/>
          <w:sz w:val="18"/>
          <w:szCs w:val="18"/>
          <w:color w:val="auto"/>
        </w:rPr>
        <w:t>We present Non-GAAP Net Income (Loss), Non-GAAP Operating Profit and Adjusted EBITDA because they are a basis upon which management assesses our performance and we believe they are useful to evaluating our financial performance. We believe that excluding items from net income that may not be indicative of, or are unrelated to, our core operating results, and that may vary in frequency or magnitude, enhances the comparability of our results and provides a better baseline for analyzing trends in our business.</w:t>
      </w:r>
    </w:p>
    <w:p>
      <w:pPr>
        <w:spacing w:after="0" w:line="207" w:lineRule="exact"/>
        <w:rPr>
          <w:sz w:val="20"/>
          <w:szCs w:val="20"/>
          <w:color w:val="auto"/>
        </w:rPr>
      </w:pPr>
    </w:p>
    <w:p>
      <w:pPr>
        <w:ind w:right="20" w:firstLine="486"/>
        <w:spacing w:after="0" w:line="253" w:lineRule="auto"/>
        <w:rPr>
          <w:sz w:val="20"/>
          <w:szCs w:val="20"/>
          <w:color w:val="auto"/>
        </w:rPr>
      </w:pPr>
      <w:r>
        <w:rPr>
          <w:rFonts w:ascii="Times New Roman" w:cs="Times New Roman" w:eastAsia="Times New Roman" w:hAnsi="Times New Roman"/>
          <w:sz w:val="18"/>
          <w:szCs w:val="18"/>
          <w:color w:val="auto"/>
        </w:rPr>
        <w:t>The Rackspace Acquisition was structured as a leveraged buyout of Rackspace Technology Global, our predecessor, and resulted in several accounting and capital structure impacts. For example, the revaluation of our assets and liabilities resulted in a significant increase in our amortizable intangible assets and goodwill, the incurrence of a significant amount of debt to partially finance the Rackspace Acquisition resulted in interest payments that reflect our high leverage and cost of debt capital, and the conversion of Rackspace Technology Global’s unvested equity compensation into a cash-settled bonus plan and obligation to pay management fees to our equityholders resulted in new cash commitments. In addition, the change in ownership and management resulting from the Rackspace Acquisition led to a strategic realignment in our operations that had a significant impact on our financial results. Following the Rackspace Acquisition, we acquired several businesses, sold businesses and investments that we deemed to be non-core and launched multiple integration and business transformation initiatives intended to improve the efficiency of people and operations and identify recurring cost savings and new revenue growth opportunities. We believe that these transactions and activities resulted in costs, which have historically been substantial, and that may not be indicative of, or are not related to, our core operating results, including interest related to the incurrence of additional debt to finance acquisitions and third party legal, advisory and consulting fees and severance, retention bonus and other internal costs that we believe would not have been incurred in the absence of these transactions and activities and also may not be indicative of, or related to, our core operating results.</w:t>
      </w:r>
    </w:p>
    <w:p>
      <w:pPr>
        <w:spacing w:after="0" w:line="217" w:lineRule="exact"/>
        <w:rPr>
          <w:sz w:val="20"/>
          <w:szCs w:val="20"/>
          <w:color w:val="auto"/>
        </w:rPr>
      </w:pPr>
    </w:p>
    <w:p>
      <w:pPr>
        <w:ind w:right="160" w:firstLine="486"/>
        <w:spacing w:after="0" w:line="258" w:lineRule="auto"/>
        <w:rPr>
          <w:sz w:val="20"/>
          <w:szCs w:val="20"/>
          <w:color w:val="auto"/>
        </w:rPr>
      </w:pPr>
      <w:r>
        <w:rPr>
          <w:rFonts w:ascii="Times New Roman" w:cs="Times New Roman" w:eastAsia="Times New Roman" w:hAnsi="Times New Roman"/>
          <w:sz w:val="18"/>
          <w:szCs w:val="18"/>
          <w:color w:val="auto"/>
        </w:rPr>
        <w:t>We define Non-GAAP Net Income (Loss) as net income (loss) adjusted to exclude the impact of non-cash charges for share-based compensation, transaction-related costs and adjustments, restructuring and transformation charges, costs related to the Hosted Exchange incident, the amortization of acquired intangible assets, goodwill and asset impairment charges, costs related to the closure of a UK office, the interest expense impact from the March 2024 Refinancing Transactions, and certain other non-operating, non-recurring or non-core gains and losses, as well as the tax effects of these non-GAAP adjustments.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- 67 -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500" w:firstLine="486"/>
        <w:spacing w:after="0" w:line="261" w:lineRule="auto"/>
        <w:rPr>
          <w:sz w:val="20"/>
          <w:szCs w:val="20"/>
          <w:color w:val="auto"/>
        </w:rPr>
      </w:pPr>
      <w:r>
        <w:rPr>
          <w:rFonts w:ascii="Times New Roman" w:cs="Times New Roman" w:eastAsia="Times New Roman" w:hAnsi="Times New Roman"/>
          <w:sz w:val="18"/>
          <w:szCs w:val="18"/>
          <w:color w:val="auto"/>
        </w:rPr>
        <w:t>We define Non-GAAP Operating Profit as income (loss) from operations adjusted to exclude the impact of non-cash charges for share-based compensation, transaction-related costs and adjustments, restructuring and transformation charges, costs related to the Hosted Exchange incident, the amortization of acquired intangible assets, goodwill and asset impairment charges, costs related to the closure of a UK office, and certain other non-operating, non-recurring or non-core gains and losses.</w:t>
      </w:r>
    </w:p>
    <w:p>
      <w:pPr>
        <w:spacing w:after="0" w:line="207" w:lineRule="exact"/>
        <w:rPr>
          <w:sz w:val="20"/>
          <w:szCs w:val="20"/>
          <w:color w:val="auto"/>
        </w:rPr>
      </w:pPr>
    </w:p>
    <w:p>
      <w:pPr>
        <w:ind w:right="120" w:firstLine="486"/>
        <w:spacing w:after="0" w:line="261" w:lineRule="auto"/>
        <w:rPr>
          <w:sz w:val="20"/>
          <w:szCs w:val="20"/>
          <w:color w:val="auto"/>
        </w:rPr>
      </w:pPr>
      <w:r>
        <w:rPr>
          <w:rFonts w:ascii="Times New Roman" w:cs="Times New Roman" w:eastAsia="Times New Roman" w:hAnsi="Times New Roman"/>
          <w:sz w:val="18"/>
          <w:szCs w:val="18"/>
          <w:color w:val="auto"/>
        </w:rPr>
        <w:t>We define Adjusted EBITDA as net income (loss) adjusted to exclude the impact of non-cash charges for share-based compensation, transaction-related costs and adjustments, restructuring and transformation charges, costs related to the Hosted Exchange incident, costs related to the closure of a UK office, certain other non-operating, non-recurring or non-core gains and losses, interest expense, expenses for our Receivables Purchase Facility, income taxes, depreciation and amortization, and goodwill and asset impairment charges.</w:t>
      </w:r>
    </w:p>
    <w:p>
      <w:pPr>
        <w:spacing w:after="0" w:line="207" w:lineRule="exact"/>
        <w:rPr>
          <w:sz w:val="20"/>
          <w:szCs w:val="20"/>
          <w:color w:val="auto"/>
        </w:rPr>
      </w:pPr>
    </w:p>
    <w:p>
      <w:pPr>
        <w:jc w:val="both"/>
        <w:ind w:right="60" w:firstLine="486"/>
        <w:spacing w:after="0" w:line="266" w:lineRule="auto"/>
        <w:rPr>
          <w:sz w:val="20"/>
          <w:szCs w:val="20"/>
          <w:color w:val="auto"/>
        </w:rPr>
      </w:pPr>
      <w:r>
        <w:rPr>
          <w:rFonts w:ascii="Times New Roman" w:cs="Times New Roman" w:eastAsia="Times New Roman" w:hAnsi="Times New Roman"/>
          <w:sz w:val="18"/>
          <w:szCs w:val="18"/>
          <w:color w:val="auto"/>
        </w:rPr>
        <w:t>Non-GAAP Operating Profit and Adjusted EBITDA are management’s principal metrics for measuring our underlying financial performance. Non-GAAP Operating Profit and Adjusted EBITDA, along with other quantitative and qualitative information, are also the principal financial measures used by management and our Board in determining performance-based compensation for our management and key employees.</w:t>
      </w:r>
    </w:p>
    <w:p>
      <w:pPr>
        <w:spacing w:after="0" w:line="203" w:lineRule="exact"/>
        <w:rPr>
          <w:sz w:val="20"/>
          <w:szCs w:val="20"/>
          <w:color w:val="auto"/>
        </w:rPr>
      </w:pPr>
    </w:p>
    <w:p>
      <w:pPr>
        <w:ind w:right="100" w:firstLine="486"/>
        <w:spacing w:after="0" w:line="255" w:lineRule="auto"/>
        <w:rPr>
          <w:sz w:val="20"/>
          <w:szCs w:val="20"/>
          <w:color w:val="auto"/>
        </w:rPr>
      </w:pPr>
      <w:r>
        <w:rPr>
          <w:rFonts w:ascii="Times New Roman" w:cs="Times New Roman" w:eastAsia="Times New Roman" w:hAnsi="Times New Roman"/>
          <w:sz w:val="18"/>
          <w:szCs w:val="18"/>
          <w:color w:val="auto"/>
        </w:rPr>
        <w:t>These non-GAAP measures are not intended to imply that we would have generated higher income or avoided net losses if the Rackspace Acquisition and the subsequent transactions and initiatives had not occurred. In the future we may incur expenses or charges such as those added back to calculate Non-GAAP Net Income (Loss), Non-GAAP Operating Profit or Adjusted EBITDA. Our presentation of Non-GAAP Net Income (Loss), Non-GAAP Operating Profit and Adjusted EBITDA should not be construed as an inference that our future results will be unaffected by these items. Other companies, including our peer companies, may calculate similarly-titled measures in a different manner from us, and therefore, our non-GAAP measures may not be comparable to similarly-tiled measures of other companies. Investors are cautioned against using these measures to the exclusion of our results in accordance with GAAP.</w:t>
      </w:r>
    </w:p>
    <w:p>
      <w:pPr>
        <w:spacing w:after="0" w:line="216" w:lineRule="exact"/>
        <w:rPr>
          <w:sz w:val="20"/>
          <w:szCs w:val="20"/>
          <w:color w:val="auto"/>
        </w:rPr>
      </w:pPr>
    </w:p>
    <w:p>
      <w:pPr>
        <w:ind w:right="180" w:firstLine="486"/>
        <w:spacing w:after="0" w:line="266" w:lineRule="auto"/>
        <w:rPr>
          <w:sz w:val="20"/>
          <w:szCs w:val="20"/>
          <w:color w:val="auto"/>
        </w:rPr>
      </w:pPr>
      <w:r>
        <w:rPr>
          <w:rFonts w:ascii="Times New Roman" w:cs="Times New Roman" w:eastAsia="Times New Roman" w:hAnsi="Times New Roman"/>
          <w:sz w:val="18"/>
          <w:szCs w:val="18"/>
          <w:color w:val="auto"/>
        </w:rPr>
        <w:t>The following tables present a reconciliation of Non-GAAP Net Income (Loss) and Adjusted EBITDA to the most directly comparable GAAP financial measures. For a reconciliation of income (loss) from operations to Non-GAAP Operating Profit, see “</w:t>
      </w:r>
      <w:r>
        <w:rPr>
          <w:rFonts w:ascii="Times New Roman" w:cs="Times New Roman" w:eastAsia="Times New Roman" w:hAnsi="Times New Roman"/>
          <w:sz w:val="18"/>
          <w:szCs w:val="18"/>
          <w:i w:val="1"/>
          <w:iCs w:val="1"/>
          <w:color w:val="auto"/>
        </w:rPr>
        <w:t>Loss from Operations, Segment Operating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Profit, and Non-GAAP Operating Profit</w:t>
      </w:r>
      <w:r>
        <w:rPr>
          <w:rFonts w:ascii="Times New Roman" w:cs="Times New Roman" w:eastAsia="Times New Roman" w:hAnsi="Times New Roman"/>
          <w:sz w:val="18"/>
          <w:szCs w:val="18"/>
          <w:color w:val="auto"/>
        </w:rPr>
        <w:t>” in the year-over-year comparisons under "Results of Operations" above.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loss reconciliation to Non-GAAP Net Income (Loss)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2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6"/>
                <w:szCs w:val="16"/>
                <w:b w:val="1"/>
                <w:bCs w:val="1"/>
                <w:color w:val="auto"/>
                <w:w w:val="99"/>
              </w:rPr>
              <w:t>Year Ended December 31,</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11"/>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(804.8)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(837.8)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(858.2)</w:t>
            </w:r>
          </w:p>
        </w:tc>
        <w:tc>
          <w:tcPr>
            <w:tcW w:w="0" w:type="dxa"/>
            <w:vAlign w:val="bottom"/>
          </w:tcPr>
          <w:p>
            <w:pPr>
              <w:spacing w:after="0"/>
              <w:rPr>
                <w:sz w:val="1"/>
                <w:szCs w:val="1"/>
                <w:color w:val="auto"/>
              </w:rPr>
            </w:pPr>
          </w:p>
        </w:tc>
      </w:tr>
      <w:tr>
        <w:trPr>
          <w:trHeight w:val="213"/>
        </w:trPr>
        <w:tc>
          <w:tcPr>
            <w:tcW w:w="6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63.4</w:t>
            </w:r>
          </w:p>
        </w:tc>
        <w:tc>
          <w:tcPr>
            <w:tcW w:w="0" w:type="dxa"/>
            <w:vAlign w:val="bottom"/>
          </w:tcPr>
          <w:p>
            <w:pPr>
              <w:spacing w:after="0"/>
              <w:rPr>
                <w:sz w:val="1"/>
                <w:szCs w:val="1"/>
                <w:color w:val="auto"/>
              </w:rPr>
            </w:pPr>
          </w:p>
        </w:tc>
      </w:tr>
      <w:tr>
        <w:trPr>
          <w:trHeight w:val="219"/>
        </w:trPr>
        <w:tc>
          <w:tcPr>
            <w:tcW w:w="624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 xml:space="preserve">Transaction-related adjustments, net </w:t>
            </w:r>
            <w:r>
              <w:rPr>
                <w:rFonts w:ascii="Times New Roman" w:cs="Times New Roman" w:eastAsia="Times New Roman" w:hAnsi="Times New Roman"/>
                <w:sz w:val="21"/>
                <w:szCs w:val="21"/>
                <w:color w:val="auto"/>
                <w:vertAlign w:val="superscript"/>
              </w:rPr>
              <w:t>(a)</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0" w:type="dxa"/>
            <w:vAlign w:val="bottom"/>
          </w:tcPr>
          <w:p>
            <w:pPr>
              <w:spacing w:after="0"/>
              <w:rPr>
                <w:sz w:val="1"/>
                <w:szCs w:val="1"/>
                <w:color w:val="auto"/>
              </w:rPr>
            </w:pPr>
          </w:p>
        </w:tc>
      </w:tr>
      <w:tr>
        <w:trPr>
          <w:trHeight w:val="216"/>
        </w:trPr>
        <w:tc>
          <w:tcPr>
            <w:tcW w:w="624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Restructuring and transformation expenses </w:t>
            </w:r>
            <w:r>
              <w:rPr>
                <w:rFonts w:ascii="Times New Roman" w:cs="Times New Roman" w:eastAsia="Times New Roman" w:hAnsi="Times New Roman"/>
                <w:sz w:val="21"/>
                <w:szCs w:val="21"/>
                <w:color w:val="auto"/>
                <w:vertAlign w:val="superscript"/>
              </w:rPr>
              <w:t>(b)</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58.5</w:t>
            </w:r>
          </w:p>
        </w:tc>
        <w:tc>
          <w:tcPr>
            <w:tcW w:w="0" w:type="dxa"/>
            <w:vAlign w:val="bottom"/>
          </w:tcPr>
          <w:p>
            <w:pPr>
              <w:spacing w:after="0"/>
              <w:rPr>
                <w:sz w:val="1"/>
                <w:szCs w:val="1"/>
                <w:color w:val="auto"/>
              </w:rPr>
            </w:pPr>
          </w:p>
        </w:tc>
      </w:tr>
      <w:tr>
        <w:trPr>
          <w:trHeight w:val="162"/>
        </w:trPr>
        <w:tc>
          <w:tcPr>
            <w:tcW w:w="624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Hosted Exchange incident expenses, net of proceeds received or expected to be received under</w:t>
            </w:r>
          </w:p>
        </w:tc>
        <w:tc>
          <w:tcPr>
            <w:tcW w:w="38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our insurance coverage</w:t>
            </w:r>
          </w:p>
        </w:tc>
        <w:tc>
          <w:tcPr>
            <w:tcW w:w="380" w:type="dxa"/>
            <w:vAlign w:val="bottom"/>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Impairment of goodwill</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534.5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708.8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714.9</w:t>
            </w:r>
          </w:p>
        </w:tc>
        <w:tc>
          <w:tcPr>
            <w:tcW w:w="0" w:type="dxa"/>
            <w:vAlign w:val="bottom"/>
          </w:tcPr>
          <w:p>
            <w:pPr>
              <w:spacing w:after="0"/>
              <w:rPr>
                <w:sz w:val="1"/>
                <w:szCs w:val="1"/>
                <w:color w:val="auto"/>
              </w:rPr>
            </w:pPr>
          </w:p>
        </w:tc>
      </w:tr>
      <w:tr>
        <w:trPr>
          <w:trHeight w:val="219"/>
        </w:trPr>
        <w:tc>
          <w:tcPr>
            <w:tcW w:w="624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 xml:space="preserve">UK office closure </w:t>
            </w:r>
            <w:r>
              <w:rPr>
                <w:rFonts w:ascii="Times New Roman" w:cs="Times New Roman" w:eastAsia="Times New Roman" w:hAnsi="Times New Roman"/>
                <w:sz w:val="21"/>
                <w:szCs w:val="21"/>
                <w:color w:val="auto"/>
                <w:vertAlign w:val="superscript"/>
              </w:rPr>
              <w:t>(c)</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6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Impairment of assets, net</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0" w:type="dxa"/>
            <w:vAlign w:val="bottom"/>
          </w:tcPr>
          <w:p>
            <w:pPr>
              <w:spacing w:after="0"/>
              <w:rPr>
                <w:sz w:val="1"/>
                <w:szCs w:val="1"/>
                <w:color w:val="auto"/>
              </w:rPr>
            </w:pPr>
          </w:p>
        </w:tc>
      </w:tr>
      <w:tr>
        <w:trPr>
          <w:trHeight w:val="219"/>
        </w:trPr>
        <w:tc>
          <w:tcPr>
            <w:tcW w:w="624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 xml:space="preserve">Net (gain) loss on divestiture and investments </w:t>
            </w:r>
            <w:r>
              <w:rPr>
                <w:rFonts w:ascii="Times New Roman" w:cs="Times New Roman" w:eastAsia="Times New Roman" w:hAnsi="Times New Roman"/>
                <w:sz w:val="21"/>
                <w:szCs w:val="21"/>
                <w:color w:val="auto"/>
                <w:vertAlign w:val="superscript"/>
              </w:rPr>
              <w:t>(d)</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13"/>
        </w:trPr>
        <w:tc>
          <w:tcPr>
            <w:tcW w:w="6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Gain on debt extinguishment, net of debt modification costs</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(147.2)</w:t>
            </w:r>
          </w:p>
        </w:tc>
        <w:tc>
          <w:tcPr>
            <w:tcW w:w="0" w:type="dxa"/>
            <w:vAlign w:val="bottom"/>
          </w:tcPr>
          <w:p>
            <w:pPr>
              <w:spacing w:after="0"/>
              <w:rPr>
                <w:sz w:val="1"/>
                <w:szCs w:val="1"/>
                <w:color w:val="auto"/>
              </w:rPr>
            </w:pPr>
          </w:p>
        </w:tc>
      </w:tr>
      <w:tr>
        <w:trPr>
          <w:trHeight w:val="219"/>
        </w:trPr>
        <w:tc>
          <w:tcPr>
            <w:tcW w:w="624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 xml:space="preserve">Interest expense impact from the March 2024 Refinancing Transactions </w:t>
            </w:r>
            <w:r>
              <w:rPr>
                <w:rFonts w:ascii="Times New Roman" w:cs="Times New Roman" w:eastAsia="Times New Roman" w:hAnsi="Times New Roman"/>
                <w:sz w:val="21"/>
                <w:szCs w:val="21"/>
                <w:color w:val="auto"/>
                <w:vertAlign w:val="superscript"/>
              </w:rPr>
              <w:t>(e)</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(72.9)</w:t>
            </w:r>
          </w:p>
        </w:tc>
        <w:tc>
          <w:tcPr>
            <w:tcW w:w="0" w:type="dxa"/>
            <w:vAlign w:val="bottom"/>
          </w:tcPr>
          <w:p>
            <w:pPr>
              <w:spacing w:after="0"/>
              <w:rPr>
                <w:sz w:val="1"/>
                <w:szCs w:val="1"/>
                <w:color w:val="auto"/>
              </w:rPr>
            </w:pPr>
          </w:p>
        </w:tc>
      </w:tr>
      <w:tr>
        <w:trPr>
          <w:trHeight w:val="216"/>
        </w:trPr>
        <w:tc>
          <w:tcPr>
            <w:tcW w:w="624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Other adjustments </w:t>
            </w:r>
            <w:r>
              <w:rPr>
                <w:rFonts w:ascii="Times New Roman" w:cs="Times New Roman" w:eastAsia="Times New Roman" w:hAnsi="Times New Roman"/>
                <w:sz w:val="21"/>
                <w:szCs w:val="21"/>
                <w:color w:val="auto"/>
                <w:vertAlign w:val="superscript"/>
              </w:rPr>
              <w:t>(f)</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Amortization of intangible assets </w:t>
            </w:r>
            <w:r>
              <w:rPr>
                <w:rFonts w:ascii="Times New Roman" w:cs="Times New Roman" w:eastAsia="Times New Roman" w:hAnsi="Times New Roman"/>
                <w:sz w:val="21"/>
                <w:szCs w:val="21"/>
                <w:color w:val="auto"/>
                <w:vertAlign w:val="superscript"/>
              </w:rPr>
              <w:t>(g)</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154.1</w:t>
            </w:r>
          </w:p>
        </w:tc>
        <w:tc>
          <w:tcPr>
            <w:tcW w:w="0" w:type="dxa"/>
            <w:vAlign w:val="bottom"/>
          </w:tcPr>
          <w:p>
            <w:pPr>
              <w:spacing w:after="0"/>
              <w:rPr>
                <w:sz w:val="1"/>
                <w:szCs w:val="1"/>
                <w:color w:val="auto"/>
              </w:rPr>
            </w:pPr>
          </w:p>
        </w:tc>
      </w:tr>
      <w:tr>
        <w:trPr>
          <w:trHeight w:val="216"/>
        </w:trPr>
        <w:tc>
          <w:tcPr>
            <w:tcW w:w="6240" w:type="dxa"/>
            <w:vAlign w:val="bottom"/>
            <w:tcBorders>
              <w:bottom w:val="single" w:sz="8" w:color="CCEEFF"/>
            </w:tcBorders>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Tax effect of non-GAAP adjustments </w:t>
            </w:r>
            <w:r>
              <w:rPr>
                <w:rFonts w:ascii="Times New Roman" w:cs="Times New Roman" w:eastAsia="Times New Roman" w:hAnsi="Times New Roman"/>
                <w:sz w:val="21"/>
                <w:szCs w:val="21"/>
                <w:color w:val="auto"/>
                <w:vertAlign w:val="superscript"/>
              </w:rPr>
              <w:t>(h)</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(121.7)</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35"/>
        </w:trPr>
        <w:tc>
          <w:tcPr>
            <w:tcW w:w="62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Non-GAAP Net Income (Loss)</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82.1</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(63.5)</w:t>
            </w:r>
          </w:p>
        </w:tc>
        <w:tc>
          <w:tcPr>
            <w:tcW w:w="0" w:type="dxa"/>
            <w:vAlign w:val="bottom"/>
          </w:tcPr>
          <w:p>
            <w:pPr>
              <w:spacing w:after="0"/>
              <w:rPr>
                <w:sz w:val="1"/>
                <w:szCs w:val="1"/>
                <w:color w:val="auto"/>
              </w:rPr>
            </w:pP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- 68 -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loss reconciliation to Adjusted EBITDA</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2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6"/>
                <w:szCs w:val="16"/>
                <w:b w:val="1"/>
                <w:bCs w:val="1"/>
                <w:color w:val="auto"/>
                <w:w w:val="99"/>
              </w:rPr>
              <w:t>Year Ended December 31,</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11"/>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(804.8)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(837.8)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(858.2)</w:t>
            </w:r>
          </w:p>
        </w:tc>
        <w:tc>
          <w:tcPr>
            <w:tcW w:w="0" w:type="dxa"/>
            <w:vAlign w:val="bottom"/>
          </w:tcPr>
          <w:p>
            <w:pPr>
              <w:spacing w:after="0"/>
              <w:rPr>
                <w:sz w:val="1"/>
                <w:szCs w:val="1"/>
                <w:color w:val="auto"/>
              </w:rPr>
            </w:pPr>
          </w:p>
        </w:tc>
      </w:tr>
      <w:tr>
        <w:trPr>
          <w:trHeight w:val="213"/>
        </w:trPr>
        <w:tc>
          <w:tcPr>
            <w:tcW w:w="6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63.4</w:t>
            </w:r>
          </w:p>
        </w:tc>
        <w:tc>
          <w:tcPr>
            <w:tcW w:w="0" w:type="dxa"/>
            <w:vAlign w:val="bottom"/>
          </w:tcPr>
          <w:p>
            <w:pPr>
              <w:spacing w:after="0"/>
              <w:rPr>
                <w:sz w:val="1"/>
                <w:szCs w:val="1"/>
                <w:color w:val="auto"/>
              </w:rPr>
            </w:pPr>
          </w:p>
        </w:tc>
      </w:tr>
      <w:tr>
        <w:trPr>
          <w:trHeight w:val="219"/>
        </w:trPr>
        <w:tc>
          <w:tcPr>
            <w:tcW w:w="624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 xml:space="preserve">Transaction-related adjustments, net </w:t>
            </w:r>
            <w:r>
              <w:rPr>
                <w:rFonts w:ascii="Times New Roman" w:cs="Times New Roman" w:eastAsia="Times New Roman" w:hAnsi="Times New Roman"/>
                <w:sz w:val="21"/>
                <w:szCs w:val="21"/>
                <w:color w:val="auto"/>
                <w:vertAlign w:val="superscript"/>
              </w:rPr>
              <w:t>(a)</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0" w:type="dxa"/>
            <w:vAlign w:val="bottom"/>
          </w:tcPr>
          <w:p>
            <w:pPr>
              <w:spacing w:after="0"/>
              <w:rPr>
                <w:sz w:val="1"/>
                <w:szCs w:val="1"/>
                <w:color w:val="auto"/>
              </w:rPr>
            </w:pPr>
          </w:p>
        </w:tc>
      </w:tr>
      <w:tr>
        <w:trPr>
          <w:trHeight w:val="216"/>
        </w:trPr>
        <w:tc>
          <w:tcPr>
            <w:tcW w:w="624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Restructuring and transformation expenses </w:t>
            </w:r>
            <w:r>
              <w:rPr>
                <w:rFonts w:ascii="Times New Roman" w:cs="Times New Roman" w:eastAsia="Times New Roman" w:hAnsi="Times New Roman"/>
                <w:sz w:val="21"/>
                <w:szCs w:val="21"/>
                <w:color w:val="auto"/>
                <w:vertAlign w:val="superscript"/>
              </w:rPr>
              <w:t>(b)</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58.5</w:t>
            </w:r>
          </w:p>
        </w:tc>
        <w:tc>
          <w:tcPr>
            <w:tcW w:w="0" w:type="dxa"/>
            <w:vAlign w:val="bottom"/>
          </w:tcPr>
          <w:p>
            <w:pPr>
              <w:spacing w:after="0"/>
              <w:rPr>
                <w:sz w:val="1"/>
                <w:szCs w:val="1"/>
                <w:color w:val="auto"/>
              </w:rPr>
            </w:pPr>
          </w:p>
        </w:tc>
      </w:tr>
      <w:tr>
        <w:trPr>
          <w:trHeight w:val="162"/>
        </w:trPr>
        <w:tc>
          <w:tcPr>
            <w:tcW w:w="624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Hosted Exchange incident expenses, net of proceeds received or expected to be received under</w:t>
            </w:r>
          </w:p>
        </w:tc>
        <w:tc>
          <w:tcPr>
            <w:tcW w:w="38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our insurance coverage</w:t>
            </w:r>
          </w:p>
        </w:tc>
        <w:tc>
          <w:tcPr>
            <w:tcW w:w="380" w:type="dxa"/>
            <w:vAlign w:val="bottom"/>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Impairment of goodwill</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534.5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708.8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714.9</w:t>
            </w:r>
          </w:p>
        </w:tc>
        <w:tc>
          <w:tcPr>
            <w:tcW w:w="0" w:type="dxa"/>
            <w:vAlign w:val="bottom"/>
          </w:tcPr>
          <w:p>
            <w:pPr>
              <w:spacing w:after="0"/>
              <w:rPr>
                <w:sz w:val="1"/>
                <w:szCs w:val="1"/>
                <w:color w:val="auto"/>
              </w:rPr>
            </w:pPr>
          </w:p>
        </w:tc>
      </w:tr>
      <w:tr>
        <w:trPr>
          <w:trHeight w:val="219"/>
        </w:trPr>
        <w:tc>
          <w:tcPr>
            <w:tcW w:w="624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 xml:space="preserve">UK office closure </w:t>
            </w:r>
            <w:r>
              <w:rPr>
                <w:rFonts w:ascii="Times New Roman" w:cs="Times New Roman" w:eastAsia="Times New Roman" w:hAnsi="Times New Roman"/>
                <w:sz w:val="21"/>
                <w:szCs w:val="21"/>
                <w:color w:val="auto"/>
                <w:vertAlign w:val="superscript"/>
              </w:rPr>
              <w:t>(c)</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6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Impairment of assets, net</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0" w:type="dxa"/>
            <w:vAlign w:val="bottom"/>
          </w:tcPr>
          <w:p>
            <w:pPr>
              <w:spacing w:after="0"/>
              <w:rPr>
                <w:sz w:val="1"/>
                <w:szCs w:val="1"/>
                <w:color w:val="auto"/>
              </w:rPr>
            </w:pPr>
          </w:p>
        </w:tc>
      </w:tr>
      <w:tr>
        <w:trPr>
          <w:trHeight w:val="219"/>
        </w:trPr>
        <w:tc>
          <w:tcPr>
            <w:tcW w:w="624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 xml:space="preserve">Net (gain) loss on divestiture and investments </w:t>
            </w:r>
            <w:r>
              <w:rPr>
                <w:rFonts w:ascii="Times New Roman" w:cs="Times New Roman" w:eastAsia="Times New Roman" w:hAnsi="Times New Roman"/>
                <w:sz w:val="21"/>
                <w:szCs w:val="21"/>
                <w:color w:val="auto"/>
                <w:vertAlign w:val="superscript"/>
              </w:rPr>
              <w:t>(d)</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13"/>
        </w:trPr>
        <w:tc>
          <w:tcPr>
            <w:tcW w:w="6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Gain on debt extinguishment, net of debt modification costs</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(147.2)</w:t>
            </w:r>
          </w:p>
        </w:tc>
        <w:tc>
          <w:tcPr>
            <w:tcW w:w="0" w:type="dxa"/>
            <w:vAlign w:val="bottom"/>
          </w:tcPr>
          <w:p>
            <w:pPr>
              <w:spacing w:after="0"/>
              <w:rPr>
                <w:sz w:val="1"/>
                <w:szCs w:val="1"/>
                <w:color w:val="auto"/>
              </w:rPr>
            </w:pPr>
          </w:p>
        </w:tc>
      </w:tr>
      <w:tr>
        <w:trPr>
          <w:trHeight w:val="219"/>
        </w:trPr>
        <w:tc>
          <w:tcPr>
            <w:tcW w:w="624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 xml:space="preserve">Other expense, net </w:t>
            </w:r>
            <w:r>
              <w:rPr>
                <w:rFonts w:ascii="Times New Roman" w:cs="Times New Roman" w:eastAsia="Times New Roman" w:hAnsi="Times New Roman"/>
                <w:sz w:val="21"/>
                <w:szCs w:val="21"/>
                <w:color w:val="auto"/>
                <w:vertAlign w:val="superscript"/>
              </w:rPr>
              <w:t>(i)</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w:t>
            </w:r>
          </w:p>
        </w:tc>
        <w:tc>
          <w:tcPr>
            <w:tcW w:w="0" w:type="dxa"/>
            <w:vAlign w:val="bottom"/>
          </w:tcPr>
          <w:p>
            <w:pPr>
              <w:spacing w:after="0"/>
              <w:rPr>
                <w:sz w:val="1"/>
                <w:szCs w:val="1"/>
                <w:color w:val="auto"/>
              </w:rPr>
            </w:pPr>
          </w:p>
        </w:tc>
      </w:tr>
      <w:tr>
        <w:trPr>
          <w:trHeight w:val="213"/>
        </w:trPr>
        <w:tc>
          <w:tcPr>
            <w:tcW w:w="6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98.0</w:t>
            </w:r>
          </w:p>
        </w:tc>
        <w:tc>
          <w:tcPr>
            <w:tcW w:w="0" w:type="dxa"/>
            <w:vAlign w:val="bottom"/>
          </w:tcPr>
          <w:p>
            <w:pPr>
              <w:spacing w:after="0"/>
              <w:rPr>
                <w:sz w:val="1"/>
                <w:szCs w:val="1"/>
                <w:color w:val="auto"/>
              </w:rPr>
            </w:pPr>
          </w:p>
        </w:tc>
      </w:tr>
      <w:tr>
        <w:trPr>
          <w:trHeight w:val="219"/>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Benefit for income taxes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w:t>
            </w:r>
          </w:p>
        </w:tc>
        <w:tc>
          <w:tcPr>
            <w:tcW w:w="0" w:type="dxa"/>
            <w:vAlign w:val="bottom"/>
          </w:tcPr>
          <w:p>
            <w:pPr>
              <w:spacing w:after="0"/>
              <w:rPr>
                <w:sz w:val="1"/>
                <w:szCs w:val="1"/>
                <w:color w:val="auto"/>
              </w:rPr>
            </w:pPr>
          </w:p>
        </w:tc>
      </w:tr>
      <w:tr>
        <w:trPr>
          <w:trHeight w:val="216"/>
        </w:trPr>
        <w:tc>
          <w:tcPr>
            <w:tcW w:w="6240" w:type="dxa"/>
            <w:vAlign w:val="bottom"/>
            <w:tcBorders>
              <w:bottom w:val="single" w:sz="8" w:color="CCEEFF"/>
            </w:tcBorders>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Depreciation and amortization </w:t>
            </w:r>
            <w:r>
              <w:rPr>
                <w:rFonts w:ascii="Times New Roman" w:cs="Times New Roman" w:eastAsia="Times New Roman" w:hAnsi="Times New Roman"/>
                <w:sz w:val="21"/>
                <w:szCs w:val="21"/>
                <w:color w:val="auto"/>
                <w:vertAlign w:val="superscript"/>
              </w:rPr>
              <w:t>(j)</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387.5</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366.4</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293.3</w:t>
            </w:r>
          </w:p>
        </w:tc>
        <w:tc>
          <w:tcPr>
            <w:tcW w:w="0" w:type="dxa"/>
            <w:vAlign w:val="bottom"/>
          </w:tcPr>
          <w:p>
            <w:pPr>
              <w:spacing w:after="0"/>
              <w:rPr>
                <w:sz w:val="1"/>
                <w:szCs w:val="1"/>
                <w:color w:val="auto"/>
              </w:rPr>
            </w:pPr>
          </w:p>
        </w:tc>
      </w:tr>
      <w:tr>
        <w:trPr>
          <w:trHeight w:val="234"/>
        </w:trPr>
        <w:tc>
          <w:tcPr>
            <w:tcW w:w="62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Adjusted EBITDA</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540.1</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362.6</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244.8</w:t>
            </w:r>
          </w:p>
        </w:tc>
        <w:tc>
          <w:tcPr>
            <w:tcW w:w="0" w:type="dxa"/>
            <w:vAlign w:val="bottom"/>
          </w:tcPr>
          <w:p>
            <w:pPr>
              <w:spacing w:after="0"/>
              <w:rPr>
                <w:sz w:val="1"/>
                <w:szCs w:val="1"/>
                <w:color w:val="auto"/>
              </w:rPr>
            </w:pP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8" w:lineRule="exact"/>
        <w:rPr>
          <w:sz w:val="20"/>
          <w:szCs w:val="20"/>
          <w:color w:val="auto"/>
        </w:rPr>
      </w:pPr>
    </w:p>
    <w:p>
      <w:pPr>
        <w:ind w:left="480" w:right="560" w:hanging="339"/>
        <w:spacing w:after="0" w:line="263" w:lineRule="auto"/>
        <w:tabs>
          <w:tab w:leader="none" w:pos="48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legal, professional, accounting and other advisory fees related to acquisitions, certain one-time compliance costs related to being a public company, integration costs of acquired businesses, purchase accounting adjustments, and exploratory acquisition and divestiture costs and expenses related to financing activities.</w:t>
      </w:r>
    </w:p>
    <w:p>
      <w:pPr>
        <w:spacing w:after="0" w:line="2" w:lineRule="exact"/>
        <w:rPr>
          <w:rFonts w:ascii="Times New Roman" w:cs="Times New Roman" w:eastAsia="Times New Roman" w:hAnsi="Times New Roman"/>
          <w:sz w:val="16"/>
          <w:szCs w:val="16"/>
          <w:color w:val="auto"/>
        </w:rPr>
      </w:pPr>
    </w:p>
    <w:p>
      <w:pPr>
        <w:ind w:left="480" w:right="40" w:hanging="344"/>
        <w:spacing w:after="0" w:line="250" w:lineRule="auto"/>
        <w:tabs>
          <w:tab w:leader="none" w:pos="48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consulting and advisory fees related to business transformation and optimization activities, as well as associated severance, certain facility closure costs, and lease termination expenses. Also includes payroll taxes associated with the exercise of stock options and vesting of restricted stock. The year ended December 31, 2022 includes charges of $5.2 million related to the July 2021 Restructuring Plan which are not accounted for as exit and disposal costs under ASC 420, including one-time offshore build out costs. In addition, the year ended December 31, 2024 includes a $9.0 million MEIA early termination fee associated with the sale of our corporate headquarters in March 2024.</w:t>
      </w:r>
    </w:p>
    <w:p>
      <w:pPr>
        <w:spacing w:after="0" w:line="27" w:lineRule="exact"/>
        <w:rPr>
          <w:rFonts w:ascii="Times New Roman" w:cs="Times New Roman" w:eastAsia="Times New Roman" w:hAnsi="Times New Roman"/>
          <w:sz w:val="16"/>
          <w:szCs w:val="16"/>
          <w:color w:val="auto"/>
        </w:rPr>
      </w:pPr>
    </w:p>
    <w:p>
      <w:pPr>
        <w:ind w:left="480" w:hanging="339"/>
        <w:spacing w:after="0"/>
        <w:tabs>
          <w:tab w:leader="none" w:pos="48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Expense recognized related to the closure of a UK office that we exited in the second quarter of 2023 prior to the lease end date.</w:t>
      </w:r>
    </w:p>
    <w:p>
      <w:pPr>
        <w:spacing w:after="0" w:line="59" w:lineRule="exact"/>
        <w:rPr>
          <w:rFonts w:ascii="Times New Roman" w:cs="Times New Roman" w:eastAsia="Times New Roman" w:hAnsi="Times New Roman"/>
          <w:sz w:val="16"/>
          <w:szCs w:val="16"/>
          <w:color w:val="auto"/>
        </w:rPr>
      </w:pPr>
    </w:p>
    <w:p>
      <w:pPr>
        <w:ind w:left="480" w:hanging="344"/>
        <w:spacing w:after="0"/>
        <w:tabs>
          <w:tab w:leader="none" w:pos="48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gains and losses on investment and from dispositions.</w:t>
      </w:r>
    </w:p>
    <w:p>
      <w:pPr>
        <w:spacing w:after="0" w:line="59" w:lineRule="exact"/>
        <w:rPr>
          <w:rFonts w:ascii="Times New Roman" w:cs="Times New Roman" w:eastAsia="Times New Roman" w:hAnsi="Times New Roman"/>
          <w:sz w:val="16"/>
          <w:szCs w:val="16"/>
          <w:color w:val="auto"/>
        </w:rPr>
      </w:pPr>
    </w:p>
    <w:p>
      <w:pPr>
        <w:ind w:left="480" w:right="60" w:hanging="339"/>
        <w:spacing w:after="0" w:line="280" w:lineRule="auto"/>
        <w:tabs>
          <w:tab w:leader="none" w:pos="48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Interest expense impact due to the accounting for contractual interest payments on debt instruments entered into as part of the March 2024 Refinancing Transactions, which reduced interest expense relative to contractual interest cost.</w:t>
      </w:r>
    </w:p>
    <w:p>
      <w:pPr>
        <w:spacing w:after="0" w:line="2" w:lineRule="exact"/>
        <w:rPr>
          <w:rFonts w:ascii="Times New Roman" w:cs="Times New Roman" w:eastAsia="Times New Roman" w:hAnsi="Times New Roman"/>
          <w:sz w:val="16"/>
          <w:szCs w:val="16"/>
          <w:color w:val="auto"/>
        </w:rPr>
      </w:pPr>
    </w:p>
    <w:p>
      <w:pPr>
        <w:ind w:left="480" w:hanging="330"/>
        <w:spacing w:after="0"/>
        <w:tabs>
          <w:tab w:leader="none" w:pos="48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Primarily consists of foreign currency gains and losses.</w:t>
      </w:r>
    </w:p>
    <w:p>
      <w:pPr>
        <w:spacing w:after="0" w:line="59" w:lineRule="exact"/>
        <w:rPr>
          <w:rFonts w:ascii="Times New Roman" w:cs="Times New Roman" w:eastAsia="Times New Roman" w:hAnsi="Times New Roman"/>
          <w:sz w:val="16"/>
          <w:szCs w:val="16"/>
          <w:color w:val="auto"/>
        </w:rPr>
      </w:pPr>
    </w:p>
    <w:p>
      <w:pPr>
        <w:ind w:left="480" w:hanging="344"/>
        <w:spacing w:after="0"/>
        <w:tabs>
          <w:tab w:leader="none" w:pos="48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of our intangible assets are attributable to acquisitions, including the Rackspace Acquisition in 2016.</w:t>
      </w:r>
    </w:p>
    <w:p>
      <w:pPr>
        <w:spacing w:after="0" w:line="59" w:lineRule="exact"/>
        <w:rPr>
          <w:rFonts w:ascii="Times New Roman" w:cs="Times New Roman" w:eastAsia="Times New Roman" w:hAnsi="Times New Roman"/>
          <w:sz w:val="16"/>
          <w:szCs w:val="16"/>
          <w:color w:val="auto"/>
        </w:rPr>
      </w:pPr>
    </w:p>
    <w:p>
      <w:pPr>
        <w:ind w:left="480" w:right="40" w:hanging="344"/>
        <w:spacing w:after="0" w:line="249" w:lineRule="auto"/>
        <w:tabs>
          <w:tab w:leader="none" w:pos="48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utilize an estimated structural long-term non-GAAP tax rate in order to provide consistency across reporting periods, removing the effect of non-recurring tax adjustments, which include but are not limited to tax rate changes, U.S. tax reform, share-based compensation, audit conclusions and changes to valuation allowances. We used a structural non-GAAP tax rate of 26% for all periods which reflects the removal of the tax effect of non-GAAP pre-tax adjustments and non-recurring tax adjustments on a year-over-year basis. The non-GAAP tax rate could be subject to change for a variety of reasons, including the rapidly evolving global tax environment, significant changes in our geographic earnings mix including due to acquisition activity, or other changes to our strategy or business operations. We will re-evaluate our long-term non-GAAP tax rate as appropriate. We believe that making these adjustments facilitates a better evaluation of our current operating performance and comparisons to prior periods.</w:t>
      </w:r>
    </w:p>
    <w:p>
      <w:pPr>
        <w:spacing w:after="0" w:line="27" w:lineRule="exact"/>
        <w:rPr>
          <w:sz w:val="20"/>
          <w:szCs w:val="20"/>
          <w:color w:val="auto"/>
        </w:rPr>
      </w:pPr>
    </w:p>
    <w:p>
      <w:pPr>
        <w:ind w:left="480" w:hanging="326"/>
        <w:spacing w:after="0"/>
        <w:tabs>
          <w:tab w:leader="none" w:pos="48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Primarily consists of foreign currency gains and losses and expense related to our Receivables Purchase Facility.</w:t>
      </w:r>
    </w:p>
    <w:p>
      <w:pPr>
        <w:spacing w:after="0" w:line="59" w:lineRule="exact"/>
        <w:rPr>
          <w:rFonts w:ascii="Times New Roman" w:cs="Times New Roman" w:eastAsia="Times New Roman" w:hAnsi="Times New Roman"/>
          <w:sz w:val="16"/>
          <w:szCs w:val="16"/>
          <w:color w:val="auto"/>
        </w:rPr>
      </w:pPr>
    </w:p>
    <w:p>
      <w:pPr>
        <w:ind w:left="480" w:hanging="326"/>
        <w:spacing w:after="0"/>
        <w:tabs>
          <w:tab w:leader="none" w:pos="48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Excludes accelerated depreciation expense related to facility closures.</w:t>
      </w: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329" w:lineRule="exact"/>
        <w:rPr>
          <w:rFonts w:ascii="Times New Roman" w:cs="Times New Roman" w:eastAsia="Times New Roman" w:hAnsi="Times New Roman"/>
          <w:sz w:val="16"/>
          <w:szCs w:val="16"/>
          <w:color w:val="auto"/>
        </w:rPr>
      </w:pPr>
    </w:p>
    <w:p>
      <w:pPr>
        <w:ind w:left="5540" w:hanging="111"/>
        <w:spacing w:after="0"/>
        <w:tabs>
          <w:tab w:leader="none" w:pos="554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Earnings (Loss) Per Share</w:t>
      </w:r>
    </w:p>
    <w:p>
      <w:pPr>
        <w:spacing w:after="0" w:line="256"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color w:val="auto"/>
        </w:rPr>
        <w:t>We define Non-GAAP Earnings (Loss) per Share as Non-GAAP Net Income (Loss) divided by our GAAP weighted average number of shares outstanding for the period on a diluted basis and further adjusted for the weighted average number of shares associated with securities which are anti-dilutive to GAAP loss per share but dilutive to Non-GAAP Earnings (Loss) per Share. Management uses Non-GAAP Earnings (Loss) per Share to evaluate the performance of our business on a comparable basis from period to period, including by adjusting for the impact of the issuance of shares that would be dilutive to Non-GAAP Earnings (Loss) per Share. The following table reconciles Non-GAAP Earnings (Loss) per Share to our GAAP net loss per share on a diluted basis: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2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6"/>
                <w:szCs w:val="16"/>
                <w:b w:val="1"/>
                <w:bCs w:val="1"/>
                <w:color w:val="auto"/>
                <w:w w:val="99"/>
              </w:rPr>
              <w:t>Year Ended December 31,</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r>
      <w:tr>
        <w:trPr>
          <w:trHeight w:val="211"/>
        </w:trPr>
        <w:tc>
          <w:tcPr>
            <w:tcW w:w="6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 millions, except per share amounts)</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1"/>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attributable to common stockholders</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(804.8)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(837.8)</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(858.2)</w:t>
            </w:r>
          </w:p>
        </w:tc>
      </w:tr>
      <w:tr>
        <w:trPr>
          <w:trHeight w:val="213"/>
        </w:trPr>
        <w:tc>
          <w:tcPr>
            <w:tcW w:w="6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Non-GAAP Net Income (Loss)</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82.1</w:t>
            </w:r>
          </w:p>
        </w:tc>
        <w:tc>
          <w:tcPr>
            <w:tcW w:w="480" w:type="dxa"/>
            <w:vAlign w:val="bottom"/>
            <w:gridSpan w:val="3"/>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(63.5)</w:t>
            </w:r>
          </w:p>
        </w:tc>
      </w:tr>
      <w:tr>
        <w:trPr>
          <w:trHeight w:val="219"/>
        </w:trPr>
        <w:tc>
          <w:tcPr>
            <w:tcW w:w="62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13"/>
        </w:trPr>
        <w:tc>
          <w:tcPr>
            <w:tcW w:w="6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 average number of shares - Diluted</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215.3</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224.8</w:t>
            </w:r>
          </w:p>
        </w:tc>
      </w:tr>
      <w:tr>
        <w:trPr>
          <w:trHeight w:val="219"/>
        </w:trPr>
        <w:tc>
          <w:tcPr>
            <w:tcW w:w="628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 xml:space="preserve">Effect of dilutive securities </w:t>
            </w:r>
            <w:r>
              <w:rPr>
                <w:rFonts w:ascii="Times New Roman" w:cs="Times New Roman" w:eastAsia="Times New Roman" w:hAnsi="Times New Roman"/>
                <w:sz w:val="21"/>
                <w:szCs w:val="21"/>
                <w:color w:val="auto"/>
                <w:vertAlign w:val="superscript"/>
              </w:rPr>
              <w:t>(a)</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w:t>
            </w:r>
          </w:p>
        </w:tc>
      </w:tr>
      <w:tr>
        <w:trPr>
          <w:trHeight w:val="209"/>
        </w:trPr>
        <w:tc>
          <w:tcPr>
            <w:tcW w:w="62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Non-GAAP weighted average number of shares - Diluted</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212.5</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218.4</w:t>
            </w: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235.5</w:t>
            </w:r>
          </w:p>
        </w:tc>
      </w:tr>
      <w:tr>
        <w:trPr>
          <w:trHeight w:val="20"/>
        </w:trPr>
        <w:tc>
          <w:tcPr>
            <w:tcW w:w="62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83"/>
        </w:trPr>
        <w:tc>
          <w:tcPr>
            <w:tcW w:w="62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213"/>
        </w:trPr>
        <w:tc>
          <w:tcPr>
            <w:tcW w:w="6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 per share - Diluted</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(3.81)</w:t>
            </w:r>
          </w:p>
        </w:tc>
        <w:tc>
          <w:tcPr>
            <w:tcW w:w="480" w:type="dxa"/>
            <w:vAlign w:val="bottom"/>
            <w:gridSpan w:val="3"/>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(3.89)</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(3.82)</w:t>
            </w:r>
          </w:p>
        </w:tc>
      </w:tr>
      <w:tr>
        <w:trPr>
          <w:trHeight w:val="219"/>
        </w:trPr>
        <w:tc>
          <w:tcPr>
            <w:tcW w:w="628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 xml:space="preserve">Per share impacts of adjustments to net loss </w:t>
            </w:r>
            <w:r>
              <w:rPr>
                <w:rFonts w:ascii="Times New Roman" w:cs="Times New Roman" w:eastAsia="Times New Roman" w:hAnsi="Times New Roman"/>
                <w:sz w:val="21"/>
                <w:szCs w:val="21"/>
                <w:color w:val="auto"/>
                <w:vertAlign w:val="superscript"/>
              </w:rPr>
              <w:t>(b)</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w:t>
            </w:r>
          </w:p>
        </w:tc>
      </w:tr>
      <w:tr>
        <w:trPr>
          <w:trHeight w:val="216"/>
        </w:trPr>
        <w:tc>
          <w:tcPr>
            <w:tcW w:w="6280" w:type="dxa"/>
            <w:vAlign w:val="bottom"/>
            <w:tcBorders>
              <w:bottom w:val="single" w:sz="8" w:color="CCEEFF"/>
            </w:tcBorders>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Per share impacts of shares dilutive after adjustments to net loss </w:t>
            </w:r>
            <w:r>
              <w:rPr>
                <w:rFonts w:ascii="Times New Roman" w:cs="Times New Roman" w:eastAsia="Times New Roman" w:hAnsi="Times New Roman"/>
                <w:sz w:val="21"/>
                <w:szCs w:val="21"/>
                <w:color w:val="auto"/>
                <w:vertAlign w:val="superscript"/>
              </w:rPr>
              <w:t>(a)</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0.00</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0.00</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0.01</w:t>
            </w:r>
          </w:p>
        </w:tc>
      </w:tr>
      <w:tr>
        <w:trPr>
          <w:trHeight w:val="235"/>
        </w:trPr>
        <w:tc>
          <w:tcPr>
            <w:tcW w:w="62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Non-GAAP Earnings (Loss) Per Share</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0.39</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(0.24)</w:t>
            </w: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(0.27)</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108" w:lineRule="exact"/>
        <w:rPr>
          <w:sz w:val="20"/>
          <w:szCs w:val="20"/>
          <w:color w:val="auto"/>
        </w:rPr>
      </w:pPr>
    </w:p>
    <w:p>
      <w:pPr>
        <w:ind w:left="480" w:right="60" w:hanging="454"/>
        <w:spacing w:after="0" w:line="249" w:lineRule="auto"/>
        <w:tabs>
          <w:tab w:leader="none" w:pos="48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impact of awards that would have been anti-dilutive to net loss per share, and therefore not included in the calculation, but would be dilutive to Non-GAAP Earnings (Loss) Per Share and are therefore included in the share count for purposes of this non-GAAP measure. Potential common share equivalents consist of shares issuable upon the exercise of stock options, vesting of restricted stock units (including performance-based restricted stock units) or purchases under the ESPP, as well as contingent shares associated with our acquisition of Datapipe. Certain of our potential common share equivalents are contingent on certain investment funds managed by affiliates of Apollo achieving pre-established performance targets based on a MOIC, which are included in the denominator for the entire period if such shares would be issuable as of the end of the reporting period assuming the end of the reporting period was the end of the contingency period.</w:t>
      </w:r>
    </w:p>
    <w:p>
      <w:pPr>
        <w:spacing w:after="0" w:line="29" w:lineRule="exact"/>
        <w:rPr>
          <w:rFonts w:ascii="Times New Roman" w:cs="Times New Roman" w:eastAsia="Times New Roman" w:hAnsi="Times New Roman"/>
          <w:sz w:val="16"/>
          <w:szCs w:val="16"/>
          <w:color w:val="auto"/>
        </w:rPr>
      </w:pPr>
    </w:p>
    <w:p>
      <w:pPr>
        <w:ind w:left="480" w:right="520" w:hanging="454"/>
        <w:spacing w:after="0" w:line="280" w:lineRule="auto"/>
        <w:tabs>
          <w:tab w:leader="none" w:pos="48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the aggregate adjustments made to reconcile Non-GAAP Net Income (Loss) to our net loss, as noted in the above table, divided by the GAAP diluted number of shares outstanding for the relevant period.</w:t>
      </w: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316" w:lineRule="exact"/>
        <w:rPr>
          <w:rFonts w:ascii="Times New Roman" w:cs="Times New Roman" w:eastAsia="Times New Roman" w:hAnsi="Times New Roman"/>
          <w:sz w:val="16"/>
          <w:szCs w:val="16"/>
          <w:color w:val="auto"/>
        </w:rPr>
      </w:pPr>
    </w:p>
    <w:p>
      <w:pPr>
        <w:ind w:left="5540" w:hanging="111"/>
        <w:spacing w:after="0"/>
        <w:tabs>
          <w:tab w:leader="none" w:pos="554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56" w:lineRule="exact"/>
        <w:rPr>
          <w:sz w:val="20"/>
          <w:szCs w:val="20"/>
          <w:color w:val="auto"/>
        </w:rPr>
      </w:pPr>
    </w:p>
    <w:p>
      <w:pPr>
        <w:ind w:right="120" w:firstLine="486"/>
        <w:spacing w:after="0" w:line="253" w:lineRule="auto"/>
        <w:rPr>
          <w:sz w:val="20"/>
          <w:szCs w:val="20"/>
          <w:color w:val="auto"/>
        </w:rPr>
      </w:pPr>
      <w:r>
        <w:rPr>
          <w:rFonts w:ascii="Times New Roman" w:cs="Times New Roman" w:eastAsia="Times New Roman" w:hAnsi="Times New Roman"/>
          <w:sz w:val="18"/>
          <w:szCs w:val="18"/>
          <w:color w:val="auto"/>
        </w:rPr>
        <w:t>We primarily finance our operations and capital expenditures with internally-generated cash from operations and hardware leases, and if necessary, borrowings under the New Revolving Credit Facility. As of December 31, 2024, the New Revolving Credit Facility provided for up to $375 million of borrowings, none of which was drawn and outstanding as of December 31, 2024. Our primary uses of cash are working capital requirements, debt service requirements and capital expenditures. Based on our current level of operations and available cash, we believe our sources will provide sufficient liquidity over at least the next twelve months. We cannot provide assurance, however, that our business will generate sufficient cash flows from operations or that future borrowings will be available to us under the New Revolving Credit Facility or from other sources in an amount sufficient to enable us to pay our indebtedness or to fund our other liquidity needs. Our ability to do so depends on prevailing economic conditions and other factors, many of which are beyond our control. In addition, upon the occurrence of certain events, such as a change of control, we could be required to repay or refinance our indebtedness. We cannot assure that we will be able to refinance any of our indebtedness on commercially reasonable terms or at all. Any future acquisitions, joint ventures or other similar transactions will likely require additional capital, and there can be no assurance that any such capital will be available to us on acceptable terms or at all.</w:t>
      </w:r>
    </w:p>
    <w:p>
      <w:pPr>
        <w:spacing w:after="0" w:line="219"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From time to time, depending upon market and other conditions, as well as upon our cash balances and liquidity, we, our subsidiaries or our affiliates may acquire (and have acquired) our outstanding debt securities or our other indebtedness through open market purchases, privately negotiated transactions, tender offers, redemption or otherwise, upon such terms and at such prices as we, our subsidiaries or our affiliates may determine (or as may be provided for in the Indentures, if applicable), for cash or other consideration.</w:t>
      </w:r>
    </w:p>
    <w:p>
      <w:pPr>
        <w:spacing w:after="0" w:line="207" w:lineRule="exact"/>
        <w:rPr>
          <w:sz w:val="20"/>
          <w:szCs w:val="20"/>
          <w:color w:val="auto"/>
        </w:rPr>
      </w:pPr>
    </w:p>
    <w:p>
      <w:pPr>
        <w:ind w:right="20" w:firstLine="486"/>
        <w:spacing w:after="0" w:line="258" w:lineRule="auto"/>
        <w:rPr>
          <w:sz w:val="20"/>
          <w:szCs w:val="20"/>
          <w:color w:val="auto"/>
        </w:rPr>
      </w:pPr>
      <w:r>
        <w:rPr>
          <w:rFonts w:ascii="Times New Roman" w:cs="Times New Roman" w:eastAsia="Times New Roman" w:hAnsi="Times New Roman"/>
          <w:sz w:val="18"/>
          <w:szCs w:val="18"/>
          <w:color w:val="auto"/>
        </w:rPr>
        <w:t>On February 2, 2021, we issued 2,665,935 shares of common stock to DPH 123, LLC, an ABRY affiliate, for no additional consideration pursuant to the Agreement and Plan of Merger, dated as of September 6, 2017, (the "Datapipe Merger Agreement") in connection with our November 15, 2017 acquisition of Datapipe. We will be required to issue additional shares of our common stock to DPH 123, LLC based on the MOIC exceeding certain thresholds as defined in the Datapipe Merger Agreement. If the MOIC exceeds 3.0x, which is indicated by a volume weighted average trading price of our common stock over 30 consecutive trading days of more than $25.00, we will be required to issue an additional 2,665,935 shares.</w:t>
      </w:r>
    </w:p>
    <w:p>
      <w:pPr>
        <w:spacing w:after="0" w:line="210" w:lineRule="exact"/>
        <w:rPr>
          <w:sz w:val="20"/>
          <w:szCs w:val="20"/>
          <w:color w:val="auto"/>
        </w:rPr>
      </w:pPr>
    </w:p>
    <w:p>
      <w:pPr>
        <w:ind w:right="100" w:firstLine="486"/>
        <w:spacing w:after="0" w:line="261" w:lineRule="auto"/>
        <w:rPr>
          <w:sz w:val="20"/>
          <w:szCs w:val="20"/>
          <w:color w:val="auto"/>
        </w:rPr>
      </w:pPr>
      <w:r>
        <w:rPr>
          <w:rFonts w:ascii="Times New Roman" w:cs="Times New Roman" w:eastAsia="Times New Roman" w:hAnsi="Times New Roman"/>
          <w:sz w:val="18"/>
          <w:szCs w:val="18"/>
          <w:color w:val="auto"/>
        </w:rPr>
        <w:t>On March 3, 2022, our Board authorized a program to repurchase up to $75 million of shares of our common stock from time to time through open-market transactions, privately negotiated transactions, accelerated share repurchases and other transactions in accordance with applicable security laws. During the year ended December 31, 2022, we repurchased $31 million, or 3.1 million shares, of our common stock on the open market under this program. No shares were repurchased during the year ended December 31, 2023 and the program authorization expired on September 30, 2023.</w:t>
      </w:r>
    </w:p>
    <w:p>
      <w:pPr>
        <w:spacing w:after="0" w:line="207" w:lineRule="exact"/>
        <w:rPr>
          <w:sz w:val="20"/>
          <w:szCs w:val="20"/>
          <w:color w:val="auto"/>
        </w:rPr>
      </w:pPr>
    </w:p>
    <w:p>
      <w:pPr>
        <w:ind w:right="120" w:firstLine="486"/>
        <w:spacing w:after="0" w:line="258" w:lineRule="auto"/>
        <w:rPr>
          <w:sz w:val="20"/>
          <w:szCs w:val="20"/>
          <w:color w:val="auto"/>
        </w:rPr>
      </w:pPr>
      <w:r>
        <w:rPr>
          <w:rFonts w:ascii="Times New Roman" w:cs="Times New Roman" w:eastAsia="Times New Roman" w:hAnsi="Times New Roman"/>
          <w:sz w:val="18"/>
          <w:szCs w:val="18"/>
          <w:color w:val="auto"/>
        </w:rPr>
        <w:t>On September 29, 2023, indirect subsidiaries of the company entered into a revolving agreement where a bankruptcy-remote SPV can sell accounts receivable, based upon the face amount of eligible receivables in the collateral pool, up to an aggregate maximum limit of $300 million to a financial institution on a recurring basis in exchange for cash. On February 12, 2024, the revolving agreement was amended to include certain international subsidiaries of the company as parties to the agreement and Rackspace Receivables Canada Limited, a Canadian indirect subsidiary of the company, was established as an SPV.</w:t>
      </w:r>
    </w:p>
    <w:p>
      <w:pPr>
        <w:spacing w:after="0" w:line="210" w:lineRule="exact"/>
        <w:rPr>
          <w:sz w:val="20"/>
          <w:szCs w:val="20"/>
          <w:color w:val="auto"/>
        </w:rPr>
      </w:pPr>
    </w:p>
    <w:p>
      <w:pPr>
        <w:ind w:right="220" w:firstLine="486"/>
        <w:spacing w:after="0" w:line="282" w:lineRule="auto"/>
        <w:rPr>
          <w:sz w:val="20"/>
          <w:szCs w:val="20"/>
          <w:color w:val="auto"/>
        </w:rPr>
      </w:pPr>
      <w:r>
        <w:rPr>
          <w:rFonts w:ascii="Times New Roman" w:cs="Times New Roman" w:eastAsia="Times New Roman" w:hAnsi="Times New Roman"/>
          <w:sz w:val="18"/>
          <w:szCs w:val="18"/>
          <w:color w:val="auto"/>
        </w:rPr>
        <w:t>At December 31, 2024, we held $144 million in cash and cash equivalents (not including $3 million in restricted cash, which is included in "Other non-current assets"), of which $92 million was held by foreign entities.</w:t>
      </w:r>
    </w:p>
    <w:p>
      <w:pPr>
        <w:spacing w:after="0" w:line="189" w:lineRule="exact"/>
        <w:rPr>
          <w:sz w:val="20"/>
          <w:szCs w:val="20"/>
          <w:color w:val="auto"/>
        </w:rPr>
      </w:pPr>
    </w:p>
    <w:p>
      <w:pPr>
        <w:ind w:right="200" w:firstLine="486"/>
        <w:spacing w:after="0" w:line="261" w:lineRule="auto"/>
        <w:rPr>
          <w:sz w:val="20"/>
          <w:szCs w:val="20"/>
          <w:color w:val="auto"/>
        </w:rPr>
      </w:pPr>
      <w:r>
        <w:rPr>
          <w:rFonts w:ascii="Times New Roman" w:cs="Times New Roman" w:eastAsia="Times New Roman" w:hAnsi="Times New Roman"/>
          <w:sz w:val="18"/>
          <w:szCs w:val="18"/>
          <w:color w:val="auto"/>
        </w:rPr>
        <w:t>We have entered into installment payment arrangements with certain equipment and software vendors, along with sale-leaseback arrangements for equipment and certain property leases that are considered financing obligations. We had $56 million outstanding with respect to these arrangements as of December 31, 2024. We may choose to utilize these various sources of funding in future periods. Refer to Item 8 of Part II, Financial Statements and Supplementary Data - Note 9, "Financing Obligations" for more information regarding financing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- 71 -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00" w:firstLine="486"/>
        <w:spacing w:after="0" w:line="266" w:lineRule="auto"/>
        <w:rPr>
          <w:sz w:val="20"/>
          <w:szCs w:val="20"/>
          <w:color w:val="auto"/>
        </w:rPr>
      </w:pPr>
      <w:r>
        <w:rPr>
          <w:rFonts w:ascii="Times New Roman" w:cs="Times New Roman" w:eastAsia="Times New Roman" w:hAnsi="Times New Roman"/>
          <w:sz w:val="18"/>
          <w:szCs w:val="18"/>
          <w:color w:val="auto"/>
        </w:rPr>
        <w:t>We also lease certain equipment and real estate under operating and finance lease agreements. We had $480 million outstanding with respect to operating and finance lease agreements as of December 31, 2024. We may choose to utilize such leasing arrangements in future periods. Refer to Item 8 of Part II, Financial Statements and Supplementary Data - Note 8, "Leases" for more information regarding our operating and finance leases.</w:t>
      </w:r>
    </w:p>
    <w:p>
      <w:pPr>
        <w:spacing w:after="0" w:line="189" w:lineRule="exact"/>
        <w:rPr>
          <w:sz w:val="20"/>
          <w:szCs w:val="20"/>
          <w:color w:val="auto"/>
        </w:rPr>
      </w:pPr>
    </w:p>
    <w:p>
      <w:pPr>
        <w:ind w:right="20" w:firstLine="486"/>
        <w:spacing w:after="0" w:line="245" w:lineRule="auto"/>
        <w:rPr>
          <w:sz w:val="20"/>
          <w:szCs w:val="20"/>
          <w:color w:val="auto"/>
        </w:rPr>
      </w:pPr>
      <w:r>
        <w:rPr>
          <w:rFonts w:ascii="Times New Roman" w:cs="Times New Roman" w:eastAsia="Times New Roman" w:hAnsi="Times New Roman"/>
          <w:sz w:val="18"/>
          <w:szCs w:val="18"/>
          <w:color w:val="auto"/>
        </w:rPr>
        <w:t>As of December 31, 2024, we had $2,449 million aggregate principal amount outstanding under the FLSO Term Loan Facility, the FLFO Term Loan Facility, the Term Loan Facility, 3.50% FLSO Senior Secured Notes, 5.375% Senior Notes, and 3.50% Senior Secured Notes, with $375 million of borrowing capacity available under the New Revolving Credit Facility. Our liquidity requirements are significant, primarily due to debt service requirements.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w:t>
      </w:r>
    </w:p>
    <w:p>
      <w:pPr>
        <w:spacing w:after="0" w:line="256" w:lineRule="exact"/>
        <w:rPr>
          <w:sz w:val="20"/>
          <w:szCs w:val="20"/>
          <w:color w:val="auto"/>
        </w:rPr>
      </w:pPr>
    </w:p>
    <w:p>
      <w:pPr>
        <w:jc w:val="both"/>
        <w:ind w:right="160" w:firstLine="486"/>
        <w:spacing w:after="0" w:line="289" w:lineRule="auto"/>
        <w:rPr>
          <w:sz w:val="20"/>
          <w:szCs w:val="20"/>
          <w:color w:val="auto"/>
        </w:rPr>
      </w:pPr>
      <w:r>
        <w:rPr>
          <w:rFonts w:ascii="Times New Roman" w:cs="Times New Roman" w:eastAsia="Times New Roman" w:hAnsi="Times New Roman"/>
          <w:sz w:val="17"/>
          <w:szCs w:val="17"/>
          <w:color w:val="auto"/>
        </w:rPr>
        <w:t>In March 2024, we initiated a series of debt refinancing transactions that substantially impacted our existing debt instruments: the Senior Facilities, the 3.50% Senior Secured Notes, and the 5.375% Senior Notes. We also entered into new debt instruments: the New Senior Facilities, which includes the FLSO Term Loan Facility, the FLFO Term Loan Facility, and the New Revolving Credit Facility, and the 3.50% FLSO Senior Secured Notes.</w:t>
      </w:r>
    </w:p>
    <w:p>
      <w:pPr>
        <w:spacing w:after="0" w:line="185" w:lineRule="exact"/>
        <w:rPr>
          <w:sz w:val="20"/>
          <w:szCs w:val="20"/>
          <w:color w:val="auto"/>
        </w:rPr>
      </w:pPr>
    </w:p>
    <w:p>
      <w:pPr>
        <w:ind w:right="780" w:firstLine="486"/>
        <w:spacing w:after="0" w:line="282" w:lineRule="auto"/>
        <w:rPr>
          <w:sz w:val="20"/>
          <w:szCs w:val="20"/>
          <w:color w:val="auto"/>
        </w:rPr>
      </w:pPr>
      <w:r>
        <w:rPr>
          <w:rFonts w:ascii="Times New Roman" w:cs="Times New Roman" w:eastAsia="Times New Roman" w:hAnsi="Times New Roman"/>
          <w:sz w:val="18"/>
          <w:szCs w:val="18"/>
          <w:color w:val="auto"/>
        </w:rPr>
        <w:t>Refer to Item 8 of Part II, Financial Statements and Supplementary Data - Note 7, “Debt,” for more information regarding the March 2024 Refinancing Transactions and the related accounting impacts.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Debt Instruments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New Senior Facilities</w:t>
      </w:r>
    </w:p>
    <w:p>
      <w:pPr>
        <w:spacing w:after="0" w:line="254" w:lineRule="exact"/>
        <w:rPr>
          <w:sz w:val="20"/>
          <w:szCs w:val="20"/>
          <w:color w:val="auto"/>
        </w:rPr>
      </w:pPr>
    </w:p>
    <w:p>
      <w:pPr>
        <w:ind w:right="40" w:firstLine="486"/>
        <w:spacing w:after="0" w:line="266" w:lineRule="auto"/>
        <w:rPr>
          <w:sz w:val="20"/>
          <w:szCs w:val="20"/>
          <w:color w:val="auto"/>
        </w:rPr>
      </w:pPr>
      <w:r>
        <w:rPr>
          <w:rFonts w:ascii="Times New Roman" w:cs="Times New Roman" w:eastAsia="Times New Roman" w:hAnsi="Times New Roman"/>
          <w:sz w:val="18"/>
          <w:szCs w:val="18"/>
          <w:color w:val="auto"/>
        </w:rPr>
        <w:t>On March 12, 2024, Rackspace Finance Holdings, Rackspace Finance, the lenders and issuing banks party thereto and Citi, as the administrative agent and collateral agent, entered into the credit agreement governing the FLSO Term Loan Facility, FLFO Term Loan Facility and New Revolving Credit Facility (together, the “New Senior Facilities”) (the “New First Lien Credit Agreement”).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FLSO Term Loan Facility</w:t>
      </w:r>
    </w:p>
    <w:p>
      <w:pPr>
        <w:spacing w:after="0" w:line="252" w:lineRule="exact"/>
        <w:rPr>
          <w:sz w:val="20"/>
          <w:szCs w:val="20"/>
          <w:color w:val="auto"/>
        </w:rPr>
      </w:pPr>
    </w:p>
    <w:p>
      <w:pPr>
        <w:ind w:right="80" w:firstLine="486"/>
        <w:spacing w:after="0" w:line="282" w:lineRule="auto"/>
        <w:rPr>
          <w:sz w:val="20"/>
          <w:szCs w:val="20"/>
          <w:color w:val="auto"/>
        </w:rPr>
      </w:pPr>
      <w:r>
        <w:rPr>
          <w:rFonts w:ascii="Times New Roman" w:cs="Times New Roman" w:eastAsia="Times New Roman" w:hAnsi="Times New Roman"/>
          <w:sz w:val="18"/>
          <w:szCs w:val="18"/>
          <w:color w:val="auto"/>
        </w:rPr>
        <w:t>Rackspace Finance issued the FLSO Term Loan Facility in an aggregate principal amount of $1,687 million. The FLSO Term Loan Facility matures on May 15, 2028.</w:t>
      </w:r>
    </w:p>
    <w:p>
      <w:pPr>
        <w:spacing w:after="0" w:line="189"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As of December 31, 2024, the contractual interest rate on the FLSO Term Loan Facility was 7.35%. We are required to make quarterly principal payments of $4 million, which began on March 31, 2024.</w:t>
      </w:r>
    </w:p>
    <w:p>
      <w:pPr>
        <w:spacing w:after="0" w:line="18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Rackspace Finance is the borrower and all obligations under the FLSO Term Loan Facility are guaranteed on a senior secured basis, jointly and severally, by Rackspace Finance Holdings on a limited-recourse basis and by certain of Rackspace Finance’s subsidiaries (the “Subsidiary Guarantors”). The obligations under the FLSO Term Loan Facility are secured by a pledge of Rackspace Finance’s capital stock directly held by Rackspace Finance Holdings and substantially all of Rackspace Finance’s and the Subsidiary Guarantors’ assets, subject to exceptions.</w:t>
      </w:r>
    </w:p>
    <w:p>
      <w:pPr>
        <w:spacing w:after="0" w:line="207"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2024, Rackspace Finance repurchased and surrendered for cancellation an aggregate $43 million principal amount of the FLSO Term Loan Facility for $21 million.</w:t>
      </w:r>
    </w:p>
    <w:p>
      <w:pPr>
        <w:spacing w:after="0" w:line="1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December 31, 2024, $1,627 million in aggregate principal amount of the FLSO Term Loan Facility remained outstanding.</w:t>
      </w:r>
    </w:p>
    <w:p>
      <w:pPr>
        <w:spacing w:after="0" w:line="25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have entered into interest rate swap agreements to manage the interest rate risk associated with interest payments on the FLSO Term Loan Facility that result from fluctuations in Term SOFR. See Item 8 of Part II, Financial Statements and Supplementary Data - Note 14, "Derivatives" for more information on the interest rate swap agreements.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FLFO Term Loan Facility</w:t>
      </w:r>
    </w:p>
    <w:p>
      <w:pPr>
        <w:spacing w:after="0" w:line="252" w:lineRule="exact"/>
        <w:rPr>
          <w:sz w:val="20"/>
          <w:szCs w:val="20"/>
          <w:color w:val="auto"/>
        </w:rPr>
      </w:pPr>
    </w:p>
    <w:p>
      <w:pPr>
        <w:ind w:right="180" w:firstLine="486"/>
        <w:spacing w:after="0" w:line="282" w:lineRule="auto"/>
        <w:rPr>
          <w:sz w:val="20"/>
          <w:szCs w:val="20"/>
          <w:color w:val="auto"/>
        </w:rPr>
      </w:pPr>
      <w:r>
        <w:rPr>
          <w:rFonts w:ascii="Times New Roman" w:cs="Times New Roman" w:eastAsia="Times New Roman" w:hAnsi="Times New Roman"/>
          <w:sz w:val="18"/>
          <w:szCs w:val="18"/>
          <w:color w:val="auto"/>
        </w:rPr>
        <w:t>Rackspace Finance issued the FLFO Term Loan Facility in an aggregate principal amount $275 million. The FLFO Term Loan Facility matures on May 15, 2028.</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- 72 -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As of December 31, 2024, the contractual interest rate on the FLFO Term Loan Facility was 10.85%. We are required to make quarterly principal payments of $0.7 million, which began on June 30, 2024.</w:t>
      </w:r>
    </w:p>
    <w:p>
      <w:pPr>
        <w:spacing w:after="0" w:line="189" w:lineRule="exact"/>
        <w:rPr>
          <w:sz w:val="20"/>
          <w:szCs w:val="20"/>
          <w:color w:val="auto"/>
        </w:rPr>
      </w:pPr>
    </w:p>
    <w:p>
      <w:pPr>
        <w:jc w:val="both"/>
        <w:ind w:right="420" w:firstLine="486"/>
        <w:spacing w:after="0" w:line="261" w:lineRule="auto"/>
        <w:rPr>
          <w:sz w:val="20"/>
          <w:szCs w:val="20"/>
          <w:color w:val="auto"/>
        </w:rPr>
      </w:pPr>
      <w:r>
        <w:rPr>
          <w:rFonts w:ascii="Times New Roman" w:cs="Times New Roman" w:eastAsia="Times New Roman" w:hAnsi="Times New Roman"/>
          <w:sz w:val="18"/>
          <w:szCs w:val="18"/>
          <w:color w:val="auto"/>
        </w:rPr>
        <w:t>Rackspace Finance is the borrower and all obligations under the FLFO Term Loan Facility are guaranteed on a senior secured basis, jointly and severally, by Rackspace Finance Holdings on a limited-recourse basis and by the Subsidiary Guarantors. The obligations under the FLFO Term Loan Facility are secured by the same collateral that secures the FLSO Term Loan Facility, the New Revolving Credit Facility and the 3.50% FLSO Senior Secured Notes.</w:t>
      </w:r>
    </w:p>
    <w:p>
      <w:pPr>
        <w:spacing w:after="0" w:line="20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December 31, 2024, $273 million aggregate principal amount of the FLFO Term Loan Facility remained outstanding.</w:t>
      </w:r>
    </w:p>
    <w:p>
      <w:pPr>
        <w:spacing w:after="0" w:line="25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have entered into interest rate swap agreements to manage the interest rate risk associated with interest payments on the FLFO Term Loan Facility that result from fluctuations in Term SOFR. See Item 8 of Part II, Financial Statements and Supplementary Data - Note 14, "Derivatives" for more information on the interest rate swap agreements.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New Revolving Credit Facility</w:t>
      </w:r>
    </w:p>
    <w:p>
      <w:pPr>
        <w:spacing w:after="0" w:line="25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Rackspace Finance established the New Revolving Credit Facility in an aggregate principal amount of $375 million of commitments. All revolving lenders under the prior Revolving Credit Facility exchanged their revolving loan commitments for commitments in respect of the New Revolving Credit Facility, which replaces in full the prior Revolving Credit Facility. The New Revolving Credit Facility matures on May 15, 2028.</w:t>
      </w:r>
    </w:p>
    <w:p>
      <w:pPr>
        <w:spacing w:after="0" w:line="203"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New Revolving Credit Facility includes a commitment fee equal to 0.50% per annum in respect of the unused commitments that is due quarterly. This fee is subject to one step-down based on the net first lien leverage ratio.</w:t>
      </w:r>
    </w:p>
    <w:p>
      <w:pPr>
        <w:spacing w:after="0" w:line="18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Rackspace Finance is the borrower and all obligations under the New Revolving Credit Facility are guaranteed on a senior secured basis, jointly and severally, by Rackspace Finance Holdings on a limited-recourse basis and by the Subsidiary Guarantors. The obligations under the New Revolving Credit Facility are secured by the same collateral that secures the FLSO Term Loan Facility, the FLFO Term Loan Facility and the 3.50% FLSO Senior Secured Notes.</w:t>
      </w:r>
    </w:p>
    <w:p>
      <w:pPr>
        <w:spacing w:after="0" w:line="207"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As of December 31, 2024, we had total commitments of $375 million, no outstanding borrowings under the New Revolving Credit Facility, and $24 million of letters of credit issued thereunder. As such, as of December 31, 2024, we had $375 million of available commitments remaining.</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3.50% FLSO Senior Secured Notes due 2028</w:t>
      </w:r>
    </w:p>
    <w:p>
      <w:pPr>
        <w:spacing w:after="0" w:line="2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On March 12, 2024, Rackspace Finance issued $267 million initial aggregate principal amount of 3.50% FLSO Senior Secured Notes. The 3.50%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FLSO Senior Secured Notes will mature on May 15, 2028 and bear interest at an annual fixed rate of 3.50%. Interest is payable semiannually on each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15 and August 15, commencing on August 15, 2024.</w:t>
      </w:r>
    </w:p>
    <w:p>
      <w:pPr>
        <w:spacing w:after="0" w:line="23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On April 16, 2024, we completed the Public Note Exchange, pursuant to which (i) $138 million aggregate principal amount of the existing 3.50% Senior Secured Notes were exchanged or purchased for cancellation and (ii) $97 million aggregate principal amount of 3.50% FLSO Senior Secured Notes were issued by Rackspace Finance.</w:t>
      </w:r>
    </w:p>
    <w:p>
      <w:pPr>
        <w:spacing w:after="0" w:line="203"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Rackspace Finance is the borrower and all obligations under the 3.50% FLSO Senior Secured Notes are fully and unconditionally guaranteed, jointly and severally, by Rackspace Finance Holdings on a limited-recourse basis and by the Subsidiary Guarantors. The obligations under the 3.50% FLSO Senior Secured Notes are secured by the same collateral that secures the FLSO Term Loan Facility, the FLFO Term Loan Facility and the New Revolving Credit Facility.</w:t>
      </w:r>
    </w:p>
    <w:p>
      <w:pPr>
        <w:spacing w:after="0" w:line="207"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2024, Rackspace Finance repurchased and surrendered for cancellation $46 million principal amount of the 3.50% FLSO Senior Secured Notes for $19 million, including accrued interest of $0.4 million.</w:t>
      </w:r>
    </w:p>
    <w:p>
      <w:pPr>
        <w:spacing w:after="0" w:line="1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December 31, 2024, $319 million aggregate principal amount of the 3.50% FLSO Senior Secured Notes were outstanding.</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- 73 -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Existing Debt Instruments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Facilities</w:t>
      </w:r>
    </w:p>
    <w:p>
      <w:pPr>
        <w:spacing w:after="0" w:line="254" w:lineRule="exact"/>
        <w:rPr>
          <w:sz w:val="20"/>
          <w:szCs w:val="20"/>
          <w:color w:val="auto"/>
        </w:rPr>
      </w:pPr>
    </w:p>
    <w:p>
      <w:pPr>
        <w:ind w:right="320" w:firstLine="486"/>
        <w:spacing w:after="0" w:line="266" w:lineRule="auto"/>
        <w:rPr>
          <w:sz w:val="20"/>
          <w:szCs w:val="20"/>
          <w:color w:val="auto"/>
        </w:rPr>
      </w:pPr>
      <w:r>
        <w:rPr>
          <w:rFonts w:ascii="Times New Roman" w:cs="Times New Roman" w:eastAsia="Times New Roman" w:hAnsi="Times New Roman"/>
          <w:sz w:val="18"/>
          <w:szCs w:val="18"/>
          <w:color w:val="auto"/>
        </w:rPr>
        <w:t>On February 9, 2021, we amended and restated the First Lien Credit Agreement, which included a new seven-year $2,300 million Term Loan Facility and the prior Revolving Credit Facility, which we refer to together as the Senior Facilities. The Term Loan Facility will mature on February 15, 2028 and the prior Revolving Credit Facility was set to mature on August 7, 2025.</w:t>
      </w:r>
    </w:p>
    <w:p>
      <w:pPr>
        <w:spacing w:after="0" w:line="203" w:lineRule="exact"/>
        <w:rPr>
          <w:sz w:val="20"/>
          <w:szCs w:val="20"/>
          <w:color w:val="auto"/>
        </w:rPr>
      </w:pPr>
    </w:p>
    <w:p>
      <w:pPr>
        <w:ind w:right="220" w:firstLine="486"/>
        <w:spacing w:after="0" w:line="282" w:lineRule="auto"/>
        <w:rPr>
          <w:sz w:val="20"/>
          <w:szCs w:val="20"/>
          <w:color w:val="auto"/>
        </w:rPr>
      </w:pPr>
      <w:r>
        <w:rPr>
          <w:rFonts w:ascii="Times New Roman" w:cs="Times New Roman" w:eastAsia="Times New Roman" w:hAnsi="Times New Roman"/>
          <w:sz w:val="18"/>
          <w:szCs w:val="18"/>
          <w:color w:val="auto"/>
        </w:rPr>
        <w:t>On April 26, 2023, we executed an amendment to our First Lien Credit Agreement to establish Term SOFR as the benchmark rate for determining the applicable interest rate, replacing LIBOR.</w:t>
      </w:r>
    </w:p>
    <w:p>
      <w:pPr>
        <w:spacing w:after="0" w:line="189" w:lineRule="exact"/>
        <w:rPr>
          <w:sz w:val="20"/>
          <w:szCs w:val="20"/>
          <w:color w:val="auto"/>
        </w:rPr>
      </w:pPr>
    </w:p>
    <w:p>
      <w:pPr>
        <w:ind w:right="140" w:firstLine="486"/>
        <w:spacing w:after="0" w:line="269" w:lineRule="auto"/>
        <w:rPr>
          <w:sz w:val="20"/>
          <w:szCs w:val="20"/>
          <w:color w:val="auto"/>
        </w:rPr>
      </w:pPr>
      <w:r>
        <w:rPr>
          <w:rFonts w:ascii="Times New Roman" w:cs="Times New Roman" w:eastAsia="Times New Roman" w:hAnsi="Times New Roman"/>
          <w:sz w:val="17"/>
          <w:szCs w:val="17"/>
          <w:color w:val="auto"/>
        </w:rPr>
        <w:t>Borrowings under the Senior Facilities bear interest at an annual rate equal to an applicable margin plus, at our option, either (a) Term SOFR equal to the forward-looking term rate, based on the secured overnight financing rate as administered by the Federal Reserve Bank of New York, for the interest period relevant to such borrowing, plus a credit spread adjustment of 0.11% for an interest period of one-month's duration, 0.26% for an interest period of three-months' duration, and 0.43% for an interest period of six-months' duration, subject to a 0.75% floor, in the case of the Term Loan Facility, and a 1.00% floor, in the case of the prior Revolving Credit Facility, or (b) a base rate determined by reference to the highest of (i) the federal funds rate plus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0.50%, (ii) the prime rate last quoted by The Wall Street Journal and (iii) adjusted Term SOFR for a one-month tenor plus 1.00%.</w:t>
      </w:r>
    </w:p>
    <w:p>
      <w:pPr>
        <w:spacing w:after="0" w:line="234" w:lineRule="exact"/>
        <w:rPr>
          <w:sz w:val="20"/>
          <w:szCs w:val="20"/>
          <w:color w:val="auto"/>
        </w:rPr>
      </w:pPr>
    </w:p>
    <w:p>
      <w:pPr>
        <w:ind w:right="60" w:firstLine="486"/>
        <w:spacing w:after="0" w:line="266" w:lineRule="auto"/>
        <w:rPr>
          <w:sz w:val="20"/>
          <w:szCs w:val="20"/>
          <w:color w:val="auto"/>
        </w:rPr>
      </w:pPr>
      <w:r>
        <w:rPr>
          <w:rFonts w:ascii="Times New Roman" w:cs="Times New Roman" w:eastAsia="Times New Roman" w:hAnsi="Times New Roman"/>
          <w:sz w:val="18"/>
          <w:szCs w:val="18"/>
          <w:color w:val="auto"/>
        </w:rPr>
        <w:t>The applicable margin for the Term Loan Facility is 2.75% for SOFR loans and 1.75% for base rate loans and the applicable margin for the Revolving Credit Facility was 3.00% for SOFR loans and 2.00% for base rate loans. Interest is due at the end of each interest period elected, not exceeding 90 days, for SOFR loans and at the end of every calendar quarter for base rate loans.</w:t>
      </w:r>
    </w:p>
    <w:p>
      <w:pPr>
        <w:spacing w:after="0" w:line="203" w:lineRule="exact"/>
        <w:rPr>
          <w:sz w:val="20"/>
          <w:szCs w:val="20"/>
          <w:color w:val="auto"/>
        </w:rPr>
      </w:pPr>
    </w:p>
    <w:p>
      <w:pPr>
        <w:ind w:right="580" w:firstLine="486"/>
        <w:spacing w:after="0" w:line="282" w:lineRule="auto"/>
        <w:rPr>
          <w:sz w:val="20"/>
          <w:szCs w:val="20"/>
          <w:color w:val="auto"/>
        </w:rPr>
      </w:pPr>
      <w:r>
        <w:rPr>
          <w:rFonts w:ascii="Times New Roman" w:cs="Times New Roman" w:eastAsia="Times New Roman" w:hAnsi="Times New Roman"/>
          <w:sz w:val="18"/>
          <w:szCs w:val="18"/>
          <w:color w:val="auto"/>
        </w:rPr>
        <w:t>The Revolving Credit Facility also included a commitment fee equal to 0.50% per annum in respect of the unused commitments that was due quarterly. This fee was subject to one step-down based on the net first lien leverage ratio.</w:t>
      </w:r>
    </w:p>
    <w:p>
      <w:pPr>
        <w:spacing w:after="0" w:line="189" w:lineRule="exact"/>
        <w:rPr>
          <w:sz w:val="20"/>
          <w:szCs w:val="20"/>
          <w:color w:val="auto"/>
        </w:rPr>
      </w:pPr>
    </w:p>
    <w:p>
      <w:pPr>
        <w:ind w:right="380" w:firstLine="486"/>
        <w:spacing w:after="0" w:line="258" w:lineRule="auto"/>
        <w:rPr>
          <w:sz w:val="20"/>
          <w:szCs w:val="20"/>
          <w:color w:val="auto"/>
        </w:rPr>
      </w:pPr>
      <w:r>
        <w:rPr>
          <w:rFonts w:ascii="Times New Roman" w:cs="Times New Roman" w:eastAsia="Times New Roman" w:hAnsi="Times New Roman"/>
          <w:sz w:val="18"/>
          <w:szCs w:val="18"/>
          <w:color w:val="auto"/>
        </w:rPr>
        <w:t>In addition to the quarterly amortization payments discussed above, our Senior Facilities require us to make certain mandatory prepayments, including using (i) a portion of annual excess cash flow, as defined in the First Lien Credit Agreement, to prepay the Term Loan Facility, (ii) net cash proceeds of certain non-ordinary assets sales or dispositions of property to prepay the Term Loan Facility and (iii) net cash proceeds of any issuance or incurrence of debt not permitted under the Senior Facilities to prepay the Term Loan Facility. We can make voluntary prepayments at any time without penalty.</w:t>
      </w:r>
    </w:p>
    <w:p>
      <w:pPr>
        <w:spacing w:after="0" w:line="210"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Rackspace Technology Global, our wholly-owned subsidiary, is the borrower under the Senior Facilities, and all obligations under the Senior Facilities are (i) guaranteed by Inception Parent, Rackspace Technology Global’s immediate parent company, on a limited recourse basis and secured by the equity interests of Rackspace Technology Global held by Inception Parent and (ii) guaranteed by Rackspace Technology Global’s wholly-owned domestic restricted subsidiaries and secured by substantially all material owned assets of Rackspace Technology Global and the subsidiary guarantors, including the equity interests held by each, in each case subject to certain exceptions.</w:t>
      </w:r>
    </w:p>
    <w:p>
      <w:pPr>
        <w:spacing w:after="0" w:line="210" w:lineRule="exact"/>
        <w:rPr>
          <w:sz w:val="20"/>
          <w:szCs w:val="20"/>
          <w:color w:val="auto"/>
        </w:rPr>
      </w:pPr>
    </w:p>
    <w:p>
      <w:pPr>
        <w:ind w:right="220" w:firstLine="486"/>
        <w:spacing w:after="0" w:line="282" w:lineRule="auto"/>
        <w:rPr>
          <w:sz w:val="20"/>
          <w:szCs w:val="20"/>
          <w:color w:val="auto"/>
        </w:rPr>
      </w:pPr>
      <w:r>
        <w:rPr>
          <w:rFonts w:ascii="Times New Roman" w:cs="Times New Roman" w:eastAsia="Times New Roman" w:hAnsi="Times New Roman"/>
          <w:sz w:val="18"/>
          <w:szCs w:val="18"/>
          <w:color w:val="auto"/>
        </w:rPr>
        <w:t>As a result of the March 2024 Refinancing Transactions, discussed above, over 97% of the $2,181 million aggregate principal amount of the Term Loan Facility outstanding as of December 31, 2023 was exchanged or purchased for cancellation.</w:t>
      </w:r>
    </w:p>
    <w:p>
      <w:pPr>
        <w:spacing w:after="0" w:line="189" w:lineRule="exact"/>
        <w:rPr>
          <w:sz w:val="20"/>
          <w:szCs w:val="20"/>
          <w:color w:val="auto"/>
        </w:rPr>
      </w:pPr>
    </w:p>
    <w:p>
      <w:pPr>
        <w:ind w:right="420" w:firstLine="486"/>
        <w:spacing w:after="0" w:line="282" w:lineRule="auto"/>
        <w:rPr>
          <w:sz w:val="20"/>
          <w:szCs w:val="20"/>
          <w:color w:val="auto"/>
        </w:rPr>
      </w:pPr>
      <w:r>
        <w:rPr>
          <w:rFonts w:ascii="Times New Roman" w:cs="Times New Roman" w:eastAsia="Times New Roman" w:hAnsi="Times New Roman"/>
          <w:sz w:val="18"/>
          <w:szCs w:val="18"/>
          <w:color w:val="auto"/>
        </w:rPr>
        <w:t>As of December 31, 2024, the interest rate on the Term Loan Facility was 7.35% and the outstanding principal balance was $62 million. We are required to make quarterly principal payments of $0.2 million, with the balance due at maturity on February 15, 2028.</w:t>
      </w:r>
    </w:p>
    <w:p>
      <w:pPr>
        <w:spacing w:after="0" w:line="189" w:lineRule="exact"/>
        <w:rPr>
          <w:sz w:val="20"/>
          <w:szCs w:val="20"/>
          <w:color w:val="auto"/>
        </w:rPr>
      </w:pPr>
    </w:p>
    <w:p>
      <w:pPr>
        <w:jc w:val="both"/>
        <w:ind w:right="100" w:firstLine="486"/>
        <w:spacing w:after="0" w:line="266" w:lineRule="auto"/>
        <w:rPr>
          <w:sz w:val="20"/>
          <w:szCs w:val="20"/>
          <w:color w:val="auto"/>
        </w:rPr>
      </w:pPr>
      <w:r>
        <w:rPr>
          <w:rFonts w:ascii="Times New Roman" w:cs="Times New Roman" w:eastAsia="Times New Roman" w:hAnsi="Times New Roman"/>
          <w:sz w:val="18"/>
          <w:szCs w:val="18"/>
          <w:color w:val="auto"/>
        </w:rPr>
        <w:t>We have entered into interest rate swap agreements to manage the interest rate risk associated with interest payments on the Term Loan Facility that result from fluctuations in Term SOFR. See Item 8 of Part II, Financial Statements and Supplementary Data - Note 14, "Derivatives" for more information on the interest rate swap agreements.</w:t>
      </w:r>
    </w:p>
    <w:p>
      <w:pPr>
        <w:spacing w:after="0" w:line="203" w:lineRule="exact"/>
        <w:rPr>
          <w:sz w:val="20"/>
          <w:szCs w:val="20"/>
          <w:color w:val="auto"/>
        </w:rPr>
      </w:pPr>
    </w:p>
    <w:p>
      <w:pPr>
        <w:ind w:right="60" w:firstLine="486"/>
        <w:spacing w:after="0" w:line="282" w:lineRule="auto"/>
        <w:rPr>
          <w:sz w:val="20"/>
          <w:szCs w:val="20"/>
          <w:color w:val="auto"/>
        </w:rPr>
      </w:pPr>
      <w:r>
        <w:rPr>
          <w:rFonts w:ascii="Times New Roman" w:cs="Times New Roman" w:eastAsia="Times New Roman" w:hAnsi="Times New Roman"/>
          <w:sz w:val="18"/>
          <w:szCs w:val="18"/>
          <w:color w:val="auto"/>
        </w:rPr>
        <w:t>In conjunction with the March 2024 Refinancing Transactions, the prior Revolving Credit Facility was replaced in full by the New Revolving Credit Facility.</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- 74 -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3.50% Senior Secured Notes</w:t>
      </w:r>
    </w:p>
    <w:p>
      <w:pPr>
        <w:spacing w:after="0" w:line="2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On February 9, 2021, Rackspace Technology Global issued $550 million aggregate principal amount of 3.50% Senior Secured Notes. The 3.50%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Secured Notes will mature on February 15, 2028 and bear interest at an annual fixed rate of 3.50%. Interest is payable semiannually on each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15 and August 15, commencing on August 15, 2021. The 3.50% Senior Secured Notes are not subject to registration rights.</w:t>
      </w:r>
    </w:p>
    <w:p>
      <w:pPr>
        <w:spacing w:after="0" w:line="234"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Rackspace Technology Global is the issuer of the 3.50% Senior Secured Notes, and obligations under the 3.50% Senior Secured Notes are fully and unconditionally guaranteed, jointly and severally, by all of Rackspace Technology Global’s wholly-owned domestic restricted subsidiaries (as subsidiary guarantors) that guarantee the Senior Facilities. The 3.50% Senior Secured Notes and the related guarantees are secured by first-priority security interests in substantially all material owned assets of Rackspace Technology Global and the subsidiary guarantors, including the equity interest held by each, subject to certain exceptions, which assets also secure the Senior Facilities. The 3.50% Notes Indenture describes certain terms and conditions under which other current and future domestic subsidiaries are required to become guarantors of the 3.50% Senior Secured Notes.</w:t>
      </w:r>
    </w:p>
    <w:p>
      <w:pPr>
        <w:spacing w:after="0" w:line="214" w:lineRule="exact"/>
        <w:rPr>
          <w:sz w:val="20"/>
          <w:szCs w:val="20"/>
          <w:color w:val="auto"/>
        </w:rPr>
      </w:pPr>
    </w:p>
    <w:p>
      <w:pPr>
        <w:ind w:right="60" w:firstLine="486"/>
        <w:spacing w:after="0" w:line="254" w:lineRule="auto"/>
        <w:rPr>
          <w:sz w:val="20"/>
          <w:szCs w:val="20"/>
          <w:color w:val="auto"/>
        </w:rPr>
      </w:pPr>
      <w:r>
        <w:rPr>
          <w:rFonts w:ascii="Times New Roman" w:cs="Times New Roman" w:eastAsia="Times New Roman" w:hAnsi="Times New Roman"/>
          <w:sz w:val="18"/>
          <w:szCs w:val="18"/>
          <w:color w:val="auto"/>
        </w:rPr>
        <w:t>Rackspace Technology Global may redeem the 3.50% Senior Secured Notes at its option, in whole at any time or in part from time to time, at the following redemption prices: from February 15, 2024 to February 14, 2025, at a redemption price equal to 101.750% of the principal amount, plus accrued and unpaid interest, if any, to but excluding the redemption date; from February 15, 2025 to February 14, 2026, at a redemption price equal to 100.875% of the principal amount, plus accrued and unpaid interest, if any, to but excluding the redemption date; and from February 15, 2026 and thereafter, at a redemption price equal to 100.000% of the principal amount, plus accrued and unpaid interest, if any, to but excluding the redemption date. Notwithstanding the foregoing, Rackspace Technology Global may redeem during each twelve-month period, commencing with February 9, 2021, up to 10.0% of the original aggregate principal amount of the 3.50% Senior Secured Notes at a redemption price of 103.000%, plus accrued and unpaid interest, if any, to, but excluding, the applicable redemption date.</w:t>
      </w:r>
    </w:p>
    <w:p>
      <w:pPr>
        <w:spacing w:after="0" w:line="219" w:lineRule="exact"/>
        <w:rPr>
          <w:sz w:val="20"/>
          <w:szCs w:val="20"/>
          <w:color w:val="auto"/>
        </w:rPr>
      </w:pPr>
    </w:p>
    <w:p>
      <w:pPr>
        <w:ind w:right="380" w:firstLine="486"/>
        <w:spacing w:after="0" w:line="282" w:lineRule="auto"/>
        <w:rPr>
          <w:sz w:val="20"/>
          <w:szCs w:val="20"/>
          <w:color w:val="auto"/>
        </w:rPr>
      </w:pPr>
      <w:r>
        <w:rPr>
          <w:rFonts w:ascii="Times New Roman" w:cs="Times New Roman" w:eastAsia="Times New Roman" w:hAnsi="Times New Roman"/>
          <w:sz w:val="18"/>
          <w:szCs w:val="18"/>
          <w:color w:val="auto"/>
        </w:rPr>
        <w:t>As a result of the March 2024 Refinancing Transactions, over 91% of the $514 million aggregate principal amount of the 3.50% Senior Secured Notes outstanding as of December 31, 2023 was exchanged or purchased for cancellation.</w:t>
      </w:r>
    </w:p>
    <w:p>
      <w:pPr>
        <w:spacing w:after="0" w:line="1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December 31, 2024, $44 million aggregate principal amount of the 3.50% Senior Secured Notes remained outstanding.</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5.375% Senior Notes</w:t>
      </w:r>
    </w:p>
    <w:p>
      <w:pPr>
        <w:spacing w:after="0" w:line="254" w:lineRule="exact"/>
        <w:rPr>
          <w:sz w:val="20"/>
          <w:szCs w:val="20"/>
          <w:color w:val="auto"/>
        </w:rPr>
      </w:pPr>
    </w:p>
    <w:p>
      <w:pPr>
        <w:ind w:right="60" w:firstLine="486"/>
        <w:spacing w:after="0" w:line="266" w:lineRule="auto"/>
        <w:rPr>
          <w:sz w:val="20"/>
          <w:szCs w:val="20"/>
          <w:color w:val="auto"/>
        </w:rPr>
      </w:pPr>
      <w:r>
        <w:rPr>
          <w:rFonts w:ascii="Times New Roman" w:cs="Times New Roman" w:eastAsia="Times New Roman" w:hAnsi="Times New Roman"/>
          <w:sz w:val="18"/>
          <w:szCs w:val="18"/>
          <w:color w:val="auto"/>
        </w:rPr>
        <w:t>Rackspace Technology Global issued $550 million aggregate principal amount of the 5.375% Senior Notes on December 1, 2020. The 5.375% Senior Notes will mature on December 1, 2028 and bear interest at a fixed rate of 5.375% per year, payable semi-annually on each June 1 and December 1, commencing on June 1, 2021. The 5.375% Senior Notes are not subject to registration rights.</w:t>
      </w:r>
    </w:p>
    <w:p>
      <w:pPr>
        <w:spacing w:after="0" w:line="203" w:lineRule="exact"/>
        <w:rPr>
          <w:sz w:val="20"/>
          <w:szCs w:val="20"/>
          <w:color w:val="auto"/>
        </w:rPr>
      </w:pPr>
    </w:p>
    <w:p>
      <w:pPr>
        <w:ind w:right="20" w:firstLine="486"/>
        <w:spacing w:after="0" w:line="258" w:lineRule="auto"/>
        <w:rPr>
          <w:sz w:val="20"/>
          <w:szCs w:val="20"/>
          <w:color w:val="auto"/>
        </w:rPr>
      </w:pPr>
      <w:r>
        <w:rPr>
          <w:rFonts w:ascii="Times New Roman" w:cs="Times New Roman" w:eastAsia="Times New Roman" w:hAnsi="Times New Roman"/>
          <w:sz w:val="18"/>
          <w:szCs w:val="18"/>
          <w:color w:val="auto"/>
        </w:rPr>
        <w:t>Rackspace Technology Global is the issuer of the 5.375% Senior Notes, and obligations under the 5.375% Senior Notes are guaranteed on a senior unsecured basis by all of Rackspace Technology Global’s wholly-owned domestic restricted subsidiaries (as subsidiary guarantors) that guarantee the Senior Facilities. The 5.375% Senior Notes are effectively junior to the indebtedness under the Senior Facilities and the 3.50% Senior Secured Notes, to the extent of the collateral securing the Senior Facilities and the 3.50% Senior Secured Notes. The 5.375% Notes Indenture describes certain terms and conditions under which other current and future domestic subsidiaries are required to become guarantors of the 5.375% Senior Notes.</w:t>
      </w:r>
    </w:p>
    <w:p>
      <w:pPr>
        <w:spacing w:after="0" w:line="210" w:lineRule="exact"/>
        <w:rPr>
          <w:sz w:val="20"/>
          <w:szCs w:val="20"/>
          <w:color w:val="auto"/>
        </w:rPr>
      </w:pPr>
    </w:p>
    <w:p>
      <w:pPr>
        <w:ind w:right="80" w:firstLine="486"/>
        <w:spacing w:after="0" w:line="261" w:lineRule="auto"/>
        <w:rPr>
          <w:sz w:val="20"/>
          <w:szCs w:val="20"/>
          <w:color w:val="auto"/>
        </w:rPr>
      </w:pPr>
      <w:r>
        <w:rPr>
          <w:rFonts w:ascii="Times New Roman" w:cs="Times New Roman" w:eastAsia="Times New Roman" w:hAnsi="Times New Roman"/>
          <w:sz w:val="18"/>
          <w:szCs w:val="18"/>
          <w:color w:val="auto"/>
        </w:rPr>
        <w:t>Rackspace Technology Global may redeem the 5.375% Senior Notes at its option, in whole at any time or in part from time to time, at the following redemption prices: from December 1, 2024 to November 30, 2025, at a redemption price equal to 101.344% of the principal amount, plus accrued and unpaid interest, if any, to but excluding the redemption date; and from December 1, 2025 and thereafter, at a redemption price equal to 100.000% of the principal amount, plus accrued and unpaid interest, if any, to but excluding the redemption date.</w:t>
      </w:r>
    </w:p>
    <w:p>
      <w:pPr>
        <w:spacing w:after="0" w:line="207" w:lineRule="exact"/>
        <w:rPr>
          <w:sz w:val="20"/>
          <w:szCs w:val="20"/>
          <w:color w:val="auto"/>
        </w:rPr>
      </w:pPr>
    </w:p>
    <w:p>
      <w:pPr>
        <w:ind w:right="240" w:firstLine="486"/>
        <w:spacing w:after="0" w:line="282" w:lineRule="auto"/>
        <w:rPr>
          <w:sz w:val="20"/>
          <w:szCs w:val="20"/>
          <w:color w:val="auto"/>
        </w:rPr>
      </w:pPr>
      <w:r>
        <w:rPr>
          <w:rFonts w:ascii="Times New Roman" w:cs="Times New Roman" w:eastAsia="Times New Roman" w:hAnsi="Times New Roman"/>
          <w:sz w:val="18"/>
          <w:szCs w:val="18"/>
          <w:color w:val="auto"/>
        </w:rPr>
        <w:t>As part of the March 2024 Refinancing Transactions, we repurchased and cancelled $69 million aggregate principal amount of the 5.375% Senior Notes during the year ended December 31, 2024.</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- 75 -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In addition, during the year ended December 31, 2024, Rackspace Technology Global repurchased and surrendered for cancellation $3 million principal amount of 5.375% Senior Notes for $1 million.</w:t>
      </w:r>
    </w:p>
    <w:p>
      <w:pPr>
        <w:spacing w:after="0" w:line="1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December 31, 2024, $125 million aggregate principal amount of the 5.375% Senior Notes remained outstanding.</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 covenants</w:t>
      </w:r>
    </w:p>
    <w:p>
      <w:pPr>
        <w:spacing w:after="0" w:line="254" w:lineRule="exact"/>
        <w:rPr>
          <w:sz w:val="20"/>
          <w:szCs w:val="20"/>
          <w:color w:val="auto"/>
        </w:rPr>
      </w:pPr>
    </w:p>
    <w:p>
      <w:pPr>
        <w:ind w:right="40" w:firstLine="486"/>
        <w:spacing w:after="0" w:line="253" w:lineRule="auto"/>
        <w:rPr>
          <w:sz w:val="20"/>
          <w:szCs w:val="20"/>
          <w:color w:val="auto"/>
        </w:rPr>
      </w:pPr>
      <w:r>
        <w:rPr>
          <w:rFonts w:ascii="Times New Roman" w:cs="Times New Roman" w:eastAsia="Times New Roman" w:hAnsi="Times New Roman"/>
          <w:sz w:val="18"/>
          <w:szCs w:val="18"/>
          <w:color w:val="auto"/>
        </w:rPr>
        <w:t>The FLSO Term Loan Facility, FLFO Term Loan Facility, and Term Loan Facility are not subject to a financial maintenance covenant. The New Revolving Credit Facility includes a financial maintenance covenant that limits the super-priority net senior secured leverage ratio to a maximum of 5.00 to 1.00. The super-priority net senior secured leverage ratio is calculated as the ratio of (x) the total amount of consolidated super-priority senior secured debt for borrowed money, less unrestricted cash and cash equivalents, to (y) consolidated EBITDA (as defined under the New First Lien Credit Agreement governing the New Senior Facilities). However, this financial maintenance covenant will only be applicable and tested if the aggregate amount of outstanding borrowings under the New Revolving Credit Facility and letters of credit issued thereunder (excluding $25 million of undrawn letters of credit and cash collateralized letters of credit) as of the last day of a fiscal quarter is greater than 35% of the New Revolving Credit Facility commitments as of the last day of such fiscal quarter. Additional covenants in the New Senior Facilities and Senior Facilities limit our subsidiaries' ability to, among other things, incur certain additional debt and liens, pay certain dividends or make other restricted payments, make certain investments, make certain asset sales and enter into certain transactions with affiliates.</w:t>
      </w:r>
    </w:p>
    <w:p>
      <w:pPr>
        <w:spacing w:after="0" w:line="221" w:lineRule="exact"/>
        <w:rPr>
          <w:sz w:val="20"/>
          <w:szCs w:val="20"/>
          <w:color w:val="auto"/>
        </w:rPr>
      </w:pPr>
    </w:p>
    <w:p>
      <w:pPr>
        <w:ind w:right="100" w:firstLine="486"/>
        <w:spacing w:after="0" w:line="256" w:lineRule="auto"/>
        <w:rPr>
          <w:sz w:val="20"/>
          <w:szCs w:val="20"/>
          <w:color w:val="auto"/>
        </w:rPr>
      </w:pPr>
      <w:r>
        <w:rPr>
          <w:rFonts w:ascii="Times New Roman" w:cs="Times New Roman" w:eastAsia="Times New Roman" w:hAnsi="Times New Roman"/>
          <w:sz w:val="18"/>
          <w:szCs w:val="18"/>
          <w:color w:val="auto"/>
        </w:rPr>
        <w:t>The Indentures contain covenants that, among other things, limit our subsidiaries' ability to incur certain additional debt, incur certain liens securing debt, pay certain dividends or make other restricted payments, make certain investments, make certain asset sales and enter into certain transactions with affiliates. These covenants are subject to a number of exceptions, limitations, and qualifications as set forth in the Indentures. Additionally, upon the occurrence of a change of control (as defined in the Indentures), we will be required to make an offer to repurchase all of the outstanding 3.50% FLSO Senior Secured Notes, 5.375% Senior Notes and 3.50% Senior Secured Notes at a price in cash equal to 101.000% of the aggregate principal amount, plus accrued and unpaid interest, if any, to, but not including the purchase date.</w:t>
      </w:r>
    </w:p>
    <w:p>
      <w:pPr>
        <w:spacing w:after="0" w:line="214"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color w:val="auto"/>
        </w:rPr>
        <w:t>Our “consolidated EBITDA,” as defined under our debt instruments, is calculated in the same manner as our Adjusted EBITDA, presented elsewhere in this report, except that our debt instruments allow us to adjust for additional items, including certain start-up costs, and to give pro forma effect to acquisitions, including resulting synergies, and internal cost savings initiatives. In addition, under the Indentures, the calculation of consolidated EBITDA does not take into account substantially any changes in GAAP subsequent to the date of issuance, whereas under the New Senior Facilities and Senior Facilities, the calculation of consolidated EBITDA takes into account the impact of certain changes in GAAP subsequent to December 1, 2020 other than with respect to capital leases.</w:t>
      </w:r>
    </w:p>
    <w:p>
      <w:pPr>
        <w:spacing w:after="0" w:line="21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December 31, 2024, we were in compliance with all covenants under the New Senior Facilities, the Senior Facilities and the Indentures.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Supplemental Financial Information</w:t>
      </w:r>
    </w:p>
    <w:p>
      <w:pPr>
        <w:spacing w:after="0" w:line="254" w:lineRule="exact"/>
        <w:rPr>
          <w:sz w:val="20"/>
          <w:szCs w:val="20"/>
          <w:color w:val="auto"/>
        </w:rPr>
      </w:pPr>
    </w:p>
    <w:p>
      <w:pPr>
        <w:ind w:right="160" w:firstLine="486"/>
        <w:spacing w:after="0" w:line="261" w:lineRule="auto"/>
        <w:rPr>
          <w:sz w:val="20"/>
          <w:szCs w:val="20"/>
          <w:color w:val="auto"/>
        </w:rPr>
      </w:pPr>
      <w:r>
        <w:rPr>
          <w:rFonts w:ascii="Times New Roman" w:cs="Times New Roman" w:eastAsia="Times New Roman" w:hAnsi="Times New Roman"/>
          <w:sz w:val="18"/>
          <w:szCs w:val="18"/>
          <w:color w:val="auto"/>
        </w:rPr>
        <w:t>In accordance with the 3.50% FLSO Senior Secured Notes Indenture, Rackspace Finance Holdings, Rackspace Finance and certain subsidiaries of Rackspace Finance (together with their restricted subsidiaries, the “New Credit Group”) are obligors under the 3.50% FLSO Senior Secured Notes. The following presents summarized financial information for the New Credit Group after eliminating intercompany transactions and balances among the New Credit Group.</w:t>
      </w:r>
    </w:p>
    <w:p>
      <w:pPr>
        <w:spacing w:after="0" w:line="207" w:lineRule="exact"/>
        <w:rPr>
          <w:sz w:val="20"/>
          <w:szCs w:val="20"/>
          <w:color w:val="auto"/>
        </w:rPr>
      </w:pPr>
    </w:p>
    <w:p>
      <w:pPr>
        <w:ind w:right="120" w:firstLine="486"/>
        <w:spacing w:after="0" w:line="258" w:lineRule="auto"/>
        <w:rPr>
          <w:sz w:val="20"/>
          <w:szCs w:val="20"/>
          <w:color w:val="auto"/>
        </w:rPr>
      </w:pPr>
      <w:r>
        <w:rPr>
          <w:rFonts w:ascii="Times New Roman" w:cs="Times New Roman" w:eastAsia="Times New Roman" w:hAnsi="Times New Roman"/>
          <w:sz w:val="18"/>
          <w:szCs w:val="18"/>
          <w:color w:val="auto"/>
        </w:rPr>
        <w:t>As of December 31, 2024, the New Credit Group had total assets of $3,008 million and total liabilities of $3,809 million, which included total debt of $2,556 million. The financial information for the New Credit Group differs from the financial information for the company and its consolidated subsidiaries primarily because Rackspace Technology Global has (i) debt that is not guaranteed by the New Credit Group, which debt was $229 million as of December 31, 2024, and (ii) Rackspace Technology Global is the party to the interest rate swap which had a net asset value of $26 million as of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- 76 -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Expenditures</w:t>
      </w:r>
    </w:p>
    <w:p>
      <w:pPr>
        <w:spacing w:after="0" w:line="25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sets forth a summary of our total capital expenditures for the periods indicated: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64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4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r>
      <w:tr>
        <w:trPr>
          <w:trHeight w:val="211"/>
        </w:trPr>
        <w:tc>
          <w:tcPr>
            <w:tcW w:w="5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4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1"/>
        </w:trPr>
        <w:tc>
          <w:tcPr>
            <w:tcW w:w="5640" w:type="dxa"/>
            <w:vAlign w:val="bottom"/>
            <w:shd w:val="clear" w:color="auto" w:fill="CCEEFF"/>
          </w:tcPr>
          <w:p>
            <w:pPr>
              <w:ind w:left="40"/>
              <w:spacing w:after="0" w:line="212" w:lineRule="exact"/>
              <w:rPr>
                <w:sz w:val="20"/>
                <w:szCs w:val="20"/>
                <w:color w:val="auto"/>
              </w:rPr>
            </w:pPr>
            <w:r>
              <w:rPr>
                <w:rFonts w:ascii="Times New Roman" w:cs="Times New Roman" w:eastAsia="Times New Roman" w:hAnsi="Times New Roman"/>
                <w:sz w:val="16"/>
                <w:szCs w:val="16"/>
                <w:color w:val="auto"/>
              </w:rPr>
              <w:t xml:space="preserve">Customer gear </w:t>
            </w:r>
            <w:r>
              <w:rPr>
                <w:rFonts w:ascii="Times New Roman" w:cs="Times New Roman" w:eastAsia="Times New Roman" w:hAnsi="Times New Roman"/>
                <w:sz w:val="21"/>
                <w:szCs w:val="21"/>
                <w:color w:val="auto"/>
                <w:vertAlign w:val="superscript"/>
              </w:rPr>
              <w:t>(1)</w:t>
            </w: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83.7</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115.3</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88.8</w:t>
            </w:r>
          </w:p>
        </w:tc>
      </w:tr>
      <w:tr>
        <w:trPr>
          <w:trHeight w:val="216"/>
        </w:trPr>
        <w:tc>
          <w:tcPr>
            <w:tcW w:w="5640" w:type="dxa"/>
            <w:vAlign w:val="bottom"/>
          </w:tcPr>
          <w:p>
            <w:pPr>
              <w:ind w:left="40"/>
              <w:spacing w:after="0" w:line="216" w:lineRule="exact"/>
              <w:rPr>
                <w:sz w:val="20"/>
                <w:szCs w:val="20"/>
                <w:color w:val="auto"/>
              </w:rPr>
            </w:pPr>
            <w:r>
              <w:rPr>
                <w:rFonts w:ascii="Times New Roman" w:cs="Times New Roman" w:eastAsia="Times New Roman" w:hAnsi="Times New Roman"/>
                <w:sz w:val="16"/>
                <w:szCs w:val="16"/>
                <w:color w:val="auto"/>
              </w:rPr>
              <w:t xml:space="preserve">Data center build outs </w:t>
            </w:r>
            <w:r>
              <w:rPr>
                <w:rFonts w:ascii="Times New Roman" w:cs="Times New Roman" w:eastAsia="Times New Roman" w:hAnsi="Times New Roman"/>
                <w:sz w:val="21"/>
                <w:szCs w:val="21"/>
                <w:color w:val="auto"/>
                <w:vertAlign w:val="superscript"/>
              </w:rPr>
              <w:t>(2)</w:t>
            </w: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216"/>
        </w:trPr>
        <w:tc>
          <w:tcPr>
            <w:tcW w:w="5640" w:type="dxa"/>
            <w:vAlign w:val="bottom"/>
            <w:shd w:val="clear" w:color="auto" w:fill="CCEEFF"/>
          </w:tcPr>
          <w:p>
            <w:pPr>
              <w:ind w:left="40"/>
              <w:spacing w:after="0" w:line="216" w:lineRule="exact"/>
              <w:rPr>
                <w:sz w:val="20"/>
                <w:szCs w:val="20"/>
                <w:color w:val="auto"/>
              </w:rPr>
            </w:pPr>
            <w:r>
              <w:rPr>
                <w:rFonts w:ascii="Times New Roman" w:cs="Times New Roman" w:eastAsia="Times New Roman" w:hAnsi="Times New Roman"/>
                <w:sz w:val="16"/>
                <w:szCs w:val="16"/>
                <w:color w:val="auto"/>
              </w:rPr>
              <w:t xml:space="preserve">Office build outs </w:t>
            </w:r>
            <w:r>
              <w:rPr>
                <w:rFonts w:ascii="Times New Roman" w:cs="Times New Roman" w:eastAsia="Times New Roman" w:hAnsi="Times New Roman"/>
                <w:sz w:val="21"/>
                <w:szCs w:val="21"/>
                <w:color w:val="auto"/>
                <w:vertAlign w:val="superscript"/>
              </w:rPr>
              <w:t>(3)</w:t>
            </w: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r>
      <w:tr>
        <w:trPr>
          <w:trHeight w:val="216"/>
        </w:trPr>
        <w:tc>
          <w:tcPr>
            <w:tcW w:w="5640" w:type="dxa"/>
            <w:vAlign w:val="bottom"/>
            <w:tcBorders>
              <w:bottom w:val="single" w:sz="8" w:color="CCEEFF"/>
            </w:tcBorders>
          </w:tcPr>
          <w:p>
            <w:pPr>
              <w:ind w:left="40"/>
              <w:spacing w:after="0" w:line="216" w:lineRule="exact"/>
              <w:rPr>
                <w:sz w:val="20"/>
                <w:szCs w:val="20"/>
                <w:color w:val="auto"/>
              </w:rPr>
            </w:pPr>
            <w:r>
              <w:rPr>
                <w:rFonts w:ascii="Times New Roman" w:cs="Times New Roman" w:eastAsia="Times New Roman" w:hAnsi="Times New Roman"/>
                <w:sz w:val="16"/>
                <w:szCs w:val="16"/>
                <w:color w:val="auto"/>
              </w:rPr>
              <w:t xml:space="preserve">Capitalized software and other projects </w:t>
            </w:r>
            <w:r>
              <w:rPr>
                <w:rFonts w:ascii="Times New Roman" w:cs="Times New Roman" w:eastAsia="Times New Roman" w:hAnsi="Times New Roman"/>
                <w:sz w:val="21"/>
                <w:szCs w:val="21"/>
                <w:color w:val="auto"/>
                <w:vertAlign w:val="superscript"/>
              </w:rPr>
              <w:t>(4)</w:t>
            </w:r>
          </w:p>
        </w:tc>
        <w:tc>
          <w:tcPr>
            <w:tcW w:w="4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53.8</w:t>
            </w:r>
          </w:p>
        </w:tc>
        <w:tc>
          <w:tcPr>
            <w:tcW w:w="8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61.3</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46.1</w:t>
            </w:r>
          </w:p>
        </w:tc>
      </w:tr>
      <w:tr>
        <w:trPr>
          <w:trHeight w:val="234"/>
        </w:trPr>
        <w:tc>
          <w:tcPr>
            <w:tcW w:w="56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 capital expenditures</w:t>
            </w: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141.8</w:t>
            </w:r>
          </w:p>
        </w:tc>
        <w:tc>
          <w:tcPr>
            <w:tcW w:w="8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181.3</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136.4</w:t>
            </w: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54" w:lineRule="exact"/>
        <w:rPr>
          <w:sz w:val="20"/>
          <w:szCs w:val="20"/>
          <w:color w:val="auto"/>
        </w:rPr>
      </w:pPr>
    </w:p>
    <w:p>
      <w:pPr>
        <w:ind w:left="420" w:right="280" w:hanging="412"/>
        <w:spacing w:after="0" w:line="258" w:lineRule="auto"/>
        <w:tabs>
          <w:tab w:leader="none" w:pos="366"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servers, firewalls, load balancers, cabinets, backup libraries, storage arrays and drives and certain software that is essential to the functionality of customer gear, which we provide.</w:t>
      </w:r>
    </w:p>
    <w:p>
      <w:pPr>
        <w:ind w:left="420" w:right="860" w:hanging="412"/>
        <w:spacing w:after="0" w:line="248" w:lineRule="auto"/>
        <w:tabs>
          <w:tab w:leader="none" w:pos="366"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generators, uninterruptible power supplies, power distribution units, mechanical and electrical plants, chillers, raised floor, network cabling, other infrastructure gear and other data center building improvements.</w:t>
      </w:r>
    </w:p>
    <w:p>
      <w:pPr>
        <w:spacing w:after="0" w:line="1" w:lineRule="exact"/>
        <w:rPr>
          <w:rFonts w:ascii="Times New Roman" w:cs="Times New Roman" w:eastAsia="Times New Roman" w:hAnsi="Times New Roman"/>
          <w:sz w:val="16"/>
          <w:szCs w:val="16"/>
          <w:color w:val="auto"/>
        </w:rPr>
      </w:pPr>
    </w:p>
    <w:p>
      <w:pPr>
        <w:ind w:left="360" w:hanging="352"/>
        <w:spacing w:after="0"/>
        <w:tabs>
          <w:tab w:leader="none" w:pos="36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building improvements, raised floor, furniture and equipment.</w:t>
      </w:r>
    </w:p>
    <w:p>
      <w:pPr>
        <w:spacing w:after="0" w:line="15" w:lineRule="exact"/>
        <w:rPr>
          <w:rFonts w:ascii="Times New Roman" w:cs="Times New Roman" w:eastAsia="Times New Roman" w:hAnsi="Times New Roman"/>
          <w:sz w:val="16"/>
          <w:szCs w:val="16"/>
          <w:color w:val="auto"/>
        </w:rPr>
      </w:pPr>
    </w:p>
    <w:p>
      <w:pPr>
        <w:ind w:left="420" w:right="460" w:hanging="412"/>
        <w:spacing w:after="0" w:line="257" w:lineRule="auto"/>
        <w:tabs>
          <w:tab w:leader="none" w:pos="366"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salaries and payroll-related costs of employees and consultants who devote time to the development of certain internal-use software projects, purchased software licenses and other projects that meet the criteria for capitalization.</w:t>
      </w:r>
    </w:p>
    <w:p>
      <w:pPr>
        <w:spacing w:after="0" w:line="218" w:lineRule="exact"/>
        <w:rPr>
          <w:sz w:val="20"/>
          <w:szCs w:val="20"/>
          <w:color w:val="auto"/>
        </w:rPr>
      </w:pPr>
    </w:p>
    <w:p>
      <w:pPr>
        <w:jc w:val="both"/>
        <w:ind w:right="240" w:firstLine="486"/>
        <w:spacing w:after="0" w:line="261" w:lineRule="auto"/>
        <w:rPr>
          <w:sz w:val="20"/>
          <w:szCs w:val="20"/>
          <w:color w:val="auto"/>
        </w:rPr>
      </w:pPr>
      <w:r>
        <w:rPr>
          <w:rFonts w:ascii="Times New Roman" w:cs="Times New Roman" w:eastAsia="Times New Roman" w:hAnsi="Times New Roman"/>
          <w:sz w:val="18"/>
          <w:szCs w:val="18"/>
          <w:color w:val="auto"/>
        </w:rPr>
        <w:t>The $40 million increase and $45 million decrease in capital expenditures from 2022 to 2023 and from 2023 to 2024, respectively, was primarily driven by purchases of customer gear originally intended to support a specific new customer during the first quarter of 2023. This new customer did not materialize as expected; however, the gear is fungible and has been redeployed to support other business requirements. This gear was acquired through a finance lease.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5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sets forth a summary of certain cash flow information for the periods indicated:</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620" w:type="dxa"/>
            <w:vAlign w:val="bottom"/>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4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r>
      <w:tr>
        <w:trPr>
          <w:trHeight w:val="211"/>
        </w:trPr>
        <w:tc>
          <w:tcPr>
            <w:tcW w:w="5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11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6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1"/>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provided by operating activities</w:t>
            </w:r>
          </w:p>
        </w:tc>
        <w:tc>
          <w:tcPr>
            <w:tcW w:w="1180" w:type="dxa"/>
            <w:vAlign w:val="bottom"/>
            <w:shd w:val="clear" w:color="auto" w:fill="CCEEFF"/>
          </w:tcPr>
          <w:p>
            <w:pPr>
              <w:jc w:val="right"/>
              <w:ind w:right="1019"/>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246.7</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374.9</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w:t>
            </w:r>
          </w:p>
        </w:tc>
      </w:tr>
      <w:tr>
        <w:trPr>
          <w:trHeight w:val="213"/>
        </w:trPr>
        <w:tc>
          <w:tcPr>
            <w:tcW w:w="5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used in investing activities</w:t>
            </w:r>
          </w:p>
        </w:tc>
        <w:tc>
          <w:tcPr>
            <w:tcW w:w="1180" w:type="dxa"/>
            <w:vAlign w:val="bottom"/>
          </w:tcPr>
          <w:p>
            <w:pPr>
              <w:jc w:val="right"/>
              <w:ind w:right="1019"/>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(97.9)</w:t>
            </w:r>
          </w:p>
        </w:tc>
        <w:tc>
          <w:tcPr>
            <w:tcW w:w="100" w:type="dxa"/>
            <w:vAlign w:val="bottom"/>
          </w:tcPr>
          <w:p>
            <w:pPr>
              <w:spacing w:after="0"/>
              <w:rPr>
                <w:sz w:val="18"/>
                <w:szCs w:val="18"/>
                <w:color w:val="auto"/>
              </w:rPr>
            </w:pPr>
          </w:p>
        </w:tc>
        <w:tc>
          <w:tcPr>
            <w:tcW w:w="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(96.0)</w:t>
            </w:r>
          </w:p>
        </w:tc>
        <w:tc>
          <w:tcPr>
            <w:tcW w:w="12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(86.6)</w:t>
            </w:r>
          </w:p>
        </w:tc>
      </w:tr>
      <w:tr>
        <w:trPr>
          <w:trHeight w:val="219"/>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used in financing activities</w:t>
            </w:r>
          </w:p>
        </w:tc>
        <w:tc>
          <w:tcPr>
            <w:tcW w:w="1180" w:type="dxa"/>
            <w:vAlign w:val="bottom"/>
            <w:shd w:val="clear" w:color="auto" w:fill="CCEEFF"/>
          </w:tcPr>
          <w:p>
            <w:pPr>
              <w:jc w:val="right"/>
              <w:ind w:right="1019"/>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(312.8)</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Provided by Operating Activities</w:t>
      </w:r>
    </w:p>
    <w:p>
      <w:pPr>
        <w:spacing w:after="0" w:line="254" w:lineRule="exact"/>
        <w:rPr>
          <w:sz w:val="20"/>
          <w:szCs w:val="20"/>
          <w:color w:val="auto"/>
        </w:rPr>
      </w:pPr>
    </w:p>
    <w:p>
      <w:pPr>
        <w:ind w:right="160" w:firstLine="486"/>
        <w:spacing w:after="0" w:line="266" w:lineRule="auto"/>
        <w:rPr>
          <w:sz w:val="20"/>
          <w:szCs w:val="20"/>
          <w:color w:val="auto"/>
        </w:rPr>
      </w:pPr>
      <w:r>
        <w:rPr>
          <w:rFonts w:ascii="Times New Roman" w:cs="Times New Roman" w:eastAsia="Times New Roman" w:hAnsi="Times New Roman"/>
          <w:sz w:val="18"/>
          <w:szCs w:val="18"/>
          <w:color w:val="auto"/>
        </w:rPr>
        <w:t>Net cash provided by operating activities results primarily from cash received from customers, offset by cash payments made for employee and consultant compensation (less amounts capitalized related to internal-use software that are reflected as cash used in investing activities), data center costs, license costs, third-party infrastructure costs, marketing programs, interest, taxes, and other general corporate expenditures.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- 77 -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Net cash provided by operating activities for 2024 decreased $335 million, or 89%, from 2023. The reduction in operating cash between periods was primarily driven by $209 million of cash proceeds received during 2023 related to the sale of our receivables, an increase of $98 million of operating expenses between periods, $32 million in third party fees paid in connection with the March 2024 Refinancing Transactions, and a $9 million early termination fee associated with the sale of our corporate headquarters in the first quarter of 2024.</w:t>
      </w:r>
    </w:p>
    <w:p>
      <w:pPr>
        <w:spacing w:after="0" w:line="207" w:lineRule="exact"/>
        <w:rPr>
          <w:sz w:val="20"/>
          <w:szCs w:val="20"/>
          <w:color w:val="auto"/>
        </w:rPr>
      </w:pPr>
    </w:p>
    <w:p>
      <w:pPr>
        <w:ind w:right="40" w:firstLine="486"/>
        <w:spacing w:after="0" w:line="258" w:lineRule="auto"/>
        <w:rPr>
          <w:sz w:val="20"/>
          <w:szCs w:val="20"/>
          <w:color w:val="auto"/>
        </w:rPr>
      </w:pPr>
      <w:r>
        <w:rPr>
          <w:rFonts w:ascii="Times New Roman" w:cs="Times New Roman" w:eastAsia="Times New Roman" w:hAnsi="Times New Roman"/>
          <w:sz w:val="18"/>
          <w:szCs w:val="18"/>
          <w:color w:val="auto"/>
        </w:rPr>
        <w:t>Net cash provided by operating activities for 2023 increased $128 million, or 52%, from 2022. The increase in operating cash was primarily driven by $209 million of cash proceeds related to the initial sale of a portion of our receivables upon execution of the Receivables Purchase Facility in September 2023 and a $58 million decrease in payroll and payroll taxes due to lower levels of severance payouts in 2023 compared to 2022. Partially offsetting this increase in cash was a $103 million increase in operating expense payments, largely for third-party infrastructure costs, and a $38 million increase in interest payments on debt.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Used in Investing Activities</w:t>
      </w:r>
    </w:p>
    <w:p>
      <w:pPr>
        <w:spacing w:after="0" w:line="254" w:lineRule="exact"/>
        <w:rPr>
          <w:sz w:val="20"/>
          <w:szCs w:val="20"/>
          <w:color w:val="auto"/>
        </w:rPr>
      </w:pPr>
    </w:p>
    <w:p>
      <w:pPr>
        <w:ind w:right="20" w:firstLine="486"/>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primarily consists of capital expenditures to meet the demands of our customer base and our strategic initiatives. The largest outlays of cash are for purchases of customer gear, data center and office build-outs, and capitalized payroll costs related to internal-use software development.</w:t>
      </w:r>
    </w:p>
    <w:p>
      <w:pPr>
        <w:spacing w:after="0" w:line="203" w:lineRule="exact"/>
        <w:rPr>
          <w:sz w:val="20"/>
          <w:szCs w:val="20"/>
          <w:color w:val="auto"/>
        </w:rPr>
      </w:pPr>
    </w:p>
    <w:p>
      <w:pPr>
        <w:ind w:right="120" w:firstLine="486"/>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for 2024 decreased $9 million, or 10%, from 2023, primarily due to $17 million of net proceeds received in the current year from the March 2024 sale of our corporate headquarters facility. In addition, there was a $7 million increase in cash from other investing activities largely due to the sale of property and equipment between periods. These cash inflows were partially offset by a $14 million increase in cash purchases of property, equipment, and software from 2023 to 2024.</w:t>
      </w:r>
    </w:p>
    <w:p>
      <w:pPr>
        <w:spacing w:after="0" w:line="207" w:lineRule="exact"/>
        <w:rPr>
          <w:sz w:val="20"/>
          <w:szCs w:val="20"/>
          <w:color w:val="auto"/>
        </w:rPr>
      </w:pPr>
    </w:p>
    <w:p>
      <w:pPr>
        <w:ind w:right="200" w:firstLine="486"/>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for 2023 decreased $2 million, or 2%, from 2022. During 2022, we made an $8 million cash payment in connection with the acquisition of Just Analytics and a $15 million payment for the purchase of a convertible promissory note. These cash outflows were partially offset by a $17 million increase in cash purchases of property, equipment, and software year-over-year. Other investing activities comprised the remainder of the variance in cash used between periods.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Used in Financing Activities</w:t>
      </w:r>
    </w:p>
    <w:p>
      <w:pPr>
        <w:spacing w:after="0" w:line="254" w:lineRule="exact"/>
        <w:rPr>
          <w:sz w:val="20"/>
          <w:szCs w:val="20"/>
          <w:color w:val="auto"/>
        </w:rPr>
      </w:pPr>
    </w:p>
    <w:p>
      <w:pPr>
        <w:ind w:right="140" w:firstLine="486"/>
        <w:spacing w:after="0" w:line="266" w:lineRule="auto"/>
        <w:rPr>
          <w:sz w:val="20"/>
          <w:szCs w:val="20"/>
          <w:color w:val="auto"/>
        </w:rPr>
      </w:pPr>
      <w:r>
        <w:rPr>
          <w:rFonts w:ascii="Times New Roman" w:cs="Times New Roman" w:eastAsia="Times New Roman" w:hAnsi="Times New Roman"/>
          <w:sz w:val="18"/>
          <w:szCs w:val="18"/>
          <w:color w:val="auto"/>
        </w:rPr>
        <w:t>Financing activities generally include cash activity related to debt and other long-term financing arrangements (for example, finance lease obligations and financing obligations), including proceeds from and repayments of borrowings, and cash activity related to the issuance and repurchase of equity.</w:t>
      </w:r>
    </w:p>
    <w:p>
      <w:pPr>
        <w:spacing w:after="0" w:line="203" w:lineRule="exact"/>
        <w:rPr>
          <w:sz w:val="20"/>
          <w:szCs w:val="20"/>
          <w:color w:val="auto"/>
        </w:rPr>
      </w:pPr>
    </w:p>
    <w:p>
      <w:pPr>
        <w:ind w:right="360" w:firstLine="486"/>
        <w:spacing w:after="0" w:line="261" w:lineRule="auto"/>
        <w:rPr>
          <w:sz w:val="20"/>
          <w:szCs w:val="20"/>
          <w:color w:val="auto"/>
        </w:rPr>
      </w:pPr>
      <w:r>
        <w:rPr>
          <w:rFonts w:ascii="Times New Roman" w:cs="Times New Roman" w:eastAsia="Times New Roman" w:hAnsi="Times New Roman"/>
          <w:sz w:val="18"/>
          <w:szCs w:val="18"/>
          <w:color w:val="auto"/>
        </w:rPr>
        <w:t>Net cash used in financing activities for 2024 decreased $310 million, or 99%, from 2023. The change was primarily driven by an increase in proceeds of $275 million from the new FLFO Term Loan Facility as part of the March 2024 Refinancing Transactions compared to $50 million of debt proceeds in 2023, a reduction in debt repayments of $79 million, and a $23 million decrease in principal payments of finance lease liabilities between periods. This activity was partially offset by $22 million of payments related to debt extinguishment costs.</w:t>
      </w:r>
    </w:p>
    <w:p>
      <w:pPr>
        <w:spacing w:after="0" w:line="207"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Net cash used in financing activities for 2023 increased $126 million, or 67% from 2022. The change was driven by a $169 million increase in net payments related to long-term debt between periods as 2023 includes $121 million of 5.375% Senior Note repurchases, $18 million of 3.50% Senior Secured Note repurchases, and $30 million of Term Loan Facility repurchases, while 2022 only includes quarterly principal payments on our Term Loan Facility. In addition, there was a $13 million increase in finance lease principal payments between periods. Partially offsetting these drivers was $31 million in common stock share repurchases during 2022 as part of the program authorized in March 2022 and a $26 million reduction in principal payments of financing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- 78 -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ind w:right="40" w:firstLine="486"/>
        <w:spacing w:after="0" w:line="258" w:lineRule="auto"/>
        <w:rPr>
          <w:sz w:val="20"/>
          <w:szCs w:val="20"/>
          <w:color w:val="auto"/>
        </w:rPr>
      </w:pPr>
      <w:r>
        <w:rPr>
          <w:rFonts w:ascii="Times New Roman" w:cs="Times New Roman" w:eastAsia="Times New Roman" w:hAnsi="Times New Roman"/>
          <w:sz w:val="18"/>
          <w:szCs w:val="18"/>
          <w:color w:val="auto"/>
        </w:rPr>
        <w:t>On September 29, 2023, Rackspace US and Rackspace Receivables II, LLC, a bankruptcy-remote SPV, each an indirect subsidiary of the company, entered into the Receivables Purchase Facility with PNC. The Receivables Purchase Facility allows the SPV to sell and/or contribute accounts receivable up an aggregate maximum limit of $300 million to PNC on a revolving basis. On February 12, 2024, the Receivables Purchase Facility was amended to include certain international subsidiaries of the company as parties to the agreement and Rackspace Receivables Canada Limited, a Canadian indirect subsidiary of the company, was established as an SPV.</w:t>
      </w:r>
    </w:p>
    <w:p>
      <w:pPr>
        <w:spacing w:after="0" w:line="210" w:lineRule="exact"/>
        <w:rPr>
          <w:sz w:val="20"/>
          <w:szCs w:val="20"/>
          <w:color w:val="auto"/>
        </w:rPr>
      </w:pPr>
    </w:p>
    <w:p>
      <w:pPr>
        <w:ind w:right="20" w:firstLine="486"/>
        <w:spacing w:after="0" w:line="282" w:lineRule="auto"/>
        <w:rPr>
          <w:sz w:val="20"/>
          <w:szCs w:val="20"/>
          <w:color w:val="auto"/>
        </w:rPr>
      </w:pPr>
      <w:r>
        <w:rPr>
          <w:rFonts w:ascii="Times New Roman" w:cs="Times New Roman" w:eastAsia="Times New Roman" w:hAnsi="Times New Roman"/>
          <w:sz w:val="18"/>
          <w:szCs w:val="18"/>
          <w:color w:val="auto"/>
        </w:rPr>
        <w:t>See Item 8 of Part II, Financial Statements and Supplementary Data - Note 3, "Sale of Receivables" for more information regarding this off-balance sheet transaction.</w:t>
      </w:r>
    </w:p>
    <w:p>
      <w:pPr>
        <w:spacing w:after="0" w:line="189"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We have entered into various indemnification arrangements with third parties, including vendors, customers, landlords, our officers and directors, stockholders of acquired companies and third parties to whom and from whom we license technology. Generally, these indemnification agreements require us to reimburse losses suffered by third parties due to various events, such as lawsuits arising from patent or copyright infringement or our negligence. Certain of these agreements require us to indemnify the other party against certain claims relating to property damage, personal injury or the acts or omissions by us, our employees, agents or representatives. These indemnification obligations are considered off-balance sheet arrangements. To date, we have not incurred material costs as a result of such obligations and have not accrued any material liabilities related to such indemnification obligations in our consolidated financial statements. See Item 8 of Part II, Financial Statements and Supplementary Data - Note 10, "Commitments and Contingencies" for more information related to these indemnification arrangements.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- 79 -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ind w:right="40" w:firstLine="486"/>
        <w:spacing w:after="0" w:line="271" w:lineRule="auto"/>
        <w:rPr>
          <w:sz w:val="20"/>
          <w:szCs w:val="20"/>
          <w:color w:val="auto"/>
        </w:rPr>
      </w:pPr>
      <w:r>
        <w:rPr>
          <w:rFonts w:ascii="Times New Roman" w:cs="Times New Roman" w:eastAsia="Times New Roman" w:hAnsi="Times New Roman"/>
          <w:sz w:val="17"/>
          <w:szCs w:val="17"/>
          <w:color w:val="auto"/>
        </w:rPr>
        <w:t>Our consolidated financial statements are prepared in accordance with GAAP, which requires us to make judgments and estimates that affect the reported amounts of assets, liabilities, revenue, costs and expenses and related disclosures. We consider accounting estimates that require significant management judgment to be critical accounting estimates. We review our estimates and judgments on an ongoing basis, including those related to revenue recognition, allowance for credit losses, property, equipment and software and definite-lived intangible assets, goodwill and indefinite-lived intangible assets, contingencies, share-based compensation and income taxes. We base our estimates on historical experience and on various other assumptions that we believe to be reasonable under the circumstances to determine the carrying values of assets and liabilities. In many instances, we could have reasonably used different accounting estimates, and in other instances, changes in the accounting estimates are reasonably likely to occur from period-to-period. Accordingly, actual results could differ significantly from the estimates made by our management. To the extent that there are material differences between these estimates and actual results, our future financial statement presentation, financial condition, results of operations and cash flows will be affected.</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254" w:lineRule="exact"/>
        <w:rPr>
          <w:sz w:val="20"/>
          <w:szCs w:val="20"/>
          <w:color w:val="auto"/>
        </w:rPr>
      </w:pPr>
    </w:p>
    <w:p>
      <w:pPr>
        <w:ind w:right="20" w:firstLine="486"/>
        <w:spacing w:after="0" w:line="258" w:lineRule="auto"/>
        <w:rPr>
          <w:sz w:val="20"/>
          <w:szCs w:val="20"/>
          <w:color w:val="auto"/>
        </w:rPr>
      </w:pPr>
      <w:r>
        <w:rPr>
          <w:rFonts w:ascii="Times New Roman" w:cs="Times New Roman" w:eastAsia="Times New Roman" w:hAnsi="Times New Roman"/>
          <w:sz w:val="18"/>
          <w:szCs w:val="18"/>
          <w:color w:val="auto"/>
        </w:rPr>
        <w:t>We provide cloud computing to customers, which is broadly defined as the delivery of computing, storage and applications over the Internet. Cloud computing is a service transaction under which the services we provide vary on a daily basis. The totality of services provided represent a single integrated solution tailored to the customer’s specific needs. As such, our performance obligations to our customers consist of a single integrated solution delivered as a series of distinct daily services delivered over the same period of time. We recognize revenue on a daily basis as services are provided in an amount that reflects the consideration to which we expect to be entitled in exchange for the services.</w:t>
      </w:r>
    </w:p>
    <w:p>
      <w:pPr>
        <w:spacing w:after="0" w:line="210"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Our usage-based arrangements generally include variable consideration components consisting of monthly utility fees with a defined price and undefined quantity. Additionally, our contracts contain service level guarantees that provide discounts when we fail to meet specific obligations and certain products may include volume discounts based on usage. As these variable consideration components consist of a single distinct daily service provided on a single performance obligation, we account for this consideration as services are provided and earned.</w:t>
      </w:r>
    </w:p>
    <w:p>
      <w:pPr>
        <w:spacing w:after="0" w:line="207" w:lineRule="exact"/>
        <w:rPr>
          <w:sz w:val="20"/>
          <w:szCs w:val="20"/>
          <w:color w:val="auto"/>
        </w:rPr>
      </w:pPr>
    </w:p>
    <w:p>
      <w:pPr>
        <w:jc w:val="both"/>
        <w:ind w:right="40" w:firstLine="486"/>
        <w:spacing w:after="0" w:line="261" w:lineRule="auto"/>
        <w:rPr>
          <w:sz w:val="20"/>
          <w:szCs w:val="20"/>
          <w:color w:val="auto"/>
        </w:rPr>
      </w:pPr>
      <w:r>
        <w:rPr>
          <w:rFonts w:ascii="Times New Roman" w:cs="Times New Roman" w:eastAsia="Times New Roman" w:hAnsi="Times New Roman"/>
          <w:sz w:val="18"/>
          <w:szCs w:val="18"/>
          <w:color w:val="auto"/>
        </w:rPr>
        <w:t>A substantial amount of revenue, particularly within our Private Cloud segment, relates to fees associated with offerings that generally have a fixed term, typically from 12 to 36 months, with a monthly recurring fee based on the computing resources utilized and provided to the customer, the complexity of the underlying infrastructure and the level of support we provide. Contracts for our service offerings falling within our Public Cloud segment and legacy OpenStack business typically operate on a consumption model and can be canceled at any time without penalty.</w:t>
      </w:r>
    </w:p>
    <w:p>
      <w:pPr>
        <w:spacing w:after="0" w:line="207" w:lineRule="exact"/>
        <w:rPr>
          <w:sz w:val="20"/>
          <w:szCs w:val="20"/>
          <w:color w:val="auto"/>
        </w:rPr>
      </w:pPr>
    </w:p>
    <w:p>
      <w:pPr>
        <w:ind w:right="160" w:firstLine="486"/>
        <w:spacing w:after="0" w:line="261" w:lineRule="auto"/>
        <w:rPr>
          <w:sz w:val="20"/>
          <w:szCs w:val="20"/>
          <w:color w:val="auto"/>
        </w:rPr>
      </w:pPr>
      <w:r>
        <w:rPr>
          <w:rFonts w:ascii="Times New Roman" w:cs="Times New Roman" w:eastAsia="Times New Roman" w:hAnsi="Times New Roman"/>
          <w:sz w:val="18"/>
          <w:szCs w:val="18"/>
          <w:color w:val="auto"/>
        </w:rPr>
        <w:t>We also provide customers with professional services for the design and implementation of application, security and data services. Professional service contracts are either fixed-fee or time-and-materials based. We typically consider our professional services to be a separate performance obligation from other integrated solutions being provided to the same customer. Our performance obligations under these arrangements are typically to provide the services on a daily basis over a period of time and we recognize revenue as the services are performed.</w:t>
      </w:r>
    </w:p>
    <w:p>
      <w:pPr>
        <w:spacing w:after="0" w:line="207"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We offer customers the flexibility to select the best combination of resources in order to meet the requirements of their unique applications and provide the technology to seamlessly operate and manage multiple cloud computing environments. Judgment is required in assessing whether a service is distinct, including determination of whether the customer could benefit from the service on its own or in conjunction with other readily available resources and whether certain services are highly integrated into a bundle of services that represent the combined output specified by the customer. Arrangements can contain multiple performance obligations that are distinct, which are accounted for separately. Each performance obligation is recognized as services are provided based on their SSP. Judgment is required to determine the SSP for each of our distinct performance obligations. We utilize a range of prices when developing our estimates of SSP. We determine the range of prices for estimating SSP for all our performance obligations using observable inputs, such as standalone sales and historical contract pricing. Our estimates of SSP are updated quarterly.</w:t>
      </w:r>
    </w:p>
    <w:p>
      <w:pPr>
        <w:spacing w:after="0" w:line="219" w:lineRule="exact"/>
        <w:rPr>
          <w:sz w:val="20"/>
          <w:szCs w:val="20"/>
          <w:color w:val="auto"/>
        </w:rPr>
      </w:pPr>
    </w:p>
    <w:p>
      <w:pPr>
        <w:jc w:val="both"/>
        <w:ind w:right="120" w:firstLine="486"/>
        <w:spacing w:after="0" w:line="266" w:lineRule="auto"/>
        <w:rPr>
          <w:sz w:val="20"/>
          <w:szCs w:val="20"/>
          <w:color w:val="auto"/>
        </w:rPr>
      </w:pPr>
      <w:r>
        <w:rPr>
          <w:rFonts w:ascii="Times New Roman" w:cs="Times New Roman" w:eastAsia="Times New Roman" w:hAnsi="Times New Roman"/>
          <w:sz w:val="18"/>
          <w:szCs w:val="18"/>
          <w:color w:val="auto"/>
        </w:rPr>
        <w:t>In addition, our customer agreements provide that we will achieve certain service levels related primarily to network uptime, critical infrastructure availability and hardware replacement. We may be obligated to provide service credits for a portion of the service fees paid by our customers to the extent that such service levels are not achieved or are otherwise disputed. Credit memos are recognized in the period of service to which they relate.</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- 80 -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20" w:firstLine="486"/>
        <w:spacing w:after="0" w:line="256" w:lineRule="auto"/>
        <w:rPr>
          <w:sz w:val="20"/>
          <w:szCs w:val="20"/>
          <w:color w:val="auto"/>
        </w:rPr>
      </w:pPr>
      <w:r>
        <w:rPr>
          <w:rFonts w:ascii="Times New Roman" w:cs="Times New Roman" w:eastAsia="Times New Roman" w:hAnsi="Times New Roman"/>
          <w:sz w:val="18"/>
          <w:szCs w:val="18"/>
          <w:color w:val="auto"/>
        </w:rPr>
        <w:t>Revenue recognition for revenue generated from arrangements in which we resell third-party infrastructure bundled with our managed services, requires judgment to determine whether revenue can be recorded at the gross sales price or net of third-party fees. Typically, revenue is recognized on a gross basis when it is determined that we are the principal in the relationship. We are considered the principal in the relationship when we are primarily responsible for fulfilling the contract and obtain control of the third-party infrastructure before transferring it as an integral part of our performance obligation to provide services to the customer. Revenue is recognized net of third-party fees when we determine that our obligation is only to facilitate the customers’ purchase of third-party infrastructure.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Valuation of Accounts Receivable and Allowance for Credit Losses</w:t>
      </w:r>
    </w:p>
    <w:p>
      <w:pPr>
        <w:spacing w:after="0" w:line="254"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We record an allowance for credit losses on trade accounts receivable for estimated losses resulting from uncollectible receivables. When evaluating the adequacy of the allowance, we consider historical bad debt write-offs and all known facts and circumstances such as current economic conditions and trends, customer creditworthiness and specifically identified customer risks. If actual collections of customer receivables differ from our estimates, additional allowances may be required which could have an impact on our results of operations.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Property, Equipment and Software and Definite-Lived Intangible Assets</w:t>
      </w:r>
    </w:p>
    <w:p>
      <w:pPr>
        <w:spacing w:after="0" w:line="254" w:lineRule="exact"/>
        <w:rPr>
          <w:sz w:val="20"/>
          <w:szCs w:val="20"/>
          <w:color w:val="auto"/>
        </w:rPr>
      </w:pPr>
    </w:p>
    <w:p>
      <w:pPr>
        <w:ind w:right="60" w:firstLine="486"/>
        <w:spacing w:after="0" w:line="254" w:lineRule="auto"/>
        <w:rPr>
          <w:sz w:val="20"/>
          <w:szCs w:val="20"/>
          <w:color w:val="auto"/>
        </w:rPr>
      </w:pPr>
      <w:r>
        <w:rPr>
          <w:rFonts w:ascii="Times New Roman" w:cs="Times New Roman" w:eastAsia="Times New Roman" w:hAnsi="Times New Roman"/>
          <w:sz w:val="18"/>
          <w:szCs w:val="18"/>
          <w:color w:val="auto"/>
        </w:rPr>
        <w:t>In providing services to our customers, we utilize significant amounts of property, equipment and software, which we depreciate on a straight-line basis over their estimated useful lives. Definite-lived intangible assets are primarily comprised of customer relationships and are stated at their acquisition-date fair value less accumulated amortization. These intangible assets are amortized on a straight-line basis over their estimated useful lives. Property and equipment under operating and finance leases are included within “Operating right-of-use assets” and “Property, equipment and software, net,” respectively, in our Consolidated Balance Sheets. Operating right-of-use assets are amortized on a straight-line basis over the lease term whereas finance lease assets are amortized on a straight-line basis over the shorter of the estimated useful lives of the assets or the lease term. We routinely review the estimated useful lives of our property, equipment and software and definite-lived intangible assets (“long-lived assets”). A change in the useful life of a long-lived asset is treated as a change in accounting estimate in the period of change and future periods.</w:t>
      </w:r>
    </w:p>
    <w:p>
      <w:pPr>
        <w:spacing w:after="0" w:line="219" w:lineRule="exact"/>
        <w:rPr>
          <w:sz w:val="20"/>
          <w:szCs w:val="20"/>
          <w:color w:val="auto"/>
        </w:rPr>
      </w:pPr>
    </w:p>
    <w:p>
      <w:pPr>
        <w:ind w:right="200" w:firstLine="486"/>
        <w:spacing w:after="0" w:line="261" w:lineRule="auto"/>
        <w:rPr>
          <w:sz w:val="20"/>
          <w:szCs w:val="20"/>
          <w:color w:val="auto"/>
        </w:rPr>
      </w:pPr>
      <w:r>
        <w:rPr>
          <w:rFonts w:ascii="Times New Roman" w:cs="Times New Roman" w:eastAsia="Times New Roman" w:hAnsi="Times New Roman"/>
          <w:sz w:val="18"/>
          <w:szCs w:val="18"/>
          <w:color w:val="auto"/>
        </w:rPr>
        <w:t>Long-lived assets, including operating right-of-use assets and finance lease assets, are reviewed for impairment whenever events or changes in circumstances indicate that the carrying amount may not be recoverable. Recoverability of assets is measured at the asset group level and if the carrying amount of the asset group exceeds its estimated undiscounted future cash flows, an impairment charge is recognized in the amount by which the carrying amount of the asset group exceeds its fair value.</w:t>
      </w:r>
    </w:p>
    <w:p>
      <w:pPr>
        <w:spacing w:after="0" w:line="207"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As of September 1, 2022, due to the factors discussed below, we performed an interim impairment review of the recoverability of our long-lived assets by asset group. Based on the results of the recoverability test, we determined that, as of September 1, 2022, the carrying amount of the OpenStack Public Cloud asset group’s long-lived assets exceeded the sum of the undiscounted cash flows. Fair values of the OpenStack Public Cloud long-lived assets were determined using a combination of the income approach and the cost approach. The income approach utilized assumptions including management’s best estimates of the expected future cash flows, risk-adjusted discount rate, and the estimated useful life of the asset group. The cost approach utilized assumptions for the current replacement costs of similar assets adjusted for estimated depreciation and deterioration of the existing equipment and economic obsolescence. Estimates of floor values for the property, equipment and software, net, were considered relative to potential economic support for the assets such that the concluded value did not fall below the estimated floor value of these assets. We concluded that the carrying value of the OpenStack Public Cloud long-lived assets, including customer relationship intangibles and property, equipment and software, net, were impaired and recorded non-cash impairment charges of $38 million during the third quarter of 2022, which is included in "Impairment of assets, net" in our Consolidated Statements of Comprehensive Loss.</w:t>
      </w:r>
    </w:p>
    <w:p>
      <w:pPr>
        <w:spacing w:after="0" w:line="205" w:lineRule="exact"/>
        <w:rPr>
          <w:sz w:val="20"/>
          <w:szCs w:val="20"/>
          <w:color w:val="auto"/>
        </w:rPr>
      </w:pPr>
    </w:p>
    <w:p>
      <w:pPr>
        <w:ind w:right="480" w:firstLine="486"/>
        <w:spacing w:after="0" w:line="266" w:lineRule="auto"/>
        <w:rPr>
          <w:sz w:val="20"/>
          <w:szCs w:val="20"/>
          <w:color w:val="auto"/>
        </w:rPr>
      </w:pPr>
      <w:r>
        <w:rPr>
          <w:rFonts w:ascii="Times New Roman" w:cs="Times New Roman" w:eastAsia="Times New Roman" w:hAnsi="Times New Roman"/>
          <w:sz w:val="18"/>
          <w:szCs w:val="18"/>
          <w:color w:val="auto"/>
        </w:rPr>
        <w:t>We also performed recoverability tests of our long-lived assets in conjunction with the goodwill impairment analyses performed subsequent to September 1, 2022 which did not result in any impairment charges.</w:t>
      </w:r>
    </w:p>
    <w:p>
      <w:pPr>
        <w:spacing w:after="0" w:line="203" w:lineRule="exact"/>
        <w:rPr>
          <w:sz w:val="20"/>
          <w:szCs w:val="20"/>
          <w:color w:val="auto"/>
        </w:rPr>
      </w:pPr>
    </w:p>
    <w:p>
      <w:pPr>
        <w:ind w:right="20" w:firstLine="486"/>
        <w:spacing w:after="0" w:line="258" w:lineRule="auto"/>
        <w:rPr>
          <w:sz w:val="20"/>
          <w:szCs w:val="20"/>
          <w:color w:val="auto"/>
        </w:rPr>
      </w:pPr>
      <w:r>
        <w:rPr>
          <w:rFonts w:ascii="Times New Roman" w:cs="Times New Roman" w:eastAsia="Times New Roman" w:hAnsi="Times New Roman"/>
          <w:sz w:val="18"/>
          <w:szCs w:val="18"/>
          <w:color w:val="auto"/>
        </w:rPr>
        <w:t>We capitalize the salaries and related compensation costs of employees and consultants who devote time to the development of certain internal-use software projects. Judgment is required in determining whether an enhancement to previously developed software is significant and creates additional functionality to the software, thus resulting in capitalization. All other software development costs are expensed as incurred. Capitalized software development costs are amortized over the expected useful life of the software, which is generally three years; however, we evaluate the nature and utility of each project which can result in a useful life ranging between one and five years on certain projects.</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- 81 -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 and Indefinite-Lived Intangible Assets</w:t>
      </w:r>
    </w:p>
    <w:p>
      <w:pPr>
        <w:spacing w:after="0" w:line="25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254" w:lineRule="exact"/>
        <w:rPr>
          <w:sz w:val="20"/>
          <w:szCs w:val="20"/>
          <w:color w:val="auto"/>
        </w:rPr>
      </w:pPr>
    </w:p>
    <w:p>
      <w:pPr>
        <w:ind w:right="360" w:firstLine="486"/>
        <w:spacing w:after="0" w:line="282" w:lineRule="auto"/>
        <w:rPr>
          <w:sz w:val="20"/>
          <w:szCs w:val="20"/>
          <w:color w:val="auto"/>
        </w:rPr>
      </w:pPr>
      <w:r>
        <w:rPr>
          <w:rFonts w:ascii="Times New Roman" w:cs="Times New Roman" w:eastAsia="Times New Roman" w:hAnsi="Times New Roman"/>
          <w:sz w:val="18"/>
          <w:szCs w:val="18"/>
          <w:color w:val="auto"/>
        </w:rPr>
        <w:t>Goodwill represents the excess of the purchase price over the fair value of identifiable net assets of businesses acquired. Our indefinite-lived intangible assets consists of our Rackspace trade name, which was recorded at fair value on our balance sheet at the date of the Rackspace Acquisition.</w:t>
      </w:r>
    </w:p>
    <w:p>
      <w:pPr>
        <w:spacing w:after="0" w:line="189"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Application of the goodwill and other indefinite-lived intangible asset impairment test requires judgment, including the identification of reporting units, assignment of assets and liabilities to reporting units, assignment of goodwill to reporting units and determination of the fair value of each reporting unit. We test goodwill and our indefinite-lived intangible asset, the Rackspace trade name, for impairment on an annual basis as of October 1st or more frequently if events or circumstances indicate a potential impairment. These events or circumstances could include a significant change in the business climate, regulatory environment, established business plans, operating performance indicators or competition. Potential impairment indicators may also include, but are not limited to, (i) the results of our most recent annual or interim impairment testing, (ii) downward revisions to internal forecasts, and the magnitude thereof, if any, (iii) declines in our market capitalization below our book value, and the magnitude and duration of those declines, if any, (iv) a reorganization resulting in a change to our operating segments, and (v) other macroeconomic factors, such as increases in interest rates that may affect the weighted average cost of capital, volatility in the equity and debt markets, or fluctuations in foreign currency exchange rates that may negatively impact our reported results of operations.</w:t>
      </w:r>
    </w:p>
    <w:p>
      <w:pPr>
        <w:spacing w:after="0" w:line="221" w:lineRule="exact"/>
        <w:rPr>
          <w:sz w:val="20"/>
          <w:szCs w:val="20"/>
          <w:color w:val="auto"/>
        </w:rPr>
      </w:pPr>
    </w:p>
    <w:p>
      <w:pPr>
        <w:ind w:right="40" w:firstLine="486"/>
        <w:spacing w:after="0" w:line="254" w:lineRule="auto"/>
        <w:rPr>
          <w:sz w:val="20"/>
          <w:szCs w:val="20"/>
          <w:color w:val="auto"/>
        </w:rPr>
      </w:pPr>
      <w:r>
        <w:rPr>
          <w:rFonts w:ascii="Times New Roman" w:cs="Times New Roman" w:eastAsia="Times New Roman" w:hAnsi="Times New Roman"/>
          <w:sz w:val="18"/>
          <w:szCs w:val="18"/>
          <w:color w:val="auto"/>
        </w:rPr>
        <w:t>Goodwill is tested for impairment at the reporting unit level. A reporting unit is an operating segment or one level below an operating segment (referred to as a component). We allocate goodwill to reporting units based on the reporting unit expected to benefit from the business combination. Assets and liabilities are assigned to each of our reporting units if they are employed by a reporting unit and are considered in the determination of the reporting unit fair value. Certain assets and liabilities are shared by multiple reporting units, and thus, are allocated to each reporting unit based on the relative size of a reporting unit, primarily based on revenue. Subsequent to the January 1, 2023 business reorganization, we have two reporting units with goodwill: Public Cloud and Private Cloud. Goodwill allocated to our third reporting unit, OpenStack Public Cloud, was fully impaired during the fourth quarter of 2021. As of October 1, 2023, we reassessed our reporting unit structure and aggregated the OpenStack Public Cloud reporting unit into our Private Cloud reporting unit. We currently have two reporting units: Public Cloud and Private Cloud.</w:t>
      </w:r>
    </w:p>
    <w:p>
      <w:pPr>
        <w:spacing w:after="0" w:line="219"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We estimate the fair values of our reporting units and the Rackspace trade name using the discounted cash flow method and relief-from-royalty method, respectively. These calculations require the use of significant estimates and assumptions, such as: (i) the royalty rate; (ii) the estimation of future revenue growth rates, projected gross profit margins, projected operating costs, projected EBITDA margins, and projected capital expenditures, which are dependent on internal cash flow forecasts; (iii) estimation of the terminal growth rates; and (iv) determination of the risk-adjusted discount rates. The discount rates used are based on our weighted average cost of capital and are adjusted for risks and uncertainties inherent in our business and in our estimation of future cash flows. As part of the goodwill impairment test, we also consider our market capitalization in assessing the reasonableness of the combined fair values estimated for our reporting units, including OpenStack Public Cloud. The estimates and assumptions used to calculate the fair value of our reporting units and the Rackspace trade name from year to year are based on operating results, market conditions, and other factors. Changes in these estimates and assumptions could produce materially different results.</w:t>
      </w:r>
    </w:p>
    <w:p>
      <w:pPr>
        <w:spacing w:after="0" w:line="215" w:lineRule="exact"/>
        <w:rPr>
          <w:sz w:val="20"/>
          <w:szCs w:val="20"/>
          <w:color w:val="auto"/>
        </w:rPr>
      </w:pPr>
    </w:p>
    <w:p>
      <w:pPr>
        <w:ind w:right="140" w:firstLine="486"/>
        <w:spacing w:after="0" w:line="277" w:lineRule="auto"/>
        <w:rPr>
          <w:sz w:val="20"/>
          <w:szCs w:val="20"/>
          <w:color w:val="auto"/>
        </w:rPr>
      </w:pPr>
      <w:r>
        <w:rPr>
          <w:rFonts w:ascii="Times New Roman" w:cs="Times New Roman" w:eastAsia="Times New Roman" w:hAnsi="Times New Roman"/>
          <w:sz w:val="17"/>
          <w:szCs w:val="17"/>
          <w:color w:val="auto"/>
        </w:rPr>
        <w:t>For the quantitative goodwill impairment analysis, we utilized the income approach to determine the fair value of our reporting units. The income approach utilizes a discounted cash flow method which is based on the present value of projected cash flows. The discounted cash flow models reflect our assumptions and considerations regarding revenue growth rates, projected gross profit margins, projected operating costs, projected EBITDA margins, projected capital expenditures, risk-adjusted discount rates, terminal period growth rates, and economic market trends. The terminal period growth rate is selected based on economic conditions and consideration of growth rates used in the forecast period and historical performance of the reporting unit.</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- 82 -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February 29, 2024 Assessment</w:t>
      </w:r>
    </w:p>
    <w:p>
      <w:pPr>
        <w:spacing w:after="0" w:line="254"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In connection with the preparation of the debt refinancing transactions that were completed in March and April 2024, as further described in Item 8 of Part II, Financial Statements and Supplementary Data - Note 7, “Debt”, we updated our internal forecasts. Our updated internal forecasts considered our year-to-date operating performance, current customer bookings and revised expectations based on current performance, revisions to our expected growth and timing of such growth based on current and expected performance, current customer retention rates, revisions to the timing of the expected effects of our strategic initiatives and overall related risks, including macroeconomic factors, to achieving our forecasts. Our Board reviewed and approved our internal budget for fiscal year 2024 on February 28, 2024. As of February 29, 2024, we assessed our Board approved 2024 internal budget along with several events and circumstances that could affect the significant inputs used to determine the fair value of our reporting units, including the significance of the amount, if any, of excess carrying value over fair value, consistency of our current and forecasted operating margins and cash flows, budgeted-to-actual performance, timing of the expected effects of our strategic initiatives, overall change in economic climate, changes in the industry and competitive environment, changes to our risk-adjusted discount rates and earnings quality and sustainability. After considering all available evidence in our evaluation of goodwill impairment indicators, we determined it appropriate to perform an interim quantitative assessment of our reporting units as of February 29, 2024.</w:t>
      </w:r>
    </w:p>
    <w:p>
      <w:pPr>
        <w:spacing w:after="0" w:line="217"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For the quantitative goodwill impairment analysis performed as of February 29, 2024, we utilized a range of our weighted-average cost of capital of 13.0% to 14.0% as our base rate, which was then subsequently risk-adjusted to determine the discount rate used for each reporting unit. After determining the fair value of our reporting units, we reconciled the combined fair value of the reporting units to the company's market capitalization as of February 29, 2024. As a result, we determined that the carrying amount of our Public Cloud and Private Cloud reporting units exceeded their fair value. We recorded a goodwill impairment charge of $385 million and $188 million for Public Cloud and Private Cloud, respectively, during the first quarter of 2024, which is included in "Impairment of goodwill" in our Consolidated Statements of Comprehensive Loss. The impairment was driven by the company's cash flow projections as revised in the first quarter of 2024 to reflect current market conditions and expected business performance, including strategic business shifts and the timing when the benefits of such shifts will be realized.</w:t>
      </w:r>
    </w:p>
    <w:p>
      <w:pPr>
        <w:spacing w:after="0" w:line="219" w:lineRule="exact"/>
        <w:rPr>
          <w:sz w:val="20"/>
          <w:szCs w:val="20"/>
          <w:color w:val="auto"/>
        </w:rPr>
      </w:pPr>
    </w:p>
    <w:p>
      <w:pPr>
        <w:ind w:right="60" w:firstLine="486"/>
        <w:spacing w:after="0" w:line="258" w:lineRule="auto"/>
        <w:rPr>
          <w:sz w:val="20"/>
          <w:szCs w:val="20"/>
          <w:color w:val="auto"/>
        </w:rPr>
      </w:pPr>
      <w:r>
        <w:rPr>
          <w:rFonts w:ascii="Times New Roman" w:cs="Times New Roman" w:eastAsia="Times New Roman" w:hAnsi="Times New Roman"/>
          <w:sz w:val="18"/>
          <w:szCs w:val="18"/>
          <w:color w:val="auto"/>
        </w:rPr>
        <w:t>We performed sensitivity analyses on the key inputs and assumptions used in determining the estimated fair value of our reporting units by utilizing changes in assumptions that reflect reasonably likely future changes in the discount rate used in the weighted-average cost of capital calculation and the terminal growth rate. Assuming all other assumptions and inputs used in the discounted cash flow analysis are held constant, a 50 basis point increase or decrease in the discount rate assumption would result in decreases or increases in fair value of our Private Cloud and Public Cloud reporting units of approximately $101 million and $14 million, respectively.</w:t>
      </w:r>
    </w:p>
    <w:p>
      <w:pPr>
        <w:spacing w:after="0" w:line="20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September 30, 2024 Assessment</w:t>
      </w:r>
    </w:p>
    <w:p>
      <w:pPr>
        <w:spacing w:after="0" w:line="254"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During the third quarter of 2024, as part our routine budget-to-actual assessment, we updated our internal forecasts to consider our year-to-date operating performance, current customer bookings and revised expectations based on actualization, current customer retention rates, revisions to the timing of the expected effects of our strategic initiatives and overall related risks, including macroeconomic factors, to achieving our forecasts. As of September 30, 2024, we assessed our internal budget along with several events and circumstances that could affect the significant inputs used to determine the fair value of our reporting units, including the significance of the amount, if any, of excess carrying value over fair value, consistency of our current and forecasted operating margins and cash flows, budgeted-to-actual performance, timing of the expected effects of our strategic initiatives, overall change in economic climate, changes in the industry and competitive environment, changes to our risk-adjusted discount rates and earnings quality and sustainability. After considering all available evidence in our evaluation of goodwill impairment indicators, we determined it appropriate to perform an interim quantitative assessment of our reporting units as of September 30, 2024.</w:t>
      </w:r>
    </w:p>
    <w:p>
      <w:pPr>
        <w:spacing w:after="0" w:line="200" w:lineRule="exact"/>
        <w:rPr>
          <w:sz w:val="20"/>
          <w:szCs w:val="20"/>
          <w:color w:val="auto"/>
        </w:rPr>
      </w:pPr>
    </w:p>
    <w:p>
      <w:pPr>
        <w:spacing w:after="0" w:line="3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- 83 -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80" w:firstLine="486"/>
        <w:spacing w:after="0" w:line="254" w:lineRule="auto"/>
        <w:rPr>
          <w:sz w:val="20"/>
          <w:szCs w:val="20"/>
          <w:color w:val="auto"/>
        </w:rPr>
      </w:pPr>
      <w:r>
        <w:rPr>
          <w:rFonts w:ascii="Times New Roman" w:cs="Times New Roman" w:eastAsia="Times New Roman" w:hAnsi="Times New Roman"/>
          <w:sz w:val="18"/>
          <w:szCs w:val="18"/>
          <w:color w:val="auto"/>
        </w:rPr>
        <w:t>For the quantitative goodwill impairment analysis performed as of September 30, 2024, we utilized a range of our weighted-average cost of capital of 12.0% to 13.0% as our base rate, which was then subsequently risk-adjusted to determine the discount rate used for each reporting unit. After determining the fair value of our reporting units, we reconciled the combined fair value of the reporting units to the company's market capitalization as of September 30, 2024. As a result, we determined that the carrying amount of our Public Cloud and Private Cloud reporting units exceeded their fair value. We recorded a goodwill impairment charge of $69 million and $73 million for Public Cloud and Private Cloud, respectively, during the third quarter of 2024, which is included in "Impairment of goodwill" in our Consolidated Statements of Comprehensive Loss. The impairment was driven by the company's cash flow projections as revised in the third quarter of 2024 to reflect expected realization of business performance, including strategic business shifts and the timing when the benefits of such shifts will be realized.</w:t>
      </w:r>
    </w:p>
    <w:p>
      <w:pPr>
        <w:spacing w:after="0" w:line="219"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We performed sensitivity analyses on the key inputs and assumptions used in determining the estimated fair value of our reporting units by utilizing changes in assumptions that reflect reasonably likely future changes in the discount rate used in the weighted-average cost of capital calculation and the terminal growth rate. Assuming all other assumptions and inputs used in the discounted cash flow analysis are held constant, a 50 basis point increase in the discount rate assumption would result in decreases in fair value of our Private Cloud and Public Cloud reporting units of approximately $108 million and $14 million, respectively, whereas a 50 basis point decrease in the discount rate assumption would result in increases in fair value of our Private Cloud and Public Cloud reporting units of approximately $121 million and $15 million, respectively.</w:t>
      </w:r>
    </w:p>
    <w:p>
      <w:pPr>
        <w:spacing w:after="0" w:line="21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October 1, 2024 Assessment</w:t>
      </w:r>
    </w:p>
    <w:p>
      <w:pPr>
        <w:spacing w:after="0" w:line="254" w:lineRule="exact"/>
        <w:rPr>
          <w:sz w:val="20"/>
          <w:szCs w:val="20"/>
          <w:color w:val="auto"/>
        </w:rPr>
      </w:pPr>
    </w:p>
    <w:p>
      <w:pPr>
        <w:ind w:right="120" w:firstLine="486"/>
        <w:spacing w:after="0" w:line="266" w:lineRule="auto"/>
        <w:rPr>
          <w:sz w:val="20"/>
          <w:szCs w:val="20"/>
          <w:color w:val="auto"/>
        </w:rPr>
      </w:pPr>
      <w:r>
        <w:rPr>
          <w:rFonts w:ascii="Times New Roman" w:cs="Times New Roman" w:eastAsia="Times New Roman" w:hAnsi="Times New Roman"/>
          <w:sz w:val="18"/>
          <w:szCs w:val="18"/>
          <w:color w:val="auto"/>
        </w:rPr>
        <w:t>In connection with our annual impairment analysis as of October 1, 2024, we completed a quantitative goodwill impairment analysis. The results of the quantitative goodwill impairment analysis performed as of October 1, 2024 indicated no impairment charges to our Private Cloud or Public Cloud reporting units.</w:t>
      </w:r>
    </w:p>
    <w:p>
      <w:pPr>
        <w:spacing w:after="0" w:line="20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January 1, 2023 Assessment</w:t>
      </w:r>
    </w:p>
    <w:p>
      <w:pPr>
        <w:spacing w:after="0" w:line="254" w:lineRule="exact"/>
        <w:rPr>
          <w:sz w:val="20"/>
          <w:szCs w:val="20"/>
          <w:color w:val="auto"/>
        </w:rPr>
      </w:pPr>
    </w:p>
    <w:p>
      <w:pPr>
        <w:ind w:right="280" w:firstLine="486"/>
        <w:spacing w:after="0" w:line="261" w:lineRule="auto"/>
        <w:rPr>
          <w:sz w:val="20"/>
          <w:szCs w:val="20"/>
          <w:color w:val="auto"/>
        </w:rPr>
      </w:pPr>
      <w:r>
        <w:rPr>
          <w:rFonts w:ascii="Times New Roman" w:cs="Times New Roman" w:eastAsia="Times New Roman" w:hAnsi="Times New Roman"/>
          <w:sz w:val="18"/>
          <w:szCs w:val="18"/>
          <w:color w:val="auto"/>
        </w:rPr>
        <w:t>Due to the change in our segment reporting as a result of the business reorganization as of January 1, 2023, we completed a quantitative goodwill impairment analysis both prior and subsequent to the aforementioned change. We reassigned goodwill to the updated reporting units using a relative fair value approach. The results of the quantitative goodwill impairment analysis performed as of January 1, 2023, subsequent to the change, indicated an impairment within our Private Cloud reporting unit, and we recorded a non-cash impairment charge of $271 million in the first quarter of 2023.</w:t>
      </w:r>
    </w:p>
    <w:p>
      <w:pPr>
        <w:spacing w:after="0" w:line="207" w:lineRule="exact"/>
        <w:rPr>
          <w:sz w:val="20"/>
          <w:szCs w:val="20"/>
          <w:color w:val="auto"/>
        </w:rPr>
      </w:pPr>
    </w:p>
    <w:p>
      <w:pPr>
        <w:ind w:right="80" w:firstLine="486"/>
        <w:spacing w:after="0" w:line="254" w:lineRule="auto"/>
        <w:rPr>
          <w:sz w:val="20"/>
          <w:szCs w:val="20"/>
          <w:color w:val="auto"/>
        </w:rPr>
      </w:pPr>
      <w:r>
        <w:rPr>
          <w:rFonts w:ascii="Times New Roman" w:cs="Times New Roman" w:eastAsia="Times New Roman" w:hAnsi="Times New Roman"/>
          <w:sz w:val="18"/>
          <w:szCs w:val="18"/>
          <w:color w:val="auto"/>
        </w:rPr>
        <w:t>For the quantitative goodwill impairment analysis performed as of January 1, 2023, we utilized a range of our weighted-average cost of capital of 10.5% to 12.0% as our discount rate, which was risk-adjusted for each reporting unit. After determining the fair value of our reporting units, we reconciled the combined fair value of the reporting units to the company's market capitalization as of January 1, 2023. As a result, we determined that the carrying amount of our Private Cloud reporting unit exceeded its fair value and recorded a goodwill impairment charge of $271 million during the first quarter of 2023, which is included in "Impairment of goodwill" in our Consolidated Statements of Comprehensive Loss. The impairment primarily resulted from the reallocation of certain costs between the three reporting units to reflect the going-forward operating model following the business reorganization. The Public Cloud reporting unit was determined to have a fair value that exceeded its carrying value by approximately 20% and therefore no impairment was recognized.</w:t>
      </w:r>
    </w:p>
    <w:p>
      <w:pPr>
        <w:spacing w:after="0" w:line="219"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We performed sensitivity analyses on the key inputs and assumptions used in determining the estimated fair value of our reporting units by utilizing changes in assumptions that reflect reasonably likely future changes in the discount rate used in the weighted-average cost of capital calculation and the terminal growth rate. Assuming all other assumptions and inputs used in the discounted cash flow analysis are held constant, a 50 basis point increase in the discount rate assumption would result in decreases in fair value of our Private Cloud and Public Cloud reporting units of approximately $175 million and $67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- 84 -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March 31, 2023 Assessment</w:t>
      </w:r>
    </w:p>
    <w:p>
      <w:pPr>
        <w:spacing w:after="0" w:line="254" w:lineRule="exact"/>
        <w:rPr>
          <w:sz w:val="20"/>
          <w:szCs w:val="20"/>
          <w:color w:val="auto"/>
        </w:rPr>
      </w:pPr>
    </w:p>
    <w:p>
      <w:pPr>
        <w:ind w:right="40" w:firstLine="486"/>
        <w:spacing w:after="0" w:line="274" w:lineRule="auto"/>
        <w:rPr>
          <w:sz w:val="20"/>
          <w:szCs w:val="20"/>
          <w:color w:val="auto"/>
        </w:rPr>
      </w:pPr>
      <w:r>
        <w:rPr>
          <w:rFonts w:ascii="Times New Roman" w:cs="Times New Roman" w:eastAsia="Times New Roman" w:hAnsi="Times New Roman"/>
          <w:sz w:val="17"/>
          <w:szCs w:val="17"/>
          <w:color w:val="auto"/>
        </w:rPr>
        <w:t>During the first quarter of 2023, we experienced a sustained decline in our stock price resulting in our market capitalization being less than the carrying value of our combined reporting units. As of March 31, 2023, we assessed several events and circumstances that could affect the significant inputs used to determine the fair value of our reporting units, including the significance of the amount, if any, of excess carrying value over fair value, consistency of operating margins and cash flows, budgeted-to-actual performance for the first three months of the year, overall change in economic climate, changes in the industry and competitive environment, and earnings quality and sustainability. After considering all available evidence in our evaluation of goodwill impairment indicators, we determined it appropriate to perform an interim quantitative assessment of our reporting units as of March 31, 2023.</w:t>
      </w:r>
    </w:p>
    <w:p>
      <w:pPr>
        <w:spacing w:after="0" w:line="200" w:lineRule="exact"/>
        <w:rPr>
          <w:sz w:val="20"/>
          <w:szCs w:val="20"/>
          <w:color w:val="auto"/>
        </w:rPr>
      </w:pPr>
    </w:p>
    <w:p>
      <w:pPr>
        <w:ind w:right="80" w:firstLine="486"/>
        <w:spacing w:after="0" w:line="254" w:lineRule="auto"/>
        <w:rPr>
          <w:sz w:val="20"/>
          <w:szCs w:val="20"/>
          <w:color w:val="auto"/>
        </w:rPr>
      </w:pPr>
      <w:r>
        <w:rPr>
          <w:rFonts w:ascii="Times New Roman" w:cs="Times New Roman" w:eastAsia="Times New Roman" w:hAnsi="Times New Roman"/>
          <w:sz w:val="18"/>
          <w:szCs w:val="18"/>
          <w:color w:val="auto"/>
        </w:rPr>
        <w:t>For the quantitative goodwill impairment analysis performed as of March 31, 2023, we utilized a range of our weighted-average cost of capital of 10.0% to 11.5% as our discount rate, which was risk-adjusted for each reporting unit. After determining the fair value of our reporting units, we reconciled the combined fair value of the reporting units to the company's market capitalization as of March 31, 2023. As a result, we determined that the carrying amount of our Private Cloud reporting unit exceeded its fair value and recorded a goodwill impairment charge of $272 million during the first quarter of 2023, which is included in "Impairment of goodwill" in our Consolidated Statements of Comprehensive Loss. The impairment was driven by the company's most recent cash flow projections as revised in the first quarter of 2023 which reflected current market conditions and current trends in business performance, including slower than anticipated actualization of bookings. The Public Cloud reporting unit was determined to have a fair value that exceeded its carrying value by approximately 14% and therefore no impairment was recognized.</w:t>
      </w:r>
    </w:p>
    <w:p>
      <w:pPr>
        <w:spacing w:after="0" w:line="219"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We performed sensitivity analyses on the key inputs and assumptions used in determining the estimated fair value of our reporting units by utilizing changes in assumptions that reflect reasonably likely future changes in the discount rate used in the weighted-average cost of capital calculation and the terminal growth rate. Assuming all other assumptions and inputs used in the discounted cash flow analysis are held constant, a 50 basis point increase in the discount rate assumption would result in decreases in fair value of our Private Cloud and Public Cloud reporting units of approximately $80 million and $65 million, respectively.</w:t>
      </w:r>
    </w:p>
    <w:p>
      <w:pPr>
        <w:spacing w:after="0" w:line="20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September 30, 2023 Assessment</w:t>
      </w:r>
    </w:p>
    <w:p>
      <w:pPr>
        <w:spacing w:after="0" w:line="254" w:lineRule="exact"/>
        <w:rPr>
          <w:sz w:val="20"/>
          <w:szCs w:val="20"/>
          <w:color w:val="auto"/>
        </w:rPr>
      </w:pPr>
    </w:p>
    <w:p>
      <w:pPr>
        <w:ind w:right="60" w:firstLine="486"/>
        <w:spacing w:after="0" w:line="255" w:lineRule="auto"/>
        <w:rPr>
          <w:sz w:val="20"/>
          <w:szCs w:val="20"/>
          <w:color w:val="auto"/>
        </w:rPr>
      </w:pPr>
      <w:r>
        <w:rPr>
          <w:rFonts w:ascii="Times New Roman" w:cs="Times New Roman" w:eastAsia="Times New Roman" w:hAnsi="Times New Roman"/>
          <w:sz w:val="18"/>
          <w:szCs w:val="18"/>
          <w:color w:val="auto"/>
        </w:rPr>
        <w:t>During the third quarter of 2023, we experienced a sustained decline in our stock price resulting in our market capitalization being less than the carrying value of our combined reporting units. As of September 30, 2023, we assessed several events and circumstances that could affect the significant inputs used to determine the fair value of our reporting units, including the significance of the amount, if any, of excess carrying value over fair value, consistency of operating margins and cash flows, budgeted-to-actual performance for the first nine months of the year, overall change in economic climate, changes in the industry and competitive environment, and earnings quality and sustainability. After considering all available evidence in our evaluation of goodwill impairment indicators, we determined it appropriate to perform an interim quantitative assessment of our reporting units as of September 30, 2023.</w:t>
      </w:r>
    </w:p>
    <w:p>
      <w:pPr>
        <w:spacing w:after="0" w:line="216" w:lineRule="exact"/>
        <w:rPr>
          <w:sz w:val="20"/>
          <w:szCs w:val="20"/>
          <w:color w:val="auto"/>
        </w:rPr>
      </w:pPr>
    </w:p>
    <w:p>
      <w:pPr>
        <w:ind w:right="60" w:firstLine="486"/>
        <w:spacing w:after="0" w:line="255" w:lineRule="auto"/>
        <w:rPr>
          <w:sz w:val="20"/>
          <w:szCs w:val="20"/>
          <w:color w:val="auto"/>
        </w:rPr>
      </w:pPr>
      <w:r>
        <w:rPr>
          <w:rFonts w:ascii="Times New Roman" w:cs="Times New Roman" w:eastAsia="Times New Roman" w:hAnsi="Times New Roman"/>
          <w:sz w:val="18"/>
          <w:szCs w:val="18"/>
          <w:color w:val="auto"/>
        </w:rPr>
        <w:t>For the quantitative goodwill impairment analysis performed as of September 30, 2023, we utilized a range of our weighted-average cost of capital of 11.0% to 12.5% as our discount rate, which was risk-adjusted for each reporting unit. After determining the fair value of our reporting units, we reconciled the combined fair value of the reporting units to the company's market capitalization as of September 30, 2023. As a result, we determined that the carrying amount of our Private Cloud reporting unit exceeded its fair value and recorded a goodwill impairment charge of $166 million during the third quarter of 2023, which is included in "Impairment of goodwill" in our Consolidated Statements of Comprehensive Loss. The impairment was driven by the company's cash flow projections as revised in the third quarter of 2023 to reflect current market conditions and business mix shifts. The Public Cloud reporting unit was determined to have a fair value that exceeded its carrying value by approximately 17% and therefore no impairment was recognized.</w:t>
      </w:r>
    </w:p>
    <w:p>
      <w:pPr>
        <w:spacing w:after="0" w:line="216"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We performed sensitivity analyses on the key inputs and assumptions used in determining the estimated fair value of our reporting units by utilizing changes in assumptions that reflect reasonably likely future changes in the discount rate used in the weighted-average cost of capital calculation and the terminal growth rate. Assuming all other assumptions and inputs used in the discounted cash flow analysis are held constant, a 50 basis point increase in the discount rate assumption would result in decreases in fair value of our Private Cloud and Public Cloud reporting units of approximately $65 million and $52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- 85 -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October 1, 2023 Assessment</w:t>
      </w:r>
    </w:p>
    <w:p>
      <w:pPr>
        <w:spacing w:after="0" w:line="254" w:lineRule="exact"/>
        <w:rPr>
          <w:sz w:val="20"/>
          <w:szCs w:val="20"/>
          <w:color w:val="auto"/>
        </w:rPr>
      </w:pPr>
    </w:p>
    <w:p>
      <w:pPr>
        <w:ind w:right="60" w:firstLine="486"/>
        <w:spacing w:after="0" w:line="256" w:lineRule="auto"/>
        <w:rPr>
          <w:sz w:val="20"/>
          <w:szCs w:val="20"/>
          <w:color w:val="auto"/>
        </w:rPr>
      </w:pPr>
      <w:r>
        <w:rPr>
          <w:rFonts w:ascii="Times New Roman" w:cs="Times New Roman" w:eastAsia="Times New Roman" w:hAnsi="Times New Roman"/>
          <w:sz w:val="18"/>
          <w:szCs w:val="18"/>
          <w:color w:val="auto"/>
        </w:rPr>
        <w:t>As of October 1, 2023, we reassessed our reporting unit structure and aggregated the OpenStack Public Cloud reporting unit into our Private Cloud reporting unit. We currently have two reporting units: Public Cloud and Private Cloud. Due to the change in our reporting units as of October 1, 2023, we completed a quantitative goodwill impairment analysis. As the Private Cloud and OpenStack Public Cloud reporting units are being combined into the new Private Cloud reporting unit, the goodwill of the reporting units has been combined rather than reassigned based on the relative fair values of the reporting units. The results of the quantitative goodwill impairment analysis performed as of October 1, 2023, subsequent to the change, indicated no impairment charges to our Private Cloud or Public Cloud reporting units.</w:t>
      </w:r>
    </w:p>
    <w:p>
      <w:pPr>
        <w:spacing w:after="0" w:line="214" w:lineRule="exact"/>
        <w:rPr>
          <w:sz w:val="20"/>
          <w:szCs w:val="20"/>
          <w:color w:val="auto"/>
        </w:rPr>
      </w:pPr>
    </w:p>
    <w:p>
      <w:pPr>
        <w:ind w:right="100" w:firstLine="486"/>
        <w:spacing w:after="0" w:line="258" w:lineRule="auto"/>
        <w:rPr>
          <w:sz w:val="20"/>
          <w:szCs w:val="20"/>
          <w:color w:val="auto"/>
        </w:rPr>
      </w:pPr>
      <w:r>
        <w:rPr>
          <w:rFonts w:ascii="Times New Roman" w:cs="Times New Roman" w:eastAsia="Times New Roman" w:hAnsi="Times New Roman"/>
          <w:sz w:val="18"/>
          <w:szCs w:val="18"/>
          <w:color w:val="auto"/>
        </w:rPr>
        <w:t>For the quantitative goodwill impairment analysis performed as of October 1, 2023, we utilized a range of our weighted-average cost of capital of 11.0% to 12.5% as our discount rate, which was risk-adjusted for each reporting unit. After determining the fair value of our reporting units, we reconciled the combined fair value of the reporting units to the company's market capitalization as of October 1, 2023. The Private and Public Cloud reporting units were determined to have a fair value that exceeded its carrying value by approximately 3% and 17%, respectively and, therefore, no impairment was recognized.</w:t>
      </w:r>
    </w:p>
    <w:p>
      <w:pPr>
        <w:spacing w:after="0" w:line="210"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We performed sensitivity analyses on the key inputs and assumptions used in determining the estimated fair value of our reporting units by utilizing changes in assumptions that reflect reasonably likely future changes in the discount rate used in the weighted-average cost of capital calculation and the terminal growth rate. Assuming all other assumptions and inputs used in the discounted cash flow analysis are held constant, a 50 basis point increase in the discount rate assumption would result in decreases in fair value of our Private Cloud and Public Cloud reporting units of approximately $67 million and $52 million, respectively.</w:t>
      </w:r>
    </w:p>
    <w:p>
      <w:pPr>
        <w:spacing w:after="0" w:line="20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September 1, 2022 Assessment</w:t>
      </w:r>
    </w:p>
    <w:p>
      <w:pPr>
        <w:spacing w:after="0" w:line="254" w:lineRule="exact"/>
        <w:rPr>
          <w:sz w:val="20"/>
          <w:szCs w:val="20"/>
          <w:color w:val="auto"/>
        </w:rPr>
      </w:pPr>
    </w:p>
    <w:p>
      <w:pPr>
        <w:ind w:right="100" w:firstLine="486"/>
        <w:spacing w:after="0" w:line="282" w:lineRule="auto"/>
        <w:rPr>
          <w:sz w:val="20"/>
          <w:szCs w:val="20"/>
          <w:color w:val="auto"/>
        </w:rPr>
      </w:pPr>
      <w:r>
        <w:rPr>
          <w:rFonts w:ascii="Times New Roman" w:cs="Times New Roman" w:eastAsia="Times New Roman" w:hAnsi="Times New Roman"/>
          <w:sz w:val="18"/>
          <w:szCs w:val="18"/>
          <w:color w:val="auto"/>
        </w:rPr>
        <w:t>As of September 1, 2022, after considering all available evidence in our evaluation of goodwill impairment indicators, we determined it appropriate to perform an interim quantitative assessment of our reporting unit as of September 1, 2022.</w:t>
      </w:r>
    </w:p>
    <w:p>
      <w:pPr>
        <w:spacing w:after="0" w:line="189" w:lineRule="exact"/>
        <w:rPr>
          <w:sz w:val="20"/>
          <w:szCs w:val="20"/>
          <w:color w:val="auto"/>
        </w:rPr>
      </w:pPr>
    </w:p>
    <w:p>
      <w:pPr>
        <w:ind w:right="120" w:firstLine="486"/>
        <w:spacing w:after="0" w:line="254" w:lineRule="auto"/>
        <w:rPr>
          <w:sz w:val="20"/>
          <w:szCs w:val="20"/>
          <w:color w:val="auto"/>
        </w:rPr>
      </w:pPr>
      <w:r>
        <w:rPr>
          <w:rFonts w:ascii="Times New Roman" w:cs="Times New Roman" w:eastAsia="Times New Roman" w:hAnsi="Times New Roman"/>
          <w:sz w:val="18"/>
          <w:szCs w:val="18"/>
          <w:color w:val="auto"/>
        </w:rPr>
        <w:t>For the interim quantitative goodwill impairment analysis performed as of September 1, 2022, we utilized a range of our weighted-average cost of capital of 10.0% to 12.0% as our discount rate, which was risk-adjusted for each reporting unit. After determining the fair value of our reporting units, we reconciled the combined fair value of the reporting units to the company's market capitalization as of September 1, 2022. As a result of our interim goodwill impairment test performed as of September 1, 2022, we determined that the carrying amount of our former Multicloud Services reporting unit exceeded its fair value and recorded a goodwill impairment charge of $405 million during the third quarter of 2022, which is included in "Impairment of goodwill" in our Consolidated Statements of Comprehensive Loss. The impairment was driven by deteriorating forecasted margins and cash flows within this reporting unit primarily due to slower than anticipated product mix shifts. Our former Apps &amp; Cross Platform reporting unit was determined to have a fair value that exceeded its carrying value by approximately 15% and therefore no impairment was recognized.</w:t>
      </w:r>
    </w:p>
    <w:p>
      <w:pPr>
        <w:spacing w:after="0" w:line="219"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We performed sensitivity analyses on the key inputs and assumptions used in determining the estimated fair value of our reporting unit by utilizing changes in assumptions that reflect reasonably likely future changes in the discount rate used in the weighted-average cost of capital calculation and the terminal growth rate. Assuming all other assumptions and inputs used in the discounted cash flow analysis are held constant, a 50 basis point increase in the discount rate assumption would result in decreases in fair value of our former Multicloud Services and Apps &amp; Cross Platform reporting units of approximately $235 million and $33 million, respectively.</w:t>
      </w:r>
    </w:p>
    <w:p>
      <w:pPr>
        <w:spacing w:after="0" w:line="20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October 1, 2022 Assessment</w:t>
      </w:r>
    </w:p>
    <w:p>
      <w:pPr>
        <w:spacing w:after="0" w:line="254" w:lineRule="exact"/>
        <w:rPr>
          <w:sz w:val="20"/>
          <w:szCs w:val="20"/>
          <w:color w:val="auto"/>
        </w:rPr>
      </w:pPr>
    </w:p>
    <w:p>
      <w:pPr>
        <w:ind w:right="60" w:firstLine="486"/>
        <w:spacing w:after="0" w:line="256" w:lineRule="auto"/>
        <w:rPr>
          <w:sz w:val="20"/>
          <w:szCs w:val="20"/>
          <w:color w:val="auto"/>
        </w:rPr>
      </w:pPr>
      <w:r>
        <w:rPr>
          <w:rFonts w:ascii="Times New Roman" w:cs="Times New Roman" w:eastAsia="Times New Roman" w:hAnsi="Times New Roman"/>
          <w:sz w:val="18"/>
          <w:szCs w:val="18"/>
          <w:color w:val="auto"/>
        </w:rPr>
        <w:t>We performed our annual quantitative goodwill impairment test as of October 1, 2022. For the quantitative goodwill impairment analysis performed as of October 1, 2022, we utilized a range of our weighted-average cost of capital of 10.0% to 12.0% as our discount rate, which was risk-adjusted for each reporting unit. After determining the fair value of our reporting units, we reconciled the combined fair value of the reporting units to the company's market capitalization as of October 1, 2022. As a result of our goodwill impairment test performed as of October 1, 2022, we determined that the fair value exceeded the carrying amounts for each of our reporting units. The fair value exceeded the carrying value for the former Multicloud Services reporting unit by 1% and the former Apps &amp; Cross Platform reporting unit by 15%. Therefore no impairment was recognized.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- 86 -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We performed sensitivity analyses on the key inputs and assumptions used in determining the estimated fair value of our reporting unit by utilizing changes in assumptions that reflect reasonably likely future changes in the discount rate used in the weighted-average cost of capital calculation and the terminal growth rate. Assuming all other assumptions and inputs used in the discounted cash flow analysis are held constant, a 50 basis point increase in the discount rate assumption would result in decreases in fair value of our former Multicloud Services and Apps &amp; Cross Platform reporting units of approximately $236 million and $38 million, respectively.</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December 31, 2022 Assessment</w:t>
      </w:r>
    </w:p>
    <w:p>
      <w:pPr>
        <w:spacing w:after="0" w:line="254" w:lineRule="exact"/>
        <w:rPr>
          <w:sz w:val="20"/>
          <w:szCs w:val="20"/>
          <w:color w:val="auto"/>
        </w:rPr>
      </w:pPr>
    </w:p>
    <w:p>
      <w:pPr>
        <w:ind w:right="180" w:firstLine="486"/>
        <w:spacing w:after="0" w:line="258" w:lineRule="auto"/>
        <w:rPr>
          <w:sz w:val="20"/>
          <w:szCs w:val="20"/>
          <w:color w:val="auto"/>
        </w:rPr>
      </w:pPr>
      <w:r>
        <w:rPr>
          <w:rFonts w:ascii="Times New Roman" w:cs="Times New Roman" w:eastAsia="Times New Roman" w:hAnsi="Times New Roman"/>
          <w:sz w:val="18"/>
          <w:szCs w:val="18"/>
          <w:color w:val="auto"/>
        </w:rPr>
        <w:t>During the fourth quarter of 2022, subsequent to our annual goodwill impairment analysis, we experienced decline in our market capitalization following a ransomware incident in early December which caused service disruptions on our Hosted Exchange email business which was included in our former Apps &amp; Cross Platform reporting unit. After considering all available evidence in our evaluation of goodwill impairment indicators, including our lowered projected operating results within this reporting unit, we determined it appropriate to perform an interim quantitative assessment of our reporting units as of December 31, 2022.</w:t>
      </w:r>
    </w:p>
    <w:p>
      <w:pPr>
        <w:spacing w:after="0" w:line="210"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For the quantitative goodwill impairment analysis performed as of December 31, 2022, we utilized a range of our weighted-average cost of capital of 10.5% to 12.0% as our discount rate, which was risk-adjusted for each reporting unit. After determining the fair value of our reporting units, we reconciled the combined fair value of the reporting units to the company's market capitalization as of December 31, 2022. As a result of our goodwill impairment test performed as of December 31, 2022, we determined that the carrying amount of our former Apps &amp; Cross Platform reporting unit exceeded its fair value and recorded a goodwill impairment charge of $129 million during the fourth quarter of 2022, which is included in "Impairment of goodwill" in our Consolidated Statements of Comprehensive Loss. The impairment was driven by a decrease in forecasted revenues, margins, and cash flows within the reporting unit primarily due to the Hosted Exchange incident and other macroeconomic factors. The former Multicloud Services reporting unit was determined to have a fair value that exceeded its carrying value by approximately 1% and therefore no impairment was recognized.</w:t>
      </w:r>
    </w:p>
    <w:p>
      <w:pPr>
        <w:spacing w:after="0" w:line="219"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We performed sensitivity analyses on the key inputs and assumptions used in determining the estimated fair value of our reporting unit by utilizing changes in assumptions that reflect reasonably likely future changes in the discount rate used in the weighted-average cost of capital calculation and the terminal growth rate. Assuming all other assumptions and inputs used in the discounted cash flow analysis are held constant, a 50 basis point increase in the discount rate assumption would result in decreases in fair value of our former Multicloud Services and Apps &amp; Cross Platform reporting units of approximately $218 million and $22 million, respectively.</w:t>
      </w:r>
    </w:p>
    <w:p>
      <w:pPr>
        <w:spacing w:after="0" w:line="21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December 31, 2024, the carrying amount of goodwill was $735.7 million.</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Indefinite-Lived Intangible Assets</w:t>
      </w:r>
    </w:p>
    <w:p>
      <w:pPr>
        <w:spacing w:after="0" w:line="25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Year Ended December 31, 2024</w:t>
      </w:r>
    </w:p>
    <w:p>
      <w:pPr>
        <w:spacing w:after="0" w:line="254" w:lineRule="exact"/>
        <w:rPr>
          <w:sz w:val="20"/>
          <w:szCs w:val="20"/>
          <w:color w:val="auto"/>
        </w:rPr>
      </w:pPr>
    </w:p>
    <w:p>
      <w:pPr>
        <w:ind w:right="60" w:firstLine="486"/>
        <w:spacing w:after="0" w:line="258" w:lineRule="auto"/>
        <w:rPr>
          <w:sz w:val="20"/>
          <w:szCs w:val="20"/>
          <w:color w:val="auto"/>
        </w:rPr>
      </w:pPr>
      <w:r>
        <w:rPr>
          <w:rFonts w:ascii="Times New Roman" w:cs="Times New Roman" w:eastAsia="Times New Roman" w:hAnsi="Times New Roman"/>
          <w:sz w:val="18"/>
          <w:szCs w:val="18"/>
          <w:color w:val="auto"/>
        </w:rPr>
        <w:t>As of February 29, 2024 and September 30, 2024, due to the factors discussed above, we performed a quantitative assessment of our indefinite-lived intangible asset utilizing a relief from royalty method. Significant estimates and assumptions included in the relief from royalty method are expectations of revenue growth rates, and selection of royalty rate and discount rate. We utilized a royalty rate of 0.5% for both periods and a discount rate of 13.7% as of February 29, 2024 and 12.4% as of September 30, 2024. We completed the quantitative assessments of our indefinite-lived intangible asset prior to testing our goodwill for impairment as of September 30, 2024, which did not indicate any impairment of the Rackspace trade name.</w:t>
      </w:r>
    </w:p>
    <w:p>
      <w:pPr>
        <w:spacing w:after="0" w:line="210" w:lineRule="exact"/>
        <w:rPr>
          <w:sz w:val="20"/>
          <w:szCs w:val="20"/>
          <w:color w:val="auto"/>
        </w:rPr>
      </w:pPr>
    </w:p>
    <w:p>
      <w:pPr>
        <w:ind w:right="80" w:firstLine="486"/>
        <w:spacing w:after="0" w:line="266" w:lineRule="auto"/>
        <w:rPr>
          <w:sz w:val="20"/>
          <w:szCs w:val="20"/>
          <w:color w:val="auto"/>
        </w:rPr>
      </w:pPr>
      <w:r>
        <w:rPr>
          <w:rFonts w:ascii="Times New Roman" w:cs="Times New Roman" w:eastAsia="Times New Roman" w:hAnsi="Times New Roman"/>
          <w:sz w:val="18"/>
          <w:szCs w:val="18"/>
          <w:color w:val="auto"/>
        </w:rPr>
        <w:t>The quantitative test as of February 29, 2024 indicated that the estimated fair value of the Rackspace trade name was less than its carrying value. As a result, we recorded a $20 million non-cash impairment charge during the first quarter of 2024 which is included in "Impairment of assets, net" in our Consolidated Statements of Comprehensive Loss.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- 87 -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Year Ended December 31, 2023</w:t>
      </w:r>
    </w:p>
    <w:p>
      <w:pPr>
        <w:spacing w:after="0" w:line="254"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As of January 1, 2023, March 31, 2023 and September 30, 2023, due to the factors discussed above, we performed a quantitative assessment of our indefinite-lived intangible asset utilizing a relief from royalty method. Significant estimates and assumptions included in the relief from royalty method are expectations of revenue growth rates, and selection of royalty rate and discount rate. We utilized a royalty rate of 0.5% for all periods and a discount rate of 11.0% as of January 1, 2023 and March 31, 2023, and a discount rate of 11.9% as of September 30, 2023. We completed the quantitative assessments of our indefinite-lived intangible asset prior to testing our goodwill for impairment as of January 1, 2023 and March 31, 2023 which did not indicate any impairment of the Rackspace trade name.</w:t>
      </w:r>
    </w:p>
    <w:p>
      <w:pPr>
        <w:spacing w:after="0" w:line="214" w:lineRule="exact"/>
        <w:rPr>
          <w:sz w:val="20"/>
          <w:szCs w:val="20"/>
          <w:color w:val="auto"/>
        </w:rPr>
      </w:pPr>
    </w:p>
    <w:p>
      <w:pPr>
        <w:ind w:right="100" w:firstLine="486"/>
        <w:spacing w:after="0" w:line="266" w:lineRule="auto"/>
        <w:rPr>
          <w:sz w:val="20"/>
          <w:szCs w:val="20"/>
          <w:color w:val="auto"/>
        </w:rPr>
      </w:pPr>
      <w:r>
        <w:rPr>
          <w:rFonts w:ascii="Times New Roman" w:cs="Times New Roman" w:eastAsia="Times New Roman" w:hAnsi="Times New Roman"/>
          <w:sz w:val="18"/>
          <w:szCs w:val="18"/>
          <w:color w:val="auto"/>
        </w:rPr>
        <w:t>The quantitative test as of September 30, 2023 indicated that the estimated fair value of the Rackspace trade name was less than its carrying value. As a result, we recorded a $57 million non-cash impairment charge during the third quarter of 2023 which is included in "Impairment of assets, net" in our Consolidated Statements of Comprehensive Loss.</w:t>
      </w:r>
    </w:p>
    <w:p>
      <w:pPr>
        <w:spacing w:after="0" w:line="203" w:lineRule="exact"/>
        <w:rPr>
          <w:sz w:val="20"/>
          <w:szCs w:val="20"/>
          <w:color w:val="auto"/>
        </w:rPr>
      </w:pPr>
    </w:p>
    <w:p>
      <w:pPr>
        <w:ind w:right="40" w:firstLine="486"/>
        <w:spacing w:after="0" w:line="282" w:lineRule="auto"/>
        <w:rPr>
          <w:sz w:val="20"/>
          <w:szCs w:val="20"/>
          <w:color w:val="auto"/>
        </w:rPr>
      </w:pPr>
      <w:r>
        <w:rPr>
          <w:rFonts w:ascii="Times New Roman" w:cs="Times New Roman" w:eastAsia="Times New Roman" w:hAnsi="Times New Roman"/>
          <w:sz w:val="18"/>
          <w:szCs w:val="18"/>
          <w:color w:val="auto"/>
        </w:rPr>
        <w:t>We completed the quantitative assessments of our indefinite-lived intangible asset prior to testing our goodwill for impairment as of October 1, 2023 which did not indicate any impairment of the Rackspace trade name.</w:t>
      </w:r>
    </w:p>
    <w:p>
      <w:pPr>
        <w:spacing w:after="0" w:line="18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Year Ended December 31, 2022</w:t>
      </w:r>
    </w:p>
    <w:p>
      <w:pPr>
        <w:spacing w:after="0" w:line="254" w:lineRule="exact"/>
        <w:rPr>
          <w:sz w:val="20"/>
          <w:szCs w:val="20"/>
          <w:color w:val="auto"/>
        </w:rPr>
      </w:pPr>
    </w:p>
    <w:p>
      <w:pPr>
        <w:ind w:right="40" w:firstLine="486"/>
        <w:spacing w:after="0" w:line="258" w:lineRule="auto"/>
        <w:rPr>
          <w:sz w:val="20"/>
          <w:szCs w:val="20"/>
          <w:color w:val="auto"/>
        </w:rPr>
      </w:pPr>
      <w:r>
        <w:rPr>
          <w:rFonts w:ascii="Times New Roman" w:cs="Times New Roman" w:eastAsia="Times New Roman" w:hAnsi="Times New Roman"/>
          <w:sz w:val="18"/>
          <w:szCs w:val="18"/>
          <w:color w:val="auto"/>
        </w:rPr>
        <w:t>As of September 1, 2022, October 1, 2022 and December 31, 2022, due to the factors discussed above, we performed a quantitative assessment of our indefinite-lived intangible asset utilizing a relief from royalty method. Significant estimates and assumptions included in the relief from royalty method are expectations of revenue growth rates, and selection of royalty rate and discount rate. We utilized a royalty rate of 0.5% for all periods and a discount rate of 10.7% as of September 1, 2022 and October 1, 2022, and a discount rate of 11.0% as of December 31, 2022. We completed the quantitative assessments of our indefinite-lived intangible asset prior to testing our goodwill for impairment.</w:t>
      </w:r>
    </w:p>
    <w:p>
      <w:pPr>
        <w:spacing w:after="0" w:line="210" w:lineRule="exact"/>
        <w:rPr>
          <w:sz w:val="20"/>
          <w:szCs w:val="20"/>
          <w:color w:val="auto"/>
        </w:rPr>
      </w:pPr>
    </w:p>
    <w:p>
      <w:pPr>
        <w:ind w:right="180" w:firstLine="486"/>
        <w:spacing w:after="0" w:line="266" w:lineRule="auto"/>
        <w:rPr>
          <w:sz w:val="20"/>
          <w:szCs w:val="20"/>
          <w:color w:val="auto"/>
        </w:rPr>
      </w:pPr>
      <w:r>
        <w:rPr>
          <w:rFonts w:ascii="Times New Roman" w:cs="Times New Roman" w:eastAsia="Times New Roman" w:hAnsi="Times New Roman"/>
          <w:sz w:val="18"/>
          <w:szCs w:val="18"/>
          <w:color w:val="auto"/>
        </w:rPr>
        <w:t>As of September 1, 2022, we determined the estimated fair value of the Rackspace trade name was less than its carrying value. As a result, we recorded a $21 million non-cash impairment charge during the third quarter of 2022, which is included in "Impairment of assets, net" in our Consolidated Statements of Comprehensive Loss.</w:t>
      </w:r>
    </w:p>
    <w:p>
      <w:pPr>
        <w:spacing w:after="0" w:line="203" w:lineRule="exact"/>
        <w:rPr>
          <w:sz w:val="20"/>
          <w:szCs w:val="20"/>
          <w:color w:val="auto"/>
        </w:rPr>
      </w:pPr>
    </w:p>
    <w:p>
      <w:pPr>
        <w:ind w:right="360" w:firstLine="486"/>
        <w:spacing w:after="0" w:line="282" w:lineRule="auto"/>
        <w:rPr>
          <w:sz w:val="20"/>
          <w:szCs w:val="20"/>
          <w:color w:val="auto"/>
        </w:rPr>
      </w:pPr>
      <w:r>
        <w:rPr>
          <w:rFonts w:ascii="Times New Roman" w:cs="Times New Roman" w:eastAsia="Times New Roman" w:hAnsi="Times New Roman"/>
          <w:sz w:val="18"/>
          <w:szCs w:val="18"/>
          <w:color w:val="auto"/>
        </w:rPr>
        <w:t>As of October 1, 2022, we determined the estimated fair value of the Rackspace trade name was greater than its carrying value, and therefore no impairment was recognized.</w:t>
      </w:r>
    </w:p>
    <w:p>
      <w:pPr>
        <w:spacing w:after="0" w:line="189" w:lineRule="exact"/>
        <w:rPr>
          <w:sz w:val="20"/>
          <w:szCs w:val="20"/>
          <w:color w:val="auto"/>
        </w:rPr>
      </w:pPr>
    </w:p>
    <w:p>
      <w:pPr>
        <w:ind w:right="80" w:firstLine="486"/>
        <w:spacing w:after="0" w:line="266" w:lineRule="auto"/>
        <w:rPr>
          <w:sz w:val="20"/>
          <w:szCs w:val="20"/>
          <w:color w:val="auto"/>
        </w:rPr>
      </w:pPr>
      <w:r>
        <w:rPr>
          <w:rFonts w:ascii="Times New Roman" w:cs="Times New Roman" w:eastAsia="Times New Roman" w:hAnsi="Times New Roman"/>
          <w:sz w:val="18"/>
          <w:szCs w:val="18"/>
          <w:color w:val="auto"/>
        </w:rPr>
        <w:t>As of December 31, 2022, we determined the estimated fair value of the Rackspace trade name was less than its carrying value. As a result, we recorded a $12 million non-cash impairment charge during the fourth quarter of 2022, which is included in "Impairment of assets, net" in our Consolidated Statements of Comprehensive Loss.</w:t>
      </w:r>
    </w:p>
    <w:p>
      <w:pPr>
        <w:spacing w:after="0" w:line="203" w:lineRule="exact"/>
        <w:rPr>
          <w:sz w:val="20"/>
          <w:szCs w:val="20"/>
          <w:color w:val="auto"/>
        </w:rPr>
      </w:pPr>
    </w:p>
    <w:p>
      <w:pPr>
        <w:ind w:right="20" w:firstLine="486"/>
        <w:spacing w:after="0" w:line="253" w:lineRule="auto"/>
        <w:rPr>
          <w:sz w:val="20"/>
          <w:szCs w:val="20"/>
          <w:color w:val="auto"/>
        </w:rPr>
      </w:pPr>
      <w:r>
        <w:rPr>
          <w:rFonts w:ascii="Times New Roman" w:cs="Times New Roman" w:eastAsia="Times New Roman" w:hAnsi="Times New Roman"/>
          <w:sz w:val="18"/>
          <w:szCs w:val="18"/>
          <w:color w:val="auto"/>
        </w:rPr>
        <w:t>The fair value determination of our reporting units and our indefinite-lived intangible asset is judgmental in nature and requires the use of estimates and assumptions that are sensitive to changes. Assumptions include estimation of the royalty rate for the trade name, estimation of future revenue growth rates, projected gross profit margins, projected operating costs, projected EBITDA margins, projected capital expenditures, which are dependent on internal cash flow forecasts, estimation of the terminal growth rates and determination of risk-adjusted discount rates. As a result, there can be no assurance that the estimates and assumptions made for purposes of the quantitative goodwill and indefinite-lived intangible impairment tests will prove to be an accurate prediction of future results. Examples of events or circumstances that could reasonably be expected to negatively affect the underlying key assumptions and ultimately impact the estimated fair value of our reporting units may include such items as: (i) volatility in the equity and debt markets or other macroeconomic factors, (ii) an increase in the weighted-average cost of capital due to further increases in interest rates, (iii) decrease in future cash flows due to lower than expected sales, or (iv) fluctuations in foreign currency exchange rates that may negatively impact our reported results of operations. Accordingly, if our current cash flow assumptions are not realized, we experience further sustained declines in our stock price or market capitalization, or increases in costs of capital, it is possible that an additional impairment charge may be recorded in the future, which could be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- 88 -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Contingencies</w:t>
      </w:r>
    </w:p>
    <w:p>
      <w:pPr>
        <w:spacing w:after="0" w:line="254" w:lineRule="exact"/>
        <w:rPr>
          <w:sz w:val="20"/>
          <w:szCs w:val="20"/>
          <w:color w:val="auto"/>
        </w:rPr>
      </w:pPr>
    </w:p>
    <w:p>
      <w:pPr>
        <w:ind w:right="80" w:firstLine="486"/>
        <w:spacing w:after="0" w:line="277" w:lineRule="auto"/>
        <w:rPr>
          <w:sz w:val="20"/>
          <w:szCs w:val="20"/>
          <w:color w:val="auto"/>
        </w:rPr>
      </w:pPr>
      <w:r>
        <w:rPr>
          <w:rFonts w:ascii="Times New Roman" w:cs="Times New Roman" w:eastAsia="Times New Roman" w:hAnsi="Times New Roman"/>
          <w:sz w:val="17"/>
          <w:szCs w:val="17"/>
          <w:color w:val="auto"/>
        </w:rPr>
        <w:t>We accrue for contingent obligations when the obligation is probable and the amount is reasonably estimable. As facts concerning contingencies become known, we reassess our position and make appropriate adjustments to the recorded accrual. Estimates that are particularly sensitive to future changes include those related to tax, legal and other regulatory matters, changes in the interpretation and enforcement of international laws, and the impact of local economic conditions and practices, which are all subject to change as events evolve and as additional information becomes available during the administrative and litigation process. Changes in our estimates and assumptions could have a material impact on our consolidated financial statements.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Share-Based Compensation</w:t>
      </w:r>
    </w:p>
    <w:p>
      <w:pPr>
        <w:spacing w:after="0" w:line="252" w:lineRule="exact"/>
        <w:rPr>
          <w:sz w:val="20"/>
          <w:szCs w:val="20"/>
          <w:color w:val="auto"/>
        </w:rPr>
      </w:pPr>
    </w:p>
    <w:p>
      <w:pPr>
        <w:ind w:right="40" w:firstLine="486"/>
        <w:spacing w:after="0" w:line="258" w:lineRule="auto"/>
        <w:rPr>
          <w:sz w:val="20"/>
          <w:szCs w:val="20"/>
          <w:color w:val="auto"/>
        </w:rPr>
      </w:pPr>
      <w:r>
        <w:rPr>
          <w:rFonts w:ascii="Times New Roman" w:cs="Times New Roman" w:eastAsia="Times New Roman" w:hAnsi="Times New Roman"/>
          <w:sz w:val="18"/>
          <w:szCs w:val="18"/>
          <w:color w:val="auto"/>
        </w:rPr>
        <w:t xml:space="preserve">We account for share-based awards under the recognition and measurement provisions of ASC No. 718, </w:t>
      </w:r>
      <w:r>
        <w:rPr>
          <w:rFonts w:ascii="Times New Roman" w:cs="Times New Roman" w:eastAsia="Times New Roman" w:hAnsi="Times New Roman"/>
          <w:sz w:val="18"/>
          <w:szCs w:val="18"/>
          <w:i w:val="1"/>
          <w:iCs w:val="1"/>
          <w:color w:val="auto"/>
        </w:rPr>
        <w:t>Compensation—Stock Compensation</w:t>
      </w:r>
      <w:r>
        <w:rPr>
          <w:rFonts w:ascii="Times New Roman" w:cs="Times New Roman" w:eastAsia="Times New Roman" w:hAnsi="Times New Roman"/>
          <w:sz w:val="18"/>
          <w:szCs w:val="18"/>
          <w:color w:val="auto"/>
        </w:rPr>
        <w:t>. Share-based compensation cost is measured at the grant date based on the fair value of the underlying common stock and is recognized as expense over the requisite service period. The fair value of stock options with vesting conditions dependent upon market performance is determined using a Monte Carlo simulation. Determining the grant date fair value of share-based awards with performance vesting conditions and the probability of such awards vesting requires judgment.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54"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We are subject to income taxes in the U.S. and numerous foreign jurisdictions. Significant judgments and estimates are required in evaluating our tax positions and determining our provision for income taxes. Although we believe we have adequately reserved for our uncertain tax positions, no assurance can be given that the final tax outcome of these matters will not be different. To the extent that the final tax outcome of these matters is different than the amounts recorded, such differences will impact the provision for income taxes in the period in which such determination is made.</w:t>
      </w:r>
    </w:p>
    <w:p>
      <w:pPr>
        <w:spacing w:after="0" w:line="207"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color w:val="auto"/>
        </w:rPr>
        <w:t>Our effective tax rates may differ from the statutory rate for various reasons, including differences due to the tax impact of foreign operations, state taxes, contingency reserves for uncertain tax positions, certain benefits realized related to share-based compensation, executive compensation that is nondeductible under IRC Section 162(m), changes in the valuation of our deferred tax assets or liabilities, goodwill impairments, or from changes in tax laws, regulations, accounting principles or interpretations thereof. In addition, we are periodically subject to examination of our income tax returns in the U.S., U.K., India, and other countries. We regularly assess the likelihood of adverse outcomes resulting from these examinations to determine the adequacy of our provision for income taxes.</w:t>
      </w:r>
    </w:p>
    <w:p>
      <w:pPr>
        <w:spacing w:after="0" w:line="214" w:lineRule="exact"/>
        <w:rPr>
          <w:sz w:val="20"/>
          <w:szCs w:val="20"/>
          <w:color w:val="auto"/>
        </w:rPr>
      </w:pPr>
    </w:p>
    <w:p>
      <w:pPr>
        <w:ind w:right="60" w:firstLine="486"/>
        <w:spacing w:after="0" w:line="258" w:lineRule="auto"/>
        <w:rPr>
          <w:sz w:val="20"/>
          <w:szCs w:val="20"/>
          <w:color w:val="auto"/>
        </w:rPr>
      </w:pPr>
      <w:r>
        <w:rPr>
          <w:rFonts w:ascii="Times New Roman" w:cs="Times New Roman" w:eastAsia="Times New Roman" w:hAnsi="Times New Roman"/>
          <w:sz w:val="18"/>
          <w:szCs w:val="18"/>
          <w:color w:val="auto"/>
        </w:rPr>
        <w:t>Deferred income taxes arise from temporary differences between the tax basis of assets and liabilities and their reported amounts in the consolidated financial statements, which will result in taxable or deductible amounts in the future. In evaluating our ability to recover our deferred tax assets within the jurisdiction from which they arise, we consider all available positive and negative evidence, including scheduled reversals of deferred tax liabilities, projected future taxable income, tax-planning strategies and results of recent operations. The assumptions about future taxable income require significant judgment and are consistent with the plans and estimates we are using to manage the underlying businesses.</w:t>
      </w:r>
    </w:p>
    <w:p>
      <w:pPr>
        <w:spacing w:after="0" w:line="210"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In December 2021, the Organisation for Economic Co-operation and Development (the “OECD”) issued model rules for a new global minimum tax framework (Pillar Two). Governments in many of the countries where we operate have issued, or are in the process of issuing, legislation on this rule. As of December 31, 2024, our company is subject to Pillar Two legislation in certain jurisdictions where we operate. We have evaluated the potential impact of Pillar Two and it did not have a material impact on the company’s results of operations in 2024. Although we do not currently expect that Pillar Two will have a material impact on our future results of operations, we will continue to evaluate the potential impact on future periods of the “Pillar Two” framework as additional guidance is released and additional countries may adopt this legislation.</w:t>
      </w:r>
    </w:p>
    <w:p>
      <w:pPr>
        <w:spacing w:after="0" w:line="214" w:lineRule="exact"/>
        <w:rPr>
          <w:sz w:val="20"/>
          <w:szCs w:val="20"/>
          <w:color w:val="auto"/>
        </w:rPr>
      </w:pPr>
    </w:p>
    <w:p>
      <w:pPr>
        <w:ind w:right="160" w:firstLine="486"/>
        <w:spacing w:after="0" w:line="282" w:lineRule="auto"/>
        <w:rPr>
          <w:sz w:val="20"/>
          <w:szCs w:val="20"/>
          <w:color w:val="auto"/>
        </w:rPr>
      </w:pPr>
      <w:r>
        <w:rPr>
          <w:rFonts w:ascii="Times New Roman" w:cs="Times New Roman" w:eastAsia="Times New Roman" w:hAnsi="Times New Roman"/>
          <w:sz w:val="18"/>
          <w:szCs w:val="18"/>
          <w:color w:val="auto"/>
        </w:rPr>
        <w:t>For a description of accounting pronouncements recently adopted and issued, see Item 8 of Part II, Financial Statements and Supplementary Data - Note 1, "Company Overview, Basis of Presentation, and Summary of Significant Accounting Policies."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- 89 -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7A – QUANTITATIVE AND QUALITATIVE DISCLOSURES ABOUT MARKET RISK</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Rates</w:t>
      </w:r>
    </w:p>
    <w:p>
      <w:pPr>
        <w:spacing w:after="0" w:line="256" w:lineRule="exact"/>
        <w:rPr>
          <w:sz w:val="20"/>
          <w:szCs w:val="20"/>
          <w:color w:val="auto"/>
        </w:rPr>
      </w:pPr>
    </w:p>
    <w:p>
      <w:pPr>
        <w:ind w:right="80" w:firstLine="486"/>
        <w:spacing w:after="0" w:line="256" w:lineRule="auto"/>
        <w:rPr>
          <w:sz w:val="20"/>
          <w:szCs w:val="20"/>
          <w:color w:val="auto"/>
        </w:rPr>
      </w:pPr>
      <w:r>
        <w:rPr>
          <w:rFonts w:ascii="Times New Roman" w:cs="Times New Roman" w:eastAsia="Times New Roman" w:hAnsi="Times New Roman"/>
          <w:sz w:val="18"/>
          <w:szCs w:val="18"/>
          <w:color w:val="auto"/>
        </w:rPr>
        <w:t>We are exposed to interest rate risk associated with fluctuations in interest rates on our floating-rate debt under our Senior Facilities and New Senior Facilities, which includes our $375 million New Revolving Credit Facility and $1,962 million outstanding under the Term Loan Facility, FLSO Term Loan Facility and FLFO Term Loan Facility. As of December 31, 2024, there were no outstanding borrowings under the New Revolving Credit Facility and therefore our only variable-rate debt outstanding was the $1,962 million outstanding under the Term Loan Facility, FLSO Term Loan Facility and FLFO Term Loan Facility. As of December 31, 2024, assuming the New Revolving Credit Facility was fully drawn, each 0.125% change in assumed blended interest rates would result in a $3 million change in annual interest expense on indebtedness under the Senior Facilities and New Senior Facilities.</w:t>
      </w:r>
    </w:p>
    <w:p>
      <w:pPr>
        <w:spacing w:after="0" w:line="214" w:lineRule="exact"/>
        <w:rPr>
          <w:sz w:val="20"/>
          <w:szCs w:val="20"/>
          <w:color w:val="auto"/>
        </w:rPr>
      </w:pPr>
    </w:p>
    <w:p>
      <w:pPr>
        <w:ind w:right="200" w:firstLine="486"/>
        <w:spacing w:after="0" w:line="266" w:lineRule="auto"/>
        <w:rPr>
          <w:sz w:val="20"/>
          <w:szCs w:val="20"/>
          <w:color w:val="auto"/>
        </w:rPr>
      </w:pPr>
      <w:r>
        <w:rPr>
          <w:rFonts w:ascii="Times New Roman" w:cs="Times New Roman" w:eastAsia="Times New Roman" w:hAnsi="Times New Roman"/>
          <w:sz w:val="18"/>
          <w:szCs w:val="18"/>
          <w:color w:val="auto"/>
        </w:rPr>
        <w:t>Our Term Loan Facility, FLSO Term Loan Facility and FLFO Term Loan Facility bear interest at an annual rate equal to an applicable margin plus one-month Term SOFR, subject to a 0.75% floor. We have entered into an interest rate swap agreement indexed to one-month Term SOFR (subject to a floor of 0.75%) in order to manage our risk from fluctuations in one-month Term SOFR above the 0.75% floor.</w:t>
      </w:r>
    </w:p>
    <w:p>
      <w:pPr>
        <w:spacing w:after="0" w:line="20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key terms of the swap outstanding as of December 31, 2024 are presented below:</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5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Transaction Date</w:t>
            </w:r>
          </w:p>
        </w:tc>
        <w:tc>
          <w:tcPr>
            <w:tcW w:w="25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Effective Date</w:t>
            </w:r>
          </w:p>
        </w:tc>
        <w:tc>
          <w:tcPr>
            <w:tcW w:w="120" w:type="dxa"/>
            <w:vAlign w:val="bottom"/>
          </w:tcPr>
          <w:p>
            <w:pPr>
              <w:spacing w:after="0"/>
              <w:rPr>
                <w:sz w:val="16"/>
                <w:szCs w:val="16"/>
                <w:color w:val="auto"/>
              </w:rPr>
            </w:pPr>
          </w:p>
        </w:tc>
        <w:tc>
          <w:tcPr>
            <w:tcW w:w="17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Notional Amount (in</w:t>
            </w:r>
          </w:p>
        </w:tc>
        <w:tc>
          <w:tcPr>
            <w:tcW w:w="18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Fixed Rate Paid</w:t>
            </w:r>
          </w:p>
        </w:tc>
        <w:tc>
          <w:tcPr>
            <w:tcW w:w="24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Maturity Date</w:t>
            </w:r>
          </w:p>
        </w:tc>
        <w:tc>
          <w:tcPr>
            <w:tcW w:w="0" w:type="dxa"/>
            <w:vAlign w:val="bottom"/>
          </w:tcPr>
          <w:p>
            <w:pPr>
              <w:spacing w:after="0"/>
              <w:rPr>
                <w:sz w:val="1"/>
                <w:szCs w:val="1"/>
                <w:color w:val="auto"/>
              </w:rPr>
            </w:pPr>
          </w:p>
        </w:tc>
      </w:tr>
      <w:tr>
        <w:trPr>
          <w:trHeight w:val="214"/>
        </w:trPr>
        <w:tc>
          <w:tcPr>
            <w:tcW w:w="2580" w:type="dxa"/>
            <w:vAlign w:val="bottom"/>
            <w:gridSpan w:val="2"/>
            <w:vMerge w:val="continue"/>
          </w:tcPr>
          <w:p>
            <w:pPr>
              <w:spacing w:after="0"/>
              <w:rPr>
                <w:sz w:val="18"/>
                <w:szCs w:val="18"/>
                <w:color w:val="auto"/>
              </w:rPr>
            </w:pPr>
          </w:p>
        </w:tc>
        <w:tc>
          <w:tcPr>
            <w:tcW w:w="25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millions)</w:t>
            </w:r>
          </w:p>
        </w:tc>
        <w:tc>
          <w:tcPr>
            <w:tcW w:w="1820" w:type="dxa"/>
            <w:vAlign w:val="bottom"/>
            <w:gridSpan w:val="2"/>
            <w:vMerge w:val="continue"/>
          </w:tcPr>
          <w:p>
            <w:pPr>
              <w:spacing w:after="0"/>
              <w:rPr>
                <w:sz w:val="18"/>
                <w:szCs w:val="18"/>
                <w:color w:val="auto"/>
              </w:rPr>
            </w:pPr>
          </w:p>
        </w:tc>
        <w:tc>
          <w:tcPr>
            <w:tcW w:w="24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4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February 2021</w:t>
            </w:r>
          </w:p>
        </w:tc>
        <w:tc>
          <w:tcPr>
            <w:tcW w:w="120" w:type="dxa"/>
            <w:vAlign w:val="bottom"/>
            <w:tcBorders>
              <w:top w:val="single" w:sz="8" w:color="CCEEFF"/>
            </w:tcBorders>
            <w:shd w:val="clear" w:color="auto" w:fill="CCEEFF"/>
          </w:tcPr>
          <w:p>
            <w:pPr>
              <w:spacing w:after="0"/>
              <w:rPr>
                <w:sz w:val="18"/>
                <w:szCs w:val="18"/>
                <w:color w:val="auto"/>
              </w:rPr>
            </w:pPr>
          </w:p>
        </w:tc>
        <w:tc>
          <w:tcPr>
            <w:tcW w:w="24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February 9, 2021</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1,350.0</w:t>
            </w:r>
          </w:p>
        </w:tc>
        <w:tc>
          <w:tcPr>
            <w:tcW w:w="100" w:type="dxa"/>
            <w:vAlign w:val="bottom"/>
            <w:tcBorders>
              <w:top w:val="single" w:sz="8" w:color="CCEEFF"/>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color w:val="auto"/>
              </w:rPr>
              <w:t>2.34150%</w:t>
            </w:r>
          </w:p>
        </w:tc>
        <w:tc>
          <w:tcPr>
            <w:tcW w:w="100" w:type="dxa"/>
            <w:vAlign w:val="bottom"/>
            <w:tcBorders>
              <w:top w:val="single" w:sz="8" w:color="CCEEFF"/>
            </w:tcBorders>
            <w:shd w:val="clear" w:color="auto" w:fill="CCEEFF"/>
          </w:tcPr>
          <w:p>
            <w:pPr>
              <w:spacing w:after="0"/>
              <w:rPr>
                <w:sz w:val="18"/>
                <w:szCs w:val="18"/>
                <w:color w:val="auto"/>
              </w:rPr>
            </w:pPr>
          </w:p>
        </w:tc>
        <w:tc>
          <w:tcPr>
            <w:tcW w:w="24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February 9, 2026</w:t>
            </w:r>
          </w:p>
        </w:tc>
        <w:tc>
          <w:tcPr>
            <w:tcW w:w="0" w:type="dxa"/>
            <w:vAlign w:val="bottom"/>
          </w:tcPr>
          <w:p>
            <w:pPr>
              <w:spacing w:after="0"/>
              <w:rPr>
                <w:sz w:val="1"/>
                <w:szCs w:val="1"/>
                <w:color w:val="auto"/>
              </w:rPr>
            </w:pPr>
          </w:p>
        </w:tc>
      </w:tr>
    </w:tbl>
    <w:p>
      <w:pPr>
        <w:spacing w:after="0" w:line="3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See Item 8 of Part II, Financial Statements and Supplementary Data - Note 14, "Derivatives," for more information on interest rate swaps.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Currencies</w:t>
      </w:r>
    </w:p>
    <w:p>
      <w:pPr>
        <w:spacing w:after="0" w:line="256" w:lineRule="exact"/>
        <w:rPr>
          <w:sz w:val="20"/>
          <w:szCs w:val="20"/>
          <w:color w:val="auto"/>
        </w:rPr>
      </w:pPr>
    </w:p>
    <w:p>
      <w:pPr>
        <w:ind w:right="100" w:firstLine="486"/>
        <w:spacing w:after="0" w:line="254" w:lineRule="auto"/>
        <w:rPr>
          <w:sz w:val="20"/>
          <w:szCs w:val="20"/>
          <w:color w:val="auto"/>
        </w:rPr>
      </w:pPr>
      <w:r>
        <w:rPr>
          <w:rFonts w:ascii="Times New Roman" w:cs="Times New Roman" w:eastAsia="Times New Roman" w:hAnsi="Times New Roman"/>
          <w:sz w:val="18"/>
          <w:szCs w:val="18"/>
          <w:color w:val="auto"/>
        </w:rPr>
        <w:t>We are subject to foreign currency translation risk due to the translation of the results of our subsidiaries from their respective functional currencies to the U.S. dollar, our functional currency. As a result, we discuss our revenue on a constant currency as well as actual basis, highlighting our sensitivity to changes in foreign exchange rates. See “</w:t>
      </w:r>
      <w:r>
        <w:rPr>
          <w:rFonts w:ascii="Times New Roman" w:cs="Times New Roman" w:eastAsia="Times New Roman" w:hAnsi="Times New Roman"/>
          <w:sz w:val="18"/>
          <w:szCs w:val="18"/>
          <w:i w:val="1"/>
          <w:iCs w:val="1"/>
          <w:color w:val="auto"/>
        </w:rPr>
        <w:t>Constant Currency Revenue</w:t>
      </w:r>
      <w:r>
        <w:rPr>
          <w:rFonts w:ascii="Times New Roman" w:cs="Times New Roman" w:eastAsia="Times New Roman" w:hAnsi="Times New Roman"/>
          <w:sz w:val="18"/>
          <w:szCs w:val="18"/>
          <w:color w:val="auto"/>
        </w:rPr>
        <w:t>.” While the majority of our customers are invoiced, and the majority of our expenses are paid, by us or our subsidiaries in their respective functional currencies, we also have exposure to foreign currency transaction gains and losses as the result of certain receivables due from our foreign subsidiaries. As such, the results of operations and cash flows of our foreign subsidiaries are subject to fluctuations in foreign currency exchange rates. During 2024, we recognized foreign currency transaction losses of $2 million within "Other expense, net" in our Consolidated Statements of Comprehensive Loss. As we grow our international operations, our exposure to foreign currency translation and transaction risk could become more significant.</w:t>
      </w:r>
    </w:p>
    <w:p>
      <w:pPr>
        <w:spacing w:after="0" w:line="2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have in the past and may in the future enter into foreign currency hedging instruments to limit our exposure to foreign currency risk.</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Power Prices</w:t>
      </w:r>
    </w:p>
    <w:p>
      <w:pPr>
        <w:spacing w:after="0" w:line="256" w:lineRule="exact"/>
        <w:rPr>
          <w:sz w:val="20"/>
          <w:szCs w:val="20"/>
          <w:color w:val="auto"/>
        </w:rPr>
      </w:pPr>
    </w:p>
    <w:p>
      <w:pPr>
        <w:ind w:right="60" w:firstLine="486"/>
        <w:spacing w:after="0" w:line="261" w:lineRule="auto"/>
        <w:rPr>
          <w:sz w:val="20"/>
          <w:szCs w:val="20"/>
          <w:color w:val="auto"/>
        </w:rPr>
      </w:pPr>
      <w:r>
        <w:rPr>
          <w:rFonts w:ascii="Times New Roman" w:cs="Times New Roman" w:eastAsia="Times New Roman" w:hAnsi="Times New Roman"/>
          <w:sz w:val="18"/>
          <w:szCs w:val="18"/>
          <w:color w:val="auto"/>
        </w:rPr>
        <w:t>We are a large consumer of power. During 2024, we expensed approximately $40 million for utility companies to power our data centers, representing approximately 1% of our revenue. Power costs vary by geography, the source of power generation and seasonal fluctuations and are subject to certain proposed legislation that may increase our exposure to increased power costs. We have power contracts for data centers in the Dallas-Fort Worth, San Jose, Somerset, New Jersey and London areas that allow us to procure power either on a fixed price or on a variable price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- 90 -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tbl>
      <w:tblPr>
        <w:tblLayout w:type="fixed"/>
        <w:tblInd w:w="0" w:type="dxa"/>
        <w:tblCellMar>
          <w:top w:w="0" w:type="dxa"/>
          <w:left w:w="0" w:type="dxa"/>
          <w:bottom w:w="0" w:type="dxa"/>
          <w:right w:w="0" w:type="dxa"/>
        </w:tblCellMar>
      </w:tblPr>
      <w:tr>
        <w:trPr>
          <w:trHeight w:val="207"/>
        </w:trPr>
        <w:tc>
          <w:tcPr>
            <w:tcW w:w="107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831"/>
        </w:trPr>
        <w:tc>
          <w:tcPr>
            <w:tcW w:w="20" w:type="dxa"/>
            <w:vAlign w:val="bottom"/>
            <w:tcBorders>
              <w:top w:val="single" w:sz="8" w:color="0000FF"/>
            </w:tcBorders>
          </w:tcPr>
          <w:p>
            <w:pPr>
              <w:spacing w:after="0"/>
              <w:rPr>
                <w:sz w:val="24"/>
                <w:szCs w:val="24"/>
                <w:color w:val="auto"/>
              </w:rPr>
            </w:pPr>
          </w:p>
        </w:tc>
        <w:tc>
          <w:tcPr>
            <w:tcW w:w="1260" w:type="dxa"/>
            <w:vAlign w:val="bottom"/>
            <w:tcBorders>
              <w:top w:val="single" w:sz="8" w:color="0000FF"/>
            </w:tcBorders>
          </w:tcPr>
          <w:p>
            <w:pPr>
              <w:spacing w:after="0"/>
              <w:rPr>
                <w:sz w:val="24"/>
                <w:szCs w:val="24"/>
                <w:color w:val="auto"/>
              </w:rPr>
            </w:pPr>
          </w:p>
        </w:tc>
        <w:tc>
          <w:tcPr>
            <w:tcW w:w="840" w:type="dxa"/>
            <w:vAlign w:val="bottom"/>
          </w:tcPr>
          <w:p>
            <w:pPr>
              <w:spacing w:after="0"/>
              <w:rPr>
                <w:sz w:val="24"/>
                <w:szCs w:val="24"/>
                <w:color w:val="auto"/>
              </w:rPr>
            </w:pPr>
          </w:p>
        </w:tc>
        <w:tc>
          <w:tcPr>
            <w:tcW w:w="8620" w:type="dxa"/>
            <w:vAlign w:val="bottom"/>
            <w:gridSpan w:val="5"/>
          </w:tcPr>
          <w:p>
            <w:pPr>
              <w:jc w:val="center"/>
              <w:ind w:right="1620"/>
              <w:spacing w:after="0"/>
              <w:rPr>
                <w:sz w:val="20"/>
                <w:szCs w:val="20"/>
                <w:color w:val="auto"/>
              </w:rPr>
            </w:pPr>
            <w:r>
              <w:rPr>
                <w:rFonts w:ascii="Times New Roman" w:cs="Times New Roman" w:eastAsia="Times New Roman" w:hAnsi="Times New Roman"/>
                <w:sz w:val="18"/>
                <w:szCs w:val="18"/>
                <w:b w:val="1"/>
                <w:bCs w:val="1"/>
                <w:color w:val="auto"/>
                <w:w w:val="98"/>
              </w:rPr>
              <w:t>ITEM 8 - FINANCIAL STATEMENTS AND SUPPLEMENTARY DATA</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437"/>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180" w:type="dxa"/>
            <w:vAlign w:val="bottom"/>
            <w:gridSpan w:val="2"/>
          </w:tcPr>
          <w:p>
            <w:pPr>
              <w:jc w:val="center"/>
              <w:ind w:right="3060"/>
              <w:spacing w:after="0"/>
              <w:rPr>
                <w:sz w:val="20"/>
                <w:szCs w:val="20"/>
                <w:color w:val="auto"/>
              </w:rPr>
            </w:pPr>
            <w:r>
              <w:rPr>
                <w:rFonts w:ascii="Times New Roman" w:cs="Times New Roman" w:eastAsia="Times New Roman" w:hAnsi="Times New Roman"/>
                <w:sz w:val="18"/>
                <w:szCs w:val="18"/>
                <w:b w:val="1"/>
                <w:bCs w:val="1"/>
                <w:color w:val="auto"/>
                <w:w w:val="99"/>
              </w:rPr>
              <w:t>RACKSPACE TECHNOLOGY, INC.</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38"/>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840" w:type="dxa"/>
            <w:vAlign w:val="bottom"/>
            <w:gridSpan w:val="4"/>
          </w:tcPr>
          <w:p>
            <w:pPr>
              <w:jc w:val="center"/>
              <w:ind w:right="2400"/>
              <w:spacing w:after="0"/>
              <w:rPr>
                <w:sz w:val="20"/>
                <w:szCs w:val="20"/>
                <w:color w:val="auto"/>
              </w:rPr>
            </w:pPr>
            <w:r>
              <w:rPr>
                <w:rFonts w:ascii="Times New Roman" w:cs="Times New Roman" w:eastAsia="Times New Roman" w:hAnsi="Times New Roman"/>
                <w:sz w:val="18"/>
                <w:szCs w:val="18"/>
                <w:b w:val="1"/>
                <w:bCs w:val="1"/>
                <w:color w:val="auto"/>
                <w:w w:val="98"/>
              </w:rPr>
              <w:t>INDEX TO CONSOLIDATED FINANCIAL STATEMENTS</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459"/>
        </w:trPr>
        <w:tc>
          <w:tcPr>
            <w:tcW w:w="20" w:type="dxa"/>
            <w:vAlign w:val="bottom"/>
          </w:tcPr>
          <w:p>
            <w:pPr>
              <w:spacing w:after="0"/>
              <w:rPr>
                <w:sz w:val="24"/>
                <w:szCs w:val="24"/>
                <w:color w:val="auto"/>
              </w:rPr>
            </w:pPr>
          </w:p>
        </w:tc>
        <w:tc>
          <w:tcPr>
            <w:tcW w:w="1072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w:t>
            </w:r>
            <w:r>
              <w:rPr>
                <w:rFonts w:ascii="Times New Roman" w:cs="Times New Roman" w:eastAsia="Times New Roman" w:hAnsi="Times New Roman"/>
                <w:sz w:val="18"/>
                <w:szCs w:val="18"/>
                <w:color w:val="000000"/>
              </w:rPr>
              <w:t>(PCAOB ID: 238)</w:t>
            </w:r>
          </w:p>
        </w:tc>
        <w:tc>
          <w:tcPr>
            <w:tcW w:w="2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0000FF"/>
                <w:w w:val="99"/>
              </w:rPr>
              <w:t>92</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652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1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9"/>
              </w:rPr>
              <w:t>Consolidated Balance Sheets</w:t>
            </w:r>
          </w:p>
        </w:tc>
        <w:tc>
          <w:tcPr>
            <w:tcW w:w="2100" w:type="dxa"/>
            <w:vAlign w:val="bottom"/>
            <w:gridSpan w:val="4"/>
          </w:tcPr>
          <w:p>
            <w:pPr>
              <w:spacing w:after="0"/>
              <w:rPr>
                <w:sz w:val="18"/>
                <w:szCs w:val="18"/>
                <w:color w:val="auto"/>
              </w:rPr>
            </w:pPr>
          </w:p>
        </w:tc>
        <w:tc>
          <w:tcPr>
            <w:tcW w:w="6520" w:type="dxa"/>
            <w:vAlign w:val="bottom"/>
          </w:tcPr>
          <w:p>
            <w:pPr>
              <w:spacing w:after="0"/>
              <w:rPr>
                <w:sz w:val="18"/>
                <w:szCs w:val="18"/>
                <w:color w:val="auto"/>
              </w:rPr>
            </w:pPr>
          </w:p>
        </w:tc>
        <w:tc>
          <w:tcPr>
            <w:tcW w:w="2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0000FF"/>
                <w:w w:val="99"/>
              </w:rPr>
              <w:t>95</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72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Consolidated Statements of Comprehensive Loss</w:t>
            </w:r>
          </w:p>
        </w:tc>
        <w:tc>
          <w:tcPr>
            <w:tcW w:w="2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0000FF"/>
                <w:w w:val="99"/>
              </w:rPr>
              <w:t>96</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880" w:type="dxa"/>
            <w:vAlign w:val="bottom"/>
            <w:gridSpan w:val="3"/>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88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w:t>
            </w:r>
          </w:p>
        </w:tc>
        <w:tc>
          <w:tcPr>
            <w:tcW w:w="660" w:type="dxa"/>
            <w:vAlign w:val="bottom"/>
            <w:gridSpan w:val="2"/>
          </w:tcPr>
          <w:p>
            <w:pPr>
              <w:spacing w:after="0"/>
              <w:rPr>
                <w:sz w:val="18"/>
                <w:szCs w:val="18"/>
                <w:color w:val="auto"/>
              </w:rPr>
            </w:pPr>
          </w:p>
        </w:tc>
        <w:tc>
          <w:tcPr>
            <w:tcW w:w="7180" w:type="dxa"/>
            <w:vAlign w:val="bottom"/>
            <w:gridSpan w:val="2"/>
          </w:tcPr>
          <w:p>
            <w:pPr>
              <w:spacing w:after="0"/>
              <w:rPr>
                <w:sz w:val="18"/>
                <w:szCs w:val="18"/>
                <w:color w:val="auto"/>
              </w:rPr>
            </w:pPr>
          </w:p>
        </w:tc>
        <w:tc>
          <w:tcPr>
            <w:tcW w:w="2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0000FF"/>
                <w:w w:val="99"/>
              </w:rPr>
              <w:t>97</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880" w:type="dxa"/>
            <w:vAlign w:val="bottom"/>
            <w:gridSpan w:val="3"/>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20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9"/>
              </w:rPr>
              <w:t>Consolidated Statements of Stockholders' Equity (Deficit)</w:t>
            </w:r>
          </w:p>
        </w:tc>
        <w:tc>
          <w:tcPr>
            <w:tcW w:w="6520" w:type="dxa"/>
            <w:vAlign w:val="bottom"/>
          </w:tcPr>
          <w:p>
            <w:pPr>
              <w:spacing w:after="0"/>
              <w:rPr>
                <w:sz w:val="18"/>
                <w:szCs w:val="18"/>
                <w:color w:val="auto"/>
              </w:rPr>
            </w:pPr>
          </w:p>
        </w:tc>
        <w:tc>
          <w:tcPr>
            <w:tcW w:w="2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0000FF"/>
                <w:w w:val="99"/>
              </w:rPr>
              <w:t>99</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4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9"/>
              </w:rPr>
              <w:t>Notes to the Consolidated Financial Statements</w:t>
            </w:r>
          </w:p>
        </w:tc>
        <w:tc>
          <w:tcPr>
            <w:tcW w:w="780" w:type="dxa"/>
            <w:vAlign w:val="bottom"/>
            <w:gridSpan w:val="2"/>
          </w:tcPr>
          <w:p>
            <w:pPr>
              <w:spacing w:after="0"/>
              <w:rPr>
                <w:sz w:val="18"/>
                <w:szCs w:val="18"/>
                <w:color w:val="auto"/>
              </w:rPr>
            </w:pPr>
          </w:p>
        </w:tc>
        <w:tc>
          <w:tcPr>
            <w:tcW w:w="6520" w:type="dxa"/>
            <w:vAlign w:val="bottom"/>
          </w:tcPr>
          <w:p>
            <w:pPr>
              <w:spacing w:after="0"/>
              <w:rPr>
                <w:sz w:val="18"/>
                <w:szCs w:val="18"/>
                <w:color w:val="auto"/>
              </w:rPr>
            </w:pPr>
          </w:p>
        </w:tc>
        <w:tc>
          <w:tcPr>
            <w:tcW w:w="500" w:type="dxa"/>
            <w:vAlign w:val="bottom"/>
            <w:gridSpan w:val="4"/>
          </w:tcPr>
          <w:p>
            <w:pPr>
              <w:jc w:val="center"/>
              <w:ind w:right="240"/>
              <w:spacing w:after="0"/>
              <w:rPr>
                <w:sz w:val="20"/>
                <w:szCs w:val="20"/>
                <w:color w:val="auto"/>
              </w:rPr>
            </w:pPr>
            <w:r>
              <w:rPr>
                <w:rFonts w:ascii="Times New Roman" w:cs="Times New Roman" w:eastAsia="Times New Roman" w:hAnsi="Times New Roman"/>
                <w:sz w:val="18"/>
                <w:szCs w:val="18"/>
                <w:color w:val="0000FF"/>
                <w:w w:val="96"/>
              </w:rPr>
              <w:t>100</w:t>
            </w:r>
          </w:p>
        </w:tc>
      </w:tr>
      <w:tr>
        <w:trPr>
          <w:trHeight w:val="925"/>
        </w:trPr>
        <w:tc>
          <w:tcPr>
            <w:tcW w:w="20" w:type="dxa"/>
            <w:vAlign w:val="bottom"/>
          </w:tcPr>
          <w:p>
            <w:pPr>
              <w:spacing w:after="0"/>
              <w:rPr>
                <w:sz w:val="24"/>
                <w:szCs w:val="24"/>
                <w:color w:val="auto"/>
              </w:rPr>
            </w:pPr>
          </w:p>
        </w:tc>
        <w:tc>
          <w:tcPr>
            <w:tcW w:w="3420" w:type="dxa"/>
            <w:vAlign w:val="bottom"/>
            <w:tcBorders>
              <w:top w:val="single" w:sz="8" w:color="0000FF"/>
            </w:tcBorders>
            <w:gridSpan w:val="4"/>
          </w:tcPr>
          <w:p>
            <w:pPr>
              <w:spacing w:after="0"/>
              <w:rPr>
                <w:sz w:val="24"/>
                <w:szCs w:val="24"/>
                <w:color w:val="auto"/>
              </w:rPr>
            </w:pPr>
          </w:p>
        </w:tc>
        <w:tc>
          <w:tcPr>
            <w:tcW w:w="7300" w:type="dxa"/>
            <w:vAlign w:val="bottom"/>
            <w:gridSpan w:val="3"/>
          </w:tcPr>
          <w:p>
            <w:pPr>
              <w:jc w:val="center"/>
              <w:ind w:right="2940"/>
              <w:spacing w:after="0"/>
              <w:rPr>
                <w:sz w:val="20"/>
                <w:szCs w:val="20"/>
                <w:color w:val="auto"/>
              </w:rPr>
            </w:pPr>
            <w:r>
              <w:rPr>
                <w:rFonts w:ascii="Times New Roman" w:cs="Times New Roman" w:eastAsia="Times New Roman" w:hAnsi="Times New Roman"/>
                <w:sz w:val="18"/>
                <w:szCs w:val="18"/>
                <w:color w:val="auto"/>
              </w:rPr>
              <w:t>- 91 -</w:t>
            </w:r>
          </w:p>
        </w:tc>
        <w:tc>
          <w:tcPr>
            <w:tcW w:w="4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65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940"/>
        <w:spacing w:after="0"/>
        <w:rPr>
          <w:sz w:val="20"/>
          <w:szCs w:val="20"/>
          <w:color w:val="auto"/>
        </w:rPr>
      </w:pPr>
      <w:r>
        <w:rPr>
          <w:rFonts w:ascii="Georgia" w:cs="Georgia" w:eastAsia="Georgia" w:hAnsi="Georgia"/>
          <w:sz w:val="18"/>
          <w:szCs w:val="18"/>
          <w:b w:val="1"/>
          <w:bCs w:val="1"/>
          <w:color w:val="auto"/>
        </w:rPr>
        <w:t>Report of Independent Registered Public Accounting Firm</w:t>
      </w:r>
    </w:p>
    <w:p>
      <w:pPr>
        <w:spacing w:after="0" w:line="241" w:lineRule="exact"/>
        <w:rPr>
          <w:sz w:val="20"/>
          <w:szCs w:val="20"/>
          <w:color w:val="auto"/>
        </w:rPr>
      </w:pPr>
    </w:p>
    <w:p>
      <w:pPr>
        <w:spacing w:after="0"/>
        <w:rPr>
          <w:sz w:val="20"/>
          <w:szCs w:val="20"/>
          <w:color w:val="auto"/>
        </w:rPr>
      </w:pPr>
      <w:r>
        <w:rPr>
          <w:rFonts w:ascii="Georgia" w:cs="Georgia" w:eastAsia="Georgia" w:hAnsi="Georgia"/>
          <w:sz w:val="18"/>
          <w:szCs w:val="18"/>
          <w:color w:val="auto"/>
        </w:rPr>
        <w:t>To the Board of Directors and Stockholders of Rackspace Technology, Inc.</w:t>
      </w:r>
    </w:p>
    <w:p>
      <w:pPr>
        <w:spacing w:after="0" w:line="254" w:lineRule="exact"/>
        <w:rPr>
          <w:sz w:val="20"/>
          <w:szCs w:val="20"/>
          <w:color w:val="auto"/>
        </w:rPr>
      </w:pPr>
    </w:p>
    <w:p>
      <w:pPr>
        <w:spacing w:after="0"/>
        <w:rPr>
          <w:sz w:val="20"/>
          <w:szCs w:val="20"/>
          <w:color w:val="auto"/>
        </w:rPr>
      </w:pPr>
      <w:r>
        <w:rPr>
          <w:rFonts w:ascii="Georgia" w:cs="Georgia" w:eastAsia="Georgia" w:hAnsi="Georgia"/>
          <w:sz w:val="18"/>
          <w:szCs w:val="18"/>
          <w:b w:val="1"/>
          <w:bCs w:val="1"/>
          <w:i w:val="1"/>
          <w:iCs w:val="1"/>
          <w:color w:val="auto"/>
        </w:rPr>
        <w:t>Opinions on the Financial Statements and Internal Control over Financial Reporting</w:t>
      </w:r>
    </w:p>
    <w:p>
      <w:pPr>
        <w:spacing w:after="0" w:line="256" w:lineRule="exact"/>
        <w:rPr>
          <w:sz w:val="20"/>
          <w:szCs w:val="20"/>
          <w:color w:val="auto"/>
        </w:rPr>
      </w:pPr>
    </w:p>
    <w:p>
      <w:pPr>
        <w:spacing w:after="0" w:line="253" w:lineRule="auto"/>
        <w:rPr>
          <w:sz w:val="20"/>
          <w:szCs w:val="20"/>
          <w:color w:val="auto"/>
        </w:rPr>
      </w:pPr>
      <w:r>
        <w:rPr>
          <w:rFonts w:ascii="Georgia" w:cs="Georgia" w:eastAsia="Georgia" w:hAnsi="Georgia"/>
          <w:sz w:val="18"/>
          <w:szCs w:val="18"/>
          <w:color w:val="auto"/>
        </w:rPr>
        <w:t xml:space="preserve">We have audited the accompanying consolidated balance sheets of Rackspace Technology, Inc. and its subsidiaries (the "Company") as of December 31, 2024 and 2023, and the related consolidated statements of comprehensive loss, of stockholders’ equity (deficit) and of cash flows for each of the three years in the period ended December 31, 2024, including the related notes (collectively referred to as the "consolidated financial statements"). We also have audited the Company's internal control over financial reporting as of December 31, 2024, based on criteria established in </w:t>
      </w:r>
      <w:r>
        <w:rPr>
          <w:rFonts w:ascii="Georgia" w:cs="Georgia" w:eastAsia="Georgia" w:hAnsi="Georgia"/>
          <w:sz w:val="18"/>
          <w:szCs w:val="18"/>
          <w:i w:val="1"/>
          <w:iCs w:val="1"/>
          <w:color w:val="auto"/>
        </w:rPr>
        <w:t>Internal Control - Integrated Framework</w:t>
      </w:r>
      <w:r>
        <w:rPr>
          <w:rFonts w:ascii="Georgia" w:cs="Georgia" w:eastAsia="Georgia" w:hAnsi="Georgia"/>
          <w:sz w:val="18"/>
          <w:szCs w:val="18"/>
          <w:color w:val="auto"/>
        </w:rPr>
        <w:t xml:space="preserve"> (2013) issued by the Committee of Sponsoring Organizations of the Treadway Commission (COSO).</w:t>
      </w:r>
    </w:p>
    <w:p>
      <w:pPr>
        <w:spacing w:after="0" w:line="245" w:lineRule="exact"/>
        <w:rPr>
          <w:sz w:val="20"/>
          <w:szCs w:val="20"/>
          <w:color w:val="auto"/>
        </w:rPr>
      </w:pPr>
    </w:p>
    <w:p>
      <w:pPr>
        <w:ind w:right="180"/>
        <w:spacing w:after="0" w:line="253" w:lineRule="auto"/>
        <w:rPr>
          <w:sz w:val="20"/>
          <w:szCs w:val="20"/>
          <w:color w:val="auto"/>
        </w:rPr>
      </w:pPr>
      <w:r>
        <w:rPr>
          <w:rFonts w:ascii="Georgia" w:cs="Georgia" w:eastAsia="Georgia" w:hAnsi="Georgia"/>
          <w:sz w:val="18"/>
          <w:szCs w:val="18"/>
          <w:color w:val="auto"/>
        </w:rPr>
        <w:t xml:space="preserve">In our opinion, the consolidated financial statements referred to above present fairly, in all material respects, the financial position of the Company as of December 31, 2024 and 2023, and the results of its operations and its cash flows for each of the three years in the period ended December 31, 2024 in conformity with accounting principles generally accepted in the United States of America. Also in our opinion, the Company maintained, in all material respects, effective internal control over financial reporting as of December 31, 2024, based on criteria established in </w:t>
      </w:r>
      <w:r>
        <w:rPr>
          <w:rFonts w:ascii="Georgia" w:cs="Georgia" w:eastAsia="Georgia" w:hAnsi="Georgia"/>
          <w:sz w:val="18"/>
          <w:szCs w:val="18"/>
          <w:i w:val="1"/>
          <w:iCs w:val="1"/>
          <w:color w:val="auto"/>
        </w:rPr>
        <w:t>Internal Control - Integrated Framework</w:t>
      </w:r>
      <w:r>
        <w:rPr>
          <w:rFonts w:ascii="Georgia" w:cs="Georgia" w:eastAsia="Georgia" w:hAnsi="Georgia"/>
          <w:sz w:val="18"/>
          <w:szCs w:val="18"/>
          <w:color w:val="auto"/>
        </w:rPr>
        <w:t xml:space="preserve"> (2013) issued by the COSO.</w:t>
      </w:r>
    </w:p>
    <w:p>
      <w:pPr>
        <w:spacing w:after="0" w:line="243" w:lineRule="exact"/>
        <w:rPr>
          <w:sz w:val="20"/>
          <w:szCs w:val="20"/>
          <w:color w:val="auto"/>
        </w:rPr>
      </w:pPr>
    </w:p>
    <w:p>
      <w:pPr>
        <w:spacing w:after="0"/>
        <w:rPr>
          <w:sz w:val="20"/>
          <w:szCs w:val="20"/>
          <w:color w:val="auto"/>
        </w:rPr>
      </w:pPr>
      <w:r>
        <w:rPr>
          <w:rFonts w:ascii="Georgia" w:cs="Georgia" w:eastAsia="Georgia" w:hAnsi="Georgia"/>
          <w:sz w:val="18"/>
          <w:szCs w:val="18"/>
          <w:b w:val="1"/>
          <w:bCs w:val="1"/>
          <w:i w:val="1"/>
          <w:iCs w:val="1"/>
          <w:color w:val="auto"/>
        </w:rPr>
        <w:t>Basis for Opinions</w:t>
      </w:r>
    </w:p>
    <w:p>
      <w:pPr>
        <w:spacing w:after="0" w:line="256" w:lineRule="exact"/>
        <w:rPr>
          <w:sz w:val="20"/>
          <w:szCs w:val="20"/>
          <w:color w:val="auto"/>
        </w:rPr>
      </w:pPr>
    </w:p>
    <w:p>
      <w:pPr>
        <w:ind w:right="140"/>
        <w:spacing w:after="0" w:line="253" w:lineRule="auto"/>
        <w:rPr>
          <w:sz w:val="20"/>
          <w:szCs w:val="20"/>
          <w:color w:val="auto"/>
        </w:rPr>
      </w:pPr>
      <w:r>
        <w:rPr>
          <w:rFonts w:ascii="Georgia" w:cs="Georgia" w:eastAsia="Georgia" w:hAnsi="Georgia"/>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46" w:lineRule="exact"/>
        <w:rPr>
          <w:sz w:val="20"/>
          <w:szCs w:val="20"/>
          <w:color w:val="auto"/>
        </w:rPr>
      </w:pPr>
    </w:p>
    <w:p>
      <w:pPr>
        <w:ind w:right="140"/>
        <w:spacing w:after="0" w:line="252" w:lineRule="auto"/>
        <w:rPr>
          <w:sz w:val="20"/>
          <w:szCs w:val="20"/>
          <w:color w:val="auto"/>
        </w:rPr>
      </w:pPr>
      <w:r>
        <w:rPr>
          <w:rFonts w:ascii="Georgia" w:cs="Georgia" w:eastAsia="Georgia" w:hAnsi="Georgia"/>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247" w:lineRule="exact"/>
        <w:rPr>
          <w:sz w:val="20"/>
          <w:szCs w:val="20"/>
          <w:color w:val="auto"/>
        </w:rPr>
      </w:pPr>
    </w:p>
    <w:p>
      <w:pPr>
        <w:ind w:right="40"/>
        <w:spacing w:after="0" w:line="253" w:lineRule="auto"/>
        <w:rPr>
          <w:sz w:val="20"/>
          <w:szCs w:val="20"/>
          <w:color w:val="auto"/>
        </w:rPr>
      </w:pPr>
      <w:r>
        <w:rPr>
          <w:rFonts w:ascii="Georgia" w:cs="Georgia" w:eastAsia="Georgia" w:hAnsi="Georgia"/>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- 92 -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Georgia" w:cs="Georgia" w:eastAsia="Georgia" w:hAnsi="Georgia"/>
          <w:sz w:val="18"/>
          <w:szCs w:val="18"/>
          <w:b w:val="1"/>
          <w:bCs w:val="1"/>
          <w:i w:val="1"/>
          <w:iCs w:val="1"/>
          <w:color w:val="auto"/>
        </w:rPr>
        <w:t>Definition and Limitations of Internal Control over Financial Reporting</w:t>
      </w:r>
    </w:p>
    <w:p>
      <w:pPr>
        <w:spacing w:after="0" w:line="256" w:lineRule="exact"/>
        <w:rPr>
          <w:sz w:val="20"/>
          <w:szCs w:val="20"/>
          <w:color w:val="auto"/>
        </w:rPr>
      </w:pPr>
    </w:p>
    <w:p>
      <w:pPr>
        <w:ind w:right="20"/>
        <w:spacing w:after="0" w:line="253" w:lineRule="auto"/>
        <w:rPr>
          <w:sz w:val="20"/>
          <w:szCs w:val="20"/>
          <w:color w:val="auto"/>
        </w:rPr>
      </w:pPr>
      <w:r>
        <w:rPr>
          <w:rFonts w:ascii="Georgia" w:cs="Georgia" w:eastAsia="Georgia" w:hAnsi="Georgia"/>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46" w:lineRule="exact"/>
        <w:rPr>
          <w:sz w:val="20"/>
          <w:szCs w:val="20"/>
          <w:color w:val="auto"/>
        </w:rPr>
      </w:pPr>
    </w:p>
    <w:p>
      <w:pPr>
        <w:jc w:val="both"/>
        <w:spacing w:after="0" w:line="252" w:lineRule="auto"/>
        <w:rPr>
          <w:sz w:val="20"/>
          <w:szCs w:val="20"/>
          <w:color w:val="auto"/>
        </w:rPr>
      </w:pPr>
      <w:r>
        <w:rPr>
          <w:rFonts w:ascii="Georgia" w:cs="Georgia" w:eastAsia="Georgia" w:hAnsi="Georgia"/>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45"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Critical Audit Matters</w:t>
      </w:r>
    </w:p>
    <w:p>
      <w:pPr>
        <w:spacing w:after="0" w:line="256" w:lineRule="exact"/>
        <w:rPr>
          <w:sz w:val="20"/>
          <w:szCs w:val="20"/>
          <w:color w:val="auto"/>
        </w:rPr>
      </w:pPr>
    </w:p>
    <w:p>
      <w:pPr>
        <w:ind w:right="60"/>
        <w:spacing w:after="0" w:line="253" w:lineRule="auto"/>
        <w:rPr>
          <w:sz w:val="20"/>
          <w:szCs w:val="20"/>
          <w:color w:val="auto"/>
        </w:rPr>
      </w:pPr>
      <w:r>
        <w:rPr>
          <w:rFonts w:ascii="Georgia" w:cs="Georgia" w:eastAsia="Georgia" w:hAnsi="Georgia"/>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44" w:lineRule="exact"/>
        <w:rPr>
          <w:sz w:val="20"/>
          <w:szCs w:val="20"/>
          <w:color w:val="auto"/>
        </w:rPr>
      </w:pPr>
    </w:p>
    <w:p>
      <w:pPr>
        <w:spacing w:after="0"/>
        <w:rPr>
          <w:sz w:val="20"/>
          <w:szCs w:val="20"/>
          <w:color w:val="auto"/>
        </w:rPr>
      </w:pPr>
      <w:r>
        <w:rPr>
          <w:rFonts w:ascii="Georgia" w:cs="Georgia" w:eastAsia="Georgia" w:hAnsi="Georgia"/>
          <w:sz w:val="18"/>
          <w:szCs w:val="18"/>
          <w:i w:val="1"/>
          <w:iCs w:val="1"/>
          <w:color w:val="auto"/>
        </w:rPr>
        <w:t>Interim Goodwill Impairment Assessments - Private Cloud and Public Cloud Reporting Units</w:t>
      </w:r>
    </w:p>
    <w:p>
      <w:pPr>
        <w:spacing w:after="0" w:line="256" w:lineRule="exact"/>
        <w:rPr>
          <w:sz w:val="20"/>
          <w:szCs w:val="20"/>
          <w:color w:val="auto"/>
        </w:rPr>
      </w:pPr>
    </w:p>
    <w:p>
      <w:pPr>
        <w:ind w:right="40"/>
        <w:spacing w:after="0" w:line="253" w:lineRule="auto"/>
        <w:rPr>
          <w:sz w:val="20"/>
          <w:szCs w:val="20"/>
          <w:color w:val="auto"/>
        </w:rPr>
      </w:pPr>
      <w:r>
        <w:rPr>
          <w:rFonts w:ascii="Georgia" w:cs="Georgia" w:eastAsia="Georgia" w:hAnsi="Georgia"/>
          <w:sz w:val="18"/>
          <w:szCs w:val="18"/>
          <w:color w:val="auto"/>
        </w:rPr>
        <w:t>As described in Notes 1 and 6 to the consolidated financial statements, the Company’s consolidated net goodwill balance was $735.7 million as of December 31, 2024, and the goodwill associated with the Private Cloud and Public Cloud reporting units was $594.1 million and $141.6 million, respectively. Goodwill represents the excess of the purchase price over the fair value of identifiable net assets of businesses acquired. Goodwill is tested for impairment at the reporting unit level. Management conducts impairment testing on an annual basis as of October 1st or more frequently if events or circumstances indicate a potential impairment. During the first and third quarters of 2024, management determined it appropriate to perform interim quantitative assessments of the reporting units as of February 29, 2024 and September 30, 2024 after considering all available evidence in the evaluation of goodwill impairment indicators. As a result of the quantitative assessments performed as of February 29, 2024 and September 30, 2024, management recorded non-cash impairment charges of $187.8 million and $72.5 million, respectively, for the Private Cloud reporting unit and $385.4 million and $69.2 million, respectively, for the Public Cloud reporting unit. Management estimated the fair values of each of the reporting units using the income approach, specifically the discounted cash flow method. The discounted cash flow models reflect management’s assumptions and considerations regarding revenue growth rates, projected gross profit margins, project operating costs, projected EBITDA margins, projected capital expenditures, risk-adjusted discount rates, terminal period growth rates, and economic market trends.</w:t>
      </w:r>
    </w:p>
    <w:p>
      <w:pPr>
        <w:spacing w:after="0" w:line="248" w:lineRule="exact"/>
        <w:rPr>
          <w:sz w:val="20"/>
          <w:szCs w:val="20"/>
          <w:color w:val="auto"/>
        </w:rPr>
      </w:pPr>
    </w:p>
    <w:p>
      <w:pPr>
        <w:spacing w:after="0" w:line="253" w:lineRule="auto"/>
        <w:rPr>
          <w:sz w:val="20"/>
          <w:szCs w:val="20"/>
          <w:color w:val="auto"/>
        </w:rPr>
      </w:pPr>
      <w:r>
        <w:rPr>
          <w:rFonts w:ascii="Georgia" w:cs="Georgia" w:eastAsia="Georgia" w:hAnsi="Georgia"/>
          <w:sz w:val="18"/>
          <w:szCs w:val="18"/>
          <w:color w:val="auto"/>
        </w:rPr>
        <w:t>The principal considerations for our determination that performing procedures relating to the interim goodwill impairment assessments of the Private Cloud and Public Cloud reporting units is a critical audit matter are (i) the significant judgment by management when developing the fair value estimates of the Private Cloud and Public Cloud reporting units; (ii) a high degree of auditor judgment, subjectivity, and effort in performing procedures and evaluating management’s significant assumptions related to revenue growth rates, projected EBITDA margins, projected capital expenditures, risk-adjusted discount rates and terminal period growth rates; and (iii) the audit effort involved the use of professionals with specialized skill and knowledge.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- 93 -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line="253" w:lineRule="auto"/>
        <w:rPr>
          <w:sz w:val="20"/>
          <w:szCs w:val="20"/>
          <w:color w:val="auto"/>
        </w:rPr>
      </w:pPr>
      <w:r>
        <w:rPr>
          <w:rFonts w:ascii="Georgia" w:cs="Georgia" w:eastAsia="Georgia" w:hAnsi="Georgia"/>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goodwill impairment assessments, including controls over the valuation of the Private Cloud and Public Cloud reporting units. These procedures also included, among others, (i) testing management’s process for developing the fair value estimates of the Private Cloud and Public Cloud reporting units; (ii) evaluating the appropriateness of the discounted cash flow models used by management; (iii) testing the completeness and accuracy of underlying data used in the discounted cash flow models; and (iv) evaluating the reasonableness of the significant assumptions used by management related to revenue growth rates, projected EBITDA margins, projected capital expenditures, risk-adjusted discount rates and terminal period growth rates. Evaluating the reasonableness of the revenue growth rates, projected EBITDA margins, and projected capital expenditures assumptions involved considering (i) the current and past performance of the Private Cloud and Public Cloud reporting units; (ii) the consistency with external market and industry data; and (iii) whether these assumptions were consistent with evidence obtained in other areas of the audit. Professionals with specialized skill and knowledge were used to assist in evaluating (i) the appropriateness of the discounted cash flow models and (ii) the reasonableness of the risk-adjusted discount rates and terminal period growth rates assumptions.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Georgia" w:cs="Georgia" w:eastAsia="Georgia" w:hAnsi="Georgia"/>
          <w:sz w:val="18"/>
          <w:szCs w:val="18"/>
          <w:color w:val="auto"/>
        </w:rPr>
        <w:t>/s/ PricewaterhouseCoopers LLP</w:t>
      </w:r>
    </w:p>
    <w:p>
      <w:pPr>
        <w:spacing w:after="0" w:line="11" w:lineRule="exact"/>
        <w:rPr>
          <w:sz w:val="20"/>
          <w:szCs w:val="20"/>
          <w:color w:val="auto"/>
        </w:rPr>
      </w:pPr>
    </w:p>
    <w:p>
      <w:pPr>
        <w:spacing w:after="0"/>
        <w:rPr>
          <w:sz w:val="20"/>
          <w:szCs w:val="20"/>
          <w:color w:val="auto"/>
        </w:rPr>
      </w:pPr>
      <w:r>
        <w:rPr>
          <w:rFonts w:ascii="Georgia" w:cs="Georgia" w:eastAsia="Georgia" w:hAnsi="Georgia"/>
          <w:sz w:val="18"/>
          <w:szCs w:val="18"/>
          <w:color w:val="auto"/>
        </w:rPr>
        <w:t>Austin, Texas</w:t>
      </w:r>
    </w:p>
    <w:p>
      <w:pPr>
        <w:spacing w:after="0" w:line="11" w:lineRule="exact"/>
        <w:rPr>
          <w:sz w:val="20"/>
          <w:szCs w:val="20"/>
          <w:color w:val="auto"/>
        </w:rPr>
      </w:pPr>
    </w:p>
    <w:p>
      <w:pPr>
        <w:spacing w:after="0"/>
        <w:rPr>
          <w:sz w:val="20"/>
          <w:szCs w:val="20"/>
          <w:color w:val="auto"/>
        </w:rPr>
      </w:pPr>
      <w:r>
        <w:rPr>
          <w:rFonts w:ascii="Georgia" w:cs="Georgia" w:eastAsia="Georgia" w:hAnsi="Georgia"/>
          <w:sz w:val="18"/>
          <w:szCs w:val="18"/>
          <w:color w:val="auto"/>
        </w:rPr>
        <w:t>March 20, 2025</w:t>
      </w:r>
    </w:p>
    <w:p>
      <w:pPr>
        <w:spacing w:after="0" w:line="254" w:lineRule="exact"/>
        <w:rPr>
          <w:sz w:val="20"/>
          <w:szCs w:val="20"/>
          <w:color w:val="auto"/>
        </w:rPr>
      </w:pPr>
    </w:p>
    <w:p>
      <w:pPr>
        <w:spacing w:after="0"/>
        <w:rPr>
          <w:sz w:val="20"/>
          <w:szCs w:val="20"/>
          <w:color w:val="auto"/>
        </w:rPr>
      </w:pPr>
      <w:r>
        <w:rPr>
          <w:rFonts w:ascii="Georgia" w:cs="Georgia" w:eastAsia="Georgia" w:hAnsi="Georgia"/>
          <w:sz w:val="18"/>
          <w:szCs w:val="18"/>
          <w:color w:val="auto"/>
        </w:rPr>
        <w:t>We have served as the Company’s auditor since 2017.</w:t>
      </w:r>
    </w:p>
    <w:p>
      <w:pPr>
        <w:spacing w:after="0" w:line="200" w:lineRule="exact"/>
        <w:rPr>
          <w:sz w:val="20"/>
          <w:szCs w:val="20"/>
          <w:color w:val="auto"/>
        </w:rPr>
      </w:pPr>
    </w:p>
    <w:p>
      <w:pPr>
        <w:spacing w:after="0" w:line="39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- 94 -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RACKSPACE TECHNOLOGY,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80" w:type="dxa"/>
            <w:vAlign w:val="bottom"/>
          </w:tcPr>
          <w:p>
            <w:pPr>
              <w:spacing w:after="0"/>
              <w:rPr>
                <w:sz w:val="16"/>
                <w:szCs w:val="16"/>
                <w:color w:val="auto"/>
              </w:rPr>
            </w:pPr>
          </w:p>
        </w:tc>
        <w:tc>
          <w:tcPr>
            <w:tcW w:w="128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2"/>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millions, except per share data)</w:t>
            </w: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10"/>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Current assets:</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2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196.8</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144.0</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Accounts receivable, net of allowance for credit losses and accrued customer credits of $20.1 and $27.0, respectively</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298.8</w:t>
            </w:r>
          </w:p>
        </w:tc>
        <w:tc>
          <w:tcPr>
            <w:tcW w:w="0" w:type="dxa"/>
            <w:vAlign w:val="bottom"/>
          </w:tcPr>
          <w:p>
            <w:pPr>
              <w:spacing w:after="0"/>
              <w:rPr>
                <w:sz w:val="1"/>
                <w:szCs w:val="1"/>
                <w:color w:val="auto"/>
              </w:rPr>
            </w:pPr>
          </w:p>
        </w:tc>
      </w:tr>
      <w:tr>
        <w:trPr>
          <w:trHeight w:val="213"/>
        </w:trPr>
        <w:tc>
          <w:tcPr>
            <w:tcW w:w="82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Prepaid expenses</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84.9</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current assets</w:t>
            </w: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91.1</w:t>
            </w:r>
          </w:p>
        </w:tc>
        <w:tc>
          <w:tcPr>
            <w:tcW w:w="0" w:type="dxa"/>
            <w:vAlign w:val="bottom"/>
          </w:tcPr>
          <w:p>
            <w:pPr>
              <w:spacing w:after="0"/>
              <w:rPr>
                <w:sz w:val="1"/>
                <w:szCs w:val="1"/>
                <w:color w:val="auto"/>
              </w:rPr>
            </w:pPr>
          </w:p>
        </w:tc>
      </w:tr>
      <w:tr>
        <w:trPr>
          <w:trHeight w:val="207"/>
        </w:trPr>
        <w:tc>
          <w:tcPr>
            <w:tcW w:w="82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current assets</w:t>
            </w:r>
          </w:p>
        </w:tc>
        <w:tc>
          <w:tcPr>
            <w:tcW w:w="1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738.1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618.8</w:t>
            </w:r>
          </w:p>
        </w:tc>
        <w:tc>
          <w:tcPr>
            <w:tcW w:w="0" w:type="dxa"/>
            <w:vAlign w:val="bottom"/>
          </w:tcPr>
          <w:p>
            <w:pPr>
              <w:spacing w:after="0"/>
              <w:rPr>
                <w:sz w:val="1"/>
                <w:szCs w:val="1"/>
                <w:color w:val="auto"/>
              </w:rPr>
            </w:pPr>
          </w:p>
        </w:tc>
      </w:tr>
      <w:tr>
        <w:trPr>
          <w:trHeight w:val="151"/>
        </w:trPr>
        <w:tc>
          <w:tcPr>
            <w:tcW w:w="8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82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Property, equipment and software, net</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608.8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601.0</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Goodwill, net</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1,452.4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735.7</w:t>
            </w:r>
          </w:p>
        </w:tc>
        <w:tc>
          <w:tcPr>
            <w:tcW w:w="0" w:type="dxa"/>
            <w:vAlign w:val="bottom"/>
          </w:tcPr>
          <w:p>
            <w:pPr>
              <w:spacing w:after="0"/>
              <w:rPr>
                <w:sz w:val="1"/>
                <w:szCs w:val="1"/>
                <w:color w:val="auto"/>
              </w:rPr>
            </w:pPr>
          </w:p>
        </w:tc>
      </w:tr>
      <w:tr>
        <w:trPr>
          <w:trHeight w:val="213"/>
        </w:trPr>
        <w:tc>
          <w:tcPr>
            <w:tcW w:w="82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Intangible assets, net</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1,019.0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844.7</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right-of-use assets</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134.6</w:t>
            </w:r>
          </w:p>
        </w:tc>
        <w:tc>
          <w:tcPr>
            <w:tcW w:w="0" w:type="dxa"/>
            <w:vAlign w:val="bottom"/>
          </w:tcPr>
          <w:p>
            <w:pPr>
              <w:spacing w:after="0"/>
              <w:rPr>
                <w:sz w:val="1"/>
                <w:szCs w:val="1"/>
                <w:color w:val="auto"/>
              </w:rPr>
            </w:pPr>
          </w:p>
        </w:tc>
      </w:tr>
      <w:tr>
        <w:trPr>
          <w:trHeight w:val="213"/>
        </w:trPr>
        <w:tc>
          <w:tcPr>
            <w:tcW w:w="82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non-current assets</w:t>
            </w: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151.6</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119.3</w:t>
            </w:r>
          </w:p>
        </w:tc>
        <w:tc>
          <w:tcPr>
            <w:tcW w:w="0" w:type="dxa"/>
            <w:vAlign w:val="bottom"/>
          </w:tcPr>
          <w:p>
            <w:pPr>
              <w:spacing w:after="0"/>
              <w:rPr>
                <w:sz w:val="1"/>
                <w:szCs w:val="1"/>
                <w:color w:val="auto"/>
              </w:rPr>
            </w:pPr>
          </w:p>
        </w:tc>
      </w:tr>
      <w:tr>
        <w:trPr>
          <w:trHeight w:val="237"/>
        </w:trPr>
        <w:tc>
          <w:tcPr>
            <w:tcW w:w="822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4,096.2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3,054.1</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8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DEFICIT</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2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Current liabilities:</w:t>
            </w: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389.6</w:t>
            </w:r>
          </w:p>
        </w:tc>
        <w:tc>
          <w:tcPr>
            <w:tcW w:w="0" w:type="dxa"/>
            <w:vAlign w:val="bottom"/>
          </w:tcPr>
          <w:p>
            <w:pPr>
              <w:spacing w:after="0"/>
              <w:rPr>
                <w:sz w:val="1"/>
                <w:szCs w:val="1"/>
                <w:color w:val="auto"/>
              </w:rPr>
            </w:pPr>
          </w:p>
        </w:tc>
      </w:tr>
      <w:tr>
        <w:trPr>
          <w:trHeight w:val="213"/>
        </w:trPr>
        <w:tc>
          <w:tcPr>
            <w:tcW w:w="82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Accrued compensation and benefits</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96.7</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Deferred revenue</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84.2</w:t>
            </w:r>
          </w:p>
        </w:tc>
        <w:tc>
          <w:tcPr>
            <w:tcW w:w="0" w:type="dxa"/>
            <w:vAlign w:val="bottom"/>
          </w:tcPr>
          <w:p>
            <w:pPr>
              <w:spacing w:after="0"/>
              <w:rPr>
                <w:sz w:val="1"/>
                <w:szCs w:val="1"/>
                <w:color w:val="auto"/>
              </w:rPr>
            </w:pPr>
          </w:p>
        </w:tc>
      </w:tr>
      <w:tr>
        <w:trPr>
          <w:trHeight w:val="213"/>
        </w:trPr>
        <w:tc>
          <w:tcPr>
            <w:tcW w:w="82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Debt</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Accrued interest</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0" w:type="dxa"/>
            <w:vAlign w:val="bottom"/>
          </w:tcPr>
          <w:p>
            <w:pPr>
              <w:spacing w:after="0"/>
              <w:rPr>
                <w:sz w:val="1"/>
                <w:szCs w:val="1"/>
                <w:color w:val="auto"/>
              </w:rPr>
            </w:pPr>
          </w:p>
        </w:tc>
      </w:tr>
      <w:tr>
        <w:trPr>
          <w:trHeight w:val="213"/>
        </w:trPr>
        <w:tc>
          <w:tcPr>
            <w:tcW w:w="82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55.9</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Finance lease liabilities</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53.1</w:t>
            </w:r>
          </w:p>
        </w:tc>
        <w:tc>
          <w:tcPr>
            <w:tcW w:w="0" w:type="dxa"/>
            <w:vAlign w:val="bottom"/>
          </w:tcPr>
          <w:p>
            <w:pPr>
              <w:spacing w:after="0"/>
              <w:rPr>
                <w:sz w:val="1"/>
                <w:szCs w:val="1"/>
                <w:color w:val="auto"/>
              </w:rPr>
            </w:pPr>
          </w:p>
        </w:tc>
      </w:tr>
      <w:tr>
        <w:trPr>
          <w:trHeight w:val="213"/>
        </w:trPr>
        <w:tc>
          <w:tcPr>
            <w:tcW w:w="82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Financing obligations</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w:t>
            </w:r>
          </w:p>
        </w:tc>
        <w:tc>
          <w:tcPr>
            <w:tcW w:w="0" w:type="dxa"/>
            <w:vAlign w:val="bottom"/>
          </w:tcPr>
          <w:p>
            <w:pPr>
              <w:spacing w:after="0"/>
              <w:rPr>
                <w:sz w:val="1"/>
                <w:szCs w:val="1"/>
                <w:color w:val="auto"/>
              </w:rPr>
            </w:pPr>
          </w:p>
        </w:tc>
      </w:tr>
      <w:tr>
        <w:trPr>
          <w:trHeight w:val="207"/>
        </w:trPr>
        <w:tc>
          <w:tcPr>
            <w:tcW w:w="82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799.5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766.6</w:t>
            </w:r>
          </w:p>
        </w:tc>
        <w:tc>
          <w:tcPr>
            <w:tcW w:w="0" w:type="dxa"/>
            <w:vAlign w:val="bottom"/>
          </w:tcPr>
          <w:p>
            <w:pPr>
              <w:spacing w:after="0"/>
              <w:rPr>
                <w:sz w:val="1"/>
                <w:szCs w:val="1"/>
                <w:color w:val="auto"/>
              </w:rPr>
            </w:pPr>
          </w:p>
        </w:tc>
      </w:tr>
      <w:tr>
        <w:trPr>
          <w:trHeight w:val="151"/>
        </w:trPr>
        <w:tc>
          <w:tcPr>
            <w:tcW w:w="8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82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Non-current liabilities:</w:t>
            </w: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Debt</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2,839.6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2,756.4</w:t>
            </w:r>
          </w:p>
        </w:tc>
        <w:tc>
          <w:tcPr>
            <w:tcW w:w="0" w:type="dxa"/>
            <w:vAlign w:val="bottom"/>
          </w:tcPr>
          <w:p>
            <w:pPr>
              <w:spacing w:after="0"/>
              <w:rPr>
                <w:sz w:val="1"/>
                <w:szCs w:val="1"/>
                <w:color w:val="auto"/>
              </w:rPr>
            </w:pPr>
          </w:p>
        </w:tc>
      </w:tr>
      <w:tr>
        <w:trPr>
          <w:trHeight w:val="213"/>
        </w:trPr>
        <w:tc>
          <w:tcPr>
            <w:tcW w:w="82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77.8</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Finance lease liabilities</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293.1</w:t>
            </w:r>
          </w:p>
        </w:tc>
        <w:tc>
          <w:tcPr>
            <w:tcW w:w="0" w:type="dxa"/>
            <w:vAlign w:val="bottom"/>
          </w:tcPr>
          <w:p>
            <w:pPr>
              <w:spacing w:after="0"/>
              <w:rPr>
                <w:sz w:val="1"/>
                <w:szCs w:val="1"/>
                <w:color w:val="auto"/>
              </w:rPr>
            </w:pPr>
          </w:p>
        </w:tc>
      </w:tr>
      <w:tr>
        <w:trPr>
          <w:trHeight w:val="213"/>
        </w:trPr>
        <w:tc>
          <w:tcPr>
            <w:tcW w:w="82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Financing obligations</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39.2</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Deferred income taxes</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w:t>
            </w:r>
          </w:p>
        </w:tc>
        <w:tc>
          <w:tcPr>
            <w:tcW w:w="0" w:type="dxa"/>
            <w:vAlign w:val="bottom"/>
          </w:tcPr>
          <w:p>
            <w:pPr>
              <w:spacing w:after="0"/>
              <w:rPr>
                <w:sz w:val="1"/>
                <w:szCs w:val="1"/>
                <w:color w:val="auto"/>
              </w:rPr>
            </w:pPr>
          </w:p>
        </w:tc>
      </w:tr>
      <w:tr>
        <w:trPr>
          <w:trHeight w:val="213"/>
        </w:trPr>
        <w:tc>
          <w:tcPr>
            <w:tcW w:w="82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97.4</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95.0</w:t>
            </w:r>
          </w:p>
        </w:tc>
        <w:tc>
          <w:tcPr>
            <w:tcW w:w="0" w:type="dxa"/>
            <w:vAlign w:val="bottom"/>
          </w:tcPr>
          <w:p>
            <w:pPr>
              <w:spacing w:after="0"/>
              <w:rPr>
                <w:sz w:val="1"/>
                <w:szCs w:val="1"/>
                <w:color w:val="auto"/>
              </w:rPr>
            </w:pPr>
          </w:p>
        </w:tc>
      </w:tr>
      <w:tr>
        <w:trPr>
          <w:trHeight w:val="212"/>
        </w:trPr>
        <w:tc>
          <w:tcPr>
            <w:tcW w:w="82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liabilities</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4,250.7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4,058.3</w:t>
            </w:r>
          </w:p>
        </w:tc>
        <w:tc>
          <w:tcPr>
            <w:tcW w:w="0" w:type="dxa"/>
            <w:vAlign w:val="bottom"/>
          </w:tcPr>
          <w:p>
            <w:pPr>
              <w:spacing w:after="0"/>
              <w:rPr>
                <w:sz w:val="1"/>
                <w:szCs w:val="1"/>
                <w:color w:val="auto"/>
              </w:rPr>
            </w:pPr>
          </w:p>
        </w:tc>
      </w:tr>
      <w:tr>
        <w:trPr>
          <w:trHeight w:val="149"/>
        </w:trPr>
        <w:tc>
          <w:tcPr>
            <w:tcW w:w="8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Commitments and Contingencies (Note 10)</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8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Stockholders' deficit:</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2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Preferred stock, $0.01 par value per share: 5.0 shares authorized; no shares issued or outstanding</w:t>
            </w:r>
          </w:p>
        </w:tc>
        <w:tc>
          <w:tcPr>
            <w:tcW w:w="18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5"/>
        </w:trPr>
        <w:tc>
          <w:tcPr>
            <w:tcW w:w="8220" w:type="dxa"/>
            <w:vAlign w:val="bottom"/>
            <w:shd w:val="clear" w:color="auto" w:fill="CCEEFF"/>
          </w:tcPr>
          <w:p>
            <w:pPr>
              <w:ind w:left="220"/>
              <w:spacing w:after="0" w:line="165" w:lineRule="exact"/>
              <w:rPr>
                <w:sz w:val="20"/>
                <w:szCs w:val="20"/>
                <w:color w:val="auto"/>
              </w:rPr>
            </w:pPr>
            <w:r>
              <w:rPr>
                <w:rFonts w:ascii="Times New Roman" w:cs="Times New Roman" w:eastAsia="Times New Roman" w:hAnsi="Times New Roman"/>
                <w:sz w:val="16"/>
                <w:szCs w:val="16"/>
                <w:color w:val="auto"/>
              </w:rPr>
              <w:t>Common stock, $0.01 par value per share: 1,495.0 shares authorized; 220.5 and 232.2 shares issued; 217.4 and 229.1</w:t>
            </w:r>
          </w:p>
        </w:tc>
        <w:tc>
          <w:tcPr>
            <w:tcW w:w="18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0" w:type="dxa"/>
            <w:vAlign w:val="bottom"/>
          </w:tcPr>
          <w:p>
            <w:pPr>
              <w:spacing w:after="0"/>
              <w:rPr>
                <w:sz w:val="1"/>
                <w:szCs w:val="1"/>
                <w:color w:val="auto"/>
              </w:rPr>
            </w:pPr>
          </w:p>
        </w:tc>
      </w:tr>
      <w:tr>
        <w:trPr>
          <w:trHeight w:val="216"/>
        </w:trPr>
        <w:tc>
          <w:tcPr>
            <w:tcW w:w="8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shares outstanding, respectively</w:t>
            </w:r>
          </w:p>
        </w:tc>
        <w:tc>
          <w:tcPr>
            <w:tcW w:w="180" w:type="dxa"/>
            <w:vAlign w:val="bottom"/>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2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2,638.2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2,682.8</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Accumulated other comprehensive income</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w:t>
            </w:r>
          </w:p>
        </w:tc>
        <w:tc>
          <w:tcPr>
            <w:tcW w:w="0" w:type="dxa"/>
            <w:vAlign w:val="bottom"/>
          </w:tcPr>
          <w:p>
            <w:pPr>
              <w:spacing w:after="0"/>
              <w:rPr>
                <w:sz w:val="1"/>
                <w:szCs w:val="1"/>
                <w:color w:val="auto"/>
              </w:rPr>
            </w:pPr>
          </w:p>
        </w:tc>
      </w:tr>
      <w:tr>
        <w:trPr>
          <w:trHeight w:val="213"/>
        </w:trPr>
        <w:tc>
          <w:tcPr>
            <w:tcW w:w="82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Accumulated deficit</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(2,824.2)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(3,682.4)</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Treasury stock, at cost; 3.1 shares held</w:t>
            </w: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w:t>
            </w:r>
          </w:p>
        </w:tc>
        <w:tc>
          <w:tcPr>
            <w:tcW w:w="0" w:type="dxa"/>
            <w:vAlign w:val="bottom"/>
          </w:tcPr>
          <w:p>
            <w:pPr>
              <w:spacing w:after="0"/>
              <w:rPr>
                <w:sz w:val="1"/>
                <w:szCs w:val="1"/>
                <w:color w:val="auto"/>
              </w:rPr>
            </w:pPr>
          </w:p>
        </w:tc>
      </w:tr>
      <w:tr>
        <w:trPr>
          <w:trHeight w:val="207"/>
        </w:trPr>
        <w:tc>
          <w:tcPr>
            <w:tcW w:w="822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6"/>
                <w:szCs w:val="16"/>
                <w:color w:val="auto"/>
              </w:rPr>
              <w:t>Total stockholders' deficit</w:t>
            </w: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(154.5)</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(1,004.2)</w:t>
            </w:r>
          </w:p>
        </w:tc>
        <w:tc>
          <w:tcPr>
            <w:tcW w:w="0" w:type="dxa"/>
            <w:vAlign w:val="bottom"/>
          </w:tcPr>
          <w:p>
            <w:pPr>
              <w:spacing w:after="0"/>
              <w:rPr>
                <w:sz w:val="1"/>
                <w:szCs w:val="1"/>
                <w:color w:val="auto"/>
              </w:rPr>
            </w:pPr>
          </w:p>
        </w:tc>
      </w:tr>
      <w:tr>
        <w:trPr>
          <w:trHeight w:val="237"/>
        </w:trPr>
        <w:tc>
          <w:tcPr>
            <w:tcW w:w="822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Total liabilities and stockholders' deficit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4,096.2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3,054.1</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- 95 -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RACKSPACE TECHNOLOGY,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LOSS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2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6"/>
                <w:szCs w:val="16"/>
                <w:b w:val="1"/>
                <w:bCs w:val="1"/>
                <w:color w:val="auto"/>
                <w:w w:val="99"/>
              </w:rPr>
              <w:t>Year Ended December 31,</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r>
      <w:tr>
        <w:trPr>
          <w:trHeight w:val="211"/>
        </w:trPr>
        <w:tc>
          <w:tcPr>
            <w:tcW w:w="6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 millions, except per share data)</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1"/>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3,122.3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2,957.1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2,737.1</w:t>
            </w:r>
          </w:p>
        </w:tc>
      </w:tr>
      <w:tr>
        <w:trPr>
          <w:trHeight w:val="213"/>
        </w:trPr>
        <w:tc>
          <w:tcPr>
            <w:tcW w:w="6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(2,265.4)</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(2,328.3)</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(2,203.7)</w:t>
            </w:r>
          </w:p>
        </w:tc>
      </w:tr>
      <w:tr>
        <w:trPr>
          <w:trHeight w:val="212"/>
        </w:trPr>
        <w:tc>
          <w:tcPr>
            <w:tcW w:w="6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Gross profit</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856.9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628.8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533.4</w:t>
            </w:r>
          </w:p>
        </w:tc>
      </w:tr>
      <w:tr>
        <w:trPr>
          <w:trHeight w:val="213"/>
        </w:trPr>
        <w:tc>
          <w:tcPr>
            <w:tcW w:w="62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(855.3)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(767.2)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(707.6)</w:t>
            </w:r>
          </w:p>
        </w:tc>
      </w:tr>
      <w:tr>
        <w:trPr>
          <w:trHeight w:val="219"/>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Impairment of goodwill</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(534.5)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(708.8)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(714.9)</w:t>
            </w:r>
          </w:p>
        </w:tc>
      </w:tr>
      <w:tr>
        <w:trPr>
          <w:trHeight w:val="213"/>
        </w:trPr>
        <w:tc>
          <w:tcPr>
            <w:tcW w:w="6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Impairment of assets, net</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(146.1)</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(52.2)</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w:t>
            </w:r>
          </w:p>
        </w:tc>
      </w:tr>
      <w:tr>
        <w:trPr>
          <w:trHeight w:val="212"/>
        </w:trPr>
        <w:tc>
          <w:tcPr>
            <w:tcW w:w="6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Loss from operations</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(679.0)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(899.4)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(909.1)</w:t>
            </w:r>
          </w:p>
        </w:tc>
      </w:tr>
      <w:tr>
        <w:trPr>
          <w:trHeight w:val="213"/>
        </w:trPr>
        <w:tc>
          <w:tcPr>
            <w:tcW w:w="6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income (expense):</w:t>
            </w: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9"/>
        </w:trPr>
        <w:tc>
          <w:tcPr>
            <w:tcW w:w="6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(98.0)</w:t>
            </w:r>
          </w:p>
        </w:tc>
      </w:tr>
      <w:tr>
        <w:trPr>
          <w:trHeight w:val="213"/>
        </w:trPr>
        <w:tc>
          <w:tcPr>
            <w:tcW w:w="6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Gain (loss) on investments, net</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r>
      <w:tr>
        <w:trPr>
          <w:trHeight w:val="219"/>
        </w:trPr>
        <w:tc>
          <w:tcPr>
            <w:tcW w:w="6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Gain on debt extinguishment, net of debt modification costs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147.2</w:t>
            </w:r>
          </w:p>
        </w:tc>
      </w:tr>
      <w:tr>
        <w:trPr>
          <w:trHeight w:val="213"/>
        </w:trPr>
        <w:tc>
          <w:tcPr>
            <w:tcW w:w="6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expense, net</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(21.7)</w:t>
            </w:r>
          </w:p>
        </w:tc>
      </w:tr>
      <w:tr>
        <w:trPr>
          <w:trHeight w:val="212"/>
        </w:trPr>
        <w:tc>
          <w:tcPr>
            <w:tcW w:w="6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other income (expense)</w:t>
            </w: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(218.7)</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w:t>
            </w:r>
          </w:p>
        </w:tc>
      </w:tr>
      <w:tr>
        <w:trPr>
          <w:trHeight w:val="207"/>
        </w:trPr>
        <w:tc>
          <w:tcPr>
            <w:tcW w:w="62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Loss before income taxes</w:t>
            </w: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(897.7)</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(854.4)</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(881.5)</w:t>
            </w:r>
          </w:p>
        </w:tc>
      </w:tr>
      <w:tr>
        <w:trPr>
          <w:trHeight w:val="219"/>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Benefit for income taxes</w:t>
            </w: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w:t>
            </w:r>
          </w:p>
        </w:tc>
      </w:tr>
      <w:tr>
        <w:trPr>
          <w:trHeight w:val="209"/>
        </w:trPr>
        <w:tc>
          <w:tcPr>
            <w:tcW w:w="62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Net loss</w:t>
            </w: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(804.8)</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(837.8)</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(858.2)</w:t>
            </w:r>
          </w:p>
        </w:tc>
      </w:tr>
      <w:tr>
        <w:trPr>
          <w:trHeight w:val="20"/>
        </w:trPr>
        <w:tc>
          <w:tcPr>
            <w:tcW w:w="62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24"/>
        </w:trPr>
        <w:tc>
          <w:tcPr>
            <w:tcW w:w="62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13"/>
        </w:trPr>
        <w:tc>
          <w:tcPr>
            <w:tcW w:w="6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 net of tax</w:t>
            </w: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9"/>
        </w:trPr>
        <w:tc>
          <w:tcPr>
            <w:tcW w:w="6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w:t>
            </w:r>
          </w:p>
        </w:tc>
        <w:tc>
          <w:tcPr>
            <w:tcW w:w="480" w:type="dxa"/>
            <w:vAlign w:val="bottom"/>
            <w:gridSpan w:val="2"/>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w:t>
            </w:r>
          </w:p>
        </w:tc>
      </w:tr>
      <w:tr>
        <w:trPr>
          <w:trHeight w:val="213"/>
        </w:trPr>
        <w:tc>
          <w:tcPr>
            <w:tcW w:w="6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Unrealized gain on derivative contracts</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w:t>
            </w:r>
          </w:p>
        </w:tc>
      </w:tr>
      <w:tr>
        <w:trPr>
          <w:trHeight w:val="219"/>
        </w:trPr>
        <w:tc>
          <w:tcPr>
            <w:tcW w:w="6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Amount reclassified from accumulated other comprehensive income (loss) to earnings</w:t>
            </w: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w:t>
            </w:r>
          </w:p>
        </w:tc>
      </w:tr>
      <w:tr>
        <w:trPr>
          <w:trHeight w:val="207"/>
        </w:trPr>
        <w:tc>
          <w:tcPr>
            <w:tcW w:w="62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64.5</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(36.2)</w:t>
            </w:r>
          </w:p>
        </w:tc>
      </w:tr>
      <w:tr>
        <w:trPr>
          <w:trHeight w:val="237"/>
        </w:trPr>
        <w:tc>
          <w:tcPr>
            <w:tcW w:w="624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Comprehensive loss</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(740.3)</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(848.9)</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(894.4)</w:t>
            </w: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6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216"/>
        </w:trPr>
        <w:tc>
          <w:tcPr>
            <w:tcW w:w="6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loss per share:</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189"/>
        </w:trPr>
        <w:tc>
          <w:tcPr>
            <w:tcW w:w="62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Basic and diluted</w:t>
            </w: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(3.81)</w:t>
            </w:r>
          </w:p>
        </w:tc>
        <w:tc>
          <w:tcPr>
            <w:tcW w:w="48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(3.89)</w:t>
            </w:r>
          </w:p>
        </w:tc>
        <w:tc>
          <w:tcPr>
            <w:tcW w:w="100" w:type="dxa"/>
            <w:vAlign w:val="bottom"/>
          </w:tcPr>
          <w:p>
            <w:pPr>
              <w:spacing w:after="0"/>
              <w:rPr>
                <w:sz w:val="16"/>
                <w:szCs w:val="16"/>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(3.82)</w:t>
            </w:r>
          </w:p>
        </w:tc>
      </w:tr>
      <w:tr>
        <w:trPr>
          <w:trHeight w:val="20"/>
        </w:trPr>
        <w:tc>
          <w:tcPr>
            <w:tcW w:w="624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183"/>
        </w:trPr>
        <w:tc>
          <w:tcPr>
            <w:tcW w:w="6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Weighted average number of shares outstanding:</w:t>
            </w: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216"/>
        </w:trPr>
        <w:tc>
          <w:tcPr>
            <w:tcW w:w="62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Basic and diluted</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211.2</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215.3</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224.8</w:t>
            </w:r>
          </w:p>
        </w:tc>
      </w:tr>
      <w:tr>
        <w:trPr>
          <w:trHeight w:val="20"/>
        </w:trPr>
        <w:tc>
          <w:tcPr>
            <w:tcW w:w="6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- 96 -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RACKSPACE TECHNOLOGY,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4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3260" w:type="dxa"/>
            <w:vAlign w:val="bottom"/>
            <w:tcBorders>
              <w:bottom w:val="single" w:sz="8" w:color="auto"/>
            </w:tcBorders>
            <w:gridSpan w:val="6"/>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180" w:type="dxa"/>
            <w:vAlign w:val="bottom"/>
            <w:tcBorders>
              <w:bottom w:val="single" w:sz="8" w:color="auto"/>
            </w:tcBorders>
          </w:tcPr>
          <w:p>
            <w:pPr>
              <w:spacing w:after="0"/>
              <w:rPr>
                <w:sz w:val="18"/>
                <w:szCs w:val="18"/>
                <w:color w:val="auto"/>
              </w:rPr>
            </w:pPr>
          </w:p>
        </w:tc>
      </w:tr>
      <w:tr>
        <w:trPr>
          <w:trHeight w:val="211"/>
        </w:trPr>
        <w:tc>
          <w:tcPr>
            <w:tcW w:w="6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98"/>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13"/>
        </w:trPr>
        <w:tc>
          <w:tcPr>
            <w:tcW w:w="6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loss</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(804.8)</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(837.8)</w:t>
            </w:r>
          </w:p>
        </w:tc>
        <w:tc>
          <w:tcPr>
            <w:tcW w:w="1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(858.2)</w:t>
            </w:r>
          </w:p>
        </w:tc>
      </w:tr>
      <w:tr>
        <w:trPr>
          <w:trHeight w:val="219"/>
        </w:trPr>
        <w:tc>
          <w:tcPr>
            <w:tcW w:w="6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Adjustments to reconcile net loss to net cash provided by operating activities: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13"/>
        </w:trPr>
        <w:tc>
          <w:tcPr>
            <w:tcW w:w="64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387.8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295.4</w:t>
            </w:r>
          </w:p>
        </w:tc>
      </w:tr>
      <w:tr>
        <w:trPr>
          <w:trHeight w:val="219"/>
        </w:trPr>
        <w:tc>
          <w:tcPr>
            <w:tcW w:w="6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Amortization of operating right-of-use assets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67.6</w:t>
            </w:r>
          </w:p>
        </w:tc>
      </w:tr>
      <w:tr>
        <w:trPr>
          <w:trHeight w:val="213"/>
        </w:trPr>
        <w:tc>
          <w:tcPr>
            <w:tcW w:w="64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Deferred income taxes</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w:t>
            </w:r>
          </w:p>
        </w:tc>
      </w:tr>
      <w:tr>
        <w:trPr>
          <w:trHeight w:val="219"/>
        </w:trPr>
        <w:tc>
          <w:tcPr>
            <w:tcW w:w="6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63.4</w:t>
            </w:r>
          </w:p>
        </w:tc>
      </w:tr>
      <w:tr>
        <w:trPr>
          <w:trHeight w:val="213"/>
        </w:trPr>
        <w:tc>
          <w:tcPr>
            <w:tcW w:w="64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Impairment of goodwill</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534.5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708.8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714.9</w:t>
            </w:r>
          </w:p>
        </w:tc>
      </w:tr>
      <w:tr>
        <w:trPr>
          <w:trHeight w:val="219"/>
        </w:trPr>
        <w:tc>
          <w:tcPr>
            <w:tcW w:w="6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Impairment of assets, net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w:t>
            </w:r>
          </w:p>
        </w:tc>
      </w:tr>
      <w:tr>
        <w:trPr>
          <w:trHeight w:val="213"/>
        </w:trPr>
        <w:tc>
          <w:tcPr>
            <w:tcW w:w="64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Gain on debt extinguishment, net of debt modification costs</w:t>
            </w:r>
          </w:p>
        </w:tc>
        <w:tc>
          <w:tcPr>
            <w:tcW w:w="36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(147.2)</w:t>
            </w:r>
          </w:p>
        </w:tc>
      </w:tr>
      <w:tr>
        <w:trPr>
          <w:trHeight w:val="219"/>
        </w:trPr>
        <w:tc>
          <w:tcPr>
            <w:tcW w:w="6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Unrealized loss on derivative contracts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64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(Gain) loss on investments, net</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r>
      <w:tr>
        <w:trPr>
          <w:trHeight w:val="219"/>
        </w:trPr>
        <w:tc>
          <w:tcPr>
            <w:tcW w:w="6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Provision for bad debts and accrued customer credits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w:t>
            </w:r>
          </w:p>
        </w:tc>
      </w:tr>
      <w:tr>
        <w:trPr>
          <w:trHeight w:val="213"/>
        </w:trPr>
        <w:tc>
          <w:tcPr>
            <w:tcW w:w="64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Amortization of debt issuance costs and debt discount and premium</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r>
      <w:tr>
        <w:trPr>
          <w:trHeight w:val="219"/>
        </w:trPr>
        <w:tc>
          <w:tcPr>
            <w:tcW w:w="6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Third party fees paid in connection with the March 2024 Refinancing Transactions</w:t>
            </w:r>
          </w:p>
        </w:tc>
        <w:tc>
          <w:tcPr>
            <w:tcW w:w="3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w:t>
            </w:r>
          </w:p>
        </w:tc>
      </w:tr>
      <w:tr>
        <w:trPr>
          <w:trHeight w:val="213"/>
        </w:trPr>
        <w:tc>
          <w:tcPr>
            <w:tcW w:w="64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Non-cash fair value adjustments</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r>
      <w:tr>
        <w:trPr>
          <w:trHeight w:val="219"/>
        </w:trPr>
        <w:tc>
          <w:tcPr>
            <w:tcW w:w="6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operating activities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r>
      <w:tr>
        <w:trPr>
          <w:trHeight w:val="213"/>
        </w:trPr>
        <w:tc>
          <w:tcPr>
            <w:tcW w:w="64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Changes in operating assets and liabilities, net of effects of acquisitions:</w:t>
            </w: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9"/>
        </w:trPr>
        <w:tc>
          <w:tcPr>
            <w:tcW w:w="6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Accounts receivable</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w:t>
            </w:r>
          </w:p>
        </w:tc>
      </w:tr>
      <w:tr>
        <w:trPr>
          <w:trHeight w:val="213"/>
        </w:trPr>
        <w:tc>
          <w:tcPr>
            <w:tcW w:w="64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w:t>
            </w:r>
          </w:p>
        </w:tc>
      </w:tr>
      <w:tr>
        <w:trPr>
          <w:trHeight w:val="219"/>
        </w:trPr>
        <w:tc>
          <w:tcPr>
            <w:tcW w:w="6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Accounts payable, accrued expenses, and other current liabilities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w:t>
            </w:r>
          </w:p>
        </w:tc>
      </w:tr>
      <w:tr>
        <w:trPr>
          <w:trHeight w:val="213"/>
        </w:trPr>
        <w:tc>
          <w:tcPr>
            <w:tcW w:w="64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Deferred revenue</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r>
      <w:tr>
        <w:trPr>
          <w:trHeight w:val="219"/>
        </w:trPr>
        <w:tc>
          <w:tcPr>
            <w:tcW w:w="6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(82.8)</w:t>
            </w:r>
          </w:p>
        </w:tc>
      </w:tr>
      <w:tr>
        <w:trPr>
          <w:trHeight w:val="213"/>
        </w:trPr>
        <w:tc>
          <w:tcPr>
            <w:tcW w:w="64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Other non-current assets and liabilities</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27.3</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41.0</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w:t>
            </w:r>
          </w:p>
        </w:tc>
      </w:tr>
      <w:tr>
        <w:trPr>
          <w:trHeight w:val="212"/>
        </w:trPr>
        <w:tc>
          <w:tcPr>
            <w:tcW w:w="644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374.9</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w:t>
            </w:r>
          </w:p>
        </w:tc>
      </w:tr>
      <w:tr>
        <w:trPr>
          <w:trHeight w:val="214"/>
        </w:trPr>
        <w:tc>
          <w:tcPr>
            <w:tcW w:w="64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8"/>
        </w:trPr>
        <w:tc>
          <w:tcPr>
            <w:tcW w:w="6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Purchases of property, equipment and software</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(96.9)</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(111.1)</w:t>
            </w:r>
          </w:p>
        </w:tc>
      </w:tr>
      <w:tr>
        <w:trPr>
          <w:trHeight w:val="213"/>
        </w:trPr>
        <w:tc>
          <w:tcPr>
            <w:tcW w:w="6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Acquisitions, net of cash acquired</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6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Proceeds from sale of headquarters</w:t>
            </w:r>
          </w:p>
        </w:tc>
        <w:tc>
          <w:tcPr>
            <w:tcW w:w="3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w:t>
            </w:r>
          </w:p>
        </w:tc>
      </w:tr>
      <w:tr>
        <w:trPr>
          <w:trHeight w:val="213"/>
        </w:trPr>
        <w:tc>
          <w:tcPr>
            <w:tcW w:w="6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Purchase of convertible promissory note</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6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investing activities</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w:t>
            </w:r>
          </w:p>
        </w:tc>
      </w:tr>
      <w:tr>
        <w:trPr>
          <w:trHeight w:val="207"/>
        </w:trPr>
        <w:tc>
          <w:tcPr>
            <w:tcW w:w="64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(97.9)</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(96.0)</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(86.6)</w:t>
            </w:r>
          </w:p>
        </w:tc>
      </w:tr>
      <w:tr>
        <w:trPr>
          <w:trHeight w:val="219"/>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13"/>
        </w:trPr>
        <w:tc>
          <w:tcPr>
            <w:tcW w:w="6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employee stock plans</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w:t>
            </w:r>
          </w:p>
        </w:tc>
      </w:tr>
      <w:tr>
        <w:trPr>
          <w:trHeight w:val="219"/>
        </w:trPr>
        <w:tc>
          <w:tcPr>
            <w:tcW w:w="6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Shares of common stock withheld for employee taxes</w:t>
            </w:r>
          </w:p>
        </w:tc>
        <w:tc>
          <w:tcPr>
            <w:tcW w:w="3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r>
      <w:tr>
        <w:trPr>
          <w:trHeight w:val="213"/>
        </w:trPr>
        <w:tc>
          <w:tcPr>
            <w:tcW w:w="6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Shares of common stock repurchased</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6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Proceeds from borrowings under long-term debt arrangements</w:t>
            </w:r>
          </w:p>
        </w:tc>
        <w:tc>
          <w:tcPr>
            <w:tcW w:w="3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275.0</w:t>
            </w:r>
          </w:p>
        </w:tc>
      </w:tr>
      <w:tr>
        <w:trPr>
          <w:trHeight w:val="213"/>
        </w:trPr>
        <w:tc>
          <w:tcPr>
            <w:tcW w:w="6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Payments on long-term debt</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(163.0)</w:t>
            </w:r>
          </w:p>
        </w:tc>
      </w:tr>
      <w:tr>
        <w:trPr>
          <w:trHeight w:val="219"/>
        </w:trPr>
        <w:tc>
          <w:tcPr>
            <w:tcW w:w="6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Debt extinguishment costs</w:t>
            </w:r>
          </w:p>
        </w:tc>
        <w:tc>
          <w:tcPr>
            <w:tcW w:w="3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w:t>
            </w:r>
          </w:p>
        </w:tc>
      </w:tr>
      <w:tr>
        <w:trPr>
          <w:trHeight w:val="213"/>
        </w:trPr>
        <w:tc>
          <w:tcPr>
            <w:tcW w:w="6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Payments on financing component of interest rate swap</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w:t>
            </w:r>
          </w:p>
        </w:tc>
      </w:tr>
      <w:tr>
        <w:trPr>
          <w:trHeight w:val="219"/>
        </w:trPr>
        <w:tc>
          <w:tcPr>
            <w:tcW w:w="6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Principal payments of finance lease liabilities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(56.9)</w:t>
            </w:r>
          </w:p>
        </w:tc>
      </w:tr>
      <w:tr>
        <w:trPr>
          <w:trHeight w:val="213"/>
        </w:trPr>
        <w:tc>
          <w:tcPr>
            <w:tcW w:w="6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Principal payments of financing obligations</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w:t>
            </w:r>
          </w:p>
        </w:tc>
      </w:tr>
      <w:tr>
        <w:trPr>
          <w:trHeight w:val="219"/>
        </w:trPr>
        <w:tc>
          <w:tcPr>
            <w:tcW w:w="6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financing activities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64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3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(187.0)</w:t>
            </w:r>
          </w:p>
        </w:tc>
        <w:tc>
          <w:tcPr>
            <w:tcW w:w="1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(312.8)</w:t>
            </w:r>
          </w:p>
        </w:tc>
        <w:tc>
          <w:tcPr>
            <w:tcW w:w="1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w:t>
            </w:r>
          </w:p>
        </w:tc>
      </w:tr>
      <w:tr>
        <w:trPr>
          <w:trHeight w:val="219"/>
        </w:trPr>
        <w:tc>
          <w:tcPr>
            <w:tcW w:w="64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Effect of exchange rate changes on cash, cash equivalents, and restricted cash</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r>
      <w:tr>
        <w:trPr>
          <w:trHeight w:val="207"/>
        </w:trPr>
        <w:tc>
          <w:tcPr>
            <w:tcW w:w="644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Decrease in cash, cash equivalents, and restricted cash</w:t>
            </w: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(52.7)</w:t>
            </w:r>
          </w:p>
        </w:tc>
      </w:tr>
      <w:tr>
        <w:trPr>
          <w:trHeight w:val="219"/>
        </w:trPr>
        <w:tc>
          <w:tcPr>
            <w:tcW w:w="64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period</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231.4</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199.7</w:t>
            </w:r>
          </w:p>
        </w:tc>
      </w:tr>
      <w:tr>
        <w:trPr>
          <w:trHeight w:val="207"/>
        </w:trPr>
        <w:tc>
          <w:tcPr>
            <w:tcW w:w="644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Cash, cash equivalents, and restricted cash at end of period</w:t>
            </w: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231.4</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199.7</w:t>
            </w:r>
          </w:p>
        </w:tc>
        <w:tc>
          <w:tcPr>
            <w:tcW w:w="120" w:type="dxa"/>
            <w:vAlign w:val="bottom"/>
          </w:tcPr>
          <w:p>
            <w:pPr>
              <w:spacing w:after="0"/>
              <w:rPr>
                <w:sz w:val="17"/>
                <w:szCs w:val="17"/>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147.0</w:t>
            </w:r>
          </w:p>
        </w:tc>
      </w:tr>
      <w:tr>
        <w:trPr>
          <w:trHeight w:val="23"/>
        </w:trPr>
        <w:tc>
          <w:tcPr>
            <w:tcW w:w="64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- 97 -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Cash Flow Information</w:t>
            </w:r>
          </w:p>
        </w:tc>
        <w:tc>
          <w:tcPr>
            <w:tcW w:w="6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3"/>
        </w:trPr>
        <w:tc>
          <w:tcPr>
            <w:tcW w:w="6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Cash payments for interest, net of amount capitalized</w:t>
            </w:r>
          </w:p>
        </w:tc>
        <w:tc>
          <w:tcPr>
            <w:tcW w:w="600" w:type="dxa"/>
            <w:vAlign w:val="bottom"/>
          </w:tcPr>
          <w:p>
            <w:pPr>
              <w:jc w:val="right"/>
              <w:ind w:right="4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177.9</w:t>
            </w:r>
          </w:p>
        </w:tc>
        <w:tc>
          <w:tcPr>
            <w:tcW w:w="100" w:type="dxa"/>
            <w:vAlign w:val="bottom"/>
          </w:tcPr>
          <w:p>
            <w:pPr>
              <w:spacing w:after="0"/>
              <w:rPr>
                <w:sz w:val="18"/>
                <w:szCs w:val="18"/>
                <w:color w:val="auto"/>
              </w:rPr>
            </w:pPr>
          </w:p>
        </w:tc>
        <w:tc>
          <w:tcPr>
            <w:tcW w:w="600" w:type="dxa"/>
            <w:vAlign w:val="bottom"/>
          </w:tcPr>
          <w:p>
            <w:pPr>
              <w:jc w:val="right"/>
              <w:ind w:right="4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213.9</w:t>
            </w:r>
          </w:p>
        </w:tc>
        <w:tc>
          <w:tcPr>
            <w:tcW w:w="120" w:type="dxa"/>
            <w:vAlign w:val="bottom"/>
          </w:tcPr>
          <w:p>
            <w:pPr>
              <w:spacing w:after="0"/>
              <w:rPr>
                <w:sz w:val="18"/>
                <w:szCs w:val="18"/>
                <w:color w:val="auto"/>
              </w:rPr>
            </w:pPr>
          </w:p>
        </w:tc>
        <w:tc>
          <w:tcPr>
            <w:tcW w:w="600" w:type="dxa"/>
            <w:vAlign w:val="bottom"/>
          </w:tcPr>
          <w:p>
            <w:pPr>
              <w:jc w:val="right"/>
              <w:ind w:right="4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103.6</w:t>
            </w:r>
          </w:p>
        </w:tc>
      </w:tr>
      <w:tr>
        <w:trPr>
          <w:trHeight w:val="219"/>
        </w:trPr>
        <w:tc>
          <w:tcPr>
            <w:tcW w:w="6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payments for income taxes, net of refunds</w:t>
            </w:r>
          </w:p>
        </w:tc>
        <w:tc>
          <w:tcPr>
            <w:tcW w:w="600" w:type="dxa"/>
            <w:vAlign w:val="bottom"/>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w:t>
            </w:r>
          </w:p>
        </w:tc>
      </w:tr>
      <w:tr>
        <w:trPr>
          <w:trHeight w:val="54"/>
        </w:trPr>
        <w:tc>
          <w:tcPr>
            <w:tcW w:w="644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920" w:type="dxa"/>
            <w:vAlign w:val="bottom"/>
          </w:tcPr>
          <w:p>
            <w:pPr>
              <w:spacing w:after="0"/>
              <w:rPr>
                <w:sz w:val="4"/>
                <w:szCs w:val="4"/>
                <w:color w:val="auto"/>
              </w:rPr>
            </w:pPr>
          </w:p>
        </w:tc>
      </w:tr>
      <w:tr>
        <w:trPr>
          <w:trHeight w:val="216"/>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Non-cash Investing and Financing Activities</w:t>
            </w:r>
          </w:p>
        </w:tc>
        <w:tc>
          <w:tcPr>
            <w:tcW w:w="6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3"/>
        </w:trPr>
        <w:tc>
          <w:tcPr>
            <w:tcW w:w="6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Acquisition of property, equipment and software by finance leases</w:t>
            </w:r>
          </w:p>
        </w:tc>
        <w:tc>
          <w:tcPr>
            <w:tcW w:w="600" w:type="dxa"/>
            <w:vAlign w:val="bottom"/>
          </w:tcPr>
          <w:p>
            <w:pPr>
              <w:jc w:val="right"/>
              <w:ind w:right="4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36.7</w:t>
            </w:r>
          </w:p>
        </w:tc>
        <w:tc>
          <w:tcPr>
            <w:tcW w:w="100" w:type="dxa"/>
            <w:vAlign w:val="bottom"/>
          </w:tcPr>
          <w:p>
            <w:pPr>
              <w:spacing w:after="0"/>
              <w:rPr>
                <w:sz w:val="18"/>
                <w:szCs w:val="18"/>
                <w:color w:val="auto"/>
              </w:rPr>
            </w:pPr>
          </w:p>
        </w:tc>
        <w:tc>
          <w:tcPr>
            <w:tcW w:w="600" w:type="dxa"/>
            <w:vAlign w:val="bottom"/>
          </w:tcPr>
          <w:p>
            <w:pPr>
              <w:jc w:val="right"/>
              <w:ind w:right="4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67.7</w:t>
            </w:r>
          </w:p>
        </w:tc>
        <w:tc>
          <w:tcPr>
            <w:tcW w:w="120" w:type="dxa"/>
            <w:vAlign w:val="bottom"/>
          </w:tcPr>
          <w:p>
            <w:pPr>
              <w:spacing w:after="0"/>
              <w:rPr>
                <w:sz w:val="18"/>
                <w:szCs w:val="18"/>
                <w:color w:val="auto"/>
              </w:rPr>
            </w:pPr>
          </w:p>
        </w:tc>
        <w:tc>
          <w:tcPr>
            <w:tcW w:w="600" w:type="dxa"/>
            <w:vAlign w:val="bottom"/>
          </w:tcPr>
          <w:p>
            <w:pPr>
              <w:jc w:val="right"/>
              <w:ind w:right="4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40.8</w:t>
            </w:r>
          </w:p>
        </w:tc>
      </w:tr>
      <w:tr>
        <w:trPr>
          <w:trHeight w:val="219"/>
        </w:trPr>
        <w:tc>
          <w:tcPr>
            <w:tcW w:w="6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Acquisition of property, equipment and software by financing obligations</w:t>
            </w:r>
          </w:p>
        </w:tc>
        <w:tc>
          <w:tcPr>
            <w:tcW w:w="6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r>
      <w:tr>
        <w:trPr>
          <w:trHeight w:val="213"/>
        </w:trPr>
        <w:tc>
          <w:tcPr>
            <w:tcW w:w="6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Increase (decrease) in property, equipment and software accrued in liabilities</w:t>
            </w:r>
          </w:p>
        </w:tc>
        <w:tc>
          <w:tcPr>
            <w:tcW w:w="6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w:t>
            </w:r>
          </w:p>
        </w:tc>
      </w:tr>
      <w:tr>
        <w:trPr>
          <w:trHeight w:val="219"/>
        </w:trPr>
        <w:tc>
          <w:tcPr>
            <w:tcW w:w="6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non-cash activity</w:t>
            </w:r>
          </w:p>
        </w:tc>
        <w:tc>
          <w:tcPr>
            <w:tcW w:w="6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r>
      <w:tr>
        <w:trPr>
          <w:trHeight w:val="204"/>
        </w:trPr>
        <w:tc>
          <w:tcPr>
            <w:tcW w:w="64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Non-cash purchases of property, equipment and software</w:t>
            </w:r>
          </w:p>
        </w:tc>
        <w:tc>
          <w:tcPr>
            <w:tcW w:w="600" w:type="dxa"/>
            <w:vAlign w:val="bottom"/>
            <w:tcBorders>
              <w:top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61.4</w:t>
            </w:r>
          </w:p>
        </w:tc>
        <w:tc>
          <w:tcPr>
            <w:tcW w:w="100" w:type="dxa"/>
            <w:vAlign w:val="bottom"/>
          </w:tcPr>
          <w:p>
            <w:pPr>
              <w:spacing w:after="0"/>
              <w:rPr>
                <w:sz w:val="17"/>
                <w:szCs w:val="17"/>
                <w:color w:val="auto"/>
              </w:rPr>
            </w:pPr>
          </w:p>
        </w:tc>
        <w:tc>
          <w:tcPr>
            <w:tcW w:w="600" w:type="dxa"/>
            <w:vAlign w:val="bottom"/>
            <w:tcBorders>
              <w:top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84.4</w:t>
            </w:r>
          </w:p>
        </w:tc>
        <w:tc>
          <w:tcPr>
            <w:tcW w:w="120" w:type="dxa"/>
            <w:vAlign w:val="bottom"/>
          </w:tcPr>
          <w:p>
            <w:pPr>
              <w:spacing w:after="0"/>
              <w:rPr>
                <w:sz w:val="17"/>
                <w:szCs w:val="17"/>
                <w:color w:val="auto"/>
              </w:rPr>
            </w:pPr>
          </w:p>
        </w:tc>
        <w:tc>
          <w:tcPr>
            <w:tcW w:w="600" w:type="dxa"/>
            <w:vAlign w:val="bottom"/>
            <w:tcBorders>
              <w:top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25.3</w:t>
            </w:r>
          </w:p>
        </w:tc>
      </w:tr>
    </w:tbl>
    <w:p>
      <w:pPr>
        <w:spacing w:after="0" w:line="325" w:lineRule="exact"/>
        <w:rPr>
          <w:sz w:val="20"/>
          <w:szCs w:val="20"/>
          <w:color w:val="auto"/>
        </w:rPr>
      </w:pPr>
    </w:p>
    <w:p>
      <w:pPr>
        <w:ind w:right="20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to the total of such amounts shown on the Consolidated Statements of Cash Flows.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4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6"/>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180" w:type="dxa"/>
            <w:vAlign w:val="bottom"/>
            <w:tcBorders>
              <w:bottom w:val="single" w:sz="8" w:color="auto"/>
            </w:tcBorders>
          </w:tcPr>
          <w:p>
            <w:pPr>
              <w:spacing w:after="0"/>
              <w:rPr>
                <w:sz w:val="18"/>
                <w:szCs w:val="18"/>
                <w:color w:val="auto"/>
              </w:rPr>
            </w:pPr>
          </w:p>
        </w:tc>
      </w:tr>
      <w:tr>
        <w:trPr>
          <w:trHeight w:val="211"/>
        </w:trPr>
        <w:tc>
          <w:tcPr>
            <w:tcW w:w="6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1"/>
        </w:trPr>
        <w:tc>
          <w:tcPr>
            <w:tcW w:w="6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196.8</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144.0</w:t>
            </w:r>
          </w:p>
        </w:tc>
      </w:tr>
      <w:tr>
        <w:trPr>
          <w:trHeight w:val="213"/>
        </w:trPr>
        <w:tc>
          <w:tcPr>
            <w:tcW w:w="64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Restricted cash included in other non-current assets</w:t>
            </w: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w:t>
            </w:r>
          </w:p>
        </w:tc>
      </w:tr>
      <w:tr>
        <w:trPr>
          <w:trHeight w:val="237"/>
        </w:trPr>
        <w:tc>
          <w:tcPr>
            <w:tcW w:w="644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Total cash, cash equivalents, and restricted cash shown in the statement of cash flows</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231.4</w:t>
            </w:r>
          </w:p>
        </w:tc>
        <w:tc>
          <w:tcPr>
            <w:tcW w:w="6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199.7</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147.0</w:t>
            </w: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- 98 -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RACKSPACE TECHNOLOGY,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 (DEFICIT)</w:t>
      </w:r>
    </w:p>
    <w:p>
      <w:pPr>
        <w:spacing w:after="0" w:line="190"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22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1660" w:type="dxa"/>
            <w:vAlign w:val="bottom"/>
            <w:gridSpan w:val="4"/>
            <w:vMerge w:val="restart"/>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20" w:type="dxa"/>
            <w:vAlign w:val="bottom"/>
            <w:vMerge w:val="restart"/>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56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Accumulated Other</w:t>
            </w: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gridSpan w:val="4"/>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Treasury Stock, at Cost</w:t>
            </w:r>
          </w:p>
        </w:tc>
        <w:tc>
          <w:tcPr>
            <w:tcW w:w="100" w:type="dxa"/>
            <w:vAlign w:val="bottom"/>
            <w:vMerge w:val="restart"/>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153"/>
        </w:trPr>
        <w:tc>
          <w:tcPr>
            <w:tcW w:w="2220" w:type="dxa"/>
            <w:vAlign w:val="bottom"/>
            <w:vMerge w:val="continue"/>
          </w:tcPr>
          <w:p>
            <w:pPr>
              <w:spacing w:after="0"/>
              <w:rPr>
                <w:sz w:val="12"/>
                <w:szCs w:val="12"/>
                <w:color w:val="auto"/>
              </w:rPr>
            </w:pPr>
          </w:p>
        </w:tc>
        <w:tc>
          <w:tcPr>
            <w:tcW w:w="1660" w:type="dxa"/>
            <w:vAlign w:val="bottom"/>
            <w:tcBorders>
              <w:bottom w:val="single" w:sz="8" w:color="auto"/>
            </w:tcBorders>
            <w:gridSpan w:val="4"/>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6"/>
                <w:szCs w:val="16"/>
                <w:b w:val="1"/>
                <w:bCs w:val="1"/>
                <w:color w:val="auto"/>
              </w:rPr>
              <w:t>Paid-In</w:t>
            </w:r>
          </w:p>
        </w:tc>
        <w:tc>
          <w:tcPr>
            <w:tcW w:w="140" w:type="dxa"/>
            <w:vAlign w:val="bottom"/>
          </w:tcPr>
          <w:p>
            <w:pPr>
              <w:spacing w:after="0"/>
              <w:rPr>
                <w:sz w:val="12"/>
                <w:szCs w:val="12"/>
                <w:color w:val="auto"/>
              </w:rPr>
            </w:pPr>
          </w:p>
        </w:tc>
        <w:tc>
          <w:tcPr>
            <w:tcW w:w="1420" w:type="dxa"/>
            <w:vAlign w:val="bottom"/>
            <w:gridSpan w:val="2"/>
          </w:tcPr>
          <w:p>
            <w:pPr>
              <w:jc w:val="center"/>
              <w:ind w:right="260"/>
              <w:spacing w:after="0" w:line="14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140" w:type="dxa"/>
            <w:vAlign w:val="bottom"/>
          </w:tcPr>
          <w:p>
            <w:pPr>
              <w:spacing w:after="0"/>
              <w:rPr>
                <w:sz w:val="12"/>
                <w:szCs w:val="12"/>
                <w:color w:val="auto"/>
              </w:rPr>
            </w:pPr>
          </w:p>
        </w:tc>
        <w:tc>
          <w:tcPr>
            <w:tcW w:w="122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680" w:type="dxa"/>
            <w:vAlign w:val="bottom"/>
            <w:tcBorders>
              <w:bottom w:val="single" w:sz="8" w:color="auto"/>
            </w:tcBorders>
            <w:gridSpan w:val="4"/>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jc w:val="center"/>
              <w:ind w:right="19"/>
              <w:spacing w:after="0" w:line="142" w:lineRule="exact"/>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08"/>
        </w:trPr>
        <w:tc>
          <w:tcPr>
            <w:tcW w:w="2220" w:type="dxa"/>
            <w:vAlign w:val="bottom"/>
          </w:tcPr>
          <w:p>
            <w:pPr>
              <w:spacing w:after="0"/>
              <w:rPr>
                <w:sz w:val="18"/>
                <w:szCs w:val="18"/>
                <w:color w:val="auto"/>
              </w:rPr>
            </w:pPr>
          </w:p>
        </w:tc>
        <w:tc>
          <w:tcPr>
            <w:tcW w:w="8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0" w:type="dxa"/>
            <w:vAlign w:val="bottom"/>
          </w:tcPr>
          <w:p>
            <w:pPr>
              <w:spacing w:after="0"/>
              <w:rPr>
                <w:sz w:val="18"/>
                <w:szCs w:val="18"/>
                <w:color w:val="auto"/>
              </w:rPr>
            </w:pP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4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4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Income</w:t>
            </w:r>
          </w:p>
        </w:tc>
        <w:tc>
          <w:tcPr>
            <w:tcW w:w="140" w:type="dxa"/>
            <w:vAlign w:val="bottom"/>
          </w:tcPr>
          <w:p>
            <w:pPr>
              <w:spacing w:after="0"/>
              <w:rPr>
                <w:sz w:val="18"/>
                <w:szCs w:val="18"/>
                <w:color w:val="auto"/>
              </w:rPr>
            </w:pPr>
          </w:p>
        </w:tc>
        <w:tc>
          <w:tcPr>
            <w:tcW w:w="1220" w:type="dxa"/>
            <w:vAlign w:val="bottom"/>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86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0" w:type="dxa"/>
            <w:vAlign w:val="bottom"/>
          </w:tcPr>
          <w:p>
            <w:pPr>
              <w:spacing w:after="0"/>
              <w:rPr>
                <w:sz w:val="18"/>
                <w:szCs w:val="18"/>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20" w:type="dxa"/>
            <w:vAlign w:val="bottom"/>
          </w:tcPr>
          <w:p>
            <w:pPr>
              <w:spacing w:after="0"/>
              <w:rPr>
                <w:sz w:val="18"/>
                <w:szCs w:val="18"/>
                <w:color w:val="auto"/>
              </w:rPr>
            </w:pPr>
          </w:p>
        </w:tc>
        <w:tc>
          <w:tcPr>
            <w:tcW w:w="120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Equity (Deficit)</w:t>
            </w:r>
          </w:p>
        </w:tc>
        <w:tc>
          <w:tcPr>
            <w:tcW w:w="0" w:type="dxa"/>
            <w:vAlign w:val="bottom"/>
          </w:tcPr>
          <w:p>
            <w:pPr>
              <w:spacing w:after="0"/>
              <w:rPr>
                <w:sz w:val="1"/>
                <w:szCs w:val="1"/>
                <w:color w:val="auto"/>
              </w:rPr>
            </w:pPr>
          </w:p>
        </w:tc>
      </w:tr>
      <w:tr>
        <w:trPr>
          <w:trHeight w:val="211"/>
        </w:trPr>
        <w:tc>
          <w:tcPr>
            <w:tcW w:w="2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2021</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211.2</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2,500.0</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(1,181.6)</w:t>
            </w:r>
          </w:p>
        </w:tc>
        <w:tc>
          <w:tcPr>
            <w:tcW w:w="1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1,327.4</w:t>
            </w:r>
          </w:p>
        </w:tc>
        <w:tc>
          <w:tcPr>
            <w:tcW w:w="0" w:type="dxa"/>
            <w:vAlign w:val="bottom"/>
          </w:tcPr>
          <w:p>
            <w:pPr>
              <w:spacing w:after="0"/>
              <w:rPr>
                <w:sz w:val="1"/>
                <w:szCs w:val="1"/>
                <w:color w:val="auto"/>
              </w:rPr>
            </w:pPr>
          </w:p>
        </w:tc>
      </w:tr>
      <w:tr>
        <w:trPr>
          <w:trHeight w:val="162"/>
        </w:trPr>
        <w:tc>
          <w:tcPr>
            <w:tcW w:w="2220" w:type="dxa"/>
            <w:vAlign w:val="bottom"/>
          </w:tcPr>
          <w:p>
            <w:pPr>
              <w:ind w:left="120"/>
              <w:spacing w:after="0" w:line="162" w:lineRule="exact"/>
              <w:rPr>
                <w:sz w:val="20"/>
                <w:szCs w:val="20"/>
                <w:color w:val="auto"/>
              </w:rPr>
            </w:pPr>
            <w:r>
              <w:rPr>
                <w:rFonts w:ascii="Times New Roman" w:cs="Times New Roman" w:eastAsia="Times New Roman" w:hAnsi="Times New Roman"/>
                <w:sz w:val="16"/>
                <w:szCs w:val="16"/>
                <w:color w:val="auto"/>
              </w:rPr>
              <w:t>Exercise of stock options and</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220" w:type="dxa"/>
            <w:vAlign w:val="bottom"/>
            <w:gridSpan w:val="2"/>
            <w:vMerge w:val="restart"/>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820" w:type="dxa"/>
            <w:vAlign w:val="bottom"/>
            <w:gridSpan w:val="2"/>
            <w:vMerge w:val="restart"/>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0" w:type="dxa"/>
            <w:vAlign w:val="bottom"/>
          </w:tcPr>
          <w:p>
            <w:pPr>
              <w:spacing w:after="0"/>
              <w:rPr>
                <w:sz w:val="1"/>
                <w:szCs w:val="1"/>
                <w:color w:val="auto"/>
              </w:rPr>
            </w:pPr>
          </w:p>
        </w:tc>
      </w:tr>
      <w:tr>
        <w:trPr>
          <w:trHeight w:val="213"/>
        </w:trPr>
        <w:tc>
          <w:tcPr>
            <w:tcW w:w="22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release of stock awards</w:t>
            </w:r>
          </w:p>
        </w:tc>
        <w:tc>
          <w:tcPr>
            <w:tcW w:w="7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220" w:type="dxa"/>
            <w:vAlign w:val="bottom"/>
            <w:shd w:val="clear" w:color="auto" w:fill="CCEEFF"/>
          </w:tcPr>
          <w:p>
            <w:pPr>
              <w:ind w:left="120"/>
              <w:spacing w:after="0" w:line="165" w:lineRule="exact"/>
              <w:rPr>
                <w:sz w:val="20"/>
                <w:szCs w:val="20"/>
                <w:color w:val="auto"/>
              </w:rPr>
            </w:pPr>
            <w:r>
              <w:rPr>
                <w:rFonts w:ascii="Times New Roman" w:cs="Times New Roman" w:eastAsia="Times New Roman" w:hAnsi="Times New Roman"/>
                <w:sz w:val="16"/>
                <w:szCs w:val="16"/>
                <w:color w:val="auto"/>
              </w:rPr>
              <w:t>Issuance of shares from</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0" w:type="dxa"/>
            <w:vAlign w:val="bottom"/>
          </w:tcPr>
          <w:p>
            <w:pPr>
              <w:spacing w:after="0"/>
              <w:rPr>
                <w:sz w:val="1"/>
                <w:szCs w:val="1"/>
                <w:color w:val="auto"/>
              </w:rPr>
            </w:pPr>
          </w:p>
        </w:tc>
      </w:tr>
      <w:tr>
        <w:trPr>
          <w:trHeight w:val="216"/>
        </w:trPr>
        <w:tc>
          <w:tcPr>
            <w:tcW w:w="2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Employee Stock Purchase Plan</w:t>
            </w:r>
          </w:p>
        </w:tc>
        <w:tc>
          <w:tcPr>
            <w:tcW w:w="7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220" w:type="dxa"/>
            <w:vAlign w:val="bottom"/>
          </w:tcPr>
          <w:p>
            <w:pPr>
              <w:ind w:left="120"/>
              <w:spacing w:after="0" w:line="162" w:lineRule="exact"/>
              <w:rPr>
                <w:sz w:val="20"/>
                <w:szCs w:val="20"/>
                <w:color w:val="auto"/>
              </w:rPr>
            </w:pPr>
            <w:r>
              <w:rPr>
                <w:rFonts w:ascii="Times New Roman" w:cs="Times New Roman" w:eastAsia="Times New Roman" w:hAnsi="Times New Roman"/>
                <w:sz w:val="16"/>
                <w:szCs w:val="16"/>
                <w:color w:val="auto"/>
              </w:rPr>
              <w:t>Share-based compensation</w:t>
            </w:r>
          </w:p>
        </w:tc>
        <w:tc>
          <w:tcPr>
            <w:tcW w:w="8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8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69.5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220" w:type="dxa"/>
            <w:vAlign w:val="bottom"/>
            <w:gridSpan w:val="2"/>
            <w:vMerge w:val="restart"/>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820" w:type="dxa"/>
            <w:vAlign w:val="bottom"/>
            <w:gridSpan w:val="2"/>
            <w:vMerge w:val="restart"/>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69.5</w:t>
            </w:r>
          </w:p>
        </w:tc>
        <w:tc>
          <w:tcPr>
            <w:tcW w:w="0" w:type="dxa"/>
            <w:vAlign w:val="bottom"/>
          </w:tcPr>
          <w:p>
            <w:pPr>
              <w:spacing w:after="0"/>
              <w:rPr>
                <w:sz w:val="1"/>
                <w:szCs w:val="1"/>
                <w:color w:val="auto"/>
              </w:rPr>
            </w:pPr>
          </w:p>
        </w:tc>
      </w:tr>
      <w:tr>
        <w:trPr>
          <w:trHeight w:val="213"/>
        </w:trPr>
        <w:tc>
          <w:tcPr>
            <w:tcW w:w="22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expense</w:t>
            </w:r>
          </w:p>
        </w:tc>
        <w:tc>
          <w:tcPr>
            <w:tcW w:w="8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Net loss</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(804.8)</w:t>
            </w:r>
          </w:p>
        </w:tc>
        <w:tc>
          <w:tcPr>
            <w:tcW w:w="1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(804.8)</w:t>
            </w:r>
          </w:p>
        </w:tc>
        <w:tc>
          <w:tcPr>
            <w:tcW w:w="0" w:type="dxa"/>
            <w:vAlign w:val="bottom"/>
          </w:tcPr>
          <w:p>
            <w:pPr>
              <w:spacing w:after="0"/>
              <w:rPr>
                <w:sz w:val="1"/>
                <w:szCs w:val="1"/>
                <w:color w:val="auto"/>
              </w:rPr>
            </w:pPr>
          </w:p>
        </w:tc>
      </w:tr>
      <w:tr>
        <w:trPr>
          <w:trHeight w:val="213"/>
        </w:trPr>
        <w:tc>
          <w:tcPr>
            <w:tcW w:w="22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2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64.5</w:t>
            </w:r>
          </w:p>
        </w:tc>
        <w:tc>
          <w:tcPr>
            <w:tcW w:w="0" w:type="dxa"/>
            <w:vAlign w:val="bottom"/>
          </w:tcPr>
          <w:p>
            <w:pPr>
              <w:spacing w:after="0"/>
              <w:rPr>
                <w:sz w:val="1"/>
                <w:szCs w:val="1"/>
                <w:color w:val="auto"/>
              </w:rPr>
            </w:pPr>
          </w:p>
        </w:tc>
      </w:tr>
      <w:tr>
        <w:trPr>
          <w:trHeight w:val="219"/>
        </w:trPr>
        <w:tc>
          <w:tcPr>
            <w:tcW w:w="2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w:t>
            </w:r>
          </w:p>
        </w:tc>
        <w:tc>
          <w:tcPr>
            <w:tcW w:w="0" w:type="dxa"/>
            <w:vAlign w:val="bottom"/>
          </w:tcPr>
          <w:p>
            <w:pPr>
              <w:spacing w:after="0"/>
              <w:rPr>
                <w:sz w:val="1"/>
                <w:szCs w:val="1"/>
                <w:color w:val="auto"/>
              </w:rPr>
            </w:pPr>
          </w:p>
        </w:tc>
      </w:tr>
      <w:tr>
        <w:trPr>
          <w:trHeight w:val="183"/>
        </w:trPr>
        <w:tc>
          <w:tcPr>
            <w:tcW w:w="2220" w:type="dxa"/>
            <w:vAlign w:val="bottom"/>
          </w:tcPr>
          <w:p>
            <w:pPr>
              <w:ind w:left="20"/>
              <w:spacing w:after="0" w:line="183" w:lineRule="exact"/>
              <w:rPr>
                <w:sz w:val="20"/>
                <w:szCs w:val="20"/>
                <w:color w:val="auto"/>
              </w:rPr>
            </w:pPr>
            <w:r>
              <w:rPr>
                <w:rFonts w:ascii="Times New Roman" w:cs="Times New Roman" w:eastAsia="Times New Roman" w:hAnsi="Times New Roman"/>
                <w:sz w:val="16"/>
                <w:szCs w:val="16"/>
                <w:b w:val="1"/>
                <w:bCs w:val="1"/>
                <w:color w:val="auto"/>
              </w:rPr>
              <w:t>Balance at December 31, 2022</w:t>
            </w:r>
          </w:p>
        </w:tc>
        <w:tc>
          <w:tcPr>
            <w:tcW w:w="72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215.7</w:t>
            </w:r>
          </w:p>
        </w:tc>
        <w:tc>
          <w:tcPr>
            <w:tcW w:w="12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2.2</w:t>
            </w:r>
          </w:p>
        </w:tc>
        <w:tc>
          <w:tcPr>
            <w:tcW w:w="12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2,573.3</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ind w:left="20"/>
              <w:spacing w:after="0" w:line="183" w:lineRule="exact"/>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71.4</w:t>
            </w:r>
          </w:p>
        </w:tc>
        <w:tc>
          <w:tcPr>
            <w:tcW w:w="12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(1,986.4)</w:t>
            </w:r>
          </w:p>
        </w:tc>
        <w:tc>
          <w:tcPr>
            <w:tcW w:w="100" w:type="dxa"/>
            <w:vAlign w:val="bottom"/>
          </w:tcPr>
          <w:p>
            <w:pPr>
              <w:spacing w:after="0"/>
              <w:rPr>
                <w:sz w:val="15"/>
                <w:szCs w:val="15"/>
                <w:color w:val="auto"/>
              </w:rPr>
            </w:pPr>
          </w:p>
        </w:tc>
        <w:tc>
          <w:tcPr>
            <w:tcW w:w="74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3.1</w:t>
            </w:r>
          </w:p>
        </w:tc>
        <w:tc>
          <w:tcPr>
            <w:tcW w:w="12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(31.0)</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629.5</w:t>
            </w:r>
          </w:p>
        </w:tc>
        <w:tc>
          <w:tcPr>
            <w:tcW w:w="0" w:type="dxa"/>
            <w:vAlign w:val="bottom"/>
          </w:tcPr>
          <w:p>
            <w:pPr>
              <w:spacing w:after="0"/>
              <w:rPr>
                <w:sz w:val="1"/>
                <w:szCs w:val="1"/>
                <w:color w:val="auto"/>
              </w:rPr>
            </w:pPr>
          </w:p>
        </w:tc>
      </w:tr>
      <w:tr>
        <w:trPr>
          <w:trHeight w:val="20"/>
        </w:trPr>
        <w:tc>
          <w:tcPr>
            <w:tcW w:w="22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220" w:type="dxa"/>
            <w:vAlign w:val="bottom"/>
            <w:shd w:val="clear" w:color="auto" w:fill="CCEEFF"/>
          </w:tcPr>
          <w:p>
            <w:pPr>
              <w:ind w:left="120"/>
              <w:spacing w:after="0" w:line="129" w:lineRule="exact"/>
              <w:rPr>
                <w:sz w:val="20"/>
                <w:szCs w:val="20"/>
                <w:color w:val="auto"/>
              </w:rPr>
            </w:pPr>
            <w:r>
              <w:rPr>
                <w:rFonts w:ascii="Times New Roman" w:cs="Times New Roman" w:eastAsia="Times New Roman" w:hAnsi="Times New Roman"/>
                <w:sz w:val="14"/>
                <w:szCs w:val="14"/>
                <w:color w:val="auto"/>
              </w:rPr>
              <w:t>Exercise of stock options and</w:t>
            </w: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220" w:type="dxa"/>
            <w:vAlign w:val="bottom"/>
            <w:shd w:val="clear" w:color="auto" w:fill="CCEEFF"/>
          </w:tcPr>
          <w:p>
            <w:pPr>
              <w:ind w:left="120"/>
              <w:spacing w:after="0" w:line="162" w:lineRule="exact"/>
              <w:rPr>
                <w:sz w:val="20"/>
                <w:szCs w:val="20"/>
                <w:color w:val="auto"/>
              </w:rPr>
            </w:pPr>
            <w:r>
              <w:rPr>
                <w:rFonts w:ascii="Times New Roman" w:cs="Times New Roman" w:eastAsia="Times New Roman" w:hAnsi="Times New Roman"/>
                <w:sz w:val="16"/>
                <w:szCs w:val="16"/>
                <w:color w:val="auto"/>
              </w:rPr>
              <w:t>release of stock awards, net of</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16"/>
        </w:trPr>
        <w:tc>
          <w:tcPr>
            <w:tcW w:w="2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shares withheld</w:t>
            </w:r>
          </w:p>
        </w:tc>
        <w:tc>
          <w:tcPr>
            <w:tcW w:w="7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220" w:type="dxa"/>
            <w:vAlign w:val="bottom"/>
          </w:tcPr>
          <w:p>
            <w:pPr>
              <w:ind w:left="120"/>
              <w:spacing w:after="0" w:line="162" w:lineRule="exact"/>
              <w:rPr>
                <w:sz w:val="20"/>
                <w:szCs w:val="20"/>
                <w:color w:val="auto"/>
              </w:rPr>
            </w:pPr>
            <w:r>
              <w:rPr>
                <w:rFonts w:ascii="Times New Roman" w:cs="Times New Roman" w:eastAsia="Times New Roman" w:hAnsi="Times New Roman"/>
                <w:sz w:val="16"/>
                <w:szCs w:val="16"/>
                <w:color w:val="auto"/>
              </w:rPr>
              <w:t>Issuance of shares from</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220" w:type="dxa"/>
            <w:vAlign w:val="bottom"/>
            <w:gridSpan w:val="2"/>
            <w:vMerge w:val="restart"/>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820" w:type="dxa"/>
            <w:vAlign w:val="bottom"/>
            <w:gridSpan w:val="2"/>
            <w:vMerge w:val="restart"/>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13"/>
        </w:trPr>
        <w:tc>
          <w:tcPr>
            <w:tcW w:w="22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Employee Stock Purchase Plan</w:t>
            </w:r>
          </w:p>
        </w:tc>
        <w:tc>
          <w:tcPr>
            <w:tcW w:w="7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220" w:type="dxa"/>
            <w:vAlign w:val="bottom"/>
            <w:shd w:val="clear" w:color="auto" w:fill="CCEEFF"/>
          </w:tcPr>
          <w:p>
            <w:pPr>
              <w:ind w:left="120"/>
              <w:spacing w:after="0" w:line="165" w:lineRule="exact"/>
              <w:rPr>
                <w:sz w:val="20"/>
                <w:szCs w:val="20"/>
                <w:color w:val="auto"/>
              </w:rPr>
            </w:pPr>
            <w:r>
              <w:rPr>
                <w:rFonts w:ascii="Times New Roman" w:cs="Times New Roman" w:eastAsia="Times New Roman" w:hAnsi="Times New Roman"/>
                <w:sz w:val="16"/>
                <w:szCs w:val="16"/>
                <w:color w:val="auto"/>
              </w:rPr>
              <w:t>Share-based compensation</w:t>
            </w: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20" w:type="dxa"/>
            <w:vAlign w:val="bottom"/>
            <w:shd w:val="clear" w:color="auto" w:fill="CCEEFF"/>
          </w:tcPr>
          <w:p>
            <w:pPr>
              <w:ind w:left="120"/>
              <w:spacing w:after="0" w:line="162" w:lineRule="exact"/>
              <w:rPr>
                <w:sz w:val="20"/>
                <w:szCs w:val="20"/>
                <w:color w:val="auto"/>
              </w:rPr>
            </w:pPr>
            <w:r>
              <w:rPr>
                <w:rFonts w:ascii="Times New Roman" w:cs="Times New Roman" w:eastAsia="Times New Roman" w:hAnsi="Times New Roman"/>
                <w:sz w:val="16"/>
                <w:szCs w:val="16"/>
                <w:color w:val="auto"/>
              </w:rPr>
              <w:t>expense for equity classified</w:t>
            </w:r>
          </w:p>
        </w:tc>
        <w:tc>
          <w:tcPr>
            <w:tcW w:w="8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64.6</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64.6</w:t>
            </w:r>
          </w:p>
        </w:tc>
        <w:tc>
          <w:tcPr>
            <w:tcW w:w="0" w:type="dxa"/>
            <w:vAlign w:val="bottom"/>
          </w:tcPr>
          <w:p>
            <w:pPr>
              <w:spacing w:after="0"/>
              <w:rPr>
                <w:sz w:val="1"/>
                <w:szCs w:val="1"/>
                <w:color w:val="auto"/>
              </w:rPr>
            </w:pPr>
          </w:p>
        </w:tc>
      </w:tr>
      <w:tr>
        <w:trPr>
          <w:trHeight w:val="216"/>
        </w:trPr>
        <w:tc>
          <w:tcPr>
            <w:tcW w:w="2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awards</w:t>
            </w:r>
          </w:p>
        </w:tc>
        <w:tc>
          <w:tcPr>
            <w:tcW w:w="8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2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loss</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(837.8)</w:t>
            </w:r>
          </w:p>
        </w:tc>
        <w:tc>
          <w:tcPr>
            <w:tcW w:w="10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2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(837.8)</w:t>
            </w:r>
          </w:p>
        </w:tc>
        <w:tc>
          <w:tcPr>
            <w:tcW w:w="0" w:type="dxa"/>
            <w:vAlign w:val="bottom"/>
          </w:tcPr>
          <w:p>
            <w:pPr>
              <w:spacing w:after="0"/>
              <w:rPr>
                <w:sz w:val="1"/>
                <w:szCs w:val="1"/>
                <w:color w:val="auto"/>
              </w:rPr>
            </w:pPr>
          </w:p>
        </w:tc>
      </w:tr>
      <w:tr>
        <w:trPr>
          <w:trHeight w:val="219"/>
        </w:trPr>
        <w:tc>
          <w:tcPr>
            <w:tcW w:w="2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0" w:type="dxa"/>
            <w:vAlign w:val="bottom"/>
          </w:tcPr>
          <w:p>
            <w:pPr>
              <w:spacing w:after="0"/>
              <w:rPr>
                <w:sz w:val="1"/>
                <w:szCs w:val="1"/>
                <w:color w:val="auto"/>
              </w:rPr>
            </w:pPr>
          </w:p>
        </w:tc>
      </w:tr>
      <w:tr>
        <w:trPr>
          <w:trHeight w:val="183"/>
        </w:trPr>
        <w:tc>
          <w:tcPr>
            <w:tcW w:w="2220" w:type="dxa"/>
            <w:vAlign w:val="bottom"/>
          </w:tcPr>
          <w:p>
            <w:pPr>
              <w:ind w:left="20"/>
              <w:spacing w:after="0" w:line="183" w:lineRule="exact"/>
              <w:rPr>
                <w:sz w:val="20"/>
                <w:szCs w:val="20"/>
                <w:color w:val="auto"/>
              </w:rPr>
            </w:pPr>
            <w:r>
              <w:rPr>
                <w:rFonts w:ascii="Times New Roman" w:cs="Times New Roman" w:eastAsia="Times New Roman" w:hAnsi="Times New Roman"/>
                <w:sz w:val="16"/>
                <w:szCs w:val="16"/>
                <w:b w:val="1"/>
                <w:bCs w:val="1"/>
                <w:color w:val="auto"/>
              </w:rPr>
              <w:t>Balance at December 31, 2023</w:t>
            </w:r>
          </w:p>
        </w:tc>
        <w:tc>
          <w:tcPr>
            <w:tcW w:w="72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220.5</w:t>
            </w:r>
          </w:p>
        </w:tc>
        <w:tc>
          <w:tcPr>
            <w:tcW w:w="12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2.2</w:t>
            </w:r>
          </w:p>
        </w:tc>
        <w:tc>
          <w:tcPr>
            <w:tcW w:w="12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2,638.2</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ind w:left="20"/>
              <w:spacing w:after="0" w:line="183" w:lineRule="exact"/>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60.3</w:t>
            </w:r>
          </w:p>
        </w:tc>
        <w:tc>
          <w:tcPr>
            <w:tcW w:w="12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(2,824.2)</w:t>
            </w:r>
          </w:p>
        </w:tc>
        <w:tc>
          <w:tcPr>
            <w:tcW w:w="100" w:type="dxa"/>
            <w:vAlign w:val="bottom"/>
          </w:tcPr>
          <w:p>
            <w:pPr>
              <w:spacing w:after="0"/>
              <w:rPr>
                <w:sz w:val="15"/>
                <w:szCs w:val="15"/>
                <w:color w:val="auto"/>
              </w:rPr>
            </w:pPr>
          </w:p>
        </w:tc>
        <w:tc>
          <w:tcPr>
            <w:tcW w:w="74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3.1</w:t>
            </w:r>
          </w:p>
        </w:tc>
        <w:tc>
          <w:tcPr>
            <w:tcW w:w="12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(31.0)</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(154.5)</w:t>
            </w:r>
          </w:p>
        </w:tc>
        <w:tc>
          <w:tcPr>
            <w:tcW w:w="0" w:type="dxa"/>
            <w:vAlign w:val="bottom"/>
          </w:tcPr>
          <w:p>
            <w:pPr>
              <w:spacing w:after="0"/>
              <w:rPr>
                <w:sz w:val="1"/>
                <w:szCs w:val="1"/>
                <w:color w:val="auto"/>
              </w:rPr>
            </w:pPr>
          </w:p>
        </w:tc>
      </w:tr>
      <w:tr>
        <w:trPr>
          <w:trHeight w:val="20"/>
        </w:trPr>
        <w:tc>
          <w:tcPr>
            <w:tcW w:w="22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220" w:type="dxa"/>
            <w:vAlign w:val="bottom"/>
            <w:shd w:val="clear" w:color="auto" w:fill="CCEEFF"/>
          </w:tcPr>
          <w:p>
            <w:pPr>
              <w:ind w:left="120"/>
              <w:spacing w:after="0" w:line="129" w:lineRule="exact"/>
              <w:rPr>
                <w:sz w:val="20"/>
                <w:szCs w:val="20"/>
                <w:color w:val="auto"/>
              </w:rPr>
            </w:pPr>
            <w:r>
              <w:rPr>
                <w:rFonts w:ascii="Times New Roman" w:cs="Times New Roman" w:eastAsia="Times New Roman" w:hAnsi="Times New Roman"/>
                <w:sz w:val="14"/>
                <w:szCs w:val="14"/>
                <w:color w:val="auto"/>
              </w:rPr>
              <w:t>Exercise of stock options and</w:t>
            </w: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220" w:type="dxa"/>
            <w:vAlign w:val="bottom"/>
            <w:shd w:val="clear" w:color="auto" w:fill="CCEEFF"/>
          </w:tcPr>
          <w:p>
            <w:pPr>
              <w:ind w:left="120"/>
              <w:spacing w:after="0" w:line="162" w:lineRule="exact"/>
              <w:rPr>
                <w:sz w:val="20"/>
                <w:szCs w:val="20"/>
                <w:color w:val="auto"/>
              </w:rPr>
            </w:pPr>
            <w:r>
              <w:rPr>
                <w:rFonts w:ascii="Times New Roman" w:cs="Times New Roman" w:eastAsia="Times New Roman" w:hAnsi="Times New Roman"/>
                <w:sz w:val="16"/>
                <w:szCs w:val="16"/>
                <w:color w:val="auto"/>
              </w:rPr>
              <w:t>release of stock awards, net of</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0" w:type="dxa"/>
            <w:vAlign w:val="bottom"/>
          </w:tcPr>
          <w:p>
            <w:pPr>
              <w:spacing w:after="0"/>
              <w:rPr>
                <w:sz w:val="1"/>
                <w:szCs w:val="1"/>
                <w:color w:val="auto"/>
              </w:rPr>
            </w:pPr>
          </w:p>
        </w:tc>
      </w:tr>
      <w:tr>
        <w:trPr>
          <w:trHeight w:val="216"/>
        </w:trPr>
        <w:tc>
          <w:tcPr>
            <w:tcW w:w="2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shares withheld</w:t>
            </w:r>
          </w:p>
        </w:tc>
        <w:tc>
          <w:tcPr>
            <w:tcW w:w="7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220" w:type="dxa"/>
            <w:vAlign w:val="bottom"/>
          </w:tcPr>
          <w:p>
            <w:pPr>
              <w:ind w:left="120"/>
              <w:spacing w:after="0" w:line="162" w:lineRule="exact"/>
              <w:rPr>
                <w:sz w:val="20"/>
                <w:szCs w:val="20"/>
                <w:color w:val="auto"/>
              </w:rPr>
            </w:pPr>
            <w:r>
              <w:rPr>
                <w:rFonts w:ascii="Times New Roman" w:cs="Times New Roman" w:eastAsia="Times New Roman" w:hAnsi="Times New Roman"/>
                <w:sz w:val="16"/>
                <w:szCs w:val="16"/>
                <w:color w:val="auto"/>
              </w:rPr>
              <w:t>Issuance of shares from</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220" w:type="dxa"/>
            <w:vAlign w:val="bottom"/>
            <w:gridSpan w:val="2"/>
            <w:vMerge w:val="restart"/>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820" w:type="dxa"/>
            <w:vAlign w:val="bottom"/>
            <w:gridSpan w:val="2"/>
            <w:vMerge w:val="restart"/>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0" w:type="dxa"/>
            <w:vAlign w:val="bottom"/>
          </w:tcPr>
          <w:p>
            <w:pPr>
              <w:spacing w:after="0"/>
              <w:rPr>
                <w:sz w:val="1"/>
                <w:szCs w:val="1"/>
                <w:color w:val="auto"/>
              </w:rPr>
            </w:pPr>
          </w:p>
        </w:tc>
      </w:tr>
      <w:tr>
        <w:trPr>
          <w:trHeight w:val="213"/>
        </w:trPr>
        <w:tc>
          <w:tcPr>
            <w:tcW w:w="22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Employee Stock Purchase Plan</w:t>
            </w:r>
          </w:p>
        </w:tc>
        <w:tc>
          <w:tcPr>
            <w:tcW w:w="7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220" w:type="dxa"/>
            <w:vAlign w:val="bottom"/>
            <w:shd w:val="clear" w:color="auto" w:fill="CCEEFF"/>
          </w:tcPr>
          <w:p>
            <w:pPr>
              <w:ind w:left="120"/>
              <w:spacing w:after="0" w:line="165" w:lineRule="exact"/>
              <w:rPr>
                <w:sz w:val="20"/>
                <w:szCs w:val="20"/>
                <w:color w:val="auto"/>
              </w:rPr>
            </w:pPr>
            <w:r>
              <w:rPr>
                <w:rFonts w:ascii="Times New Roman" w:cs="Times New Roman" w:eastAsia="Times New Roman" w:hAnsi="Times New Roman"/>
                <w:sz w:val="16"/>
                <w:szCs w:val="16"/>
                <w:color w:val="auto"/>
              </w:rPr>
              <w:t>Share-based compensation</w:t>
            </w: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20" w:type="dxa"/>
            <w:vAlign w:val="bottom"/>
            <w:shd w:val="clear" w:color="auto" w:fill="CCEEFF"/>
          </w:tcPr>
          <w:p>
            <w:pPr>
              <w:ind w:left="120"/>
              <w:spacing w:after="0" w:line="162" w:lineRule="exact"/>
              <w:rPr>
                <w:sz w:val="20"/>
                <w:szCs w:val="20"/>
                <w:color w:val="auto"/>
              </w:rPr>
            </w:pPr>
            <w:r>
              <w:rPr>
                <w:rFonts w:ascii="Times New Roman" w:cs="Times New Roman" w:eastAsia="Times New Roman" w:hAnsi="Times New Roman"/>
                <w:sz w:val="16"/>
                <w:szCs w:val="16"/>
                <w:color w:val="auto"/>
              </w:rPr>
              <w:t>expense for equity classified</w:t>
            </w:r>
          </w:p>
        </w:tc>
        <w:tc>
          <w:tcPr>
            <w:tcW w:w="8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48.1</w:t>
            </w:r>
          </w:p>
        </w:tc>
        <w:tc>
          <w:tcPr>
            <w:tcW w:w="0" w:type="dxa"/>
            <w:vAlign w:val="bottom"/>
          </w:tcPr>
          <w:p>
            <w:pPr>
              <w:spacing w:after="0"/>
              <w:rPr>
                <w:sz w:val="1"/>
                <w:szCs w:val="1"/>
                <w:color w:val="auto"/>
              </w:rPr>
            </w:pPr>
          </w:p>
        </w:tc>
      </w:tr>
      <w:tr>
        <w:trPr>
          <w:trHeight w:val="216"/>
        </w:trPr>
        <w:tc>
          <w:tcPr>
            <w:tcW w:w="2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awards</w:t>
            </w:r>
          </w:p>
        </w:tc>
        <w:tc>
          <w:tcPr>
            <w:tcW w:w="8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2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loss</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(858.2)</w:t>
            </w:r>
          </w:p>
        </w:tc>
        <w:tc>
          <w:tcPr>
            <w:tcW w:w="10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2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(858.2)</w:t>
            </w:r>
          </w:p>
        </w:tc>
        <w:tc>
          <w:tcPr>
            <w:tcW w:w="0" w:type="dxa"/>
            <w:vAlign w:val="bottom"/>
          </w:tcPr>
          <w:p>
            <w:pPr>
              <w:spacing w:after="0"/>
              <w:rPr>
                <w:sz w:val="1"/>
                <w:szCs w:val="1"/>
                <w:color w:val="auto"/>
              </w:rPr>
            </w:pPr>
          </w:p>
        </w:tc>
      </w:tr>
      <w:tr>
        <w:trPr>
          <w:trHeight w:val="219"/>
        </w:trPr>
        <w:tc>
          <w:tcPr>
            <w:tcW w:w="2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w:t>
            </w:r>
          </w:p>
        </w:tc>
        <w:tc>
          <w:tcPr>
            <w:tcW w:w="0" w:type="dxa"/>
            <w:vAlign w:val="bottom"/>
          </w:tcPr>
          <w:p>
            <w:pPr>
              <w:spacing w:after="0"/>
              <w:rPr>
                <w:sz w:val="1"/>
                <w:szCs w:val="1"/>
                <w:color w:val="auto"/>
              </w:rPr>
            </w:pPr>
          </w:p>
        </w:tc>
      </w:tr>
      <w:tr>
        <w:trPr>
          <w:trHeight w:val="210"/>
        </w:trPr>
        <w:tc>
          <w:tcPr>
            <w:tcW w:w="22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2024</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232.2</w:t>
            </w: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2,682.8</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24.1</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(3,682.4)</w:t>
            </w:r>
          </w:p>
        </w:tc>
        <w:tc>
          <w:tcPr>
            <w:tcW w:w="10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(31.0)</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(1,004.2)</w:t>
            </w: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- 99 -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RACKSPACE TECHNOLOGY,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Company Overview, Basis of Presentation, and Summary of Significant Accounting Policies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Nature of Operations and Basis of Presentation</w:t>
      </w:r>
    </w:p>
    <w:p>
      <w:pPr>
        <w:spacing w:after="0" w:line="256" w:lineRule="exact"/>
        <w:rPr>
          <w:sz w:val="20"/>
          <w:szCs w:val="20"/>
          <w:color w:val="auto"/>
        </w:rPr>
      </w:pPr>
    </w:p>
    <w:p>
      <w:pPr>
        <w:jc w:val="both"/>
        <w:ind w:right="80" w:firstLine="486"/>
        <w:spacing w:after="0" w:line="261" w:lineRule="auto"/>
        <w:rPr>
          <w:sz w:val="20"/>
          <w:szCs w:val="20"/>
          <w:color w:val="auto"/>
        </w:rPr>
      </w:pPr>
      <w:r>
        <w:rPr>
          <w:rFonts w:ascii="Times New Roman" w:cs="Times New Roman" w:eastAsia="Times New Roman" w:hAnsi="Times New Roman"/>
          <w:sz w:val="18"/>
          <w:szCs w:val="18"/>
          <w:color w:val="auto"/>
        </w:rPr>
        <w:t>Rackspace Technology is a Delaware corporation controlled by investment funds affiliated with Apollo. Rackspace Technology was formed on July 21, 2016 but had no assets, liabilities or operating results until November 3, 2016 when Rackspace Hosting (now named Rackspace Technology Global), a global provider of modern information technology-as-a-service, was acquired by Inception Parent, a wholly-owned entity indirectly owned by Rackspace Technology.</w:t>
      </w:r>
    </w:p>
    <w:p>
      <w:pPr>
        <w:spacing w:after="0" w:line="207"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Rackspace Technology Global commenced operations in 1998 as a limited partnership, and was incorporated in Delaware in March 2000. Rackspace Technology serves as the holding company for Rackspace Technology Global and does not engage in any material business or operations other than those related to its indirect ownership of the capital stock of Rackspace Technology Global and its subsidiaries or business or operations otherwise customarily undertaken by a holding company.</w:t>
      </w:r>
    </w:p>
    <w:p>
      <w:pPr>
        <w:spacing w:after="0" w:line="207" w:lineRule="exact"/>
        <w:rPr>
          <w:sz w:val="20"/>
          <w:szCs w:val="20"/>
          <w:color w:val="auto"/>
        </w:rPr>
      </w:pPr>
    </w:p>
    <w:p>
      <w:pPr>
        <w:ind w:right="340" w:firstLine="486"/>
        <w:spacing w:after="0" w:line="282" w:lineRule="auto"/>
        <w:rPr>
          <w:sz w:val="20"/>
          <w:szCs w:val="20"/>
          <w:color w:val="auto"/>
        </w:rPr>
      </w:pPr>
      <w:r>
        <w:rPr>
          <w:rFonts w:ascii="Times New Roman" w:cs="Times New Roman" w:eastAsia="Times New Roman" w:hAnsi="Times New Roman"/>
          <w:sz w:val="18"/>
          <w:szCs w:val="18"/>
          <w:color w:val="auto"/>
        </w:rPr>
        <w:t>For ease of reference, the terms "we," "our company," "the company," "us," or "our" as used in this report refer to Rackspace Technology and its consolidated subsidiaries.</w:t>
      </w:r>
    </w:p>
    <w:p>
      <w:pPr>
        <w:spacing w:after="0" w:line="189"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On January 18, 2022, we acquired 100% of Just Analytics, a leading provider of cloud-based data, analytics, and AI services based in the APJ region. The acquisition was completed for $7.7 million in cash consideration, net of cash acquired, together with future deferred payments that are considered post-combination compensation costs and will be recognized over the next three years. The acquisition of Just Analytics was not material to the consolidated financial statements.</w:t>
      </w:r>
    </w:p>
    <w:p>
      <w:pPr>
        <w:spacing w:after="0" w:line="207" w:lineRule="exact"/>
        <w:rPr>
          <w:sz w:val="20"/>
          <w:szCs w:val="20"/>
          <w:color w:val="auto"/>
        </w:rPr>
      </w:pPr>
    </w:p>
    <w:p>
      <w:pPr>
        <w:jc w:val="both"/>
        <w:ind w:right="160" w:firstLine="486"/>
        <w:spacing w:after="0" w:line="266" w:lineRule="auto"/>
        <w:rPr>
          <w:sz w:val="20"/>
          <w:szCs w:val="20"/>
          <w:color w:val="auto"/>
        </w:rPr>
      </w:pPr>
      <w:r>
        <w:rPr>
          <w:rFonts w:ascii="Times New Roman" w:cs="Times New Roman" w:eastAsia="Times New Roman" w:hAnsi="Times New Roman"/>
          <w:sz w:val="18"/>
          <w:szCs w:val="18"/>
          <w:color w:val="auto"/>
        </w:rPr>
        <w:t>Effective on January 1, 2023, we reorganized around a two-business unit operating model, Public Cloud and Private Cloud. This two-business unit operating model ensures increased focus, delivery, and service quality for our customers. Beginning in 2023, we changed our segment reporting to reflect this reorganization under two reportable segments: Public Cloud and Private Cloud. See Note 16, "Segment Reporting" for more information.</w:t>
      </w:r>
    </w:p>
    <w:p>
      <w:pPr>
        <w:spacing w:after="0" w:line="20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Rackspace Technology and our wholly-owned subsidiaries.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Intercompany transactions and balances have been eliminated in consolidation.</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GAAP requires us to make estimates and assumptions that affect the reported amounts of assets and liabilities, revenue and expenses, and related disclosures of contingent assets and liabilities in the consolidated financial statements and accompanying notes. On an ongoing basis, we evaluate our estimates, including those related to the allowance for credit losses, useful lives of property, equipment and software, software capitalization, incremental borrowing rates for lease liability measurement, fair values of intangible assets and reporting units, useful lives of intangible assets, share-based compensation, contingencies, and income taxes, among others. We base our estimates on historical experience and on various other assumptions that we believe to be reasonable, the results of which form the basis for making judgments about the carrying values of assets and liabilities. Actual results could differ from our estimates.</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- 100 -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Overview</w:t>
      </w:r>
    </w:p>
    <w:p>
      <w:pPr>
        <w:spacing w:after="0" w:line="256" w:lineRule="exact"/>
        <w:rPr>
          <w:sz w:val="20"/>
          <w:szCs w:val="20"/>
          <w:color w:val="auto"/>
        </w:rPr>
      </w:pPr>
    </w:p>
    <w:p>
      <w:pPr>
        <w:ind w:right="60" w:firstLine="486"/>
        <w:spacing w:after="0" w:line="253" w:lineRule="auto"/>
        <w:rPr>
          <w:sz w:val="20"/>
          <w:szCs w:val="20"/>
          <w:color w:val="auto"/>
        </w:rPr>
      </w:pPr>
      <w:r>
        <w:rPr>
          <w:rFonts w:ascii="Times New Roman" w:cs="Times New Roman" w:eastAsia="Times New Roman" w:hAnsi="Times New Roman"/>
          <w:sz w:val="18"/>
          <w:szCs w:val="18"/>
          <w:color w:val="auto"/>
        </w:rPr>
        <w:t>We are a highly leveraged company. As of December 31, 2024, we had $2,449.4 million aggregate principal amount outstanding under our debt instruments, which are comprised of the FLFO Term Loan Facility, the FLSO Term Loan Facility, the Term Loan Facility, the 3.50% FLSO Senior Secured Notes, the 5.375% Senior Notes, and the 3.50% Senior Secured Notes. We primarily finance our operations and capital expenditures with internally-generated cash from operations and hardware leases, and if necessary, borrowings under the New Revolving Credit Facility. As of December 31, 2024, the New Revolving Credit Facility provided for up to $375.0 million of borrowings, none of which was drawn and outstanding as of December 31, 2024. Our primary uses of cash are working capital requirements, debt service requirements and capital expenditures. Based on our current level of operations and available cash and cash equivalents of $144.0 million as of December 31, 2024, we believe our sources will provide sufficient liquidity over at least the next twelve months. We cannot provide assurance, however, that our business will generate sufficient cash flows from operations or that future borrowings will be available to us under the New Revolving Credit Facility or from other sources in an amount sufficient to enable us to pay our indebtedness or to fund our other liquidity needs. Our ability to do so depends on our ability to deliver on our strategic objectives and prevailing economic conditions and other factors, many of which are beyond our control.</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Restricted Cash</w:t>
      </w:r>
    </w:p>
    <w:p>
      <w:pPr>
        <w:spacing w:after="0" w:line="256" w:lineRule="exact"/>
        <w:rPr>
          <w:sz w:val="20"/>
          <w:szCs w:val="20"/>
          <w:color w:val="auto"/>
        </w:rPr>
      </w:pPr>
    </w:p>
    <w:p>
      <w:pPr>
        <w:ind w:right="300" w:firstLine="486"/>
        <w:spacing w:after="0" w:line="282" w:lineRule="auto"/>
        <w:rPr>
          <w:sz w:val="20"/>
          <w:szCs w:val="20"/>
          <w:color w:val="auto"/>
        </w:rPr>
      </w:pPr>
      <w:r>
        <w:rPr>
          <w:rFonts w:ascii="Times New Roman" w:cs="Times New Roman" w:eastAsia="Times New Roman" w:hAnsi="Times New Roman"/>
          <w:sz w:val="18"/>
          <w:szCs w:val="18"/>
          <w:color w:val="auto"/>
        </w:rPr>
        <w:t>We consider all highly liquid investments, such as money market funds, with original maturities of three months or less when acquired to be cash equivalents.</w:t>
      </w:r>
    </w:p>
    <w:p>
      <w:pPr>
        <w:spacing w:after="0" w:line="189" w:lineRule="exact"/>
        <w:rPr>
          <w:sz w:val="20"/>
          <w:szCs w:val="20"/>
          <w:color w:val="auto"/>
        </w:rPr>
      </w:pPr>
    </w:p>
    <w:p>
      <w:pPr>
        <w:ind w:right="100" w:firstLine="486"/>
        <w:spacing w:after="0" w:line="282" w:lineRule="auto"/>
        <w:rPr>
          <w:sz w:val="20"/>
          <w:szCs w:val="20"/>
          <w:color w:val="auto"/>
        </w:rPr>
      </w:pPr>
      <w:r>
        <w:rPr>
          <w:rFonts w:ascii="Times New Roman" w:cs="Times New Roman" w:eastAsia="Times New Roman" w:hAnsi="Times New Roman"/>
          <w:sz w:val="18"/>
          <w:szCs w:val="18"/>
          <w:color w:val="auto"/>
        </w:rPr>
        <w:t>Restricted cash, included in "Other non-current assets" in our Consolidated Balance Sheets, represents collateral for letters of credit. Restricted cash was $2.9 million and $3.0 million as of December 31, 2023 and 2024,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Equipment and Software and Definite-Lived Intangible Assets</w:t>
      </w:r>
    </w:p>
    <w:p>
      <w:pPr>
        <w:spacing w:after="0" w:line="256"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color w:val="auto"/>
        </w:rPr>
        <w:t>Property, equipment and software is stated at cost, net of accumulated depreciation and amortization. Included in property, equipment and software are capitalized costs related to computer software developed or acquired for internal use. Capitalized computer software costs consist of purchased software licenses, implementation costs, and salaries and related compensation costs of employees and consultants for certain projects that qualify for capitalization. For cloud computing arrangements that include a software license, the software license element of the arrangement is accounted for in a manner consistent with the acquisition of other software licenses. For cloud computing arrangements that do not include a software license, the arrangement is accounted for as a service contract and is expensed as the services are provided.</w:t>
      </w:r>
    </w:p>
    <w:p>
      <w:pPr>
        <w:spacing w:after="0" w:line="214" w:lineRule="exact"/>
        <w:rPr>
          <w:sz w:val="20"/>
          <w:szCs w:val="20"/>
          <w:color w:val="auto"/>
        </w:rPr>
      </w:pPr>
    </w:p>
    <w:p>
      <w:pPr>
        <w:jc w:val="both"/>
        <w:ind w:right="180" w:firstLine="486"/>
        <w:spacing w:after="0" w:line="289" w:lineRule="auto"/>
        <w:rPr>
          <w:sz w:val="20"/>
          <w:szCs w:val="20"/>
          <w:color w:val="auto"/>
        </w:rPr>
      </w:pPr>
      <w:r>
        <w:rPr>
          <w:rFonts w:ascii="Times New Roman" w:cs="Times New Roman" w:eastAsia="Times New Roman" w:hAnsi="Times New Roman"/>
          <w:sz w:val="17"/>
          <w:szCs w:val="17"/>
          <w:color w:val="auto"/>
        </w:rPr>
        <w:t>Replacements and major improvements to property, equipment and software are capitalized, while maintenance and repairs are charged to expense as incurred. We also capitalize interest costs incurred during the acquisition, development and construction of certain assets until the asset is ready for its intended use. We capitalized interest of $0.4 million, $0.8 million and $0.9 million for the years ended December 31, 2022, 2023 and 2024, respectively.</w:t>
      </w:r>
    </w:p>
    <w:p>
      <w:pPr>
        <w:spacing w:after="0" w:line="185" w:lineRule="exact"/>
        <w:rPr>
          <w:sz w:val="20"/>
          <w:szCs w:val="20"/>
          <w:color w:val="auto"/>
        </w:rPr>
      </w:pPr>
    </w:p>
    <w:p>
      <w:pPr>
        <w:jc w:val="both"/>
        <w:ind w:right="420" w:firstLine="486"/>
        <w:spacing w:after="0" w:line="266" w:lineRule="auto"/>
        <w:rPr>
          <w:sz w:val="20"/>
          <w:szCs w:val="20"/>
          <w:color w:val="auto"/>
        </w:rPr>
      </w:pPr>
      <w:r>
        <w:rPr>
          <w:rFonts w:ascii="Times New Roman" w:cs="Times New Roman" w:eastAsia="Times New Roman" w:hAnsi="Times New Roman"/>
          <w:sz w:val="18"/>
          <w:szCs w:val="18"/>
          <w:color w:val="auto"/>
        </w:rPr>
        <w:t>Property, equipment and software is depreciated on a straight-line basis over the estimated useful life of the asset. Leasehold improvements are depreciated over the shorter of their estimated useful lives or the remaining lease term. Depreciation expense is recorded within "Cost of revenue" and "Selling, general and administrative expenses" on our Consolidated Statements of Comprehensive Loss.</w:t>
      </w:r>
    </w:p>
    <w:p>
      <w:pPr>
        <w:spacing w:after="0" w:line="20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shows the estimated useful lives used for property, equipment and software:</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0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Classification</w:t>
            </w:r>
          </w:p>
        </w:tc>
        <w:tc>
          <w:tcPr>
            <w:tcW w:w="224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Estimated Useful Lives</w:t>
            </w:r>
          </w:p>
        </w:tc>
      </w:tr>
      <w:tr>
        <w:trPr>
          <w:trHeight w:val="213"/>
        </w:trPr>
        <w:tc>
          <w:tcPr>
            <w:tcW w:w="89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Computers and equipment</w:t>
            </w:r>
          </w:p>
        </w:tc>
        <w:tc>
          <w:tcPr>
            <w:tcW w:w="100" w:type="dxa"/>
            <w:vAlign w:val="bottom"/>
            <w:tcBorders>
              <w:top w:val="single" w:sz="8" w:color="CCEEFF"/>
            </w:tcBorders>
            <w:shd w:val="clear" w:color="auto" w:fill="CCEEFF"/>
          </w:tcPr>
          <w:p>
            <w:pPr>
              <w:spacing w:after="0"/>
              <w:rPr>
                <w:sz w:val="18"/>
                <w:szCs w:val="18"/>
                <w:color w:val="auto"/>
              </w:rPr>
            </w:pPr>
          </w:p>
        </w:tc>
        <w:tc>
          <w:tcPr>
            <w:tcW w:w="2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 to 7 years</w:t>
            </w:r>
          </w:p>
        </w:tc>
      </w:tr>
      <w:tr>
        <w:trPr>
          <w:trHeight w:val="213"/>
        </w:trPr>
        <w:tc>
          <w:tcPr>
            <w:tcW w:w="90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Software</w:t>
            </w:r>
          </w:p>
        </w:tc>
        <w:tc>
          <w:tcPr>
            <w:tcW w:w="2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 years</w:t>
            </w:r>
          </w:p>
        </w:tc>
      </w:tr>
      <w:tr>
        <w:trPr>
          <w:trHeight w:val="219"/>
        </w:trPr>
        <w:tc>
          <w:tcPr>
            <w:tcW w:w="9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Furniture and fixtures</w:t>
            </w: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 years</w:t>
            </w:r>
          </w:p>
        </w:tc>
      </w:tr>
      <w:tr>
        <w:trPr>
          <w:trHeight w:val="210"/>
        </w:trPr>
        <w:tc>
          <w:tcPr>
            <w:tcW w:w="90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Buildings and leasehold improvements</w:t>
            </w:r>
          </w:p>
        </w:tc>
        <w:tc>
          <w:tcPr>
            <w:tcW w:w="2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 to 39 years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- 101 -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In the first quarter of 2024, we completed an assessment of the useful lives of certain assets within the “Computers and equipment” asset class. The timing of this review was based on a combination of factors accumulating over time that provided the company with updated information to make a better estimate on the economic lives of certain property and equipment. These factors included changes in our business model and recent technological advances that have increased efficiencies in how we operate and manage customer gear. The assessment resulted in an increase in the estimated useful life range of the “Computers and equipment” asset class from three-to-five years to five-to-seven years. This change in accounting estimate took effect at the start of the first quarter of 2024. The impact of this change was a reduction in depreciation expense of $46.0 million and an increase of $0.20 net basic loss per share compared to previous estimates for the year ended December 31, 2024.</w:t>
      </w:r>
    </w:p>
    <w:p>
      <w:pPr>
        <w:spacing w:after="0" w:line="216" w:lineRule="exact"/>
        <w:rPr>
          <w:sz w:val="20"/>
          <w:szCs w:val="20"/>
          <w:color w:val="auto"/>
        </w:rPr>
      </w:pPr>
    </w:p>
    <w:p>
      <w:pPr>
        <w:ind w:right="160" w:firstLine="486"/>
        <w:spacing w:after="0" w:line="266" w:lineRule="auto"/>
        <w:rPr>
          <w:sz w:val="20"/>
          <w:szCs w:val="20"/>
          <w:color w:val="auto"/>
        </w:rPr>
      </w:pPr>
      <w:r>
        <w:rPr>
          <w:rFonts w:ascii="Times New Roman" w:cs="Times New Roman" w:eastAsia="Times New Roman" w:hAnsi="Times New Roman"/>
          <w:sz w:val="18"/>
          <w:szCs w:val="18"/>
          <w:color w:val="auto"/>
        </w:rPr>
        <w:t>Assets classified as held for sale are recorded at the lower of carrying value or its estimated fair value, less costs to sell, and no depreciation and amortization is recorded after the held for sale classification is met. As of December 31, 2022, our corporate headquarters property was classified as held for sale. See Note 5, "Property, Equipment and Software, net" and Note 6, "Goodwill and Intangible Assets" for more information.</w:t>
      </w:r>
    </w:p>
    <w:p>
      <w:pPr>
        <w:spacing w:after="0" w:line="203" w:lineRule="exact"/>
        <w:rPr>
          <w:sz w:val="20"/>
          <w:szCs w:val="20"/>
          <w:color w:val="auto"/>
        </w:rPr>
      </w:pPr>
    </w:p>
    <w:p>
      <w:pPr>
        <w:ind w:right="20" w:firstLine="486"/>
        <w:spacing w:after="0" w:line="282" w:lineRule="auto"/>
        <w:rPr>
          <w:sz w:val="20"/>
          <w:szCs w:val="20"/>
          <w:color w:val="auto"/>
        </w:rPr>
      </w:pPr>
      <w:r>
        <w:rPr>
          <w:rFonts w:ascii="Times New Roman" w:cs="Times New Roman" w:eastAsia="Times New Roman" w:hAnsi="Times New Roman"/>
          <w:sz w:val="18"/>
          <w:szCs w:val="18"/>
          <w:color w:val="auto"/>
        </w:rPr>
        <w:t>The cost of assets and related accumulated depreciation and amortization are written off upon retirement or disposal and any resulting gain or loss is credited or charged to income or expense.</w:t>
      </w:r>
    </w:p>
    <w:p>
      <w:pPr>
        <w:spacing w:after="0" w:line="189"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Definite-lived intangible assets are primarily comprised of customer relationships and are stated at their acquisition date fair value less accumulated amortization. Definite-lived intangible assets are amortized using the straight-line method over their estimated useful lives as this method best approximates the economic benefit derived from such assets. Amortization expense is recorded within "Selling, general and administrative expenses" on our Consolidated Statements of Comprehensive Loss.</w:t>
      </w:r>
    </w:p>
    <w:p>
      <w:pPr>
        <w:spacing w:after="0" w:line="207" w:lineRule="exact"/>
        <w:rPr>
          <w:sz w:val="20"/>
          <w:szCs w:val="20"/>
          <w:color w:val="auto"/>
        </w:rPr>
      </w:pPr>
    </w:p>
    <w:p>
      <w:pPr>
        <w:jc w:val="both"/>
        <w:ind w:right="80" w:firstLine="486"/>
        <w:spacing w:after="0" w:line="261" w:lineRule="auto"/>
        <w:rPr>
          <w:sz w:val="20"/>
          <w:szCs w:val="20"/>
          <w:color w:val="auto"/>
        </w:rPr>
      </w:pPr>
      <w:r>
        <w:rPr>
          <w:rFonts w:ascii="Times New Roman" w:cs="Times New Roman" w:eastAsia="Times New Roman" w:hAnsi="Times New Roman"/>
          <w:sz w:val="18"/>
          <w:szCs w:val="18"/>
          <w:color w:val="auto"/>
        </w:rPr>
        <w:t>Long-lived assets, including operating and finance lease assets (see "Leases" below for more information) are reviewed for impairment whenever events or changes in circumstances indicate that the carrying amount of an asset may not be recoverable. Recoverability of assets is measured at the asset group level. If the carrying amount of an asset group exceeds its estimated undiscounted future cash flows, then an impairment charge is recognized in the amount that an asset group’s carrying amount exceeds its fair value.</w:t>
      </w:r>
    </w:p>
    <w:p>
      <w:pPr>
        <w:spacing w:after="0" w:line="207"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color w:val="auto"/>
        </w:rPr>
        <w:t>As of September 1, 2022, prior to performing the goodwill impairment analysis discussed below, we performed a recoverability test of our long-lived assets by asset group, including finite-lived intangible assets, in which we estimated the sum of the undiscounted cash flows expected to result from the use and eventual disposition of the asset or asset group. Based on the results of the recoverability test, we determined that, as of September 1, 2022, the carrying amount of the OpenStack Public Cloud asset group’s underlying assets exceeded the sum of the undiscounted cash flows, and therefore is subject to the fair value test. Fair values of the OpenStack Public Cloud long-lived assets were determined using a combination of the income approach and the cost approach. The income approach utilized assumptions including management’s best estimates of the expected future cash flows, risk-adjusted discount rate, and the estimated useful life of the asset group. The cost approach utilized assumptions for the current replacement costs of similar assets adjusted for estimated depreciation and deterioration of the existing equipment and economic obsolescence. Estimates of floor values for the property, equipment and software, net, were considered relative to potential economic support for the assets such that the concluded value did not fall below the estimated floor value of these assets. As a result of the fair value test, we recorded non-cash impairment charges totaling $37.7 million related to property, equipment and software, net and intangible assets, which are included in "Impairment of assets, net" on our Consolidated Statements of Comprehensive Loss for the year ended December 31, 2022.</w:t>
      </w:r>
    </w:p>
    <w:p>
      <w:pPr>
        <w:spacing w:after="0" w:line="199" w:lineRule="exact"/>
        <w:rPr>
          <w:sz w:val="20"/>
          <w:szCs w:val="20"/>
          <w:color w:val="auto"/>
        </w:rPr>
      </w:pPr>
    </w:p>
    <w:p>
      <w:pPr>
        <w:ind w:right="440" w:firstLine="486"/>
        <w:spacing w:after="0" w:line="266" w:lineRule="auto"/>
        <w:rPr>
          <w:sz w:val="20"/>
          <w:szCs w:val="20"/>
          <w:color w:val="auto"/>
        </w:rPr>
      </w:pPr>
      <w:r>
        <w:rPr>
          <w:rFonts w:ascii="Times New Roman" w:cs="Times New Roman" w:eastAsia="Times New Roman" w:hAnsi="Times New Roman"/>
          <w:sz w:val="18"/>
          <w:szCs w:val="18"/>
          <w:color w:val="auto"/>
        </w:rPr>
        <w:t>We also performed recoverability tests of our long-lived assets in conjunction with the goodwill impairment analyses performed subsequent to September 1, 2022 which did not result in any impairment charges.</w:t>
      </w:r>
    </w:p>
    <w:p>
      <w:pPr>
        <w:spacing w:after="0" w:line="1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See Note 5, "Property, Equipment and Software, net," and Note 6, "Goodwill and Intangible Assets," for more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- 102 -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Indefinite-Lived Intangible Assets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2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u w:val="single" w:color="auto"/>
          <w:color w:val="auto"/>
        </w:rPr>
        <w:t>Qualitative Goodwill Impairment Analysis</w:t>
      </w:r>
    </w:p>
    <w:p>
      <w:pPr>
        <w:spacing w:after="0" w:line="252" w:lineRule="exact"/>
        <w:rPr>
          <w:sz w:val="20"/>
          <w:szCs w:val="20"/>
          <w:color w:val="auto"/>
        </w:rPr>
      </w:pPr>
    </w:p>
    <w:p>
      <w:pPr>
        <w:ind w:right="60" w:firstLine="486"/>
        <w:spacing w:after="0" w:line="254" w:lineRule="auto"/>
        <w:rPr>
          <w:sz w:val="20"/>
          <w:szCs w:val="20"/>
          <w:color w:val="auto"/>
        </w:rPr>
      </w:pPr>
      <w:r>
        <w:rPr>
          <w:rFonts w:ascii="Times New Roman" w:cs="Times New Roman" w:eastAsia="Times New Roman" w:hAnsi="Times New Roman"/>
          <w:sz w:val="18"/>
          <w:szCs w:val="18"/>
          <w:color w:val="auto"/>
        </w:rPr>
        <w:t>Goodwill represents the excess of the purchase price over the fair value of identifiable net assets of businesses acquired. Goodwill and indefinite-lived intangible assets are not amortized but are subject to impairment testing on an annual basis as of October 1st or more frequently if events or circumstances indicate a potential impairment. These events or circumstances could include a significant change in the business climate, regulatory environment, established business plans, operating performance indicators or competition. Potential impairment indicators may also include, but are not limited to, (i) significant changes to estimates and assumptions used in the most recent annual or interim impairment testing, (ii) downward revisions to internal forecasts, and the magnitude thereof, (iii) declines in our market capitalization below our book value, and the magnitude and duration of those declines, (iv) a reorganization resulting in a change to our operating segments, and (v) other macroeconomic factors, such as increases in interest rates that may affect the weighted average cost of capital, volatility in the equity and debt markets, or fluctuations in foreign currency exchange rates that may negatively impact our reported results of operations.</w:t>
      </w:r>
    </w:p>
    <w:p>
      <w:pPr>
        <w:spacing w:after="0" w:line="21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Year Ended December 31, 2024</w:t>
      </w:r>
    </w:p>
    <w:p>
      <w:pPr>
        <w:spacing w:after="0" w:line="254"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In connection with the preparation of the debt refinancing transactions that were completed in March and April 2024, as further described in Note 7, “Debt”, we updated our internal forecasts. Our updated internal forecasts considered our year-to-date operating performance, current customer bookings and revised expectations based on current performance, revisions to our expected growth and timing of such growth based on current and expected performance, current customer retention rates, revisions to the timing of the expected effects of our strategic initiatives and overall related risks, including</w:t>
      </w:r>
    </w:p>
    <w:p>
      <w:pPr>
        <w:spacing w:after="0" w:line="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macroeconomic factors, to achieving our forecasts. Our Board reviewed and approved our internal budget for fiscal year 2024 on February 28, 2024. As of February 29, 2024, we assessed our Board approved 2024 internal budget along with several events and circumstances that could affect the significant inputs used to determine the fair value of our reporting units, including the significance of the amount, if any, of excess carrying value over fair value, consistency of our current and forecasted operating margins and cash flows, budgeted-to-actual performance, timing of the expected effects of our strategic initiatives, overall change in economic climate, changes in the industry and competitive environment, changes to our risk-adjusted discount rates and earnings quality and sustainability. After considering all available evidence in our evaluation of goodwill impairment indicators, we determined it appropriate to perform an interim quantitative assessment of our reporting units as of February 29, 2024.</w:t>
      </w:r>
    </w:p>
    <w:p>
      <w:pPr>
        <w:spacing w:after="0" w:line="216" w:lineRule="exact"/>
        <w:rPr>
          <w:sz w:val="20"/>
          <w:szCs w:val="20"/>
          <w:color w:val="auto"/>
        </w:rPr>
      </w:pPr>
    </w:p>
    <w:p>
      <w:pPr>
        <w:ind w:firstLine="486"/>
        <w:spacing w:after="0" w:line="290" w:lineRule="auto"/>
        <w:rPr>
          <w:sz w:val="20"/>
          <w:szCs w:val="20"/>
          <w:color w:val="auto"/>
        </w:rPr>
      </w:pPr>
      <w:r>
        <w:rPr>
          <w:rFonts w:ascii="Times New Roman" w:cs="Times New Roman" w:eastAsia="Times New Roman" w:hAnsi="Times New Roman"/>
          <w:sz w:val="17"/>
          <w:szCs w:val="17"/>
          <w:color w:val="auto"/>
        </w:rPr>
        <w:t>During the third quarter of 2024, as part our assessment of our annual plan, we updated our internal forecasts to consider our year-to-date operating performance, current customer bookings and revised expectations based on actuals, current customer retention rates, revisions to the timing of the expected</w:t>
      </w:r>
    </w:p>
    <w:p>
      <w:pPr>
        <w:ind w:right="180"/>
        <w:spacing w:after="0" w:line="255" w:lineRule="auto"/>
        <w:rPr>
          <w:sz w:val="20"/>
          <w:szCs w:val="20"/>
          <w:color w:val="auto"/>
        </w:rPr>
      </w:pPr>
      <w:r>
        <w:rPr>
          <w:rFonts w:ascii="Times New Roman" w:cs="Times New Roman" w:eastAsia="Times New Roman" w:hAnsi="Times New Roman"/>
          <w:sz w:val="18"/>
          <w:szCs w:val="18"/>
          <w:color w:val="auto"/>
        </w:rPr>
        <w:t>effects of our strategic initiatives and overall related risks, including macroeconomic factors, to achieving our forecasts. As of September 30, 2024, we assessed our internal budget along with several events and circumstances that could affect the significant inputs used to determine the fair value of our reporting units, including the significance of the amount, if any, of excess carrying value over fair value, consistency of our current and forecasted operating margins and cash flows, budgeted-to-actual performance, timing of the expected effects of our strategic initiatives, overall change in economic climate, changes in the industry and competitive environment, changes to our risk-adjusted discount rates and earnings quality and sustainability. After considering all available evidence in our evaluation of goodwill impairment indicators, we determined it appropriate to perform an interim quantitative assessment of our reporting units as of September 30, 2024.</w:t>
      </w:r>
    </w:p>
    <w:p>
      <w:pPr>
        <w:spacing w:after="0" w:line="202" w:lineRule="exact"/>
        <w:rPr>
          <w:sz w:val="20"/>
          <w:szCs w:val="20"/>
          <w:color w:val="auto"/>
        </w:rPr>
      </w:pPr>
    </w:p>
    <w:p>
      <w:pPr>
        <w:ind w:right="500" w:firstLine="486"/>
        <w:spacing w:after="0" w:line="266" w:lineRule="auto"/>
        <w:rPr>
          <w:sz w:val="20"/>
          <w:szCs w:val="20"/>
          <w:color w:val="auto"/>
        </w:rPr>
      </w:pPr>
      <w:r>
        <w:rPr>
          <w:rFonts w:ascii="Times New Roman" w:cs="Times New Roman" w:eastAsia="Times New Roman" w:hAnsi="Times New Roman"/>
          <w:sz w:val="18"/>
          <w:szCs w:val="18"/>
          <w:color w:val="auto"/>
        </w:rPr>
        <w:t>During the fourth quarter of 2024, we performed our annual goodwill impairment test as of October 1, 2024 and the results of our test did not indicate any further impairment of goodwill.</w:t>
      </w:r>
    </w:p>
    <w:p>
      <w:pPr>
        <w:spacing w:after="0" w:line="200" w:lineRule="exact"/>
        <w:rPr>
          <w:sz w:val="20"/>
          <w:szCs w:val="20"/>
          <w:color w:val="auto"/>
        </w:rPr>
      </w:pPr>
    </w:p>
    <w:p>
      <w:pPr>
        <w:spacing w:after="0" w:line="35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- 103 -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Year Ended December 31, 2023</w:t>
      </w:r>
    </w:p>
    <w:p>
      <w:pPr>
        <w:spacing w:after="0" w:line="254"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On January 1, 2023, as a result of the reorganization of our business around a two-business unit operating model, we changed our operating and reportable segments to Private Cloud and Public Cloud. Our prior Multicloud Services segment has been separated into its public and private cloud components and the offerings previously reported in our Apps &amp; Cross Platform segment have been reassigned to either the Public Cloud or Private Cloud segment based on the nature of the offering. Our prior OpenStack Public Cloud segment is included in Private Cloud. As a result of the segment change, we allocated the goodwill of our former Multicloud Services and Apps &amp; Cross Platform reporting units to the Public Cloud and Private Cloud reporting units based on their relative fair value. OpenStack Public Cloud remained a separate reporting unit for goodwill purposes at that time. Due to the change in our segment reporting and the allocation of goodwill, we completed a quantitative goodwill impairment analysis both prior and subsequent to the aforementioned change.</w:t>
      </w:r>
    </w:p>
    <w:p>
      <w:pPr>
        <w:spacing w:after="0" w:line="219" w:lineRule="exact"/>
        <w:rPr>
          <w:sz w:val="20"/>
          <w:szCs w:val="20"/>
          <w:color w:val="auto"/>
        </w:rPr>
      </w:pPr>
    </w:p>
    <w:p>
      <w:pPr>
        <w:ind w:right="40" w:firstLine="486"/>
        <w:spacing w:after="0" w:line="274" w:lineRule="auto"/>
        <w:rPr>
          <w:sz w:val="20"/>
          <w:szCs w:val="20"/>
          <w:color w:val="auto"/>
        </w:rPr>
      </w:pPr>
      <w:r>
        <w:rPr>
          <w:rFonts w:ascii="Times New Roman" w:cs="Times New Roman" w:eastAsia="Times New Roman" w:hAnsi="Times New Roman"/>
          <w:sz w:val="17"/>
          <w:szCs w:val="17"/>
          <w:color w:val="auto"/>
        </w:rPr>
        <w:t>During the first quarter of 2023, we experienced a sustained decline in our stock price resulting in our market capitalization being less than the carrying value of our combined reporting units. As of March 31, 2023, we assessed several events and circumstances that could affect the significant inputs used to determine the fair value of our reporting units, including the significance of the amount, if any, of excess carrying value over fair value, consistency of operating margins and cash flows, budgeted-to-actual performance for the first three months of the year, overall change in economic climate, changes in the industry and competitive environment, and earnings quality and sustainability. After considering all available evidence in our evaluation of goodwill impairment indicators, we determined it appropriate to perform an interim quantitative assessment of our reporting units as of March 31, 2023.</w:t>
      </w:r>
    </w:p>
    <w:p>
      <w:pPr>
        <w:spacing w:after="0" w:line="200" w:lineRule="exact"/>
        <w:rPr>
          <w:sz w:val="20"/>
          <w:szCs w:val="20"/>
          <w:color w:val="auto"/>
        </w:rPr>
      </w:pPr>
    </w:p>
    <w:p>
      <w:pPr>
        <w:ind w:right="60" w:firstLine="486"/>
        <w:spacing w:after="0" w:line="255" w:lineRule="auto"/>
        <w:rPr>
          <w:sz w:val="20"/>
          <w:szCs w:val="20"/>
          <w:color w:val="auto"/>
        </w:rPr>
      </w:pPr>
      <w:r>
        <w:rPr>
          <w:rFonts w:ascii="Times New Roman" w:cs="Times New Roman" w:eastAsia="Times New Roman" w:hAnsi="Times New Roman"/>
          <w:sz w:val="18"/>
          <w:szCs w:val="18"/>
          <w:color w:val="auto"/>
        </w:rPr>
        <w:t>During the third quarter of 2023, we experienced a sustained decline in our stock price resulting in our market capitalization being less than the carrying value of our combined reporting units. As of September 30, 2023, we assessed several events and circumstances that could affect the significant inputs used to determine the fair value of our reporting units, including the significance of the amount, if any, of excess carrying value over fair value, consistency of operating margins and cash flows, budgeted-to-actual performance for the first nine months of the year, overall change in economic climate, changes in the industry and competitive environment, and earnings quality and sustainability. After considering all available evidence in our evaluation of goodwill impairment indicators, we determined it appropriate to perform an interim quantitative assessment of our reporting units as of September 30, 2023.</w:t>
      </w:r>
    </w:p>
    <w:p>
      <w:pPr>
        <w:spacing w:after="0" w:line="216" w:lineRule="exact"/>
        <w:rPr>
          <w:sz w:val="20"/>
          <w:szCs w:val="20"/>
          <w:color w:val="auto"/>
        </w:rPr>
      </w:pPr>
    </w:p>
    <w:p>
      <w:pPr>
        <w:ind w:right="140" w:firstLine="486"/>
        <w:spacing w:after="0" w:line="261" w:lineRule="auto"/>
        <w:rPr>
          <w:sz w:val="20"/>
          <w:szCs w:val="20"/>
          <w:color w:val="auto"/>
        </w:rPr>
      </w:pPr>
      <w:r>
        <w:rPr>
          <w:rFonts w:ascii="Times New Roman" w:cs="Times New Roman" w:eastAsia="Times New Roman" w:hAnsi="Times New Roman"/>
          <w:sz w:val="18"/>
          <w:szCs w:val="18"/>
          <w:color w:val="auto"/>
        </w:rPr>
        <w:t>Prior to October 1, 2023, we had two reporting units with goodwill: Public Cloud and Private Cloud. Goodwill allocated to our third reporting unit, OpenStack Public Cloud, was fully impaired during the fourth quarter of 2021. As of October 1, 2023, we reassessed our reporting unit structure and aggregated the OpenStack Public Cloud reporting unit into our Private Cloud reporting unit. We currently have two reporting units: Public Cloud and Private Cloud. Due to the change in our reporting units as of October 1, 2023, we completed a quantitative goodwill impairment analysis.</w:t>
      </w:r>
    </w:p>
    <w:p>
      <w:pPr>
        <w:spacing w:after="0" w:line="20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Year Ended December 31, 2022</w:t>
      </w:r>
    </w:p>
    <w:p>
      <w:pPr>
        <w:spacing w:after="0" w:line="254" w:lineRule="exact"/>
        <w:rPr>
          <w:sz w:val="20"/>
          <w:szCs w:val="20"/>
          <w:color w:val="auto"/>
        </w:rPr>
      </w:pPr>
    </w:p>
    <w:p>
      <w:pPr>
        <w:ind w:right="80" w:firstLine="486"/>
        <w:spacing w:after="0" w:line="255" w:lineRule="auto"/>
        <w:rPr>
          <w:sz w:val="20"/>
          <w:szCs w:val="20"/>
          <w:color w:val="auto"/>
        </w:rPr>
      </w:pPr>
      <w:r>
        <w:rPr>
          <w:rFonts w:ascii="Times New Roman" w:cs="Times New Roman" w:eastAsia="Times New Roman" w:hAnsi="Times New Roman"/>
          <w:sz w:val="18"/>
          <w:szCs w:val="18"/>
          <w:color w:val="auto"/>
        </w:rPr>
        <w:t>During the third quarter of 2022, we experienced a sustained decline in our stock price resulting in our market capitalization being less than the carrying value of our combined reporting units. As of September 1, 2022, we assessed several events and circumstances that could affect the significant inputs used to determine the fair value of our reporting units, including the significance of the amount of excess carrying value over fair value, consistency of operating margins and cash flows, budgeted-to-actual performance from prior year, overall change in economic climate, changes in the industry and competitive environment, and earnings quality and sustainability. In addition, as of September 1, 2022, we lowered our projected operating results primarily due to product mix shifts and market concerns related to inflation and other macroeconomic factors. As such, as of September 1, 2022, we determined it appropriate to perform an interim quantitative assessment of our reporting units.</w:t>
      </w:r>
    </w:p>
    <w:p>
      <w:pPr>
        <w:spacing w:after="0" w:line="21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results of our annual goodwill impairment test as of October 1, 2022 did not indicate any impairments of goodwill.</w:t>
      </w:r>
    </w:p>
    <w:p>
      <w:pPr>
        <w:spacing w:after="0" w:line="252" w:lineRule="exact"/>
        <w:rPr>
          <w:sz w:val="20"/>
          <w:szCs w:val="20"/>
          <w:color w:val="auto"/>
        </w:rPr>
      </w:pPr>
    </w:p>
    <w:p>
      <w:pPr>
        <w:ind w:right="180" w:firstLine="486"/>
        <w:spacing w:after="0" w:line="258" w:lineRule="auto"/>
        <w:rPr>
          <w:sz w:val="20"/>
          <w:szCs w:val="20"/>
          <w:color w:val="auto"/>
        </w:rPr>
      </w:pPr>
      <w:r>
        <w:rPr>
          <w:rFonts w:ascii="Times New Roman" w:cs="Times New Roman" w:eastAsia="Times New Roman" w:hAnsi="Times New Roman"/>
          <w:sz w:val="18"/>
          <w:szCs w:val="18"/>
          <w:color w:val="auto"/>
        </w:rPr>
        <w:t>During the fourth quarter of 2022, subsequent to our annual goodwill impairment analysis, we experienced a decline in our market capitalization following a ransomware incident in early December which caused service disruptions on our Hosted Exchange email business which was included in the former Apps &amp; Cross Platform reporting unit. After considering all available evidence in our evaluation of goodwill impairment indicators, including our lowered projected operating results within this reporting unit, we determined it appropriate to perform an interim quantitative assessment of our reporting units as of December 31, 2022.</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- 104 -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u w:val="single" w:color="auto"/>
          <w:color w:val="auto"/>
        </w:rPr>
        <w:t>Quantitative Goodwill Impairment Analysis</w:t>
      </w:r>
    </w:p>
    <w:p>
      <w:pPr>
        <w:spacing w:after="0" w:line="252" w:lineRule="exact"/>
        <w:rPr>
          <w:sz w:val="20"/>
          <w:szCs w:val="20"/>
          <w:color w:val="auto"/>
        </w:rPr>
      </w:pPr>
    </w:p>
    <w:p>
      <w:pPr>
        <w:ind w:right="20" w:firstLine="486"/>
        <w:spacing w:after="0" w:line="258" w:lineRule="auto"/>
        <w:rPr>
          <w:sz w:val="20"/>
          <w:szCs w:val="20"/>
          <w:color w:val="auto"/>
        </w:rPr>
      </w:pPr>
      <w:r>
        <w:rPr>
          <w:rFonts w:ascii="Times New Roman" w:cs="Times New Roman" w:eastAsia="Times New Roman" w:hAnsi="Times New Roman"/>
          <w:sz w:val="18"/>
          <w:szCs w:val="18"/>
          <w:color w:val="auto"/>
        </w:rPr>
        <w:t>Goodwill is tested for impairment at the reporting unit level. A reporting unit is an operating segment or one level below an operating segment (referred to as a component). We allocate goodwill to reporting units based on the reporting unit expected to benefit from the business combination. Assets and liabilities are assigned to each of our reporting units if they are employed by a reporting unit and are considered in the determination of the reporting unit fair value. Certain assets and liabilities are shared by multiple reporting units, and thus, are allocated to each reporting unit based on the relative size of a reporting unit, primarily based on revenue.</w:t>
      </w:r>
    </w:p>
    <w:p>
      <w:pPr>
        <w:spacing w:after="0" w:line="210"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For the goodwill impairment tests completed during the years ended December 31, 2022, 2023 and 2024, including the interim quantitative analyses, we compare the fair values of each of our reporting units to their respective carrying amounts. The fair values of each of our reporting units were derived using the income approach, specifically the discounted cash flow method. The discounted cash flow models reflect our assumptions and considerations regarding revenue growth rates, projected gross profit margins, projected operating costs, projected EBITDA margins, projected capital expenditures, risk-</w:t>
      </w:r>
    </w:p>
    <w:p>
      <w:pPr>
        <w:spacing w:after="0" w:line="3"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color w:val="auto"/>
        </w:rPr>
        <w:t>adjusted discount rates, terminal period growth rates, and economic market trends</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xml:space="preserve"> As part of the goodwill impairment test, we also consider our market capitalization in assessing the reasonableness of the combined fair values estimated for our reporting units. Goodwill impairment is measured as the excess of a reporting unit’s carrying amount over its fair value, not to exceed the carrying amount of goodwill for that reporting unit.</w:t>
      </w:r>
    </w:p>
    <w:p>
      <w:pPr>
        <w:spacing w:after="0" w:line="20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Year Ended December 31, 2024</w:t>
      </w:r>
    </w:p>
    <w:p>
      <w:pPr>
        <w:spacing w:after="0" w:line="254" w:lineRule="exact"/>
        <w:rPr>
          <w:sz w:val="20"/>
          <w:szCs w:val="20"/>
          <w:color w:val="auto"/>
        </w:rPr>
      </w:pPr>
    </w:p>
    <w:p>
      <w:pPr>
        <w:jc w:val="both"/>
        <w:ind w:right="120" w:firstLine="486"/>
        <w:spacing w:after="0" w:line="266" w:lineRule="auto"/>
        <w:rPr>
          <w:sz w:val="20"/>
          <w:szCs w:val="20"/>
          <w:color w:val="auto"/>
        </w:rPr>
      </w:pPr>
      <w:r>
        <w:rPr>
          <w:rFonts w:ascii="Times New Roman" w:cs="Times New Roman" w:eastAsia="Times New Roman" w:hAnsi="Times New Roman"/>
          <w:sz w:val="18"/>
          <w:szCs w:val="18"/>
          <w:color w:val="auto"/>
        </w:rPr>
        <w:t>The results of our quantitative goodwill impairment analysis as of February 29, 2024 indicated an impairment of goodwill within our Public Cloud and Private Cloud reporting units of $385.4 million and $187.8 million, respectively. We recorded these non-cash impairment charges within "Impairment of goodwill" in our Condensed Consolidated Statements of Comprehensive Loss in the first quarter of 2024.</w:t>
      </w:r>
    </w:p>
    <w:p>
      <w:pPr>
        <w:spacing w:after="0" w:line="203" w:lineRule="exact"/>
        <w:rPr>
          <w:sz w:val="20"/>
          <w:szCs w:val="20"/>
          <w:color w:val="auto"/>
        </w:rPr>
      </w:pPr>
    </w:p>
    <w:p>
      <w:pPr>
        <w:jc w:val="both"/>
        <w:ind w:right="40" w:firstLine="486"/>
        <w:spacing w:after="0" w:line="266" w:lineRule="auto"/>
        <w:rPr>
          <w:sz w:val="20"/>
          <w:szCs w:val="20"/>
          <w:color w:val="auto"/>
        </w:rPr>
      </w:pPr>
      <w:r>
        <w:rPr>
          <w:rFonts w:ascii="Times New Roman" w:cs="Times New Roman" w:eastAsia="Times New Roman" w:hAnsi="Times New Roman"/>
          <w:sz w:val="18"/>
          <w:szCs w:val="18"/>
          <w:color w:val="auto"/>
        </w:rPr>
        <w:t>The results of our quantitative goodwill impairment analysis as of September 30, 2024 indicated an impairment of goodwill within our Public Cloud and Private Cloud reporting units of $69.2 million and $72.5 million, respectively. We recorded these non-cash impairment charges within "Impairment of goodwill" in our Condensed Consolidated Statements of Comprehensive Loss in the third quarter of 2024.</w:t>
      </w:r>
    </w:p>
    <w:p>
      <w:pPr>
        <w:spacing w:after="0" w:line="20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Year Ended December 31, 2023</w:t>
      </w:r>
    </w:p>
    <w:p>
      <w:pPr>
        <w:spacing w:after="0" w:line="254" w:lineRule="exact"/>
        <w:rPr>
          <w:sz w:val="20"/>
          <w:szCs w:val="20"/>
          <w:color w:val="auto"/>
        </w:rPr>
      </w:pPr>
    </w:p>
    <w:p>
      <w:pPr>
        <w:jc w:val="both"/>
        <w:ind w:right="100" w:firstLine="486"/>
        <w:spacing w:after="0" w:line="266" w:lineRule="auto"/>
        <w:rPr>
          <w:sz w:val="20"/>
          <w:szCs w:val="20"/>
          <w:color w:val="auto"/>
        </w:rPr>
      </w:pPr>
      <w:r>
        <w:rPr>
          <w:rFonts w:ascii="Times New Roman" w:cs="Times New Roman" w:eastAsia="Times New Roman" w:hAnsi="Times New Roman"/>
          <w:sz w:val="18"/>
          <w:szCs w:val="18"/>
          <w:color w:val="auto"/>
        </w:rPr>
        <w:t>The results of our quantitative goodwill impairment analyses as of January 1, 2023 and March 31, 2023 indicated an impairment of goodwill within our Private Cloud reporting unit, and we recorded non-cash impairment charges of $270.8 million and $272.3 million, respectively, within "Impairment of goodwill" in our Condensed Consolidated Statements of Comprehensive Loss in the first quarter of 2023.</w:t>
      </w:r>
    </w:p>
    <w:p>
      <w:pPr>
        <w:spacing w:after="0" w:line="203"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The results of our quantitative goodwill impairment analysis as of September 30, 2023 indicated an impairment of goodwill within our Private Cloud reporting unit, and we recorded non-cash impairment charges of $165.7 million, within "Impairment of goodwill" in our Condensed Consolidated Statements of Comprehensive Loss in the third quarter of 2023. The results of our quantitative goodwill impairment analysis as of October 1, 2023 indicated no impairment of goodwill.</w:t>
      </w:r>
    </w:p>
    <w:p>
      <w:pPr>
        <w:spacing w:after="0" w:line="20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Year Ended December 31, 2022</w:t>
      </w:r>
    </w:p>
    <w:p>
      <w:pPr>
        <w:spacing w:after="0" w:line="254" w:lineRule="exact"/>
        <w:rPr>
          <w:sz w:val="20"/>
          <w:szCs w:val="20"/>
          <w:color w:val="auto"/>
        </w:rPr>
      </w:pPr>
    </w:p>
    <w:p>
      <w:pPr>
        <w:ind w:right="200" w:firstLine="486"/>
        <w:spacing w:after="0" w:line="266" w:lineRule="auto"/>
        <w:rPr>
          <w:sz w:val="20"/>
          <w:szCs w:val="20"/>
          <w:color w:val="auto"/>
        </w:rPr>
      </w:pPr>
      <w:r>
        <w:rPr>
          <w:rFonts w:ascii="Times New Roman" w:cs="Times New Roman" w:eastAsia="Times New Roman" w:hAnsi="Times New Roman"/>
          <w:sz w:val="18"/>
          <w:szCs w:val="18"/>
          <w:color w:val="auto"/>
        </w:rPr>
        <w:t>The results of our quantitative goodwill impairment analysis as of September 1, 2022 indicated an impairment of goodwill within the former Multicloud Services reporting unit, and we recorded a non-cash impairment charge of $405.2 million within "Impairment of goodwill" in our Condensed Consolidated Statements of Comprehensive Loss in the third quarter of 2022.</w:t>
      </w:r>
    </w:p>
    <w:p>
      <w:pPr>
        <w:spacing w:after="0" w:line="20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results of our quantitative goodwill impairment analysis as of December 31, 2022 indicated an impairment of goodwill within our former Apps</w:t>
      </w:r>
    </w:p>
    <w:p>
      <w:pPr>
        <w:spacing w:after="0" w:line="27" w:lineRule="exact"/>
        <w:rPr>
          <w:sz w:val="20"/>
          <w:szCs w:val="20"/>
          <w:color w:val="auto"/>
        </w:rPr>
      </w:pPr>
    </w:p>
    <w:p>
      <w:pPr>
        <w:ind w:right="240" w:firstLine="8"/>
        <w:spacing w:after="0" w:line="260" w:lineRule="auto"/>
        <w:tabs>
          <w:tab w:leader="none" w:pos="18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Cross Platform reporting unit, and we recorded a non-cash impairment charge of $129.3 million within "Impairment of goodwill" in our Consolidated Statements of Comprehensive Loss in the fourth quarter of 2022.</w:t>
      </w:r>
    </w:p>
    <w:p>
      <w:pPr>
        <w:spacing w:after="0" w:line="20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See Note 6, "Goodwill and Intangible Assets" for more information.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- 105 -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Indefinite-Lived Intangible Assets</w:t>
      </w:r>
    </w:p>
    <w:p>
      <w:pPr>
        <w:spacing w:after="0" w:line="254"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Our indefinite-lived intangible asset consists of our Rackspace trade name, which was recorded at fair value on our balance sheet at the date of the Rackspace Acquisition. Our indefinite-lived intangible asset is tested for impairment at the consolidated level. In evaluating the recoverability of the Rackspace trade name, we compare the fair value of the asset to its carrying amount to determine potential impairment. Our estimate of the fair value of the Rackspace trade name is derived using the income approach, specifically the relief-from-royalty method.</w:t>
      </w:r>
    </w:p>
    <w:p>
      <w:pPr>
        <w:spacing w:after="0" w:line="207" w:lineRule="exact"/>
        <w:rPr>
          <w:sz w:val="20"/>
          <w:szCs w:val="20"/>
          <w:color w:val="auto"/>
        </w:rPr>
      </w:pPr>
    </w:p>
    <w:p>
      <w:pPr>
        <w:ind w:right="180" w:firstLine="486"/>
        <w:spacing w:after="0" w:line="256" w:lineRule="auto"/>
        <w:rPr>
          <w:sz w:val="20"/>
          <w:szCs w:val="20"/>
          <w:color w:val="auto"/>
        </w:rPr>
      </w:pPr>
      <w:r>
        <w:rPr>
          <w:rFonts w:ascii="Times New Roman" w:cs="Times New Roman" w:eastAsia="Times New Roman" w:hAnsi="Times New Roman"/>
          <w:sz w:val="18"/>
          <w:szCs w:val="18"/>
          <w:color w:val="auto"/>
        </w:rPr>
        <w:t>Due to the factors discussed in the goodwill analyses above and prior to testing our goodwill for impairment, we performed a quantitative assessment of our indefinite-lived intangible asset as of September 1, 2022, December 31, 2022, September 30, 2023 and February 29, 2024. The quantitative assessment performed as of those dates indicated the estimated fair value of the Rackspace trade name was less than its carrying value. As a result, we recorded a $21.0 million, $12.0 million, $57.0 million and $20.0 million non-cash impairment charge as of September 1, 2022, December 31, 2022, September 30, 2023 and February 29, 2024, respectively. These charges are included in "Impairment of assets, net" in our Consolidated Statements of Comprehensive Loss in the third quarter of 2022, fourth quarter of 2022, third quarter of 2023 and first quarter of 2024, respectively.</w:t>
      </w:r>
    </w:p>
    <w:p>
      <w:pPr>
        <w:spacing w:after="0" w:line="214" w:lineRule="exact"/>
        <w:rPr>
          <w:sz w:val="20"/>
          <w:szCs w:val="20"/>
          <w:color w:val="auto"/>
        </w:rPr>
      </w:pPr>
    </w:p>
    <w:p>
      <w:pPr>
        <w:ind w:right="380" w:firstLine="486"/>
        <w:spacing w:after="0" w:line="282" w:lineRule="auto"/>
        <w:rPr>
          <w:sz w:val="20"/>
          <w:szCs w:val="20"/>
          <w:color w:val="auto"/>
        </w:rPr>
      </w:pPr>
      <w:r>
        <w:rPr>
          <w:rFonts w:ascii="Times New Roman" w:cs="Times New Roman" w:eastAsia="Times New Roman" w:hAnsi="Times New Roman"/>
          <w:sz w:val="18"/>
          <w:szCs w:val="18"/>
          <w:color w:val="auto"/>
        </w:rPr>
        <w:t>The quantitative assessments of our indefinite-lived intangible asset performed in conjunction with the other goodwill impairment testing dates, discussed above, did not indicate any impairment of the Rackspace trade name.</w:t>
      </w:r>
    </w:p>
    <w:p>
      <w:pPr>
        <w:spacing w:after="0" w:line="189" w:lineRule="exact"/>
        <w:rPr>
          <w:sz w:val="20"/>
          <w:szCs w:val="20"/>
          <w:color w:val="auto"/>
        </w:rPr>
      </w:pPr>
    </w:p>
    <w:p>
      <w:pPr>
        <w:ind w:right="20" w:firstLine="486"/>
        <w:spacing w:after="0" w:line="253" w:lineRule="auto"/>
        <w:rPr>
          <w:sz w:val="20"/>
          <w:szCs w:val="20"/>
          <w:color w:val="auto"/>
        </w:rPr>
      </w:pPr>
      <w:r>
        <w:rPr>
          <w:rFonts w:ascii="Times New Roman" w:cs="Times New Roman" w:eastAsia="Times New Roman" w:hAnsi="Times New Roman"/>
          <w:sz w:val="18"/>
          <w:szCs w:val="18"/>
          <w:color w:val="auto"/>
        </w:rPr>
        <w:t>The fair value determination of our reporting units and our indefinite-lived intangible asset is judgmental in nature and requires the use of significant estimates and assumptions that are sensitive to changes. Assumptions include estimation of the royalty rate for the trade name, estimation of future revenue growth rates, projected gross profit margins, projected operating costs, projected EBITDA margins, and projected capital expenditures, which are dependent on internal cash flow forecasts, estimation of the terminal growth rates and determination of risk-adjusted discount rates. As a result, there can be no assurance that the estimates and assumptions made for purposes of the quantitative indefinite-lived intangible impairment tests will prove to be an accurate prediction of future results. Examples of events or circumstances that could reasonably be expected to negatively affect the underlying key assumptions and ultimately impact the estimated fair value of our reporting units may include such items as: (i) volatility in the equity and debt markets or other macroeconomic factors, (ii) an increase in the weighted-average cost of capital due to further increases in interest rates, (iii) decrease in future cash flows due to lower than expected sales or greater than expected customer churn, or (iv) fluctuations in foreign currency exchange rates that may negatively impact our reported results of operations. Accordingly, if our current cash flow assumptions are not realized, we experience sustained declines in our stock price or market capitalization, or increases in costs of capital, it is possible that an additional impairment charge may be recorded in the future, which could be material.</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256" w:lineRule="exact"/>
        <w:rPr>
          <w:sz w:val="20"/>
          <w:szCs w:val="20"/>
          <w:color w:val="auto"/>
        </w:rPr>
      </w:pPr>
    </w:p>
    <w:p>
      <w:pPr>
        <w:ind w:right="60" w:firstLine="486"/>
        <w:spacing w:after="0" w:line="255" w:lineRule="auto"/>
        <w:rPr>
          <w:sz w:val="20"/>
          <w:szCs w:val="20"/>
          <w:color w:val="auto"/>
        </w:rPr>
      </w:pPr>
      <w:r>
        <w:rPr>
          <w:rFonts w:ascii="Times New Roman" w:cs="Times New Roman" w:eastAsia="Times New Roman" w:hAnsi="Times New Roman"/>
          <w:sz w:val="18"/>
          <w:szCs w:val="18"/>
          <w:color w:val="auto"/>
        </w:rPr>
        <w:t>Mergers and acquisitions are accounted for using the acquisition method, in accordance with accounting guidance for business combinations. Under the acquisition method, we allocate the fair value of purchase consideration to the tangible and intangible assets ("identifiable assets") acquired and liabilities assumed based on their estimated fair values. The excess of the fair value of purchase consideration over the fair values of the identifiable assets and liabilities is recorded as goodwill. When determining the fair values of identifiable assets acquired and liabilities assumed, including contingent consideration when applicable, we make significant estimates and assumptions based on historical data, estimated discounted future cash flows, expected royalty rates for trade names, as well as certain other information. During the measurement period, which may be up to one year from the acquisition date, we may record adjustments to the fair value of identifiable assets acquired and liabilities assumed, with the corresponding offset to goodwill.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- 106 -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256"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color w:val="auto"/>
        </w:rPr>
        <w:t>We have equity investments in entities in which we do not exercise significant influence. Investments in equity securities with readily determinable fair values are measured at fair value with changes in fair value recognized in net loss. Investments in equity securities that do not have readily determinable fair values are measured at cost less any impairments, adjusted for observable pricing changes in orderly transactions for identical or similar investments of the same issuer. We perform a qualitative assessment on these investments at each reporting period to determine whether any indicators of impairment exist. If an impairment exists, we recognize an impairment charge equal to the amount by which the carrying value exceeds the fair value of the investment.</w:t>
      </w:r>
    </w:p>
    <w:p>
      <w:pPr>
        <w:spacing w:after="0" w:line="21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aggregate carrying value of equity investments that do not have a readily determinable fair value was $5.1 million as of December 31, 2023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56"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We determine if an arrangement is or contains a lease at inception. This determination depends on whether the arrangement conveys to us the right to control the use of an explicitly or implicitly identified asset for a period of time in exchange for consideration. Control of an underlying asset is conveyed to us if we obtain the rights to direct the use of and to obtain substantially all of the economic benefits from using the underlying asset.</w:t>
      </w:r>
    </w:p>
    <w:p>
      <w:pPr>
        <w:spacing w:after="0" w:line="203"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We classify leases with contractual terms greater than 12 months as either operating or finance. Finance leases are generally those leases that allow us to substantially utilize an asset over its estimated life. Our finance leases primarily consist of equipment and certain data center facilities. All other leases are categorized as operating leases, which primarily consist of certain data centers and office space. Our leases generally have terms ranging from 1 to 20 years for data centers, 3 to 5 years for equipment and 1 to 11 years for office space.</w:t>
      </w:r>
    </w:p>
    <w:p>
      <w:pPr>
        <w:spacing w:after="0" w:line="207" w:lineRule="exact"/>
        <w:rPr>
          <w:sz w:val="20"/>
          <w:szCs w:val="20"/>
          <w:color w:val="auto"/>
        </w:rPr>
      </w:pPr>
    </w:p>
    <w:p>
      <w:pPr>
        <w:ind w:right="120" w:firstLine="486"/>
        <w:spacing w:after="0" w:line="255" w:lineRule="auto"/>
        <w:rPr>
          <w:sz w:val="20"/>
          <w:szCs w:val="20"/>
          <w:color w:val="auto"/>
        </w:rPr>
      </w:pPr>
      <w:r>
        <w:rPr>
          <w:rFonts w:ascii="Times New Roman" w:cs="Times New Roman" w:eastAsia="Times New Roman" w:hAnsi="Times New Roman"/>
          <w:sz w:val="18"/>
          <w:szCs w:val="18"/>
          <w:color w:val="auto"/>
        </w:rPr>
        <w:t>Lease liabilities are recognized based on the present value of lease payments, reduced by lease incentives, at the lease commencement date. For finance leases, we use the rate implicit in the lease to determine the present value of lease payments where available. For operating leases, we use an incremental borrowing rate to determine the present value of lease payments as the interest rate implicit in most of our operating leases is not readily determinable. Our incremental borrowing rate is the rate of interest that we would have to pay to borrow an amount equal to the lease payments, on a collateralized basis and in a similar economic environment over a similar term. The rate is dependent on several factors, including the lease term, currency of the lease payments and the company’s credit rating. Operating and finance lease liabilities are recorded in our Consolidated Balance Sheets as current and non-current liabilities.</w:t>
      </w:r>
    </w:p>
    <w:p>
      <w:pPr>
        <w:spacing w:after="0" w:line="216" w:lineRule="exact"/>
        <w:rPr>
          <w:sz w:val="20"/>
          <w:szCs w:val="20"/>
          <w:color w:val="auto"/>
        </w:rPr>
      </w:pPr>
    </w:p>
    <w:p>
      <w:pPr>
        <w:jc w:val="both"/>
        <w:ind w:right="160" w:firstLine="486"/>
        <w:spacing w:after="0" w:line="266" w:lineRule="auto"/>
        <w:rPr>
          <w:sz w:val="20"/>
          <w:szCs w:val="20"/>
          <w:color w:val="auto"/>
        </w:rPr>
      </w:pPr>
      <w:r>
        <w:rPr>
          <w:rFonts w:ascii="Times New Roman" w:cs="Times New Roman" w:eastAsia="Times New Roman" w:hAnsi="Times New Roman"/>
          <w:sz w:val="18"/>
          <w:szCs w:val="18"/>
          <w:color w:val="auto"/>
        </w:rPr>
        <w:t>Lease assets are recognized based on the related lease liabilities, plus any prepaid lease payments and initial direct costs from executing the leasing arrangement. Operating and finance lease assets are included in "Operating right-of-use assets" and "Property, equipment and software, net," respectively, in our Consolidated Balance Sheets.</w:t>
      </w:r>
    </w:p>
    <w:p>
      <w:pPr>
        <w:spacing w:after="0" w:line="203" w:lineRule="exact"/>
        <w:rPr>
          <w:sz w:val="20"/>
          <w:szCs w:val="20"/>
          <w:color w:val="auto"/>
        </w:rPr>
      </w:pPr>
    </w:p>
    <w:p>
      <w:pPr>
        <w:ind w:right="40" w:firstLine="486"/>
        <w:spacing w:after="0" w:line="258" w:lineRule="auto"/>
        <w:rPr>
          <w:sz w:val="20"/>
          <w:szCs w:val="20"/>
          <w:color w:val="auto"/>
        </w:rPr>
      </w:pPr>
      <w:r>
        <w:rPr>
          <w:rFonts w:ascii="Times New Roman" w:cs="Times New Roman" w:eastAsia="Times New Roman" w:hAnsi="Times New Roman"/>
          <w:sz w:val="18"/>
          <w:szCs w:val="18"/>
          <w:color w:val="auto"/>
        </w:rPr>
        <w:t>Our lease terms include the base, non-cancelable lease term, and any options to extend or terminate the lease when it is reasonably certain at commencement that we will exercise such options. Some of our data center and office space leases contain such extension and termination options. We will remeasure our lease liability and adjust the related right-of-use asset upon the occurrence of the following: lease modifications not accounted for as a separate contract; a triggering event that changes the certainty of the lessee exercising an option to renew or terminate the lease, or purchase the underlying asset; or the resolution of a contingency upon which any variable lease payments are based such that those payments become fixed.</w:t>
      </w:r>
    </w:p>
    <w:p>
      <w:pPr>
        <w:spacing w:after="0" w:line="210" w:lineRule="exact"/>
        <w:rPr>
          <w:sz w:val="20"/>
          <w:szCs w:val="20"/>
          <w:color w:val="auto"/>
        </w:rPr>
      </w:pPr>
    </w:p>
    <w:p>
      <w:pPr>
        <w:ind w:right="60" w:firstLine="486"/>
        <w:spacing w:after="0" w:line="256" w:lineRule="auto"/>
        <w:rPr>
          <w:sz w:val="20"/>
          <w:szCs w:val="20"/>
          <w:color w:val="auto"/>
        </w:rPr>
      </w:pPr>
      <w:r>
        <w:rPr>
          <w:rFonts w:ascii="Times New Roman" w:cs="Times New Roman" w:eastAsia="Times New Roman" w:hAnsi="Times New Roman"/>
          <w:sz w:val="18"/>
          <w:szCs w:val="18"/>
          <w:color w:val="auto"/>
        </w:rPr>
        <w:t>Operating lease expense is recognized on a straight-line basis over the lease term. Finance lease assets are amortized on a straight-line basis over the shorter of the estimated useful lives of the assets or the lease term. The interest component of a finance lease is included in "Interest expense" and recognized using the effective interest method over the lease term. Leases with terms of less than 12 months at commencement are expensed on a straight-line basis over the lease term in accordance with the short-term lease practical expedient under ASC 842. We have also elected the practical expedient under ASC 842 to not separate lease and non-lease components within a leasing arrangement. Non-lease components primarily include payments for maintenance and utilities. We have elected to apply both of these practical expedients to all classes of underlying assets.</w:t>
      </w:r>
    </w:p>
    <w:p>
      <w:pPr>
        <w:spacing w:after="0" w:line="214" w:lineRule="exact"/>
        <w:rPr>
          <w:sz w:val="20"/>
          <w:szCs w:val="20"/>
          <w:color w:val="auto"/>
        </w:rPr>
      </w:pPr>
    </w:p>
    <w:p>
      <w:pPr>
        <w:ind w:right="400" w:firstLine="486"/>
        <w:spacing w:after="0" w:line="282" w:lineRule="auto"/>
        <w:rPr>
          <w:sz w:val="20"/>
          <w:szCs w:val="20"/>
          <w:color w:val="auto"/>
        </w:rPr>
      </w:pPr>
      <w:r>
        <w:rPr>
          <w:rFonts w:ascii="Times New Roman" w:cs="Times New Roman" w:eastAsia="Times New Roman" w:hAnsi="Times New Roman"/>
          <w:sz w:val="18"/>
          <w:szCs w:val="18"/>
          <w:color w:val="auto"/>
        </w:rPr>
        <w:t>Variable payments related to a lease are expensed as incurred. These costs often relate to payments for a proportionate share of real estate taxes, insurance, common area maintenance, and other operating costs in addition to base rent.</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- 107 -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are the intermediate lessor in certain sublease arrangements and account for both the head lease and the associated sublease as separate operating leases. We offset rental income against head lease operating costs within "Cost of revenue" or "Selling, general and administrative expenses," depending on whether the head lease is a data center or office space lease.</w:t>
      </w:r>
    </w:p>
    <w:p>
      <w:pPr>
        <w:spacing w:after="0" w:line="189" w:lineRule="exact"/>
        <w:rPr>
          <w:sz w:val="20"/>
          <w:szCs w:val="20"/>
          <w:color w:val="auto"/>
        </w:rPr>
      </w:pPr>
    </w:p>
    <w:p>
      <w:pPr>
        <w:ind w:right="160" w:firstLine="486"/>
        <w:spacing w:after="0" w:line="266" w:lineRule="auto"/>
        <w:rPr>
          <w:sz w:val="20"/>
          <w:szCs w:val="20"/>
          <w:color w:val="auto"/>
        </w:rPr>
      </w:pPr>
      <w:r>
        <w:rPr>
          <w:rFonts w:ascii="Times New Roman" w:cs="Times New Roman" w:eastAsia="Times New Roman" w:hAnsi="Times New Roman"/>
          <w:sz w:val="18"/>
          <w:szCs w:val="18"/>
          <w:color w:val="auto"/>
        </w:rPr>
        <w:t>We are deemed a lessor in certain hosting arrangements where we have determined that the contract contains an identified asset and that control of that asset has transferred to the customer. We account for these arrangements as either sales-type or direct finance leases.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Issuance Costs</w:t>
      </w:r>
    </w:p>
    <w:p>
      <w:pPr>
        <w:spacing w:after="0" w:line="256"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Debt issuance costs such as underwriting, financial advisory, professional fees and other similar fees are deferred and recognized in interest expense over the estimated life of the related debt instrument using the effective interest method or the straight-line method, as applicable. Debt issuance costs related to our debt instruments are classified as a direct deduction from the carrying value of the long-term debt liability or as an asset within "Other non-current assets" on the Consolidated Balance Sheets.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Obligations</w:t>
      </w:r>
    </w:p>
    <w:p>
      <w:pPr>
        <w:spacing w:after="0" w:line="256" w:lineRule="exact"/>
        <w:rPr>
          <w:sz w:val="20"/>
          <w:szCs w:val="20"/>
          <w:color w:val="auto"/>
        </w:rPr>
      </w:pPr>
    </w:p>
    <w:p>
      <w:pPr>
        <w:ind w:right="40" w:firstLine="486"/>
        <w:spacing w:after="0" w:line="282" w:lineRule="auto"/>
        <w:rPr>
          <w:sz w:val="20"/>
          <w:szCs w:val="20"/>
          <w:color w:val="auto"/>
        </w:rPr>
      </w:pPr>
      <w:r>
        <w:rPr>
          <w:rFonts w:ascii="Times New Roman" w:cs="Times New Roman" w:eastAsia="Times New Roman" w:hAnsi="Times New Roman"/>
          <w:sz w:val="18"/>
          <w:szCs w:val="18"/>
          <w:color w:val="auto"/>
        </w:rPr>
        <w:t>From time to time, we enter into installment payment arrangements with certain equipment and software vendors. These arrangements are generally non-interest bearing, and require the calculation of an imputed interest rate.</w:t>
      </w:r>
    </w:p>
    <w:p>
      <w:pPr>
        <w:spacing w:after="0" w:line="189"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We also may enter into sale-leaseback arrangements for certain equipment in which we sell the assets to a third party and concurrently lease the assets back for a specified term. These arrangements generally do not qualify as asset sales because they include a purchase option that we are reasonably certain to exercise and therefore they are accounted for as failed sale-leasebacks. In addition, we lease properties that were deemed failed sale-leasebacks upon the adoption of ASC 842 due to options to purchase the underlying assets at an exercise price that is not at fair value or due to the present value of the future minimum lease payments exceeding the fair value of the underlying assets.</w:t>
      </w:r>
    </w:p>
    <w:p>
      <w:pPr>
        <w:spacing w:after="0" w:line="21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See Note 9, "Financing Obligations" for disclosure of future minimum payments under vendor financing and failed sale-leaseback arrangements.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Restructuring Activities</w:t>
      </w:r>
    </w:p>
    <w:p>
      <w:pPr>
        <w:spacing w:after="0" w:line="254"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We record restructuring activities including costs for one-time termination benefits in accordance with ASC 420</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timing of recognition for severance costs accounted for under ASC 420 depends on whether employees are required to render service until they are terminated in order to receive the termination benefits. If employees are required to render service until they are terminated in order to receive the termination benefits, a liability is recognized ratably over the future service period. Otherwise, a liability is recognized when management has committed to a restructuring plan and has communicated those actions to employees.</w:t>
      </w:r>
    </w:p>
    <w:p>
      <w:pPr>
        <w:spacing w:after="0" w:line="212" w:lineRule="exact"/>
        <w:rPr>
          <w:sz w:val="20"/>
          <w:szCs w:val="20"/>
          <w:color w:val="auto"/>
        </w:rPr>
      </w:pPr>
    </w:p>
    <w:p>
      <w:pPr>
        <w:ind w:right="440" w:firstLine="486"/>
        <w:spacing w:after="0" w:line="289" w:lineRule="auto"/>
        <w:rPr>
          <w:sz w:val="20"/>
          <w:szCs w:val="20"/>
          <w:color w:val="auto"/>
        </w:rPr>
      </w:pPr>
      <w:r>
        <w:rPr>
          <w:rFonts w:ascii="Times New Roman" w:cs="Times New Roman" w:eastAsia="Times New Roman" w:hAnsi="Times New Roman"/>
          <w:sz w:val="17"/>
          <w:szCs w:val="17"/>
          <w:color w:val="auto"/>
        </w:rPr>
        <w:t>Under ASC 420-10, we establish a liability for a cost associated with an exit or disposal activity, including severance and non-lease contract termination obligations, and other related costs, when the liability is incurred, rather than at the date that we commit to an exit plan. We reassess the expected cost to complete the exit or disposal activities at the end of each reporting period and adjust our remaining estimated liabilities, if necessary.</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- 108 -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56" w:lineRule="exact"/>
        <w:rPr>
          <w:sz w:val="20"/>
          <w:szCs w:val="20"/>
          <w:color w:val="auto"/>
        </w:rPr>
      </w:pPr>
    </w:p>
    <w:p>
      <w:pPr>
        <w:ind w:right="20" w:firstLine="486"/>
        <w:spacing w:after="0" w:line="252" w:lineRule="auto"/>
        <w:rPr>
          <w:sz w:val="20"/>
          <w:szCs w:val="20"/>
          <w:color w:val="auto"/>
        </w:rPr>
      </w:pPr>
      <w:r>
        <w:rPr>
          <w:rFonts w:ascii="Times New Roman" w:cs="Times New Roman" w:eastAsia="Times New Roman" w:hAnsi="Times New Roman"/>
          <w:sz w:val="18"/>
          <w:szCs w:val="18"/>
          <w:color w:val="auto"/>
        </w:rPr>
        <w:t>All of our revenue is from contracts with customers. We account for a contract when it has approval and commitment from all parties, the rights of the parties are identified, payment terms are identified, the contract has commercial substance and collectability of consideration is probable. We provide cloud computing to customers, which is broadly defined as the delivery of computing, storage and applications over the Internet. Cloud computing is a service transaction under which the services we provide vary on a daily basis. The totality of services provided represent a single integrated solution tailored to the customer’s specific needs. As such, our performance obligations to our customers consist of a single integrated solution delivered as a series of distinct daily services. We recognize revenue on a daily basis as services are provided in an amount that reflects the consideration to which we expect to be entitled in exchange for the services. Certain hosting contracts contain terms that require us to evaluate whether an embedded lease arrangement exists. If we determine the contract contains a lease arrangement within a multiple-element arrangement, the revenue associated with the lease component is recognized in accordance with the lease accounting standard ASC 842, whereas the revenue associated with the non-lease component is recognized in accordance with the ASC 606 revenue standard. Our usage-based arrangements generally include variable consideration components consisting of monthly utility fees with a defined price and undefined quantity. Additionally, our contracts contain service level guarantees that provide discounts when we fail to meet specific obligations and certain services may include volume discounts based on usage. As these variable consideration components consist of a single distinct daily service provided on a single performance obligation, we account for this consideration as services are provided and earned. In accordance with the series guidance within ASC 606, regarding modification to a single performance obligation, when contracts are modified to add, remove or change existing services, the modification will only affect the accounting for the remaining distinct goods and services provided. As such, our contract modifications are accounted for prospectively.</w:t>
      </w:r>
    </w:p>
    <w:p>
      <w:pPr>
        <w:spacing w:after="0" w:line="222" w:lineRule="exact"/>
        <w:rPr>
          <w:sz w:val="20"/>
          <w:szCs w:val="20"/>
          <w:color w:val="auto"/>
        </w:rPr>
      </w:pPr>
    </w:p>
    <w:p>
      <w:pPr>
        <w:ind w:right="40" w:firstLine="486"/>
        <w:spacing w:after="0" w:line="256" w:lineRule="auto"/>
        <w:rPr>
          <w:sz w:val="20"/>
          <w:szCs w:val="20"/>
          <w:color w:val="auto"/>
        </w:rPr>
      </w:pPr>
      <w:r>
        <w:rPr>
          <w:rFonts w:ascii="Times New Roman" w:cs="Times New Roman" w:eastAsia="Times New Roman" w:hAnsi="Times New Roman"/>
          <w:sz w:val="18"/>
          <w:szCs w:val="18"/>
          <w:color w:val="auto"/>
        </w:rPr>
        <w:t>A substantial amount of revenue, particularly within our Private Cloud segment, relates to fees associated with offerings that generally have a fixed term, typically from 12 to 36 months, with a monthly recurring fee based on the computing resources utilized and provided to the customer, the complexity of the underlying infrastructure, and the level of support we provide. Customers generally have the right to cancel their contracts by providing prior written notice to us of their intent to cancel the remainder of the contract term. Many of our contracts require our customers to pay early termination fees in the event they cancel a contract prior to the end of its term, typically amounting to the outstanding value of the contract. These fees are recognized as revenue in the period of contract termination as we have no further obligation to perform.</w:t>
      </w:r>
    </w:p>
    <w:p>
      <w:pPr>
        <w:spacing w:after="0" w:line="214" w:lineRule="exact"/>
        <w:rPr>
          <w:sz w:val="20"/>
          <w:szCs w:val="20"/>
          <w:color w:val="auto"/>
        </w:rPr>
      </w:pPr>
    </w:p>
    <w:p>
      <w:pPr>
        <w:ind w:right="100" w:firstLine="486"/>
        <w:spacing w:after="0" w:line="256" w:lineRule="auto"/>
        <w:rPr>
          <w:sz w:val="20"/>
          <w:szCs w:val="20"/>
          <w:color w:val="auto"/>
        </w:rPr>
      </w:pPr>
      <w:r>
        <w:rPr>
          <w:rFonts w:ascii="Times New Roman" w:cs="Times New Roman" w:eastAsia="Times New Roman" w:hAnsi="Times New Roman"/>
          <w:sz w:val="18"/>
          <w:szCs w:val="18"/>
          <w:color w:val="auto"/>
        </w:rPr>
        <w:t>Our other primary sources of revenue are for services within our Public Cloud segment and legacy OpenStack business. Customers are generally invoiced monthly based on usage. Contracts for these arrangements typically operate on a consumption model and can be canceled at any time without penalty. We also provide customers with professional services for the design and implementation of application, security and data services. Professional service contracts are either fixed-fee or time-and-materials based. We typically consider these services to be a separate performance obligation from other integrated solutions being provided to the same customer. Our performance obligations under these arrangements are typically to provide the services on a daily basis over a period of time and therefore we recognize revenue as the services are performed.</w:t>
      </w:r>
    </w:p>
    <w:p>
      <w:pPr>
        <w:spacing w:after="0" w:line="214"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We also offer customers the flexibility to select the best combination of offerings in order to meet the requirements of their unique applications and provide the technology to seamlessly operate and manage multiple cloud computing environments. Judgment is required in assessing whether a service is distinct, including determination of whether the customer could benefit from the service on its own or in conjunction with other readily available resources and whether certain services are highly integrated into a bundle of services that represent the combined output specified by the customer. Arrangements can contain multiple performance obligations that are distinct, which are accounted for separately. Each performance obligation is recognized as services are provided based on their SSP. Judgment is required to determine the SSP for each of our distinct performance obligations. We utilize a range of prices when developing our estimates of SSP.</w:t>
      </w:r>
    </w:p>
    <w:p>
      <w:pPr>
        <w:spacing w:after="0" w:line="216" w:lineRule="exact"/>
        <w:rPr>
          <w:sz w:val="20"/>
          <w:szCs w:val="20"/>
          <w:color w:val="auto"/>
        </w:rPr>
      </w:pPr>
    </w:p>
    <w:p>
      <w:pPr>
        <w:ind w:right="140" w:firstLine="486"/>
        <w:spacing w:after="0" w:line="256" w:lineRule="auto"/>
        <w:rPr>
          <w:sz w:val="20"/>
          <w:szCs w:val="20"/>
          <w:color w:val="auto"/>
        </w:rPr>
      </w:pPr>
      <w:r>
        <w:rPr>
          <w:rFonts w:ascii="Times New Roman" w:cs="Times New Roman" w:eastAsia="Times New Roman" w:hAnsi="Times New Roman"/>
          <w:sz w:val="18"/>
          <w:szCs w:val="18"/>
          <w:color w:val="auto"/>
        </w:rPr>
        <w:t>Revenue recognition for revenue generated from arrangements in which we resell third party infrastructure bundled with our managed services, requires judgment to determine whether revenue can be recorded at the gross sales price or net of third party fees. Typically, revenue is recognized on a gross basis when it is determined that we are the principal in the relationship. We are considered the principal in the relationship when we are primarily responsible for fulfilling the contract and obtain control of the third party infrastructure before transferring it as an integral part of our performance obligation to provide services to the customer. Revenue is recognized net of third party fees when we determine that our obligation is only to facilitate the customers’ purchase of third party infrastructure.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- 109 -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Revenue is reported net of customer credits and sales and use tax.</w:t>
      </w:r>
    </w:p>
    <w:p>
      <w:pPr>
        <w:spacing w:after="0" w:line="25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Contract Balances</w:t>
      </w:r>
    </w:p>
    <w:p>
      <w:pPr>
        <w:spacing w:after="0" w:line="254" w:lineRule="exact"/>
        <w:rPr>
          <w:sz w:val="20"/>
          <w:szCs w:val="20"/>
          <w:color w:val="auto"/>
        </w:rPr>
      </w:pPr>
    </w:p>
    <w:p>
      <w:pPr>
        <w:ind w:right="200" w:firstLine="486"/>
        <w:spacing w:after="0" w:line="282" w:lineRule="auto"/>
        <w:rPr>
          <w:sz w:val="20"/>
          <w:szCs w:val="20"/>
          <w:color w:val="auto"/>
        </w:rPr>
      </w:pPr>
      <w:r>
        <w:rPr>
          <w:rFonts w:ascii="Times New Roman" w:cs="Times New Roman" w:eastAsia="Times New Roman" w:hAnsi="Times New Roman"/>
          <w:sz w:val="18"/>
          <w:szCs w:val="18"/>
          <w:color w:val="auto"/>
        </w:rPr>
        <w:t>Timing of revenue recognition may differ from the timing of invoicing to customers. Invoiced amounts and accrued unbilled usage are recorded in accounts receivable and either deferred revenue or revenue.</w:t>
      </w:r>
    </w:p>
    <w:p>
      <w:pPr>
        <w:spacing w:after="0" w:line="189" w:lineRule="exact"/>
        <w:rPr>
          <w:sz w:val="20"/>
          <w:szCs w:val="20"/>
          <w:color w:val="auto"/>
        </w:rPr>
      </w:pPr>
    </w:p>
    <w:p>
      <w:pPr>
        <w:ind w:right="100" w:firstLine="486"/>
        <w:spacing w:after="0" w:line="258" w:lineRule="auto"/>
        <w:rPr>
          <w:sz w:val="20"/>
          <w:szCs w:val="20"/>
          <w:color w:val="auto"/>
        </w:rPr>
      </w:pPr>
      <w:r>
        <w:rPr>
          <w:rFonts w:ascii="Times New Roman" w:cs="Times New Roman" w:eastAsia="Times New Roman" w:hAnsi="Times New Roman"/>
          <w:sz w:val="18"/>
          <w:szCs w:val="18"/>
          <w:color w:val="auto"/>
        </w:rPr>
        <w:t>Trade accounts receivable are recorded at the invoiced amount and generally do not bear interest. Our accounts receivable balance also includes unbilled amounts representing revenue recorded for usage-based services provided in the period but which are invoiced in arrears. We record an allowance for credit losses for estimated losses resulting from uncollectible receivables. When evaluating the adequacy of the allowance, we consider historical bad debt write-offs and all known facts and circumstances such as current economic conditions and trends, customer creditworthiness, and specifically identified customer risks.</w:t>
      </w:r>
    </w:p>
    <w:p>
      <w:pPr>
        <w:spacing w:after="0" w:line="21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Our arrangements contain service level commitments with our customers. To the extent that such service levels are not achieved or are otherwise disputed, we are required to issue service credits for a portion of the service fees paid by our customers. At each reporting period, we accrue for credits which are due to customers, but not yet issued.</w:t>
      </w:r>
    </w:p>
    <w:p>
      <w:pPr>
        <w:spacing w:after="0" w:line="203"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recognize revenue for certain fixed term contracts in which services are provided in advance of the first invoice. This revenue is recognized as a contract asset, separate from accounts receivable. A contract liability, presented as deferred revenue on our Consolidated Balance Sheets, is recognized when services are invoiced prior to being provided.</w:t>
      </w:r>
    </w:p>
    <w:p>
      <w:pPr>
        <w:spacing w:after="0" w:line="20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Cost Incurred to Obtain and Fulfill a Contract</w:t>
      </w:r>
    </w:p>
    <w:p>
      <w:pPr>
        <w:spacing w:after="0" w:line="254" w:lineRule="exact"/>
        <w:rPr>
          <w:sz w:val="20"/>
          <w:szCs w:val="20"/>
          <w:color w:val="auto"/>
        </w:rPr>
      </w:pPr>
    </w:p>
    <w:p>
      <w:pPr>
        <w:ind w:right="100" w:firstLine="486"/>
        <w:spacing w:after="0" w:line="254" w:lineRule="auto"/>
        <w:rPr>
          <w:sz w:val="20"/>
          <w:szCs w:val="20"/>
          <w:color w:val="auto"/>
        </w:rPr>
      </w:pPr>
      <w:r>
        <w:rPr>
          <w:rFonts w:ascii="Times New Roman" w:cs="Times New Roman" w:eastAsia="Times New Roman" w:hAnsi="Times New Roman"/>
          <w:sz w:val="18"/>
          <w:szCs w:val="18"/>
          <w:color w:val="auto"/>
        </w:rPr>
        <w:t>We recognize assets for the incremental costs to obtain and fulfill a contract with a customer. Incremental costs to obtain a contract include sales commissions on the initial contract while costs to fulfill a contract include implementation and set-up related expenses. These costs are capitalized within the Consolidated Balance Sheets and are recognized as expense over the period the related services are expected to be delivered to the customer, which is approximately 30 months including expected renewals. If such period is less than 12 months, we have elected to apply the practical expedient under ASC 606 and expense costs as incurred. We include expected renewals in the period over which related services are expected to be delivered because sales commissions paid on renewals are not material and not commensurate with sales commissions paid on the initial contract. Sales commissions expense is recorded within "Selling, general and administrative expenses" and implementation and amortization of set-up costs are recorded within "Cost of revenue" in the Consolidated Statements of Comprehensive Loss. These capitalized costs are included in "Other non-current assets" in the Consolidated Balance Sheets.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56" w:lineRule="exact"/>
        <w:rPr>
          <w:sz w:val="20"/>
          <w:szCs w:val="20"/>
          <w:color w:val="auto"/>
        </w:rPr>
      </w:pPr>
    </w:p>
    <w:p>
      <w:pPr>
        <w:ind w:right="220" w:firstLine="486"/>
        <w:spacing w:after="0" w:line="261" w:lineRule="auto"/>
        <w:rPr>
          <w:sz w:val="20"/>
          <w:szCs w:val="20"/>
          <w:color w:val="auto"/>
        </w:rPr>
      </w:pPr>
      <w:r>
        <w:rPr>
          <w:rFonts w:ascii="Times New Roman" w:cs="Times New Roman" w:eastAsia="Times New Roman" w:hAnsi="Times New Roman"/>
          <w:sz w:val="18"/>
          <w:szCs w:val="18"/>
          <w:color w:val="auto"/>
        </w:rPr>
        <w:t>Cost of revenue primarily consists of expenses related to personnel, software licenses, the costs to operate our data center facilities, including depreciation expense, and infrastructure expense related to our service offerings bundled with third party clouds. Personnel expenses include the salaries, share-based compensation, non-equity incentive compensation and related expenses of our support teams and data center employees. Data center facility costs include rent, utility costs, maintenance fees, and bandwidth.</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243" w:lineRule="exact"/>
        <w:rPr>
          <w:sz w:val="20"/>
          <w:szCs w:val="20"/>
          <w:color w:val="auto"/>
        </w:rPr>
      </w:pPr>
    </w:p>
    <w:p>
      <w:pPr>
        <w:ind w:right="280" w:firstLine="486"/>
        <w:spacing w:after="0" w:line="261" w:lineRule="auto"/>
        <w:rPr>
          <w:sz w:val="20"/>
          <w:szCs w:val="20"/>
          <w:color w:val="auto"/>
        </w:rPr>
      </w:pPr>
      <w:r>
        <w:rPr>
          <w:rFonts w:ascii="Times New Roman" w:cs="Times New Roman" w:eastAsia="Times New Roman" w:hAnsi="Times New Roman"/>
          <w:sz w:val="18"/>
          <w:szCs w:val="18"/>
          <w:color w:val="auto"/>
        </w:rPr>
        <w:t>SG&amp;A expenses primarily consist of: (i) employee-related costs for functions such as executive management, sales and marketing, R&amp;D, finance and accounting, human resources, information technology, and legal; (ii) costs for advertising and promoting our services and to generate customer demand; (iii) general costs such as professional fees, office facilities, software, and equipment expenses, including the related depreciation, and other overhead costs; and (iv) definite-lived intangibles amortization expense.</w:t>
      </w:r>
    </w:p>
    <w:p>
      <w:pPr>
        <w:spacing w:after="0" w:line="207" w:lineRule="exact"/>
        <w:rPr>
          <w:sz w:val="20"/>
          <w:szCs w:val="20"/>
          <w:color w:val="auto"/>
        </w:rPr>
      </w:pPr>
    </w:p>
    <w:p>
      <w:pPr>
        <w:ind w:right="220" w:firstLine="486"/>
        <w:spacing w:after="0" w:line="282" w:lineRule="auto"/>
        <w:rPr>
          <w:sz w:val="20"/>
          <w:szCs w:val="20"/>
          <w:color w:val="auto"/>
        </w:rPr>
      </w:pPr>
      <w:r>
        <w:rPr>
          <w:rFonts w:ascii="Times New Roman" w:cs="Times New Roman" w:eastAsia="Times New Roman" w:hAnsi="Times New Roman"/>
          <w:sz w:val="18"/>
          <w:szCs w:val="18"/>
          <w:color w:val="auto"/>
        </w:rPr>
        <w:t>Advertising costs are expensed in the period incurred. Advertising expense was $34.4 million, $27.6 million and $26.4 million for the years ended December 31, 2022, 2023 and 2024, respectively.</w:t>
      </w:r>
    </w:p>
    <w:p>
      <w:pPr>
        <w:spacing w:after="0" w:line="1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R&amp;D expense was $24.5 million, $43.7 million and $45.4 million, for the years ended December 31, 2022, 2023 and 2024,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243"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We grant equity awards, including stock options and restricted stock, to eligible participants. Share-based compensation expense for equity awards is measured at fair value on the grant date. The fair value of stock options with either solely a service requirement or with the combination of service and performance requirements is determined using the Black-Scholes valuation model, which requires us to make assumptions and judgments about variables related to our common stock and the related awards. The fair value of restricted stock with either solely a service requirement or with the combination of service and performance requirements is based on the closing fair market value of our common stock on the date of grant. The fair value of awards with vesting conditions dependent upon market performance is determined using a Monte Carlo simulation. Share-based compensation expense is recognized over the awards requisite service period. For awards with graded vesting that are subject only to a service condition, the expense is recognized on a straight-line basis over the service period for the entire award. Expense for awards with a performance condition is recognized over our best estimate of the period over which the performance condition will be met. Forfeitures are recognized as incurred, rather than estimated.</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56"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Income taxes are accounted for using the asset and liability method. Deferred income taxes are provided for temporary differences in recognizing certain income, expense, and credit items for financial reporting purposes and tax reporting purposes. Such deferred income taxes primarily relate to the difference between the tax bases of assets and liabilities and their financial reporting amounts. Deferred tax assets and liabilities are measured by applying enacted statutory tax rates applicable to the future years in which deferred tax assets or liabilities are expected to be settled or realized. In assessing the realizability of deferred tax assets, management considers whether it is more likely than not that some portion or all of the deferred tax assets will be realized. The ultimate realization of deferred tax assets is dependent upon the generation of future taxable income during the periods in which those temporary differences become deductible. Management considers the scheduled reversals of deferred tax liabilities, projected future taxable income and tax planning strategies in making this assessment.</w:t>
      </w:r>
    </w:p>
    <w:p>
      <w:pPr>
        <w:spacing w:after="0" w:line="219" w:lineRule="exact"/>
        <w:rPr>
          <w:sz w:val="20"/>
          <w:szCs w:val="20"/>
          <w:color w:val="auto"/>
        </w:rPr>
      </w:pPr>
    </w:p>
    <w:p>
      <w:pPr>
        <w:ind w:right="240" w:firstLine="486"/>
        <w:spacing w:after="0" w:line="266" w:lineRule="auto"/>
        <w:rPr>
          <w:sz w:val="20"/>
          <w:szCs w:val="20"/>
          <w:color w:val="auto"/>
        </w:rPr>
      </w:pPr>
      <w:r>
        <w:rPr>
          <w:rFonts w:ascii="Times New Roman" w:cs="Times New Roman" w:eastAsia="Times New Roman" w:hAnsi="Times New Roman"/>
          <w:sz w:val="18"/>
          <w:szCs w:val="18"/>
          <w:color w:val="auto"/>
        </w:rPr>
        <w:t>We are periodically under certain domestic and foreign tax audits. Due to the complexity involved with certain tax matters, there is the possibility that the various taxing authorities may disagree with certain tax positions filed on our income tax returns. We have considered all relevant facts and circumstances and believe that we have made adequate provision for all uncertain tax positions.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256" w:lineRule="exact"/>
        <w:rPr>
          <w:sz w:val="20"/>
          <w:szCs w:val="20"/>
          <w:color w:val="auto"/>
        </w:rPr>
      </w:pPr>
    </w:p>
    <w:p>
      <w:pPr>
        <w:ind w:right="580" w:firstLine="486"/>
        <w:spacing w:after="0" w:line="312" w:lineRule="auto"/>
        <w:rPr>
          <w:sz w:val="20"/>
          <w:szCs w:val="20"/>
          <w:color w:val="auto"/>
        </w:rPr>
      </w:pPr>
      <w:r>
        <w:rPr>
          <w:rFonts w:ascii="Times New Roman" w:cs="Times New Roman" w:eastAsia="Times New Roman" w:hAnsi="Times New Roman"/>
          <w:sz w:val="17"/>
          <w:szCs w:val="17"/>
          <w:color w:val="auto"/>
        </w:rPr>
        <w:t>Fair value is defined as the price that would be received to sell an asset or paid to transfer a liability in an orderly transaction between market participants at the measurement date. The fair value hierarchy below prioritizes the inputs used in measuring fair value into three categories:</w:t>
      </w:r>
    </w:p>
    <w:p>
      <w:pPr>
        <w:spacing w:after="0" w:line="16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Level 1 – Observable inputs such as quoted prices in active markets for identical assets or liabilities;</w:t>
      </w:r>
    </w:p>
    <w:p>
      <w:pPr>
        <w:spacing w:after="0" w:line="252" w:lineRule="exact"/>
        <w:rPr>
          <w:sz w:val="20"/>
          <w:szCs w:val="20"/>
          <w:color w:val="auto"/>
        </w:rPr>
      </w:pPr>
    </w:p>
    <w:p>
      <w:pPr>
        <w:ind w:left="500" w:right="240"/>
        <w:spacing w:after="0" w:line="266" w:lineRule="auto"/>
        <w:rPr>
          <w:sz w:val="20"/>
          <w:szCs w:val="20"/>
          <w:color w:val="auto"/>
        </w:rPr>
      </w:pPr>
      <w:r>
        <w:rPr>
          <w:rFonts w:ascii="Times New Roman" w:cs="Times New Roman" w:eastAsia="Times New Roman" w:hAnsi="Times New Roman"/>
          <w:sz w:val="18"/>
          <w:szCs w:val="18"/>
          <w:color w:val="auto"/>
        </w:rPr>
        <w:t>Level 2 – 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 and</w:t>
      </w:r>
    </w:p>
    <w:p>
      <w:pPr>
        <w:spacing w:after="0" w:line="203" w:lineRule="exact"/>
        <w:rPr>
          <w:sz w:val="20"/>
          <w:szCs w:val="20"/>
          <w:color w:val="auto"/>
        </w:rPr>
      </w:pPr>
    </w:p>
    <w:p>
      <w:pPr>
        <w:ind w:left="500" w:right="120"/>
        <w:spacing w:after="0" w:line="282" w:lineRule="auto"/>
        <w:rPr>
          <w:sz w:val="20"/>
          <w:szCs w:val="20"/>
          <w:color w:val="auto"/>
        </w:rPr>
      </w:pPr>
      <w:r>
        <w:rPr>
          <w:rFonts w:ascii="Times New Roman" w:cs="Times New Roman" w:eastAsia="Times New Roman" w:hAnsi="Times New Roman"/>
          <w:sz w:val="18"/>
          <w:szCs w:val="18"/>
          <w:color w:val="auto"/>
        </w:rPr>
        <w:t>Level 3 – Unobservable inputs that are supported by little or no market activity, which require management judgment or estimation. The fair values are therefore determined using model-based techniques, including discounted cash flow models.</w:t>
      </w:r>
    </w:p>
    <w:p>
      <w:pPr>
        <w:spacing w:after="0" w:line="189"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Financial instruments measured at fair value on a recurring basis primarily consist of money market funds and derivative instruments. The fair values of money market funds are measured using Level 1 inputs, which are based on a market approach using prices and other relevant information generated by market transactions involving identical or comparable assets. The fair values of derivative instruments are measured using Level 2 inputs. See "Derivative Instruments" below for more information on the inputs used to fair value our derivative instruments.</w:t>
      </w:r>
    </w:p>
    <w:p>
      <w:pPr>
        <w:spacing w:after="0" w:line="207" w:lineRule="exact"/>
        <w:rPr>
          <w:sz w:val="20"/>
          <w:szCs w:val="20"/>
          <w:color w:val="auto"/>
        </w:rPr>
      </w:pPr>
    </w:p>
    <w:p>
      <w:pPr>
        <w:ind w:right="100" w:firstLine="486"/>
        <w:spacing w:after="0" w:line="282" w:lineRule="auto"/>
        <w:rPr>
          <w:sz w:val="20"/>
          <w:szCs w:val="20"/>
          <w:color w:val="auto"/>
        </w:rPr>
      </w:pPr>
      <w:r>
        <w:rPr>
          <w:rFonts w:ascii="Times New Roman" w:cs="Times New Roman" w:eastAsia="Times New Roman" w:hAnsi="Times New Roman"/>
          <w:sz w:val="18"/>
          <w:szCs w:val="18"/>
          <w:color w:val="auto"/>
        </w:rPr>
        <w:t>The fair values of our long-term debt instruments are measured using Level 2 inputs. See Note 7, "Debt" for more information on the inputs used to fair value our long-term debt instruments.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- 111 -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0" w:firstLine="486"/>
        <w:spacing w:after="0" w:line="266" w:lineRule="auto"/>
        <w:rPr>
          <w:sz w:val="20"/>
          <w:szCs w:val="20"/>
          <w:color w:val="auto"/>
        </w:rPr>
      </w:pPr>
      <w:r>
        <w:rPr>
          <w:rFonts w:ascii="Times New Roman" w:cs="Times New Roman" w:eastAsia="Times New Roman" w:hAnsi="Times New Roman"/>
          <w:sz w:val="18"/>
          <w:szCs w:val="18"/>
          <w:color w:val="auto"/>
        </w:rPr>
        <w:t>The fair values of acquired identifiable assets and liabilities assumed in acquisitions accounted for as business combinations are measured using Level 3 inputs. Refer to "Business Combinations" above for more information on the inputs used to fair value our identifiable assets and liabilities assumed in acquisitions.</w:t>
      </w:r>
    </w:p>
    <w:p>
      <w:pPr>
        <w:spacing w:after="0" w:line="203" w:lineRule="exact"/>
        <w:rPr>
          <w:sz w:val="20"/>
          <w:szCs w:val="20"/>
          <w:color w:val="auto"/>
        </w:rPr>
      </w:pPr>
    </w:p>
    <w:p>
      <w:pPr>
        <w:ind w:right="260" w:firstLine="486"/>
        <w:spacing w:after="0" w:line="282" w:lineRule="auto"/>
        <w:rPr>
          <w:sz w:val="20"/>
          <w:szCs w:val="20"/>
          <w:color w:val="auto"/>
        </w:rPr>
      </w:pPr>
      <w:r>
        <w:rPr>
          <w:rFonts w:ascii="Times New Roman" w:cs="Times New Roman" w:eastAsia="Times New Roman" w:hAnsi="Times New Roman"/>
          <w:sz w:val="18"/>
          <w:szCs w:val="18"/>
          <w:color w:val="auto"/>
        </w:rPr>
        <w:t>The fair values of our reporting units and indefinite-lived intangible assets are measured using Level 3 inputs. See "Goodwill and Indefinite-lived Intangible Assets" above for more information on the inputs used to fair value our reporting units and indefinite-lived intangible assets.</w:t>
      </w:r>
    </w:p>
    <w:p>
      <w:pPr>
        <w:spacing w:after="0" w:line="189"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The fair value of the convertible promissory note described in Note 2, "Customer Contracts" is classified as Level 3 in the fair value hierarchy due to the use of unobservable inputs such as the issuer's credit risk and probabilities of various settlement scenarios.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w:t>
      </w:r>
    </w:p>
    <w:p>
      <w:pPr>
        <w:spacing w:after="0" w:line="256" w:lineRule="exact"/>
        <w:rPr>
          <w:sz w:val="20"/>
          <w:szCs w:val="20"/>
          <w:color w:val="auto"/>
        </w:rPr>
      </w:pPr>
    </w:p>
    <w:p>
      <w:pPr>
        <w:ind w:right="200" w:firstLine="486"/>
        <w:spacing w:after="0" w:line="261" w:lineRule="auto"/>
        <w:rPr>
          <w:sz w:val="20"/>
          <w:szCs w:val="20"/>
          <w:color w:val="auto"/>
        </w:rPr>
      </w:pPr>
      <w:r>
        <w:rPr>
          <w:rFonts w:ascii="Times New Roman" w:cs="Times New Roman" w:eastAsia="Times New Roman" w:hAnsi="Times New Roman"/>
          <w:sz w:val="18"/>
          <w:szCs w:val="18"/>
          <w:color w:val="auto"/>
        </w:rPr>
        <w:t>We have assessed the functional currency of each of our international subsidiaries and have generally designated the local currency to be their respective functional currencies. The assets and liabilities of our international subsidiaries are translated to the U.S. dollar at the end-of-period exchange rates. Capital accounts are determined to be of a permanent nature and are therefore translated using historical exchange rates. Revenue and expenses are translated using average exchange rates.</w:t>
      </w:r>
    </w:p>
    <w:p>
      <w:pPr>
        <w:spacing w:after="0" w:line="207" w:lineRule="exact"/>
        <w:rPr>
          <w:sz w:val="20"/>
          <w:szCs w:val="20"/>
          <w:color w:val="auto"/>
        </w:rPr>
      </w:pPr>
    </w:p>
    <w:p>
      <w:pPr>
        <w:ind w:right="200" w:firstLine="486"/>
        <w:spacing w:after="0" w:line="282" w:lineRule="auto"/>
        <w:rPr>
          <w:sz w:val="20"/>
          <w:szCs w:val="20"/>
          <w:color w:val="auto"/>
        </w:rPr>
      </w:pPr>
      <w:r>
        <w:rPr>
          <w:rFonts w:ascii="Times New Roman" w:cs="Times New Roman" w:eastAsia="Times New Roman" w:hAnsi="Times New Roman"/>
          <w:sz w:val="18"/>
          <w:szCs w:val="18"/>
          <w:color w:val="auto"/>
        </w:rPr>
        <w:t>Foreign currency translation adjustments arising from differences in exchange rates from period to period are recorded within "Accumulated other comprehensive income" in the Consolidated Balance Sheets.</w:t>
      </w:r>
    </w:p>
    <w:p>
      <w:pPr>
        <w:spacing w:after="0" w:line="189" w:lineRule="exact"/>
        <w:rPr>
          <w:sz w:val="20"/>
          <w:szCs w:val="20"/>
          <w:color w:val="auto"/>
        </w:rPr>
      </w:pPr>
    </w:p>
    <w:p>
      <w:pPr>
        <w:ind w:right="60" w:firstLine="486"/>
        <w:spacing w:after="0" w:line="266" w:lineRule="auto"/>
        <w:rPr>
          <w:sz w:val="20"/>
          <w:szCs w:val="20"/>
          <w:color w:val="auto"/>
        </w:rPr>
      </w:pPr>
      <w:r>
        <w:rPr>
          <w:rFonts w:ascii="Times New Roman" w:cs="Times New Roman" w:eastAsia="Times New Roman" w:hAnsi="Times New Roman"/>
          <w:sz w:val="18"/>
          <w:szCs w:val="18"/>
          <w:color w:val="auto"/>
        </w:rPr>
        <w:t>Transaction gains or losses in currencies other than the functional currency are included as a component of "Other expense, net" in the Consolidated Statements of Comprehensive Loss. We recorded transaction losses of $10.1 million, gains of $3.9 million, and losses of $2.4 million for the years ended December 31, 2022, 2023 and 2024, respectively.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Instruments</w:t>
      </w:r>
    </w:p>
    <w:p>
      <w:pPr>
        <w:spacing w:after="0" w:line="256"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We utilize derivative instruments, including interest rate swap agreements, foreign currency hedging contracts and fixed price power contracts, to manage our exposure to interest rate risk, foreign currency fluctuations and commodity price risk. We only hold such instruments for economic hedging purposes, not for speculative or trading purposes. Our derivative instruments are transacted only with highly-rated institutions, which reduces our exposure to credit risk in the event of nonperformance.</w:t>
      </w:r>
    </w:p>
    <w:p>
      <w:pPr>
        <w:spacing w:after="0" w:line="20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Interest Rate Swaps</w:t>
      </w:r>
    </w:p>
    <w:p>
      <w:pPr>
        <w:spacing w:after="0" w:line="254" w:lineRule="exact"/>
        <w:rPr>
          <w:sz w:val="20"/>
          <w:szCs w:val="20"/>
          <w:color w:val="auto"/>
        </w:rPr>
      </w:pPr>
    </w:p>
    <w:p>
      <w:pPr>
        <w:ind w:right="20" w:firstLine="486"/>
        <w:spacing w:after="0" w:line="258" w:lineRule="auto"/>
        <w:rPr>
          <w:sz w:val="20"/>
          <w:szCs w:val="20"/>
          <w:color w:val="auto"/>
        </w:rPr>
      </w:pPr>
      <w:r>
        <w:rPr>
          <w:rFonts w:ascii="Times New Roman" w:cs="Times New Roman" w:eastAsia="Times New Roman" w:hAnsi="Times New Roman"/>
          <w:sz w:val="18"/>
          <w:szCs w:val="18"/>
          <w:color w:val="auto"/>
        </w:rPr>
        <w:t>We are exposed to interest rate risk associated with fluctuations in interest rates on the floating-rate Term Loan Facility, FLSO Term Loan Facility, and FLFO Term Loan Facility. The objective in using interest rate derivatives is to manage our exposure to interest rate movements. To accomplish this objective, we have entered into interest rate swap agreements as part of our interest rate risk management strategy. Interest rate swaps involve the receipt of variable amounts from a counterparty in exchange for the company making fixed-rate payments over the life of the agreements without exchange of the underlying notional amount.</w:t>
      </w:r>
    </w:p>
    <w:p>
      <w:pPr>
        <w:spacing w:after="0" w:line="210" w:lineRule="exact"/>
        <w:rPr>
          <w:sz w:val="20"/>
          <w:szCs w:val="20"/>
          <w:color w:val="auto"/>
        </w:rPr>
      </w:pPr>
    </w:p>
    <w:p>
      <w:pPr>
        <w:ind w:right="200" w:firstLine="486"/>
        <w:spacing w:after="0" w:line="282" w:lineRule="auto"/>
        <w:rPr>
          <w:sz w:val="20"/>
          <w:szCs w:val="20"/>
          <w:color w:val="auto"/>
        </w:rPr>
      </w:pPr>
      <w:r>
        <w:rPr>
          <w:rFonts w:ascii="Times New Roman" w:cs="Times New Roman" w:eastAsia="Times New Roman" w:hAnsi="Times New Roman"/>
          <w:sz w:val="18"/>
          <w:szCs w:val="18"/>
          <w:color w:val="auto"/>
        </w:rPr>
        <w:t>Our interest rate swaps, excluding the portion treated as debt, are recognized at fair value in the Consolidated Balance Sheets and are valued using pricing models that rely on market observable inputs such as yield curve data, which are classified as Level 2 inputs within the fair value hierarchy.</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- 112 -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Foreign Currency Hedging Contracts</w:t>
      </w:r>
    </w:p>
    <w:p>
      <w:pPr>
        <w:spacing w:after="0" w:line="254" w:lineRule="exact"/>
        <w:rPr>
          <w:sz w:val="20"/>
          <w:szCs w:val="20"/>
          <w:color w:val="auto"/>
        </w:rPr>
      </w:pPr>
    </w:p>
    <w:p>
      <w:pPr>
        <w:ind w:right="100" w:firstLine="486"/>
        <w:spacing w:after="0" w:line="254" w:lineRule="auto"/>
        <w:rPr>
          <w:sz w:val="20"/>
          <w:szCs w:val="20"/>
          <w:color w:val="auto"/>
        </w:rPr>
      </w:pPr>
      <w:r>
        <w:rPr>
          <w:rFonts w:ascii="Times New Roman" w:cs="Times New Roman" w:eastAsia="Times New Roman" w:hAnsi="Times New Roman"/>
          <w:sz w:val="18"/>
          <w:szCs w:val="18"/>
          <w:color w:val="auto"/>
        </w:rPr>
        <w:t>The majority of our customers are invoiced, and the majority of our expenses are paid, by us or our subsidiaries in the functional currency of our company or our subsidiaries, respectively. We also have exposure to foreign currency transaction gains and losses as the result of certain receivables due from our foreign subsidiaries. As such, the results of operations and cash flows of our foreign subsidiaries are subject to fluctuations in foreign currency exchange rates. The objective of our foreign currency hedging contracts is to manage our exposure to foreign currency movements. To accomplish this objective, we may enter into foreign currency forward contracts and collars. A forward contract is an agreement to buy or sell a quantity of a currency at a predetermined future date and at a predetermined exchange rate. A collar is a strategy that uses a combination of a purchased put option and a sold call option with equal premiums to hedge a portion of anticipated cash flows, or to limit possible gains or losses on an underlying asset or liability to a specific range. The put and call options have identical notional amounts and settlement dates.</w:t>
      </w:r>
    </w:p>
    <w:p>
      <w:pPr>
        <w:spacing w:after="0" w:line="219" w:lineRule="exact"/>
        <w:rPr>
          <w:sz w:val="20"/>
          <w:szCs w:val="20"/>
          <w:color w:val="auto"/>
        </w:rPr>
      </w:pPr>
    </w:p>
    <w:p>
      <w:pPr>
        <w:jc w:val="both"/>
        <w:ind w:right="100" w:firstLine="486"/>
        <w:spacing w:after="0" w:line="266" w:lineRule="auto"/>
        <w:rPr>
          <w:sz w:val="20"/>
          <w:szCs w:val="20"/>
          <w:color w:val="auto"/>
        </w:rPr>
      </w:pPr>
      <w:r>
        <w:rPr>
          <w:rFonts w:ascii="Times New Roman" w:cs="Times New Roman" w:eastAsia="Times New Roman" w:hAnsi="Times New Roman"/>
          <w:sz w:val="18"/>
          <w:szCs w:val="18"/>
          <w:color w:val="auto"/>
        </w:rPr>
        <w:t>These contracts are recognized at fair value in the Consolidated Balance Sheets and are valued using pricing models that rely on market observable inputs such as current exchange rates, which are classified as Level 2 inputs within the fair value hierarchy. We have not designated these contracts as cash flow hedges for accounting purposes, therefore, all changes in the fair value are recorded in "Other expense, net."</w:t>
      </w:r>
    </w:p>
    <w:p>
      <w:pPr>
        <w:spacing w:after="0" w:line="20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December 31, 2023 and 2024, we do not have any outstanding foreign currency hedging contracts.</w:t>
      </w:r>
    </w:p>
    <w:p>
      <w:pPr>
        <w:spacing w:after="0" w:line="25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Fixed Price Power Contracts</w:t>
      </w:r>
    </w:p>
    <w:p>
      <w:pPr>
        <w:spacing w:after="0" w:line="254"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We consume a large quantity of power to operate our data centers and as such are exposed to risk associated with fluctuations in the price of power. The objective of our fixed price power contracts is to manage our exposure to the price of power. The fixed price power contracts, which we enter into from time to time to manage the risk related to the uncertainty of future power prices, allow for the purchase of a set volume of power at a fixed rate.</w:t>
      </w:r>
    </w:p>
    <w:p>
      <w:pPr>
        <w:spacing w:after="0" w:line="203" w:lineRule="exact"/>
        <w:rPr>
          <w:sz w:val="20"/>
          <w:szCs w:val="20"/>
          <w:color w:val="auto"/>
        </w:rPr>
      </w:pPr>
    </w:p>
    <w:p>
      <w:pPr>
        <w:ind w:right="40" w:firstLine="486"/>
        <w:spacing w:after="0" w:line="258" w:lineRule="auto"/>
        <w:rPr>
          <w:sz w:val="20"/>
          <w:szCs w:val="20"/>
          <w:color w:val="auto"/>
        </w:rPr>
      </w:pPr>
      <w:r>
        <w:rPr>
          <w:rFonts w:ascii="Times New Roman" w:cs="Times New Roman" w:eastAsia="Times New Roman" w:hAnsi="Times New Roman"/>
          <w:sz w:val="18"/>
          <w:szCs w:val="18"/>
          <w:color w:val="auto"/>
        </w:rPr>
        <w:t>We evaluate every fixed price power contract to determine if the contract meets the definition of a derivative, which requires recognizing the contract at fair value on the Consolidated Balance Sheets with changes in the fair value recorded in the Consolidated Statements of Comprehensive Loss. If a contract is deemed to be a derivative, we also determine if it qualifies for the normal purchases and normal sales scope exception to derivative accounting, which would result in expensing electricity usage as incurred. Power contracts accounted for as derivatives are valued using pricing models that rely on market observable inputs such as current power prices, which are classified as Level 2 inputs within the fair value hierarchy.</w:t>
      </w:r>
    </w:p>
    <w:p>
      <w:pPr>
        <w:spacing w:after="0" w:line="210" w:lineRule="exact"/>
        <w:rPr>
          <w:sz w:val="20"/>
          <w:szCs w:val="20"/>
          <w:color w:val="auto"/>
        </w:rPr>
      </w:pPr>
    </w:p>
    <w:p>
      <w:pPr>
        <w:ind w:right="420" w:firstLine="486"/>
        <w:spacing w:after="0" w:line="282" w:lineRule="auto"/>
        <w:rPr>
          <w:sz w:val="20"/>
          <w:szCs w:val="20"/>
          <w:color w:val="auto"/>
        </w:rPr>
      </w:pPr>
      <w:r>
        <w:rPr>
          <w:rFonts w:ascii="Times New Roman" w:cs="Times New Roman" w:eastAsia="Times New Roman" w:hAnsi="Times New Roman"/>
          <w:sz w:val="18"/>
          <w:szCs w:val="18"/>
          <w:color w:val="auto"/>
        </w:rPr>
        <w:t>As of December 31, 2023 and 2024, we do not have any power contracts recorded at fair value on the Consolidated Balance Sheets, as we have applied the normal purchases and normal sales scope exception to derivative accounting for all fixed priced power contracts.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- 113 -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Adopted</w:t>
      </w:r>
    </w:p>
    <w:p>
      <w:pPr>
        <w:spacing w:after="0" w:line="2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u w:val="single" w:color="auto"/>
          <w:color w:val="auto"/>
        </w:rPr>
        <w:t>Segment Reporting Disclosures</w:t>
      </w:r>
    </w:p>
    <w:p>
      <w:pPr>
        <w:spacing w:after="0" w:line="250" w:lineRule="exact"/>
        <w:rPr>
          <w:sz w:val="20"/>
          <w:szCs w:val="20"/>
          <w:color w:val="auto"/>
        </w:rPr>
      </w:pPr>
    </w:p>
    <w:p>
      <w:pPr>
        <w:ind w:right="180" w:firstLine="486"/>
        <w:spacing w:after="0" w:line="256" w:lineRule="auto"/>
        <w:rPr>
          <w:sz w:val="20"/>
          <w:szCs w:val="20"/>
          <w:color w:val="auto"/>
        </w:rPr>
      </w:pPr>
      <w:r>
        <w:rPr>
          <w:rFonts w:ascii="Times New Roman" w:cs="Times New Roman" w:eastAsia="Times New Roman" w:hAnsi="Times New Roman"/>
          <w:sz w:val="18"/>
          <w:szCs w:val="18"/>
          <w:color w:val="auto"/>
        </w:rPr>
        <w:t xml:space="preserve">In November 2023, the FASB issued ASU No. 2023-07, </w:t>
      </w:r>
      <w:r>
        <w:rPr>
          <w:rFonts w:ascii="Times New Roman" w:cs="Times New Roman" w:eastAsia="Times New Roman" w:hAnsi="Times New Roman"/>
          <w:sz w:val="18"/>
          <w:szCs w:val="18"/>
          <w:i w:val="1"/>
          <w:iCs w:val="1"/>
          <w:color w:val="auto"/>
        </w:rPr>
        <w:t>Segment Reporting (Topic 280) - Improvements to Reportable Segment Disclosures</w:t>
      </w:r>
      <w:r>
        <w:rPr>
          <w:rFonts w:ascii="Times New Roman" w:cs="Times New Roman" w:eastAsia="Times New Roman" w:hAnsi="Times New Roman"/>
          <w:sz w:val="18"/>
          <w:szCs w:val="18"/>
          <w:color w:val="auto"/>
        </w:rPr>
        <w:t>. ASU 2023-07 requires disclosure of incremental segment information on an annual and interim basis, including significant segment expenses that are regularly provided to the Chief Operating Decision Maker (“CODM”) and included within each reported measure of segment profit or loss. Additionally, the ASU requires disclosure of the title and position of our CODM and an explanation of how the CODM uses the reported measures of segment profit or loss in assessing segment performance and deciding how to allocate resources. The ASU does not change how a public entity identifies its operating segments, aggregates them, or applies the quantitative thresholds to determine its reportable segments. We have applied this guidance retrospectively to our annual segment disclosures in Note 16, "Segment Reporting" and will apply the interim disclosures beginning with the first quarter 2025 Form 10-Q.</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Accounting Pronouncements Not Yet Adopted</w:t>
      </w:r>
    </w:p>
    <w:p>
      <w:pPr>
        <w:spacing w:after="0" w:line="2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u w:val="single" w:color="auto"/>
          <w:color w:val="auto"/>
        </w:rPr>
        <w:t>Income Tax Disclosures</w:t>
      </w:r>
    </w:p>
    <w:p>
      <w:pPr>
        <w:spacing w:after="0" w:line="250" w:lineRule="exact"/>
        <w:rPr>
          <w:sz w:val="20"/>
          <w:szCs w:val="20"/>
          <w:color w:val="auto"/>
        </w:rPr>
      </w:pPr>
    </w:p>
    <w:p>
      <w:pPr>
        <w:ind w:right="40" w:firstLine="486"/>
        <w:spacing w:after="0" w:line="257" w:lineRule="auto"/>
        <w:rPr>
          <w:sz w:val="20"/>
          <w:szCs w:val="20"/>
          <w:color w:val="auto"/>
        </w:rPr>
      </w:pPr>
      <w:r>
        <w:rPr>
          <w:rFonts w:ascii="Times New Roman" w:cs="Times New Roman" w:eastAsia="Times New Roman" w:hAnsi="Times New Roman"/>
          <w:sz w:val="18"/>
          <w:szCs w:val="18"/>
          <w:color w:val="auto"/>
        </w:rPr>
        <w:t xml:space="preserve">In December 2023, the FASB issued ASU No. 2023-09, </w:t>
      </w:r>
      <w:r>
        <w:rPr>
          <w:rFonts w:ascii="Times New Roman" w:cs="Times New Roman" w:eastAsia="Times New Roman" w:hAnsi="Times New Roman"/>
          <w:sz w:val="18"/>
          <w:szCs w:val="18"/>
          <w:i w:val="1"/>
          <w:iCs w:val="1"/>
          <w:color w:val="auto"/>
        </w:rPr>
        <w:t>Income Taxes (Topic 740) - Improvements to Income Tax Disclosures</w:t>
      </w:r>
      <w:r>
        <w:rPr>
          <w:rFonts w:ascii="Times New Roman" w:cs="Times New Roman" w:eastAsia="Times New Roman" w:hAnsi="Times New Roman"/>
          <w:sz w:val="18"/>
          <w:szCs w:val="18"/>
          <w:color w:val="auto"/>
        </w:rPr>
        <w:t>. ASU 2023-09 expands the existing disclosure requirements for the annual rate reconciliation between the effective tax rate and the statutory federal tax rate by requiring reconciliation items to be disaggregated by defined categories and disclosed as both percentages and amounts. The ASU also requires the disaggregation of income taxes paid by jurisdiction for each annual period presented. This guidance is effective for Rackspace beginning with our 2025 Form 10-K annual disclosures, with early adoption permitted. The guidance should be applied on a prospective basis, but retrospective application is permitted. We are currently evaluating the provisions of the ASU and, once adopted, will result in increased income tax disclosures.</w:t>
      </w:r>
    </w:p>
    <w:p>
      <w:pPr>
        <w:spacing w:after="0" w:line="19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u w:val="single" w:color="auto"/>
          <w:color w:val="auto"/>
        </w:rPr>
        <w:t>Disaggregation of Income Statement Expenses</w:t>
      </w:r>
    </w:p>
    <w:p>
      <w:pPr>
        <w:spacing w:after="0" w:line="237"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 xml:space="preserve">In November 2024, the FASB issued ASU No. 2024-03, </w:t>
      </w:r>
      <w:r>
        <w:rPr>
          <w:rFonts w:ascii="Times New Roman" w:cs="Times New Roman" w:eastAsia="Times New Roman" w:hAnsi="Times New Roman"/>
          <w:sz w:val="18"/>
          <w:szCs w:val="18"/>
          <w:i w:val="1"/>
          <w:iCs w:val="1"/>
          <w:color w:val="auto"/>
        </w:rPr>
        <w:t>Income Statement - Reporting Comprehensive Income - Expense Disaggregation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Disclosures (Subtopic 220-40): Disaggregation of Income Statement Expenses</w:t>
      </w:r>
      <w:r>
        <w:rPr>
          <w:rFonts w:ascii="Times New Roman" w:cs="Times New Roman" w:eastAsia="Times New Roman" w:hAnsi="Times New Roman"/>
          <w:sz w:val="18"/>
          <w:szCs w:val="18"/>
          <w:color w:val="auto"/>
        </w:rPr>
        <w:t>. ASU 2024-03 requires disclosure, on an annual and interim basis,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detailed information about the types of expenses included in commonly presented income statement expense captions. Specifically, the guidance requires disaggregated disclosure of specific expense categories including (a) purchases of inventory; (b) employee compensation; (c) depreciation; and (d) intangible asset amortization presented on the face of the income statement within continuing operations. The guidance also requires inclusion of certain amounts already required to be disclosed under generally accepted accounting principles, a qualitative description of remaining amounts in relevant expense captions that are not separately disaggregated quantitatively, the total amount of selling expenses, and, in annual reporting periods, an entity’s definition of selling expenses. This guidance is effective for Rackspace beginning with our 2027 Form 10-K for annual disclosures and interim disclosures beginning with the first quarter 2028 Form 10-Q, with early adoption permitted. The guidance should be applied either prospectively to financial statements issued for reporting periods after the effective date or retrospectively to any or all prior periods presented in the financial statements. We are currently evaluating the provisions of this ASU and, once adopted, will result in additional disclosures about certain expenses in the notes to our financial statements.</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- 114 -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Customer Contracts</w:t>
      </w:r>
    </w:p>
    <w:p>
      <w:pPr>
        <w:spacing w:after="0" w:line="25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the balances related to customer contracts:</w:t>
      </w:r>
    </w:p>
    <w:p>
      <w:pPr>
        <w:spacing w:after="0" w:line="181"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3660" w:type="dxa"/>
            <w:vAlign w:val="bottom"/>
          </w:tcPr>
          <w:p>
            <w:pPr>
              <w:spacing w:after="0"/>
              <w:rPr>
                <w:sz w:val="16"/>
                <w:szCs w:val="16"/>
                <w:color w:val="auto"/>
              </w:rPr>
            </w:pPr>
          </w:p>
        </w:tc>
        <w:tc>
          <w:tcPr>
            <w:tcW w:w="3440" w:type="dxa"/>
            <w:vAlign w:val="bottom"/>
            <w:gridSpan w:val="2"/>
            <w:vMerge w:val="restart"/>
          </w:tcPr>
          <w:p>
            <w:pPr>
              <w:ind w:left="360"/>
              <w:spacing w:after="0"/>
              <w:rPr>
                <w:sz w:val="20"/>
                <w:szCs w:val="20"/>
                <w:color w:val="auto"/>
              </w:rPr>
            </w:pPr>
            <w:r>
              <w:rPr>
                <w:rFonts w:ascii="Times New Roman" w:cs="Times New Roman" w:eastAsia="Times New Roman" w:hAnsi="Times New Roman"/>
                <w:sz w:val="16"/>
                <w:szCs w:val="16"/>
                <w:b w:val="1"/>
                <w:bCs w:val="1"/>
                <w:color w:val="auto"/>
              </w:rPr>
              <w:t>Consolidated Balance Sheets Account</w:t>
            </w:r>
          </w:p>
        </w:tc>
        <w:tc>
          <w:tcPr>
            <w:tcW w:w="140" w:type="dxa"/>
            <w:vAlign w:val="bottom"/>
          </w:tcPr>
          <w:p>
            <w:pPr>
              <w:spacing w:after="0"/>
              <w:rPr>
                <w:sz w:val="16"/>
                <w:szCs w:val="16"/>
                <w:color w:val="auto"/>
              </w:rPr>
            </w:pPr>
          </w:p>
        </w:tc>
        <w:tc>
          <w:tcPr>
            <w:tcW w:w="12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40" w:type="dxa"/>
            <w:vAlign w:val="bottom"/>
          </w:tcPr>
          <w:p>
            <w:pPr>
              <w:spacing w:after="0"/>
              <w:rPr>
                <w:sz w:val="16"/>
                <w:szCs w:val="16"/>
                <w:color w:val="auto"/>
              </w:rPr>
            </w:pPr>
          </w:p>
        </w:tc>
        <w:tc>
          <w:tcPr>
            <w:tcW w:w="12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20" w:type="dxa"/>
            <w:vAlign w:val="bottom"/>
          </w:tcPr>
          <w:p>
            <w:pPr>
              <w:spacing w:after="0"/>
              <w:rPr>
                <w:sz w:val="16"/>
                <w:szCs w:val="16"/>
                <w:color w:val="auto"/>
              </w:rPr>
            </w:pPr>
          </w:p>
        </w:tc>
        <w:tc>
          <w:tcPr>
            <w:tcW w:w="116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4"/>
        </w:trPr>
        <w:tc>
          <w:tcPr>
            <w:tcW w:w="3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34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11"/>
        </w:trPr>
        <w:tc>
          <w:tcPr>
            <w:tcW w:w="3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Accounts receivable, net</w:t>
            </w:r>
          </w:p>
        </w:tc>
        <w:tc>
          <w:tcPr>
            <w:tcW w:w="3340" w:type="dxa"/>
            <w:vAlign w:val="bottom"/>
            <w:tcBorders>
              <w:top w:val="single" w:sz="8" w:color="auto"/>
            </w:tcBorders>
            <w:shd w:val="clear" w:color="auto" w:fill="CCEEFF"/>
          </w:tcPr>
          <w:p>
            <w:pPr>
              <w:ind w:left="20"/>
              <w:spacing w:after="0" w:line="212" w:lineRule="exact"/>
              <w:rPr>
                <w:sz w:val="20"/>
                <w:szCs w:val="20"/>
                <w:color w:val="auto"/>
              </w:rPr>
            </w:pPr>
            <w:r>
              <w:rPr>
                <w:rFonts w:ascii="Times New Roman" w:cs="Times New Roman" w:eastAsia="Times New Roman" w:hAnsi="Times New Roman"/>
                <w:sz w:val="16"/>
                <w:szCs w:val="16"/>
                <w:color w:val="auto"/>
              </w:rPr>
              <w:t xml:space="preserve">Accounts receivable, net </w:t>
            </w:r>
            <w:r>
              <w:rPr>
                <w:rFonts w:ascii="Times New Roman" w:cs="Times New Roman" w:eastAsia="Times New Roman" w:hAnsi="Times New Roman"/>
                <w:sz w:val="21"/>
                <w:szCs w:val="21"/>
                <w:color w:val="auto"/>
                <w:vertAlign w:val="superscript"/>
              </w:rPr>
              <w:t>(1)</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622.2</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339.7</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298.8</w:t>
            </w:r>
          </w:p>
        </w:tc>
        <w:tc>
          <w:tcPr>
            <w:tcW w:w="0" w:type="dxa"/>
            <w:vAlign w:val="bottom"/>
          </w:tcPr>
          <w:p>
            <w:pPr>
              <w:spacing w:after="0"/>
              <w:rPr>
                <w:sz w:val="1"/>
                <w:szCs w:val="1"/>
                <w:color w:val="auto"/>
              </w:rPr>
            </w:pPr>
          </w:p>
        </w:tc>
      </w:tr>
      <w:tr>
        <w:trPr>
          <w:trHeight w:val="213"/>
        </w:trPr>
        <w:tc>
          <w:tcPr>
            <w:tcW w:w="3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portion of contract assets</w:t>
            </w:r>
          </w:p>
        </w:tc>
        <w:tc>
          <w:tcPr>
            <w:tcW w:w="34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Other current assets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0" w:type="dxa"/>
            <w:vAlign w:val="bottom"/>
          </w:tcPr>
          <w:p>
            <w:pPr>
              <w:spacing w:after="0"/>
              <w:rPr>
                <w:sz w:val="1"/>
                <w:szCs w:val="1"/>
                <w:color w:val="auto"/>
              </w:rPr>
            </w:pPr>
          </w:p>
        </w:tc>
      </w:tr>
      <w:tr>
        <w:trPr>
          <w:trHeight w:val="219"/>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Non-current portion of contract assets</w:t>
            </w:r>
          </w:p>
        </w:tc>
        <w:tc>
          <w:tcPr>
            <w:tcW w:w="3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non-current assets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0" w:type="dxa"/>
            <w:vAlign w:val="bottom"/>
          </w:tcPr>
          <w:p>
            <w:pPr>
              <w:spacing w:after="0"/>
              <w:rPr>
                <w:sz w:val="1"/>
                <w:szCs w:val="1"/>
                <w:color w:val="auto"/>
              </w:rPr>
            </w:pPr>
          </w:p>
        </w:tc>
      </w:tr>
      <w:tr>
        <w:trPr>
          <w:trHeight w:val="213"/>
        </w:trPr>
        <w:tc>
          <w:tcPr>
            <w:tcW w:w="3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portion of deferred revenue</w:t>
            </w:r>
          </w:p>
        </w:tc>
        <w:tc>
          <w:tcPr>
            <w:tcW w:w="34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Deferred revenue</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80.9</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78.8</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84.2</w:t>
            </w:r>
          </w:p>
        </w:tc>
        <w:tc>
          <w:tcPr>
            <w:tcW w:w="0" w:type="dxa"/>
            <w:vAlign w:val="bottom"/>
          </w:tcPr>
          <w:p>
            <w:pPr>
              <w:spacing w:after="0"/>
              <w:rPr>
                <w:sz w:val="1"/>
                <w:szCs w:val="1"/>
                <w:color w:val="auto"/>
              </w:rPr>
            </w:pPr>
          </w:p>
        </w:tc>
      </w:tr>
      <w:tr>
        <w:trPr>
          <w:trHeight w:val="219"/>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Non-current portion of deferred revenue</w:t>
            </w:r>
          </w:p>
        </w:tc>
        <w:tc>
          <w:tcPr>
            <w:tcW w:w="3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6"/>
          <w:szCs w:val="16"/>
          <w:color w:val="auto"/>
        </w:rPr>
        <w:t>(1)</w:t>
        <w:tab/>
        <w:t>Allowance for credit losses and accrued customer credits was $24.6 million, $20.1 million and $27.0 million as of December 31, 2022, 2023 and 2024, respectively.</w:t>
      </w:r>
    </w:p>
    <w:p>
      <w:pPr>
        <w:spacing w:after="0" w:line="25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sets forth the changes in the allowance for credit losses during the years ended December 31, 2022, 2023 and 2024:</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Write-offs of Accounts</w:t>
            </w:r>
          </w:p>
        </w:tc>
        <w:tc>
          <w:tcPr>
            <w:tcW w:w="2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3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Beginning Balance</w:t>
            </w:r>
          </w:p>
        </w:tc>
        <w:tc>
          <w:tcPr>
            <w:tcW w:w="320" w:type="dxa"/>
            <w:vAlign w:val="bottom"/>
          </w:tcPr>
          <w:p>
            <w:pPr>
              <w:spacing w:after="0"/>
              <w:rPr>
                <w:sz w:val="14"/>
                <w:szCs w:val="14"/>
                <w:color w:val="auto"/>
              </w:rPr>
            </w:pPr>
          </w:p>
        </w:tc>
        <w:tc>
          <w:tcPr>
            <w:tcW w:w="17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6"/>
                <w:szCs w:val="16"/>
                <w:b w:val="1"/>
                <w:bCs w:val="1"/>
                <w:color w:val="auto"/>
              </w:rPr>
              <w:t xml:space="preserve">Additions </w:t>
            </w:r>
            <w:r>
              <w:rPr>
                <w:rFonts w:ascii="Times New Roman" w:cs="Times New Roman" w:eastAsia="Times New Roman" w:hAnsi="Times New Roman"/>
                <w:sz w:val="21"/>
                <w:szCs w:val="21"/>
                <w:b w:val="1"/>
                <w:bCs w:val="1"/>
                <w:color w:val="auto"/>
                <w:vertAlign w:val="superscript"/>
              </w:rPr>
              <w:t>(1)</w:t>
            </w:r>
          </w:p>
        </w:tc>
        <w:tc>
          <w:tcPr>
            <w:tcW w:w="140" w:type="dxa"/>
            <w:vAlign w:val="bottom"/>
          </w:tcPr>
          <w:p>
            <w:pPr>
              <w:spacing w:after="0"/>
              <w:rPr>
                <w:sz w:val="14"/>
                <w:szCs w:val="14"/>
                <w:color w:val="auto"/>
              </w:rPr>
            </w:pPr>
          </w:p>
        </w:tc>
        <w:tc>
          <w:tcPr>
            <w:tcW w:w="190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Receivables, Net of</w:t>
            </w:r>
          </w:p>
        </w:tc>
        <w:tc>
          <w:tcPr>
            <w:tcW w:w="260" w:type="dxa"/>
            <w:vAlign w:val="bottom"/>
          </w:tcPr>
          <w:p>
            <w:pPr>
              <w:spacing w:after="0"/>
              <w:rPr>
                <w:sz w:val="14"/>
                <w:szCs w:val="14"/>
                <w:color w:val="auto"/>
              </w:rPr>
            </w:pPr>
          </w:p>
        </w:tc>
        <w:tc>
          <w:tcPr>
            <w:tcW w:w="1700" w:type="dxa"/>
            <w:vAlign w:val="bottom"/>
            <w:vMerge w:val="restart"/>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Ending Balance</w:t>
            </w:r>
          </w:p>
        </w:tc>
        <w:tc>
          <w:tcPr>
            <w:tcW w:w="0" w:type="dxa"/>
            <w:vAlign w:val="bottom"/>
          </w:tcPr>
          <w:p>
            <w:pPr>
              <w:spacing w:after="0"/>
              <w:rPr>
                <w:sz w:val="1"/>
                <w:szCs w:val="1"/>
                <w:color w:val="auto"/>
              </w:rPr>
            </w:pPr>
          </w:p>
        </w:tc>
      </w:tr>
      <w:tr>
        <w:trPr>
          <w:trHeight w:val="216"/>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220" w:type="dxa"/>
            <w:vAlign w:val="bottom"/>
          </w:tcPr>
          <w:p>
            <w:pPr>
              <w:spacing w:after="0"/>
              <w:rPr>
                <w:sz w:val="18"/>
                <w:szCs w:val="18"/>
                <w:color w:val="auto"/>
              </w:rPr>
            </w:pPr>
          </w:p>
        </w:tc>
        <w:tc>
          <w:tcPr>
            <w:tcW w:w="184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17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Recoveries</w:t>
            </w:r>
          </w:p>
        </w:tc>
        <w:tc>
          <w:tcPr>
            <w:tcW w:w="260" w:type="dxa"/>
            <w:vAlign w:val="bottom"/>
          </w:tcPr>
          <w:p>
            <w:pPr>
              <w:spacing w:after="0"/>
              <w:rPr>
                <w:sz w:val="18"/>
                <w:szCs w:val="18"/>
                <w:color w:val="auto"/>
              </w:rPr>
            </w:pPr>
          </w:p>
        </w:tc>
        <w:tc>
          <w:tcPr>
            <w:tcW w:w="1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 the years ending December 31,</w:t>
            </w:r>
          </w:p>
        </w:tc>
        <w:tc>
          <w:tcPr>
            <w:tcW w:w="220" w:type="dxa"/>
            <w:vAlign w:val="bottom"/>
            <w:tcBorders>
              <w:top w:val="single" w:sz="8" w:color="auto"/>
            </w:tcBorders>
            <w:shd w:val="clear" w:color="auto" w:fill="CCEEFF"/>
          </w:tcPr>
          <w:p>
            <w:pPr>
              <w:spacing w:after="0"/>
              <w:rPr>
                <w:sz w:val="17"/>
                <w:szCs w:val="17"/>
                <w:color w:val="auto"/>
              </w:rPr>
            </w:pPr>
          </w:p>
        </w:tc>
        <w:tc>
          <w:tcPr>
            <w:tcW w:w="1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6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7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120" w:type="dxa"/>
            <w:vAlign w:val="bottom"/>
          </w:tcPr>
          <w:p>
            <w:pPr>
              <w:jc w:val="right"/>
              <w:ind w:right="1321"/>
              <w:spacing w:after="0"/>
              <w:rPr>
                <w:sz w:val="20"/>
                <w:szCs w:val="20"/>
                <w:color w:val="auto"/>
              </w:rPr>
            </w:pPr>
            <w:r>
              <w:rPr>
                <w:rFonts w:ascii="Times New Roman" w:cs="Times New Roman" w:eastAsia="Times New Roman" w:hAnsi="Times New Roman"/>
                <w:sz w:val="16"/>
                <w:szCs w:val="16"/>
                <w:color w:val="auto"/>
              </w:rPr>
              <w:t>2022</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0" w:type="dxa"/>
            <w:vAlign w:val="bottom"/>
          </w:tcPr>
          <w:p>
            <w:pPr>
              <w:spacing w:after="0"/>
              <w:rPr>
                <w:sz w:val="1"/>
                <w:szCs w:val="1"/>
                <w:color w:val="auto"/>
              </w:rPr>
            </w:pPr>
          </w:p>
        </w:tc>
      </w:tr>
      <w:tr>
        <w:trPr>
          <w:trHeight w:val="219"/>
        </w:trPr>
        <w:tc>
          <w:tcPr>
            <w:tcW w:w="3120" w:type="dxa"/>
            <w:vAlign w:val="bottom"/>
            <w:shd w:val="clear" w:color="auto" w:fill="CCEEFF"/>
          </w:tcPr>
          <w:p>
            <w:pPr>
              <w:jc w:val="right"/>
              <w:ind w:right="1321"/>
              <w:spacing w:after="0"/>
              <w:rPr>
                <w:sz w:val="20"/>
                <w:szCs w:val="20"/>
                <w:color w:val="auto"/>
              </w:rPr>
            </w:pPr>
            <w:r>
              <w:rPr>
                <w:rFonts w:ascii="Times New Roman" w:cs="Times New Roman" w:eastAsia="Times New Roman" w:hAnsi="Times New Roman"/>
                <w:sz w:val="16"/>
                <w:szCs w:val="16"/>
                <w:color w:val="auto"/>
              </w:rPr>
              <w:t>2023</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0" w:type="dxa"/>
            <w:vAlign w:val="bottom"/>
          </w:tcPr>
          <w:p>
            <w:pPr>
              <w:spacing w:after="0"/>
              <w:rPr>
                <w:sz w:val="1"/>
                <w:szCs w:val="1"/>
                <w:color w:val="auto"/>
              </w:rPr>
            </w:pPr>
          </w:p>
        </w:tc>
      </w:tr>
      <w:tr>
        <w:trPr>
          <w:trHeight w:val="210"/>
        </w:trPr>
        <w:tc>
          <w:tcPr>
            <w:tcW w:w="3120" w:type="dxa"/>
            <w:vAlign w:val="bottom"/>
          </w:tcPr>
          <w:p>
            <w:pPr>
              <w:jc w:val="right"/>
              <w:ind w:right="1321"/>
              <w:spacing w:after="0"/>
              <w:rPr>
                <w:sz w:val="20"/>
                <w:szCs w:val="20"/>
                <w:color w:val="auto"/>
              </w:rPr>
            </w:pPr>
            <w:r>
              <w:rPr>
                <w:rFonts w:ascii="Times New Roman" w:cs="Times New Roman" w:eastAsia="Times New Roman" w:hAnsi="Times New Roman"/>
                <w:sz w:val="16"/>
                <w:szCs w:val="16"/>
                <w:color w:val="auto"/>
              </w:rPr>
              <w:t>2024</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w:t>
            </w:r>
          </w:p>
        </w:tc>
        <w:tc>
          <w:tcPr>
            <w:tcW w:w="0" w:type="dxa"/>
            <w:vAlign w:val="bottom"/>
          </w:tcPr>
          <w:p>
            <w:pPr>
              <w:spacing w:after="0"/>
              <w:rPr>
                <w:sz w:val="1"/>
                <w:szCs w:val="1"/>
                <w:color w:val="auto"/>
              </w:rPr>
            </w:pPr>
          </w:p>
        </w:tc>
      </w:tr>
    </w:tbl>
    <w:p>
      <w:pPr>
        <w:spacing w:after="0" w:line="73"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6"/>
          <w:szCs w:val="16"/>
          <w:color w:val="auto"/>
        </w:rPr>
        <w:t>(1)</w:t>
        <w:tab/>
        <w:t>Additions to the allowance for credit losses are charged to bad debt within "Selling, general and administrative expenses."</w:t>
      </w:r>
    </w:p>
    <w:p>
      <w:pPr>
        <w:spacing w:after="0" w:line="257" w:lineRule="exact"/>
        <w:rPr>
          <w:sz w:val="20"/>
          <w:szCs w:val="20"/>
          <w:color w:val="auto"/>
        </w:rPr>
      </w:pPr>
    </w:p>
    <w:p>
      <w:pPr>
        <w:ind w:right="720" w:firstLine="486"/>
        <w:spacing w:after="0" w:line="282" w:lineRule="auto"/>
        <w:rPr>
          <w:sz w:val="20"/>
          <w:szCs w:val="20"/>
          <w:color w:val="auto"/>
        </w:rPr>
      </w:pPr>
      <w:r>
        <w:rPr>
          <w:rFonts w:ascii="Times New Roman" w:cs="Times New Roman" w:eastAsia="Times New Roman" w:hAnsi="Times New Roman"/>
          <w:sz w:val="18"/>
          <w:szCs w:val="18"/>
          <w:color w:val="auto"/>
        </w:rPr>
        <w:t>Amounts recognized in revenue for the years ended December 31, 2022, 2023 and 2024, which were included in deferred revenue as of the beginning of the period totaled $98.6 million, $80.9 million and $78.8 million,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Incurred to Obtain and Fulfill a Contract</w:t>
      </w:r>
    </w:p>
    <w:p>
      <w:pPr>
        <w:spacing w:after="0" w:line="243" w:lineRule="exact"/>
        <w:rPr>
          <w:sz w:val="20"/>
          <w:szCs w:val="20"/>
          <w:color w:val="auto"/>
        </w:rPr>
      </w:pPr>
    </w:p>
    <w:p>
      <w:pPr>
        <w:ind w:right="60" w:firstLine="486"/>
        <w:spacing w:after="0" w:line="266" w:lineRule="auto"/>
        <w:rPr>
          <w:sz w:val="20"/>
          <w:szCs w:val="20"/>
          <w:color w:val="auto"/>
        </w:rPr>
      </w:pPr>
      <w:r>
        <w:rPr>
          <w:rFonts w:ascii="Times New Roman" w:cs="Times New Roman" w:eastAsia="Times New Roman" w:hAnsi="Times New Roman"/>
          <w:sz w:val="18"/>
          <w:szCs w:val="18"/>
          <w:color w:val="auto"/>
        </w:rPr>
        <w:t>As of December 31, 2023 and 2024, the balances of capitalized costs to obtain a contract were $42.0 million and $38.6 million, respectively, and the balances of capitalized costs to fulfill a contract were $13.4 million and $13.7 million, respectively. These capitalized costs are included in "Other non-current assets" on the Consolidated Balance Sheets.</w:t>
      </w:r>
    </w:p>
    <w:p>
      <w:pPr>
        <w:spacing w:after="0" w:line="20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Amortization of capitalized sales commissions and implementation costs were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26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r>
      <w:tr>
        <w:trPr>
          <w:trHeight w:val="211"/>
        </w:trPr>
        <w:tc>
          <w:tcPr>
            <w:tcW w:w="6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11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4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1"/>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 of capitalized sales commissions</w:t>
            </w:r>
          </w:p>
        </w:tc>
        <w:tc>
          <w:tcPr>
            <w:tcW w:w="1100" w:type="dxa"/>
            <w:vAlign w:val="bottom"/>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43.7</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w:t>
            </w:r>
          </w:p>
        </w:tc>
      </w:tr>
      <w:tr>
        <w:trPr>
          <w:trHeight w:val="210"/>
        </w:trPr>
        <w:tc>
          <w:tcPr>
            <w:tcW w:w="6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of capitalized implementation costs</w:t>
            </w:r>
          </w:p>
        </w:tc>
        <w:tc>
          <w:tcPr>
            <w:tcW w:w="1100" w:type="dxa"/>
            <w:vAlign w:val="bottom"/>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w:t>
            </w:r>
          </w:p>
        </w:tc>
        <w:tc>
          <w:tcPr>
            <w:tcW w:w="500" w:type="dxa"/>
            <w:vAlign w:val="bottom"/>
            <w:gridSpan w:val="3"/>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w:t>
            </w:r>
          </w:p>
        </w:tc>
      </w:tr>
    </w:tbl>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Remaining Performance Obligations</w:t>
      </w:r>
    </w:p>
    <w:p>
      <w:pPr>
        <w:spacing w:after="0" w:line="256" w:lineRule="exact"/>
        <w:rPr>
          <w:sz w:val="20"/>
          <w:szCs w:val="20"/>
          <w:color w:val="auto"/>
        </w:rPr>
      </w:pPr>
    </w:p>
    <w:p>
      <w:pPr>
        <w:jc w:val="both"/>
        <w:ind w:right="140" w:firstLine="486"/>
        <w:spacing w:after="0" w:line="261" w:lineRule="auto"/>
        <w:rPr>
          <w:sz w:val="20"/>
          <w:szCs w:val="20"/>
          <w:color w:val="auto"/>
        </w:rPr>
      </w:pPr>
      <w:r>
        <w:rPr>
          <w:rFonts w:ascii="Times New Roman" w:cs="Times New Roman" w:eastAsia="Times New Roman" w:hAnsi="Times New Roman"/>
          <w:sz w:val="18"/>
          <w:szCs w:val="18"/>
          <w:color w:val="auto"/>
        </w:rPr>
        <w:t>As of December 31, 2024, the aggregate amount of transaction price allocated to remaining performance obligations was $601.9 million, of which approximately 51% is expected to be recognized as revenue during 2025 and the remainder thereafter. These remaining performance obligations primarily relate to our fixed-term arrangements. The aggregate amount of transaction price excludes variable consideration related to our usage-based arrangements for which we recognize revenue based on the right to invoice for the services performed.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Promissory Note</w:t>
      </w:r>
    </w:p>
    <w:p>
      <w:pPr>
        <w:spacing w:after="0" w:line="256" w:lineRule="exact"/>
        <w:rPr>
          <w:sz w:val="20"/>
          <w:szCs w:val="20"/>
          <w:color w:val="auto"/>
        </w:rPr>
      </w:pPr>
    </w:p>
    <w:p>
      <w:pPr>
        <w:ind w:right="600" w:firstLine="486"/>
        <w:spacing w:after="0" w:line="276" w:lineRule="auto"/>
        <w:rPr>
          <w:sz w:val="20"/>
          <w:szCs w:val="20"/>
          <w:color w:val="auto"/>
        </w:rPr>
      </w:pPr>
      <w:r>
        <w:rPr>
          <w:rFonts w:ascii="Times New Roman" w:cs="Times New Roman" w:eastAsia="Times New Roman" w:hAnsi="Times New Roman"/>
          <w:sz w:val="17"/>
          <w:szCs w:val="17"/>
          <w:color w:val="auto"/>
        </w:rPr>
        <w:t>On September 27, 2022, we entered into a convertible note purchase agreement with a private company that is also a customer and a vendor. Pursuant to the purchase agreement, we purchased an unsecured convertible promissory note (the "Note") in an aggregate principal amount of</w:t>
      </w:r>
    </w:p>
    <w:p>
      <w:pPr>
        <w:spacing w:after="0" w:line="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$15.0 million. The Note accrues simple interest at a rate of 6% per annum and matures on September 27, 2027, unless earlier converted per the terms of the agreement. Principal and accrued interest are due and payable on the maturity date. We have elected to apply the fair value option under ASC No. 825,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 to account for the Note. As of December 31, 2023 and 2024, the fair value of the Note was $12.8 million and $15.0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respectively, and is included in "Other non-current assets" on our Consolidated Balance Sheets. The increase in the fair value of the Note is included in “Other expense, net” in the Consolidated Statements of Comprehensive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- 116 -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Sale of Receivables</w:t>
      </w:r>
    </w:p>
    <w:p>
      <w:pPr>
        <w:spacing w:after="0" w:line="256" w:lineRule="exact"/>
        <w:rPr>
          <w:sz w:val="20"/>
          <w:szCs w:val="20"/>
          <w:color w:val="auto"/>
        </w:rPr>
      </w:pPr>
    </w:p>
    <w:p>
      <w:pPr>
        <w:ind w:right="460" w:firstLine="486"/>
        <w:spacing w:after="0" w:line="266" w:lineRule="auto"/>
        <w:rPr>
          <w:sz w:val="20"/>
          <w:szCs w:val="20"/>
          <w:color w:val="auto"/>
        </w:rPr>
      </w:pPr>
      <w:r>
        <w:rPr>
          <w:rFonts w:ascii="Times New Roman" w:cs="Times New Roman" w:eastAsia="Times New Roman" w:hAnsi="Times New Roman"/>
          <w:sz w:val="18"/>
          <w:szCs w:val="18"/>
          <w:color w:val="auto"/>
        </w:rPr>
        <w:t>On September 29, 2023 (the “Closing Date”), Rackspace US and Rackspace Receivables II, LLC, a bankruptcy-remote SPV, each an indirect subsidiary of the company, entered into the Receivables Purchase Facility with PNC and other parties thereto. On February 12, 2024, the Receivables Purchase Facility was amended to include certain international subsidiaries of the company as parties to the agreement.</w:t>
      </w:r>
    </w:p>
    <w:p>
      <w:pPr>
        <w:spacing w:after="0" w:line="203" w:lineRule="exact"/>
        <w:rPr>
          <w:sz w:val="20"/>
          <w:szCs w:val="20"/>
          <w:color w:val="auto"/>
        </w:rPr>
      </w:pPr>
    </w:p>
    <w:p>
      <w:pPr>
        <w:ind w:right="40" w:firstLine="486"/>
        <w:spacing w:after="0" w:line="256" w:lineRule="auto"/>
        <w:rPr>
          <w:sz w:val="20"/>
          <w:szCs w:val="20"/>
          <w:color w:val="auto"/>
        </w:rPr>
      </w:pPr>
      <w:r>
        <w:rPr>
          <w:rFonts w:ascii="Times New Roman" w:cs="Times New Roman" w:eastAsia="Times New Roman" w:hAnsi="Times New Roman"/>
          <w:sz w:val="18"/>
          <w:szCs w:val="18"/>
          <w:color w:val="auto"/>
        </w:rPr>
        <w:t>Under the Receivables Purchase Facility, certain indirect wholly-owned subsidiaries of the company have sold and/or contributed, and may continue to sell and/or contribute on a revolving basis, their current and future accounts receivable to the SPVs, which, in turn, will sell and transfer, and may continue to sell and transfer, certain of the accounts receivable to PNC in exchange for cash. The Receivables Purchase Facility will terminate on September 29, 2026 unless earlier terminated in accordance with its terms and the SPV can sell accounts receivable based upon the face amount of eligible receivables in the collateral pool up to an aggregate maximum limit of $300.0 million. The purpose of this arrangement is to enhance the company's financial flexibility by providing additional liquidity.</w:t>
      </w:r>
    </w:p>
    <w:p>
      <w:pPr>
        <w:spacing w:after="0" w:line="214"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The Receivables Purchase Facility is subject to yield charges based upon a rate as specified in the agreement. The SPV is also required to pay certain customary fees on a monthly basis in addition to an upfront fee and a commitment fee. The Receivables Purchase Facility contains certain customary termination events, as well as customary representations and warranties, affirmative and negative covenants, indemnification provisions, and events of default, including those providing for the acceleration of amounts owed by the SPV to PNC upon the occurrence of certain events.</w:t>
      </w:r>
    </w:p>
    <w:p>
      <w:pPr>
        <w:spacing w:after="0" w:line="207"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The transfers of accounts receivable to PNC are accounted for as sales in accordance with ASC 860 because effective control and risk associated with the transferred accounts receivable is passed to PNC. As these transfers represent true sales, we derecognize the sold accounts receivable from our Consolidated Balance Sheets. Cash proceeds related to the accounts receivable sold are included in cash from operating activities in the Consolidated Statements of Cash Flows. Yield charges and fees recorded in connection with the sales are recorded within “Other expense, net” in the Consolidated Statements of Comprehensive Loss. The company maintains continuing involvement with the sold accounts receivable by providing collection services in exchange for a servicing fee. Servicing fees are immaterial and no servicing asset or liability has been recognized. The company may incur a recourse obligation on the sold accounts receivable in limited circumstances. Separate accruals have been established for recourse obligations and are immaterial as of December 31, 2023 and 2024. Cash collected on pledged accounts receivable, which have not been sold, are included in cash from operating activities in the Consolidated Statements of Cash Flows.</w:t>
      </w:r>
    </w:p>
    <w:p>
      <w:pPr>
        <w:spacing w:after="0" w:line="215"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In connection with accounts receivable sold during 2023 and 2024, we recorded $10.6 million and $21.5 million of expense, respectively, within “Other expense, net” in the Consolidated Statements of Comprehensive Loss. This expense consisted of $6.0 million and $20.5 million of yield charges and fees in 2023 and 2024, respectively, and $4.6 million and $1.0 million of upfront transaction costs associated with the execution of the agreement in 2023 and 2024, respectively.</w:t>
      </w:r>
    </w:p>
    <w:p>
      <w:pPr>
        <w:spacing w:after="0" w:line="207" w:lineRule="exact"/>
        <w:rPr>
          <w:sz w:val="20"/>
          <w:szCs w:val="20"/>
          <w:color w:val="auto"/>
        </w:rPr>
      </w:pPr>
    </w:p>
    <w:p>
      <w:pPr>
        <w:jc w:val="both"/>
        <w:ind w:right="180" w:firstLine="486"/>
        <w:spacing w:after="0" w:line="266" w:lineRule="auto"/>
        <w:rPr>
          <w:sz w:val="20"/>
          <w:szCs w:val="20"/>
          <w:color w:val="auto"/>
        </w:rPr>
      </w:pPr>
      <w:r>
        <w:rPr>
          <w:rFonts w:ascii="Times New Roman" w:cs="Times New Roman" w:eastAsia="Times New Roman" w:hAnsi="Times New Roman"/>
          <w:sz w:val="18"/>
          <w:szCs w:val="18"/>
          <w:color w:val="auto"/>
        </w:rPr>
        <w:t>The outstanding portfolio of sold accounts receivable derecognized from our Consolidated Balance Sheet as of December 31, 2023 and 2024 was $223.8 million and $218.7 million, respectively. The SPVs hold unsold accounts receivable of $97.8 million as of December 31, 2024 that are pledged as collateral to PNC.</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- 117 -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Net Loss Per Share</w:t>
      </w:r>
    </w:p>
    <w:p>
      <w:pPr>
        <w:spacing w:after="0" w:line="256"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Basic net loss per share is calculated by dividing net loss attributable to common stockholders by the weighted average number of shares of common stock outstanding during the period. Diluted net loss per share is calculated based on the weighted average number of shares of common stock plus the dilutive effect of potential common share equivalents outstanding during the period as determined under the treasury stock method.</w:t>
      </w:r>
    </w:p>
    <w:p>
      <w:pPr>
        <w:spacing w:after="0" w:line="20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net loss per share:</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2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6"/>
                <w:szCs w:val="16"/>
                <w:b w:val="1"/>
                <w:bCs w:val="1"/>
                <w:color w:val="auto"/>
                <w:w w:val="99"/>
              </w:rPr>
              <w:t>Year Ended December 31,</w:t>
            </w: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r>
      <w:tr>
        <w:trPr>
          <w:trHeight w:val="211"/>
        </w:trPr>
        <w:tc>
          <w:tcPr>
            <w:tcW w:w="6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 millions, except per share data)</w:t>
            </w: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98"/>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Basic and diluted net loss per share:</w:t>
            </w:r>
          </w:p>
        </w:tc>
        <w:tc>
          <w:tcPr>
            <w:tcW w:w="3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13"/>
        </w:trPr>
        <w:tc>
          <w:tcPr>
            <w:tcW w:w="62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Net loss attributable to common stockholders</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(804.8)</w:t>
            </w:r>
          </w:p>
        </w:tc>
        <w:tc>
          <w:tcPr>
            <w:tcW w:w="46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(837.8)</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(858.2)</w:t>
            </w:r>
          </w:p>
        </w:tc>
      </w:tr>
      <w:tr>
        <w:trPr>
          <w:trHeight w:val="219"/>
        </w:trPr>
        <w:tc>
          <w:tcPr>
            <w:tcW w:w="6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Weighted average shares outstanding:</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13"/>
        </w:trPr>
        <w:tc>
          <w:tcPr>
            <w:tcW w:w="62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Common stock</w:t>
            </w: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211.2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215.3</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224.8</w:t>
            </w:r>
          </w:p>
        </w:tc>
      </w:tr>
      <w:tr>
        <w:trPr>
          <w:trHeight w:val="212"/>
        </w:trPr>
        <w:tc>
          <w:tcPr>
            <w:tcW w:w="62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Number of shares used in per share computations</w:t>
            </w:r>
          </w:p>
        </w:tc>
        <w:tc>
          <w:tcPr>
            <w:tcW w:w="3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211.2</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215.3</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224.8</w:t>
            </w:r>
          </w:p>
        </w:tc>
      </w:tr>
      <w:tr>
        <w:trPr>
          <w:trHeight w:val="210"/>
        </w:trPr>
        <w:tc>
          <w:tcPr>
            <w:tcW w:w="622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Net loss per share</w:t>
            </w: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(3.81)</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(3.89)</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(3.82)</w:t>
            </w:r>
          </w:p>
        </w:tc>
      </w:tr>
      <w:tr>
        <w:trPr>
          <w:trHeight w:val="20"/>
        </w:trPr>
        <w:tc>
          <w:tcPr>
            <w:tcW w:w="6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right="80" w:firstLine="486"/>
        <w:spacing w:after="0" w:line="258" w:lineRule="auto"/>
        <w:rPr>
          <w:sz w:val="20"/>
          <w:szCs w:val="20"/>
          <w:color w:val="auto"/>
        </w:rPr>
      </w:pPr>
      <w:r>
        <w:rPr>
          <w:rFonts w:ascii="Times New Roman" w:cs="Times New Roman" w:eastAsia="Times New Roman" w:hAnsi="Times New Roman"/>
          <w:sz w:val="18"/>
          <w:szCs w:val="18"/>
          <w:color w:val="auto"/>
        </w:rPr>
        <w:t>Potential common share equivalents consist of shares issuable upon the exercise of stock options, vesting of restricted stock or purchase under the ESPP, as well as contingent shares associated with our acquisition of Datapipe. Since we were in a net loss position for all periods presented, basic net loss per share is the same as diluted net loss per share for all periods as the inclusion of all potential common shares outstanding would have been anti-dilutive. We excluded 23.3 million, 38.6 million and 28.9 million potential common shares from the computation of dilutive loss per share for the years ended December 31, 2022, 2023 and 2024, respectively, because the effect would have been anti-dilutive.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- 118 -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Property, Equipment and Software, net</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Property, equipment and software, net, consisted of the following:</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80" w:type="dxa"/>
            <w:vAlign w:val="bottom"/>
          </w:tcPr>
          <w:p>
            <w:pPr>
              <w:spacing w:after="0"/>
              <w:rPr>
                <w:sz w:val="16"/>
                <w:szCs w:val="16"/>
                <w:color w:val="auto"/>
              </w:rPr>
            </w:pPr>
          </w:p>
        </w:tc>
        <w:tc>
          <w:tcPr>
            <w:tcW w:w="128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4"/>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1"/>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Computers and equipment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1,154.9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1,142.9</w:t>
            </w:r>
          </w:p>
        </w:tc>
      </w:tr>
      <w:tr>
        <w:trPr>
          <w:trHeight w:val="213"/>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Software</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452.8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448.1</w:t>
            </w:r>
          </w:p>
        </w:tc>
      </w:tr>
      <w:tr>
        <w:trPr>
          <w:trHeight w:val="21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Furniture and fixtures</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w:t>
            </w:r>
          </w:p>
        </w:tc>
      </w:tr>
      <w:tr>
        <w:trPr>
          <w:trHeight w:val="213"/>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Buildings and leasehold improvements</w:t>
            </w: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411.8</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409.7</w:t>
            </w:r>
          </w:p>
        </w:tc>
      </w:tr>
      <w:tr>
        <w:trPr>
          <w:trHeight w:val="212"/>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Property, equipment and software, at cost</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2,034.0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2,010.9</w:t>
            </w:r>
          </w:p>
        </w:tc>
      </w:tr>
      <w:tr>
        <w:trPr>
          <w:trHeight w:val="213"/>
        </w:trPr>
        <w:tc>
          <w:tcPr>
            <w:tcW w:w="82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(1,442.1)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(1,420.7)</w:t>
            </w:r>
          </w:p>
        </w:tc>
      </w:tr>
      <w:tr>
        <w:trPr>
          <w:trHeight w:val="216"/>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Work in process</w:t>
            </w:r>
          </w:p>
        </w:tc>
        <w:tc>
          <w:tcPr>
            <w:tcW w:w="1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w:t>
            </w:r>
          </w:p>
        </w:tc>
      </w:tr>
      <w:tr>
        <w:trPr>
          <w:trHeight w:val="212"/>
        </w:trPr>
        <w:tc>
          <w:tcPr>
            <w:tcW w:w="82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Property, equipment and software, net</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608.8</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601.0</w:t>
            </w:r>
          </w:p>
        </w:tc>
      </w:tr>
      <w:tr>
        <w:trPr>
          <w:trHeight w:val="20"/>
        </w:trPr>
        <w:tc>
          <w:tcPr>
            <w:tcW w:w="8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ind w:right="720" w:firstLine="486"/>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2022, we recognized property, equipment and software impairment charges of $15.3 million, included in "Impairment of assets, net", related to the OpenStack Public Cloud long-lived assets. See Note 1, "Company Overview, Basis of Presentation, and Summary of Significant Accounting Policies," for discussion of the long-lived asset impairment charges.</w:t>
      </w:r>
    </w:p>
    <w:p>
      <w:pPr>
        <w:spacing w:after="0" w:line="203" w:lineRule="exact"/>
        <w:rPr>
          <w:sz w:val="20"/>
          <w:szCs w:val="20"/>
          <w:color w:val="auto"/>
        </w:rPr>
      </w:pPr>
    </w:p>
    <w:p>
      <w:pPr>
        <w:ind w:right="20" w:firstLine="486"/>
        <w:spacing w:after="0" w:line="257" w:lineRule="auto"/>
        <w:rPr>
          <w:sz w:val="20"/>
          <w:szCs w:val="20"/>
          <w:color w:val="auto"/>
        </w:rPr>
      </w:pPr>
      <w:r>
        <w:rPr>
          <w:rFonts w:ascii="Times New Roman" w:cs="Times New Roman" w:eastAsia="Times New Roman" w:hAnsi="Times New Roman"/>
          <w:sz w:val="18"/>
          <w:szCs w:val="18"/>
          <w:color w:val="auto"/>
        </w:rPr>
        <w:t>In October 2022, we announced our intention to sell our current corporate headquarters facility located in Windcrest, Texas and relocate our corporate headquarters to leased office space in San Antonio, Texas. As of December 31, 2022, this property met the criteria to be classified as held for sale under GAAP. The property's previous carrying amount of $82.7 million was written down to its estimated fair value, less estimated cost to sell, of</w:t>
      </w:r>
    </w:p>
    <w:p>
      <w:pPr>
        <w:spacing w:after="0" w:line="1" w:lineRule="exact"/>
        <w:rPr>
          <w:sz w:val="20"/>
          <w:szCs w:val="20"/>
          <w:color w:val="auto"/>
        </w:rPr>
      </w:pPr>
    </w:p>
    <w:p>
      <w:pPr>
        <w:ind w:right="360"/>
        <w:spacing w:after="0" w:line="255" w:lineRule="auto"/>
        <w:rPr>
          <w:sz w:val="20"/>
          <w:szCs w:val="20"/>
          <w:color w:val="auto"/>
        </w:rPr>
      </w:pPr>
      <w:r>
        <w:rPr>
          <w:rFonts w:ascii="Times New Roman" w:cs="Times New Roman" w:eastAsia="Times New Roman" w:hAnsi="Times New Roman"/>
          <w:sz w:val="18"/>
          <w:szCs w:val="18"/>
          <w:color w:val="auto"/>
        </w:rPr>
        <w:t>$12.1 million, resulting in a $70.6 million impairment charge which is included in "Impairment of assets, net" in our Consolidated Statements of Comprehensive Loss for the year ended December 31, 2022. We recorded this impairment charge prior to performing the December 31, 2022 goodwill impairment test. See Note 6, "Goodwill and Intangible Assets" for more information.</w:t>
      </w:r>
    </w:p>
    <w:p>
      <w:pPr>
        <w:spacing w:after="0" w:line="213" w:lineRule="exact"/>
        <w:rPr>
          <w:sz w:val="20"/>
          <w:szCs w:val="20"/>
          <w:color w:val="auto"/>
        </w:rPr>
      </w:pPr>
    </w:p>
    <w:p>
      <w:pPr>
        <w:ind w:right="60" w:firstLine="486"/>
        <w:spacing w:after="0" w:line="261" w:lineRule="auto"/>
        <w:rPr>
          <w:sz w:val="20"/>
          <w:szCs w:val="20"/>
          <w:color w:val="auto"/>
        </w:rPr>
      </w:pPr>
      <w:r>
        <w:rPr>
          <w:rFonts w:ascii="Times New Roman" w:cs="Times New Roman" w:eastAsia="Times New Roman" w:hAnsi="Times New Roman"/>
          <w:sz w:val="18"/>
          <w:szCs w:val="18"/>
          <w:color w:val="auto"/>
        </w:rPr>
        <w:t>In July 2023, we entered into a purchase and sale agreement with a potential buyer of the property for $21.5 million. Under held for sale accounting, the carrying amount of the property held for sale should be remeasured each reporting period for changes in fair value less cost to sell. As such, we increased the property’s estimated fair value, less estimated cost to sell, to $20.7 million as of September 30, 2023, resulting in an $8.6 million gain, which is included in "Impairment of assets, net" in our Consolidated Statements of Comprehensive Loss for the year ended December 31, 2023.</w:t>
      </w:r>
    </w:p>
    <w:p>
      <w:pPr>
        <w:spacing w:after="0" w:line="207"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In December 2023, we entered into an amendment to the purchase and sale agreement originally executed in July 2023. This amendment lowered the original purchase price of $21.5 million to $17.5 million. As such, we reduced the property’s estimated fair value, less estimated cost to sell, to</w:t>
      </w:r>
    </w:p>
    <w:p>
      <w:pPr>
        <w:ind w:right="100"/>
        <w:spacing w:after="0" w:line="260" w:lineRule="auto"/>
        <w:rPr>
          <w:sz w:val="20"/>
          <w:szCs w:val="20"/>
          <w:color w:val="auto"/>
        </w:rPr>
      </w:pPr>
      <w:r>
        <w:rPr>
          <w:rFonts w:ascii="Times New Roman" w:cs="Times New Roman" w:eastAsia="Times New Roman" w:hAnsi="Times New Roman"/>
          <w:sz w:val="18"/>
          <w:szCs w:val="18"/>
          <w:color w:val="auto"/>
        </w:rPr>
        <w:t>$16.9 million as of December 31, 2023, resulting in a $3.8 million loss, which is included in "Impairment of assets, net" in our Consolidated Statements of Comprehensive Loss for the year ended December 31, 2023.</w:t>
      </w:r>
    </w:p>
    <w:p>
      <w:pPr>
        <w:spacing w:after="0" w:line="20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 March 2024, we completed the sale of the property. The property’s estimated fair value, less estimated cost to sell prior to the sale was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$16.9 million and we received cash proceeds of $17.5 million, less brokerage and professional fees of $0.6 million, resulting in net cash proceeds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$16.9 million. In connection with the completion of the sale, we paid a $9.0 million early termination fee to certain local governments related to our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termination of the MEIA associated with the property. This amount is included in “Selling, general and administrative expenses” in our Consolidated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Statements of Comprehensive Loss for the year ended December 31, 2024.</w:t>
      </w:r>
    </w:p>
    <w:p>
      <w:pPr>
        <w:spacing w:after="0" w:line="234" w:lineRule="exact"/>
        <w:rPr>
          <w:sz w:val="20"/>
          <w:szCs w:val="20"/>
          <w:color w:val="auto"/>
        </w:rPr>
      </w:pPr>
    </w:p>
    <w:p>
      <w:pPr>
        <w:ind w:right="600" w:firstLine="486"/>
        <w:spacing w:after="0" w:line="282" w:lineRule="auto"/>
        <w:rPr>
          <w:sz w:val="20"/>
          <w:szCs w:val="20"/>
          <w:color w:val="auto"/>
        </w:rPr>
      </w:pPr>
      <w:r>
        <w:rPr>
          <w:rFonts w:ascii="Times New Roman" w:cs="Times New Roman" w:eastAsia="Times New Roman" w:hAnsi="Times New Roman"/>
          <w:sz w:val="18"/>
          <w:szCs w:val="18"/>
          <w:color w:val="auto"/>
        </w:rPr>
        <w:t>Depreciation expense related to property, equipment and software was $220.9 million, $208.7 million and $141.3 million for the years ended December 31, 2022, 2023 and 2024, respectively.</w:t>
      </w:r>
    </w:p>
    <w:p>
      <w:pPr>
        <w:spacing w:after="0" w:line="189" w:lineRule="exact"/>
        <w:rPr>
          <w:sz w:val="20"/>
          <w:szCs w:val="20"/>
          <w:color w:val="auto"/>
        </w:rPr>
      </w:pPr>
    </w:p>
    <w:p>
      <w:pPr>
        <w:ind w:right="20" w:firstLine="486"/>
        <w:spacing w:after="0" w:line="282" w:lineRule="auto"/>
        <w:rPr>
          <w:sz w:val="20"/>
          <w:szCs w:val="20"/>
          <w:color w:val="auto"/>
        </w:rPr>
      </w:pPr>
      <w:r>
        <w:rPr>
          <w:rFonts w:ascii="Times New Roman" w:cs="Times New Roman" w:eastAsia="Times New Roman" w:hAnsi="Times New Roman"/>
          <w:sz w:val="18"/>
          <w:szCs w:val="18"/>
          <w:color w:val="auto"/>
        </w:rPr>
        <w:t>Included in the balance of property, equipment and software as of December 31, 2023 and 2024 are assets recorded under finance leases. See Note 8, "Leases" for a discussion of the lease arrangements and the amounts within property, equipment and software as of December 31, 2023 and 2024.</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Goodwill and Intangible Assets</w:t>
      </w:r>
    </w:p>
    <w:p>
      <w:pPr>
        <w:spacing w:after="0" w:line="256"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The following table sets forth the changes in the carrying amounts of goodwill by reportable segment during the years ended December 31, 2023 and 2024. As a result of the January 1, 2023 reorganization, we changed our segment reporting to reflect this reorganization under two reportable segments: Public Cloud and Private Cloud. Accordingly, we reallocated the total consolidated net balance of goodwill as of January 1, 2023 under the new segments, shown below:</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Public Cloud</w:t>
            </w:r>
          </w:p>
        </w:tc>
        <w:tc>
          <w:tcPr>
            <w:tcW w:w="100" w:type="dxa"/>
            <w:vAlign w:val="bottom"/>
          </w:tcPr>
          <w:p>
            <w:pPr>
              <w:spacing w:after="0"/>
              <w:rPr>
                <w:sz w:val="16"/>
                <w:szCs w:val="16"/>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Private Cloud</w:t>
            </w:r>
          </w:p>
        </w:tc>
        <w:tc>
          <w:tcPr>
            <w:tcW w:w="160" w:type="dxa"/>
            <w:vAlign w:val="bottom"/>
          </w:tcPr>
          <w:p>
            <w:pPr>
              <w:spacing w:after="0"/>
              <w:rPr>
                <w:sz w:val="16"/>
                <w:szCs w:val="16"/>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Multicloud</w:t>
            </w:r>
          </w:p>
        </w:tc>
        <w:tc>
          <w:tcPr>
            <w:tcW w:w="100" w:type="dxa"/>
            <w:vAlign w:val="bottom"/>
          </w:tcPr>
          <w:p>
            <w:pPr>
              <w:spacing w:after="0"/>
              <w:rPr>
                <w:sz w:val="16"/>
                <w:szCs w:val="16"/>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Apps &amp; Cross</w:t>
            </w:r>
          </w:p>
        </w:tc>
        <w:tc>
          <w:tcPr>
            <w:tcW w:w="120" w:type="dxa"/>
            <w:vAlign w:val="bottom"/>
          </w:tcPr>
          <w:p>
            <w:pPr>
              <w:spacing w:after="0"/>
              <w:rPr>
                <w:sz w:val="16"/>
                <w:szCs w:val="16"/>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OpenStack</w:t>
            </w:r>
          </w:p>
        </w:tc>
        <w:tc>
          <w:tcPr>
            <w:tcW w:w="280" w:type="dxa"/>
            <w:vAlign w:val="bottom"/>
          </w:tcPr>
          <w:p>
            <w:pPr>
              <w:spacing w:after="0"/>
              <w:rPr>
                <w:sz w:val="16"/>
                <w:szCs w:val="16"/>
                <w:color w:val="auto"/>
              </w:rPr>
            </w:pPr>
          </w:p>
        </w:tc>
        <w:tc>
          <w:tcPr>
            <w:tcW w:w="980" w:type="dxa"/>
            <w:vAlign w:val="bottom"/>
            <w:vMerge w:val="restart"/>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3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1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Services</w:t>
            </w:r>
          </w:p>
        </w:tc>
        <w:tc>
          <w:tcPr>
            <w:tcW w:w="100" w:type="dxa"/>
            <w:vAlign w:val="bottom"/>
          </w:tcPr>
          <w:p>
            <w:pPr>
              <w:spacing w:after="0"/>
              <w:rPr>
                <w:sz w:val="18"/>
                <w:szCs w:val="18"/>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Platform</w:t>
            </w:r>
          </w:p>
        </w:tc>
        <w:tc>
          <w:tcPr>
            <w:tcW w:w="120" w:type="dxa"/>
            <w:vAlign w:val="bottom"/>
          </w:tcPr>
          <w:p>
            <w:pPr>
              <w:spacing w:after="0"/>
              <w:rPr>
                <w:sz w:val="18"/>
                <w:szCs w:val="18"/>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Public Cloud</w:t>
            </w:r>
          </w:p>
        </w:tc>
        <w:tc>
          <w:tcPr>
            <w:tcW w:w="28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goodwill as of December 31, 2022</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2,656.6</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52.4</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3,037.0</w:t>
            </w:r>
          </w:p>
        </w:tc>
        <w:tc>
          <w:tcPr>
            <w:tcW w:w="0" w:type="dxa"/>
            <w:vAlign w:val="bottom"/>
          </w:tcPr>
          <w:p>
            <w:pPr>
              <w:spacing w:after="0"/>
              <w:rPr>
                <w:sz w:val="1"/>
                <w:szCs w:val="1"/>
                <w:color w:val="auto"/>
              </w:rPr>
            </w:pPr>
          </w:p>
        </w:tc>
      </w:tr>
      <w:tr>
        <w:trPr>
          <w:trHeight w:val="213"/>
        </w:trPr>
        <w:tc>
          <w:tcPr>
            <w:tcW w:w="3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Accumulated impairment charges</w:t>
            </w: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(881.9)</w:t>
            </w:r>
          </w:p>
        </w:tc>
        <w:tc>
          <w:tcPr>
            <w:tcW w:w="0" w:type="dxa"/>
            <w:vAlign w:val="bottom"/>
          </w:tcPr>
          <w:p>
            <w:pPr>
              <w:spacing w:after="0"/>
              <w:rPr>
                <w:sz w:val="1"/>
                <w:szCs w:val="1"/>
                <w:color w:val="auto"/>
              </w:rPr>
            </w:pPr>
          </w:p>
        </w:tc>
      </w:tr>
      <w:tr>
        <w:trPr>
          <w:trHeight w:val="212"/>
        </w:trPr>
        <w:tc>
          <w:tcPr>
            <w:tcW w:w="3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 net as of December 31, 2022</w:t>
            </w:r>
          </w:p>
        </w:tc>
        <w:tc>
          <w:tcPr>
            <w:tcW w:w="1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1,956.4</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198.7</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2,155.1</w:t>
            </w:r>
          </w:p>
        </w:tc>
        <w:tc>
          <w:tcPr>
            <w:tcW w:w="0" w:type="dxa"/>
            <w:vAlign w:val="bottom"/>
          </w:tcPr>
          <w:p>
            <w:pPr>
              <w:spacing w:after="0"/>
              <w:rPr>
                <w:sz w:val="1"/>
                <w:szCs w:val="1"/>
                <w:color w:val="auto"/>
              </w:rPr>
            </w:pPr>
          </w:p>
        </w:tc>
      </w:tr>
      <w:tr>
        <w:trPr>
          <w:trHeight w:val="216"/>
        </w:trPr>
        <w:tc>
          <w:tcPr>
            <w:tcW w:w="3380" w:type="dxa"/>
            <w:vAlign w:val="bottom"/>
          </w:tcPr>
          <w:p>
            <w:pPr>
              <w:ind w:left="240"/>
              <w:spacing w:after="0" w:line="216" w:lineRule="exact"/>
              <w:rPr>
                <w:sz w:val="20"/>
                <w:szCs w:val="20"/>
                <w:color w:val="auto"/>
              </w:rPr>
            </w:pPr>
            <w:r>
              <w:rPr>
                <w:rFonts w:ascii="Times New Roman" w:cs="Times New Roman" w:eastAsia="Times New Roman" w:hAnsi="Times New Roman"/>
                <w:sz w:val="16"/>
                <w:szCs w:val="16"/>
                <w:color w:val="auto"/>
              </w:rPr>
              <w:t xml:space="preserve">Reallocation adjustment </w:t>
            </w:r>
            <w:r>
              <w:rPr>
                <w:rFonts w:ascii="Times New Roman" w:cs="Times New Roman" w:eastAsia="Times New Roman" w:hAnsi="Times New Roman"/>
                <w:sz w:val="21"/>
                <w:szCs w:val="21"/>
                <w:color w:val="auto"/>
                <w:vertAlign w:val="superscript"/>
              </w:rPr>
              <w:t>(1)</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594.7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1,560.4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(1,956.4)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Impairment of goodwill</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(708.8)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(708.8)</w:t>
            </w:r>
          </w:p>
        </w:tc>
        <w:tc>
          <w:tcPr>
            <w:tcW w:w="0" w:type="dxa"/>
            <w:vAlign w:val="bottom"/>
          </w:tcPr>
          <w:p>
            <w:pPr>
              <w:spacing w:after="0"/>
              <w:rPr>
                <w:sz w:val="1"/>
                <w:szCs w:val="1"/>
                <w:color w:val="auto"/>
              </w:rPr>
            </w:pPr>
          </w:p>
        </w:tc>
      </w:tr>
      <w:tr>
        <w:trPr>
          <w:trHeight w:val="213"/>
        </w:trPr>
        <w:tc>
          <w:tcPr>
            <w:tcW w:w="33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Foreign currency translation</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0" w:type="dxa"/>
            <w:vAlign w:val="bottom"/>
          </w:tcPr>
          <w:p>
            <w:pPr>
              <w:spacing w:after="0"/>
              <w:rPr>
                <w:sz w:val="1"/>
                <w:szCs w:val="1"/>
                <w:color w:val="auto"/>
              </w:rPr>
            </w:pPr>
          </w:p>
        </w:tc>
      </w:tr>
      <w:tr>
        <w:trPr>
          <w:trHeight w:val="237"/>
        </w:trPr>
        <w:tc>
          <w:tcPr>
            <w:tcW w:w="33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 net as of December 31, 2023</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597.7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854.7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1,452.4</w:t>
            </w:r>
          </w:p>
        </w:tc>
        <w:tc>
          <w:tcPr>
            <w:tcW w:w="0" w:type="dxa"/>
            <w:vAlign w:val="bottom"/>
          </w:tcPr>
          <w:p>
            <w:pPr>
              <w:spacing w:after="0"/>
              <w:rPr>
                <w:sz w:val="1"/>
                <w:szCs w:val="1"/>
                <w:color w:val="auto"/>
              </w:rPr>
            </w:pP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goodwill as of December 31, 2023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597.7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1,563.5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2,161.2</w:t>
            </w:r>
          </w:p>
        </w:tc>
        <w:tc>
          <w:tcPr>
            <w:tcW w:w="0" w:type="dxa"/>
            <w:vAlign w:val="bottom"/>
          </w:tcPr>
          <w:p>
            <w:pPr>
              <w:spacing w:after="0"/>
              <w:rPr>
                <w:sz w:val="1"/>
                <w:szCs w:val="1"/>
                <w:color w:val="auto"/>
              </w:rPr>
            </w:pPr>
          </w:p>
        </w:tc>
      </w:tr>
      <w:tr>
        <w:trPr>
          <w:trHeight w:val="213"/>
        </w:trPr>
        <w:tc>
          <w:tcPr>
            <w:tcW w:w="3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Accumulated impairment charges</w:t>
            </w: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(708.8)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(708.8)</w:t>
            </w:r>
          </w:p>
        </w:tc>
        <w:tc>
          <w:tcPr>
            <w:tcW w:w="0" w:type="dxa"/>
            <w:vAlign w:val="bottom"/>
          </w:tcPr>
          <w:p>
            <w:pPr>
              <w:spacing w:after="0"/>
              <w:rPr>
                <w:sz w:val="1"/>
                <w:szCs w:val="1"/>
                <w:color w:val="auto"/>
              </w:rPr>
            </w:pPr>
          </w:p>
        </w:tc>
      </w:tr>
      <w:tr>
        <w:trPr>
          <w:trHeight w:val="212"/>
        </w:trPr>
        <w:tc>
          <w:tcPr>
            <w:tcW w:w="3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 net as of December 31, 2023</w:t>
            </w:r>
          </w:p>
        </w:tc>
        <w:tc>
          <w:tcPr>
            <w:tcW w:w="1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597.7</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854.7</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1,452.4</w:t>
            </w:r>
          </w:p>
        </w:tc>
        <w:tc>
          <w:tcPr>
            <w:tcW w:w="0" w:type="dxa"/>
            <w:vAlign w:val="bottom"/>
          </w:tcPr>
          <w:p>
            <w:pPr>
              <w:spacing w:after="0"/>
              <w:rPr>
                <w:sz w:val="1"/>
                <w:szCs w:val="1"/>
                <w:color w:val="auto"/>
              </w:rPr>
            </w:pPr>
          </w:p>
        </w:tc>
      </w:tr>
      <w:tr>
        <w:trPr>
          <w:trHeight w:val="213"/>
        </w:trPr>
        <w:tc>
          <w:tcPr>
            <w:tcW w:w="33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Impairment of goodwill</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(454.6)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(714.9)</w:t>
            </w:r>
          </w:p>
        </w:tc>
        <w:tc>
          <w:tcPr>
            <w:tcW w:w="0" w:type="dxa"/>
            <w:vAlign w:val="bottom"/>
          </w:tcPr>
          <w:p>
            <w:pPr>
              <w:spacing w:after="0"/>
              <w:rPr>
                <w:sz w:val="1"/>
                <w:szCs w:val="1"/>
                <w:color w:val="auto"/>
              </w:rPr>
            </w:pPr>
          </w:p>
        </w:tc>
      </w:tr>
      <w:tr>
        <w:trPr>
          <w:trHeight w:val="219"/>
        </w:trPr>
        <w:tc>
          <w:tcPr>
            <w:tcW w:w="33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Foreign currency translation</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209"/>
        </w:trPr>
        <w:tc>
          <w:tcPr>
            <w:tcW w:w="3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 net as of December 31, 2024</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141.6</w:t>
            </w: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594.1</w:t>
            </w: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735.7</w:t>
            </w:r>
          </w:p>
        </w:tc>
        <w:tc>
          <w:tcPr>
            <w:tcW w:w="0" w:type="dxa"/>
            <w:vAlign w:val="bottom"/>
          </w:tcPr>
          <w:p>
            <w:pPr>
              <w:spacing w:after="0"/>
              <w:rPr>
                <w:sz w:val="1"/>
                <w:szCs w:val="1"/>
                <w:color w:val="auto"/>
              </w:rPr>
            </w:pPr>
          </w:p>
        </w:tc>
      </w:tr>
      <w:tr>
        <w:trPr>
          <w:trHeight w:val="20"/>
        </w:trPr>
        <w:tc>
          <w:tcPr>
            <w:tcW w:w="33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3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goodwill as of December 31, 2024</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596.2</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1,563.2</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2,159.4</w:t>
            </w:r>
          </w:p>
        </w:tc>
        <w:tc>
          <w:tcPr>
            <w:tcW w:w="0" w:type="dxa"/>
            <w:vAlign w:val="bottom"/>
          </w:tcPr>
          <w:p>
            <w:pPr>
              <w:spacing w:after="0"/>
              <w:rPr>
                <w:sz w:val="1"/>
                <w:szCs w:val="1"/>
                <w:color w:val="auto"/>
              </w:rPr>
            </w:pPr>
          </w:p>
        </w:tc>
      </w:tr>
      <w:tr>
        <w:trPr>
          <w:trHeight w:val="219"/>
        </w:trPr>
        <w:tc>
          <w:tcPr>
            <w:tcW w:w="338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 xml:space="preserve">Less: impairment charges </w:t>
            </w:r>
            <w:r>
              <w:rPr>
                <w:rFonts w:ascii="Times New Roman" w:cs="Times New Roman" w:eastAsia="Times New Roman" w:hAnsi="Times New Roman"/>
                <w:sz w:val="21"/>
                <w:szCs w:val="21"/>
                <w:color w:val="auto"/>
                <w:vertAlign w:val="superscript"/>
              </w:rPr>
              <w:t>(2)</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(454.6)</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(969.1)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(1,423.7)</w:t>
            </w:r>
          </w:p>
        </w:tc>
        <w:tc>
          <w:tcPr>
            <w:tcW w:w="0" w:type="dxa"/>
            <w:vAlign w:val="bottom"/>
          </w:tcPr>
          <w:p>
            <w:pPr>
              <w:spacing w:after="0"/>
              <w:rPr>
                <w:sz w:val="1"/>
                <w:szCs w:val="1"/>
                <w:color w:val="auto"/>
              </w:rPr>
            </w:pPr>
          </w:p>
        </w:tc>
      </w:tr>
      <w:tr>
        <w:trPr>
          <w:trHeight w:val="210"/>
        </w:trPr>
        <w:tc>
          <w:tcPr>
            <w:tcW w:w="3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 net as of December 31, 2024</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141.6</w:t>
            </w: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594.1</w:t>
            </w: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735.7</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right="420" w:firstLine="8"/>
        <w:spacing w:after="0" w:line="298" w:lineRule="auto"/>
        <w:tabs>
          <w:tab w:leader="none" w:pos="391"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adjustment to reallocate goodwill of the former Multicloud Services and Apps &amp; Cross Platform reportable segments to Public Cloud and Private Cloud reportable segments, using the relative fair value basis, as a result of the January 1, 2023 reorganization.</w:t>
      </w:r>
    </w:p>
    <w:p>
      <w:pPr>
        <w:spacing w:after="0" w:line="24" w:lineRule="exact"/>
        <w:rPr>
          <w:rFonts w:ascii="Times New Roman" w:cs="Times New Roman" w:eastAsia="Times New Roman" w:hAnsi="Times New Roman"/>
          <w:sz w:val="16"/>
          <w:szCs w:val="16"/>
          <w:color w:val="auto"/>
        </w:rPr>
      </w:pPr>
    </w:p>
    <w:p>
      <w:pPr>
        <w:ind w:right="440" w:firstLine="8"/>
        <w:spacing w:after="0" w:line="307" w:lineRule="auto"/>
        <w:tabs>
          <w:tab w:leader="none" w:pos="391"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On a consolidated basis, gross and net goodwill as of December 31, 2024 was $3,041.3 million and </w:t>
      </w:r>
      <w:r>
        <w:rPr>
          <w:rFonts w:ascii="Times New Roman" w:cs="Times New Roman" w:eastAsia="Times New Roman" w:hAnsi="Times New Roman"/>
          <w:sz w:val="17"/>
          <w:szCs w:val="17"/>
          <w:color w:val="auto"/>
        </w:rPr>
        <w:t>$735.7</w:t>
      </w:r>
      <w:r>
        <w:rPr>
          <w:rFonts w:ascii="Times New Roman" w:cs="Times New Roman" w:eastAsia="Times New Roman" w:hAnsi="Times New Roman"/>
          <w:sz w:val="16"/>
          <w:szCs w:val="16"/>
          <w:color w:val="auto"/>
        </w:rPr>
        <w:t>, respectively. Accumulated impairment charges on a consolidated basis was $2,305.6 million as of December 31, 2024.</w:t>
      </w:r>
    </w:p>
    <w:p>
      <w:pPr>
        <w:spacing w:after="0" w:line="163" w:lineRule="exact"/>
        <w:rPr>
          <w:sz w:val="20"/>
          <w:szCs w:val="20"/>
          <w:color w:val="auto"/>
        </w:rPr>
      </w:pPr>
    </w:p>
    <w:p>
      <w:pPr>
        <w:ind w:right="40" w:firstLine="486"/>
        <w:spacing w:after="0" w:line="256" w:lineRule="auto"/>
        <w:rPr>
          <w:sz w:val="20"/>
          <w:szCs w:val="20"/>
          <w:color w:val="auto"/>
        </w:rPr>
      </w:pPr>
      <w:r>
        <w:rPr>
          <w:rFonts w:ascii="Times New Roman" w:cs="Times New Roman" w:eastAsia="Times New Roman" w:hAnsi="Times New Roman"/>
          <w:sz w:val="18"/>
          <w:szCs w:val="18"/>
          <w:color w:val="auto"/>
        </w:rPr>
        <w:t>Management exercised significant judgment related to the determination of the fair value of each reporting unit. The fair value of each reporting unit was estimated using the discounted cash flow method. The discounted cash flow methodology requires significant judgment, including estimation of our assumptions and considerations regarding (i) the estimation of future revenue growth rates, projected gross profit margins, projected operating costs, projected EBITDA margins, and projected capital expenditures, which are dependent on internal cash flow forecasts; (ii) estimation of the terminal growth rates; and (iii) determination of the risk-adjusted discount rates. Changes in these estimates and assumptions could materially affect the fair value of the reporting unit, potentially resulting in an impairment charge.</w:t>
      </w:r>
    </w:p>
    <w:p>
      <w:pPr>
        <w:spacing w:after="0" w:line="201" w:lineRule="exact"/>
        <w:rPr>
          <w:sz w:val="20"/>
          <w:szCs w:val="20"/>
          <w:color w:val="auto"/>
        </w:rPr>
      </w:pPr>
    </w:p>
    <w:p>
      <w:pPr>
        <w:ind w:right="140" w:firstLine="486"/>
        <w:spacing w:after="0" w:line="250" w:lineRule="auto"/>
        <w:rPr>
          <w:sz w:val="20"/>
          <w:szCs w:val="20"/>
          <w:color w:val="auto"/>
        </w:rPr>
      </w:pPr>
      <w:r>
        <w:rPr>
          <w:rFonts w:ascii="Times New Roman" w:cs="Times New Roman" w:eastAsia="Times New Roman" w:hAnsi="Times New Roman"/>
          <w:sz w:val="18"/>
          <w:szCs w:val="18"/>
          <w:color w:val="auto"/>
        </w:rPr>
        <w:t>During the first quarter of 2024, we performed an interim quantitative assessment of our reporting units as of February 29, 2024. The results of this goodwill impairment analysis indicated an impairment of goodwill within our Public Cloud and Private Cloud reporting units of $385.4 million and $187.8 million, respectively, and we recorded a non-cash impairment charge in the first quarter of 2024.</w:t>
      </w:r>
    </w:p>
    <w:p>
      <w:pPr>
        <w:spacing w:after="0" w:line="204" w:lineRule="exact"/>
        <w:rPr>
          <w:sz w:val="20"/>
          <w:szCs w:val="20"/>
          <w:color w:val="auto"/>
        </w:rPr>
      </w:pPr>
    </w:p>
    <w:p>
      <w:pPr>
        <w:ind w:right="280" w:firstLine="486"/>
        <w:spacing w:after="0" w:line="250" w:lineRule="auto"/>
        <w:rPr>
          <w:sz w:val="20"/>
          <w:szCs w:val="20"/>
          <w:color w:val="auto"/>
        </w:rPr>
      </w:pPr>
      <w:r>
        <w:rPr>
          <w:rFonts w:ascii="Times New Roman" w:cs="Times New Roman" w:eastAsia="Times New Roman" w:hAnsi="Times New Roman"/>
          <w:sz w:val="18"/>
          <w:szCs w:val="18"/>
          <w:color w:val="auto"/>
        </w:rPr>
        <w:t>During the third quarter of 2024, we performed an interim quantitative assessment of our reporting units as of September 30, 2024. The results of this goodwill impairment analysis indicated an impairment of goodwill within our Public Cloud and Private Cloud reporting units of $69.2 million and $72.5 million, respectively, and we recorded a non-cash impairment charge in the third quarter of 2024.</w:t>
      </w:r>
    </w:p>
    <w:p>
      <w:pPr>
        <w:spacing w:after="0" w:line="204" w:lineRule="exact"/>
        <w:rPr>
          <w:sz w:val="20"/>
          <w:szCs w:val="20"/>
          <w:color w:val="auto"/>
        </w:rPr>
      </w:pPr>
    </w:p>
    <w:p>
      <w:pPr>
        <w:ind w:right="560" w:firstLine="486"/>
        <w:spacing w:after="0" w:line="266" w:lineRule="auto"/>
        <w:rPr>
          <w:sz w:val="20"/>
          <w:szCs w:val="20"/>
          <w:color w:val="auto"/>
        </w:rPr>
      </w:pPr>
      <w:r>
        <w:rPr>
          <w:rFonts w:ascii="Times New Roman" w:cs="Times New Roman" w:eastAsia="Times New Roman" w:hAnsi="Times New Roman"/>
          <w:sz w:val="18"/>
          <w:szCs w:val="18"/>
          <w:color w:val="auto"/>
        </w:rPr>
        <w:t>During the fourth quarter of 2024, we performed our annual goodwill impairment test as of October 1, 2024 and the results of our test did not indicate any further impairment of goodwill.</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Due to the change in our segment reporting as a result of the business reorganization as of January 1, 2023, we completed a quantitative goodwill impairment analysis as of January 1, 2023, subsequent to the aforementioned change. The results of the quantitative goodwill impairment analysis indicated an impairment within our Private Cloud reporting unit, and we recorded a non-cash impairment charge of $270.8 million in the first quarter of 2023.</w:t>
      </w:r>
    </w:p>
    <w:p>
      <w:pPr>
        <w:spacing w:after="0" w:line="203" w:lineRule="exact"/>
        <w:rPr>
          <w:sz w:val="20"/>
          <w:szCs w:val="20"/>
          <w:color w:val="auto"/>
        </w:rPr>
      </w:pPr>
    </w:p>
    <w:p>
      <w:pPr>
        <w:ind w:right="60" w:firstLine="486"/>
        <w:spacing w:after="0" w:line="258" w:lineRule="auto"/>
        <w:rPr>
          <w:sz w:val="20"/>
          <w:szCs w:val="20"/>
          <w:color w:val="auto"/>
        </w:rPr>
      </w:pPr>
      <w:r>
        <w:rPr>
          <w:rFonts w:ascii="Times New Roman" w:cs="Times New Roman" w:eastAsia="Times New Roman" w:hAnsi="Times New Roman"/>
          <w:sz w:val="18"/>
          <w:szCs w:val="18"/>
          <w:color w:val="auto"/>
        </w:rPr>
        <w:t>During the first quarter of 2023, we performed an interim quantitative assessment of our reporting units as of March 31, 2023. The results of our interim quantitative goodwill impairment analysis performed as of March 31, 2023 indicated an impairment of goodwill within our Private Cloud reporting unit, and we recorded an additional non-cash impairment charge of $272.3 million in the first quarter of 2023. The impairment was driven by the company's most recent cash flow projections as revised in the first quarter of 2023 which reflected current market conditions and current trends in business performance, including slower than anticipated actualization of bookings.</w:t>
      </w:r>
    </w:p>
    <w:p>
      <w:pPr>
        <w:spacing w:after="0" w:line="210" w:lineRule="exact"/>
        <w:rPr>
          <w:sz w:val="20"/>
          <w:szCs w:val="20"/>
          <w:color w:val="auto"/>
        </w:rPr>
      </w:pPr>
    </w:p>
    <w:p>
      <w:pPr>
        <w:ind w:right="100" w:firstLine="486"/>
        <w:spacing w:after="0" w:line="261" w:lineRule="auto"/>
        <w:rPr>
          <w:sz w:val="20"/>
          <w:szCs w:val="20"/>
          <w:color w:val="auto"/>
        </w:rPr>
      </w:pPr>
      <w:r>
        <w:rPr>
          <w:rFonts w:ascii="Times New Roman" w:cs="Times New Roman" w:eastAsia="Times New Roman" w:hAnsi="Times New Roman"/>
          <w:sz w:val="18"/>
          <w:szCs w:val="18"/>
          <w:color w:val="auto"/>
        </w:rPr>
        <w:t>During the third quarter of 2023, we performed an interim quantitative assessment of our reporting units as of September 30, 2023. The results of our interim quantitative goodwill impairment analysis performed as of September 30, 2023 indicated an impairment of goodwill within our Private Cloud reporting unit, and we recorded a non-cash impairment charge of $165.7 million in the third quarter of 2023. The impairment was driven by the company's cash flow projections as revised in the third quarter of 2023 to reflect current market conditions and business mix shifts.</w:t>
      </w:r>
    </w:p>
    <w:p>
      <w:pPr>
        <w:spacing w:after="0" w:line="20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October 1, 2023, we reassessed our reporting units and combined our Private Cloud and OpenStack Public Cloud reporting units into a new</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Private Cloud reporting unit. We completed a quantitative goodwill impairment analysis as of October 1, 2023, subsequent to the aforementioned change.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results of the quantitative goodwill impairment analysis indicated no impairment to goodwill.</w:t>
      </w:r>
    </w:p>
    <w:p>
      <w:pPr>
        <w:spacing w:after="0" w:line="234" w:lineRule="exact"/>
        <w:rPr>
          <w:sz w:val="20"/>
          <w:szCs w:val="20"/>
          <w:color w:val="auto"/>
        </w:rPr>
      </w:pPr>
    </w:p>
    <w:p>
      <w:pPr>
        <w:ind w:right="80" w:firstLine="486"/>
        <w:spacing w:after="0" w:line="261" w:lineRule="auto"/>
        <w:rPr>
          <w:sz w:val="20"/>
          <w:szCs w:val="20"/>
          <w:color w:val="auto"/>
        </w:rPr>
      </w:pPr>
      <w:r>
        <w:rPr>
          <w:rFonts w:ascii="Times New Roman" w:cs="Times New Roman" w:eastAsia="Times New Roman" w:hAnsi="Times New Roman"/>
          <w:sz w:val="18"/>
          <w:szCs w:val="18"/>
          <w:color w:val="auto"/>
        </w:rPr>
        <w:t>During the third quarter of 2022, we performed an interim quantitative assessment of our reporting units as of September 1, 2022. The results of our interim quantitative goodwill impairment analysis performed as of September 1, 2022 indicated an impairment of goodwill within our former Multicloud Services reporting unit, and we recorded a non-cash impairment charge of $405.2 million. The impairment was driven by lowered projected operating results primarily due to product mix shifts and market concerns related to inflation and other macroeconomic factors.</w:t>
      </w:r>
    </w:p>
    <w:p>
      <w:pPr>
        <w:spacing w:after="0" w:line="207" w:lineRule="exact"/>
        <w:rPr>
          <w:sz w:val="20"/>
          <w:szCs w:val="20"/>
          <w:color w:val="auto"/>
        </w:rPr>
      </w:pPr>
    </w:p>
    <w:p>
      <w:pPr>
        <w:ind w:right="560" w:firstLine="486"/>
        <w:spacing w:after="0" w:line="282" w:lineRule="auto"/>
        <w:rPr>
          <w:sz w:val="20"/>
          <w:szCs w:val="20"/>
          <w:color w:val="auto"/>
        </w:rPr>
      </w:pPr>
      <w:r>
        <w:rPr>
          <w:rFonts w:ascii="Times New Roman" w:cs="Times New Roman" w:eastAsia="Times New Roman" w:hAnsi="Times New Roman"/>
          <w:sz w:val="18"/>
          <w:szCs w:val="18"/>
          <w:color w:val="auto"/>
        </w:rPr>
        <w:t>During the fourth quarter of 2022, we performed our annual goodwill impairment test as of October 1, 2022 and the results of our test did not indicate any further impairment of goodwill.</w:t>
      </w:r>
    </w:p>
    <w:p>
      <w:pPr>
        <w:spacing w:after="0" w:line="189"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In the fourth quarter of 2022, we performed an additional interim quantitative assessment of our reporting units as of December 31, 2022. We determined that the carrying amount of our former Apps &amp; Cross Platform reporting unit exceeded its fair value and recorded a goodwill impairment charge of $129.3 million. The impairment was driven by a decrease in forecasted revenues, margins, and cash flows within the reporting unit, primarily due to the Hosted Exchange incident and other macroeconomic factors.</w:t>
      </w:r>
    </w:p>
    <w:p>
      <w:pPr>
        <w:spacing w:after="0" w:line="207" w:lineRule="exact"/>
        <w:rPr>
          <w:sz w:val="20"/>
          <w:szCs w:val="20"/>
          <w:color w:val="auto"/>
        </w:rPr>
      </w:pPr>
    </w:p>
    <w:p>
      <w:pPr>
        <w:ind w:right="40" w:firstLine="486"/>
        <w:spacing w:after="0" w:line="282" w:lineRule="auto"/>
        <w:rPr>
          <w:sz w:val="20"/>
          <w:szCs w:val="20"/>
          <w:color w:val="auto"/>
        </w:rPr>
      </w:pPr>
      <w:r>
        <w:rPr>
          <w:rFonts w:ascii="Times New Roman" w:cs="Times New Roman" w:eastAsia="Times New Roman" w:hAnsi="Times New Roman"/>
          <w:sz w:val="18"/>
          <w:szCs w:val="18"/>
          <w:color w:val="auto"/>
        </w:rPr>
        <w:t>See Note 1, "Company Overview, Basis of Presentation, and Summary of Significant Accounting Policies," for additional discussion of the goodwill impairment charges recorded during the years ended December 31, 2022, 2023 and 2024.</w:t>
      </w:r>
    </w:p>
    <w:p>
      <w:pPr>
        <w:spacing w:after="0" w:line="200" w:lineRule="exact"/>
        <w:rPr>
          <w:sz w:val="20"/>
          <w:szCs w:val="20"/>
          <w:color w:val="auto"/>
        </w:rPr>
      </w:pPr>
    </w:p>
    <w:p>
      <w:pPr>
        <w:spacing w:after="0" w:line="23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provides information regarding our intangible assets other than goodwill:</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7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2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2"/>
          </w:tcPr>
          <w:p>
            <w:pPr>
              <w:jc w:val="center"/>
              <w:ind w:right="220"/>
              <w:spacing w:after="0" w:line="158" w:lineRule="exact"/>
              <w:rPr>
                <w:sz w:val="20"/>
                <w:szCs w:val="20"/>
                <w:color w:val="auto"/>
              </w:rPr>
            </w:pPr>
            <w:r>
              <w:rPr>
                <w:rFonts w:ascii="Times New Roman" w:cs="Times New Roman" w:eastAsia="Times New Roman" w:hAnsi="Times New Roman"/>
                <w:sz w:val="16"/>
                <w:szCs w:val="16"/>
                <w:b w:val="1"/>
                <w:bCs w:val="1"/>
                <w:color w:val="auto"/>
              </w:rPr>
              <w:t>Gross carrying</w:t>
            </w:r>
          </w:p>
        </w:tc>
        <w:tc>
          <w:tcPr>
            <w:tcW w:w="160" w:type="dxa"/>
            <w:vAlign w:val="bottom"/>
          </w:tcPr>
          <w:p>
            <w:pPr>
              <w:spacing w:after="0"/>
              <w:rPr>
                <w:sz w:val="13"/>
                <w:szCs w:val="13"/>
                <w:color w:val="auto"/>
              </w:rPr>
            </w:pPr>
          </w:p>
        </w:tc>
        <w:tc>
          <w:tcPr>
            <w:tcW w:w="1300" w:type="dxa"/>
            <w:vAlign w:val="bottom"/>
            <w:gridSpan w:val="2"/>
          </w:tcPr>
          <w:p>
            <w:pPr>
              <w:ind w:left="60"/>
              <w:spacing w:after="0" w:line="158"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60" w:type="dxa"/>
            <w:vAlign w:val="bottom"/>
          </w:tcPr>
          <w:p>
            <w:pPr>
              <w:spacing w:after="0"/>
              <w:rPr>
                <w:sz w:val="13"/>
                <w:szCs w:val="13"/>
                <w:color w:val="auto"/>
              </w:rPr>
            </w:pPr>
          </w:p>
        </w:tc>
        <w:tc>
          <w:tcPr>
            <w:tcW w:w="1160" w:type="dxa"/>
            <w:vAlign w:val="bottom"/>
          </w:tcPr>
          <w:p>
            <w:pPr>
              <w:jc w:val="center"/>
              <w:ind w:right="79"/>
              <w:spacing w:after="0" w:line="158" w:lineRule="exact"/>
              <w:rPr>
                <w:sz w:val="20"/>
                <w:szCs w:val="20"/>
                <w:color w:val="auto"/>
              </w:rPr>
            </w:pPr>
            <w:r>
              <w:rPr>
                <w:rFonts w:ascii="Times New Roman" w:cs="Times New Roman" w:eastAsia="Times New Roman" w:hAnsi="Times New Roman"/>
                <w:sz w:val="16"/>
                <w:szCs w:val="16"/>
                <w:b w:val="1"/>
                <w:bCs w:val="1"/>
                <w:color w:val="auto"/>
              </w:rPr>
              <w:t>Net carrying</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6"/>
                <w:szCs w:val="16"/>
                <w:b w:val="1"/>
                <w:bCs w:val="1"/>
                <w:color w:val="auto"/>
              </w:rPr>
              <w:t>Gross carrying</w:t>
            </w:r>
          </w:p>
        </w:tc>
        <w:tc>
          <w:tcPr>
            <w:tcW w:w="140" w:type="dxa"/>
            <w:vAlign w:val="bottom"/>
          </w:tcPr>
          <w:p>
            <w:pPr>
              <w:spacing w:after="0"/>
              <w:rPr>
                <w:sz w:val="13"/>
                <w:szCs w:val="13"/>
                <w:color w:val="auto"/>
              </w:rPr>
            </w:pPr>
          </w:p>
        </w:tc>
        <w:tc>
          <w:tcPr>
            <w:tcW w:w="1300" w:type="dxa"/>
            <w:vAlign w:val="bottom"/>
            <w:gridSpan w:val="2"/>
          </w:tcPr>
          <w:p>
            <w:pPr>
              <w:ind w:left="60"/>
              <w:spacing w:after="0" w:line="158"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60" w:type="dxa"/>
            <w:vAlign w:val="bottom"/>
          </w:tcPr>
          <w:p>
            <w:pPr>
              <w:spacing w:after="0"/>
              <w:rPr>
                <w:sz w:val="13"/>
                <w:szCs w:val="13"/>
                <w:color w:val="auto"/>
              </w:rPr>
            </w:pPr>
          </w:p>
        </w:tc>
        <w:tc>
          <w:tcPr>
            <w:tcW w:w="1160" w:type="dxa"/>
            <w:vAlign w:val="bottom"/>
          </w:tcPr>
          <w:p>
            <w:pPr>
              <w:jc w:val="right"/>
              <w:ind w:right="139"/>
              <w:spacing w:after="0" w:line="158" w:lineRule="exact"/>
              <w:rPr>
                <w:sz w:val="20"/>
                <w:szCs w:val="20"/>
                <w:color w:val="auto"/>
              </w:rPr>
            </w:pPr>
            <w:r>
              <w:rPr>
                <w:rFonts w:ascii="Times New Roman" w:cs="Times New Roman" w:eastAsia="Times New Roman" w:hAnsi="Times New Roman"/>
                <w:sz w:val="16"/>
                <w:szCs w:val="16"/>
                <w:b w:val="1"/>
                <w:bCs w:val="1"/>
                <w:color w:val="auto"/>
              </w:rPr>
              <w:t>Net carrying</w:t>
            </w:r>
          </w:p>
        </w:tc>
        <w:tc>
          <w:tcPr>
            <w:tcW w:w="0" w:type="dxa"/>
            <w:vAlign w:val="bottom"/>
          </w:tcPr>
          <w:p>
            <w:pPr>
              <w:spacing w:after="0"/>
              <w:rPr>
                <w:sz w:val="1"/>
                <w:szCs w:val="1"/>
                <w:color w:val="auto"/>
              </w:rPr>
            </w:pPr>
          </w:p>
        </w:tc>
      </w:tr>
      <w:tr>
        <w:trPr>
          <w:trHeight w:val="214"/>
        </w:trPr>
        <w:tc>
          <w:tcPr>
            <w:tcW w:w="2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120" w:type="dxa"/>
            <w:vAlign w:val="bottom"/>
          </w:tcPr>
          <w:p>
            <w:pPr>
              <w:spacing w:after="0"/>
              <w:rPr>
                <w:sz w:val="18"/>
                <w:szCs w:val="18"/>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60" w:type="dxa"/>
            <w:vAlign w:val="bottom"/>
          </w:tcPr>
          <w:p>
            <w:pPr>
              <w:spacing w:after="0"/>
              <w:rPr>
                <w:sz w:val="18"/>
                <w:szCs w:val="18"/>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160" w:type="dxa"/>
            <w:vAlign w:val="bottom"/>
          </w:tcPr>
          <w:p>
            <w:pPr>
              <w:spacing w:after="0"/>
              <w:rPr>
                <w:sz w:val="18"/>
                <w:szCs w:val="18"/>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2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40" w:type="dxa"/>
            <w:vAlign w:val="bottom"/>
          </w:tcPr>
          <w:p>
            <w:pPr>
              <w:spacing w:after="0"/>
              <w:rPr>
                <w:sz w:val="18"/>
                <w:szCs w:val="18"/>
                <w:color w:val="auto"/>
              </w:rPr>
            </w:pPr>
          </w:p>
        </w:tc>
        <w:tc>
          <w:tcPr>
            <w:tcW w:w="13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160" w:type="dxa"/>
            <w:vAlign w:val="bottom"/>
          </w:tcPr>
          <w:p>
            <w:pPr>
              <w:spacing w:after="0"/>
              <w:rPr>
                <w:sz w:val="18"/>
                <w:szCs w:val="18"/>
                <w:color w:val="auto"/>
              </w:rPr>
            </w:pPr>
          </w:p>
        </w:tc>
        <w:tc>
          <w:tcPr>
            <w:tcW w:w="116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0" w:type="dxa"/>
            <w:vAlign w:val="bottom"/>
          </w:tcPr>
          <w:p>
            <w:pPr>
              <w:spacing w:after="0"/>
              <w:rPr>
                <w:sz w:val="1"/>
                <w:szCs w:val="1"/>
                <w:color w:val="auto"/>
              </w:rPr>
            </w:pPr>
          </w:p>
        </w:tc>
      </w:tr>
      <w:tr>
        <w:trPr>
          <w:trHeight w:val="211"/>
        </w:trPr>
        <w:tc>
          <w:tcPr>
            <w:tcW w:w="274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Customer relationships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1,932.0</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(1,073.9)</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858.1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1,930.6</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(1,226.2)</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704.4</w:t>
            </w:r>
          </w:p>
        </w:tc>
        <w:tc>
          <w:tcPr>
            <w:tcW w:w="0" w:type="dxa"/>
            <w:vAlign w:val="bottom"/>
          </w:tcPr>
          <w:p>
            <w:pPr>
              <w:spacing w:after="0"/>
              <w:rPr>
                <w:sz w:val="1"/>
                <w:szCs w:val="1"/>
                <w:color w:val="auto"/>
              </w:rPr>
            </w:pPr>
          </w:p>
        </w:tc>
      </w:tr>
      <w:tr>
        <w:trPr>
          <w:trHeight w:val="213"/>
        </w:trPr>
        <w:tc>
          <w:tcPr>
            <w:tcW w:w="27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27.8</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(26.9)</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27.1</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(26.8)</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0" w:type="dxa"/>
            <w:vAlign w:val="bottom"/>
          </w:tcPr>
          <w:p>
            <w:pPr>
              <w:spacing w:after="0"/>
              <w:rPr>
                <w:sz w:val="1"/>
                <w:szCs w:val="1"/>
                <w:color w:val="auto"/>
              </w:rPr>
            </w:pPr>
          </w:p>
        </w:tc>
      </w:tr>
      <w:tr>
        <w:trPr>
          <w:trHeight w:val="212"/>
        </w:trPr>
        <w:tc>
          <w:tcPr>
            <w:tcW w:w="2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definite-lived intangible assets</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1,959.8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(1,100.8)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859.0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1,957.7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(1,253.0)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704.7</w:t>
            </w:r>
          </w:p>
        </w:tc>
        <w:tc>
          <w:tcPr>
            <w:tcW w:w="0" w:type="dxa"/>
            <w:vAlign w:val="bottom"/>
          </w:tcPr>
          <w:p>
            <w:pPr>
              <w:spacing w:after="0"/>
              <w:rPr>
                <w:sz w:val="1"/>
                <w:szCs w:val="1"/>
                <w:color w:val="auto"/>
              </w:rPr>
            </w:pPr>
          </w:p>
        </w:tc>
      </w:tr>
      <w:tr>
        <w:trPr>
          <w:trHeight w:val="213"/>
        </w:trPr>
        <w:tc>
          <w:tcPr>
            <w:tcW w:w="27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Trade name (indefinite-lived)</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140.0</w:t>
            </w:r>
          </w:p>
        </w:tc>
        <w:tc>
          <w:tcPr>
            <w:tcW w:w="0" w:type="dxa"/>
            <w:vAlign w:val="bottom"/>
          </w:tcPr>
          <w:p>
            <w:pPr>
              <w:spacing w:after="0"/>
              <w:rPr>
                <w:sz w:val="1"/>
                <w:szCs w:val="1"/>
                <w:color w:val="auto"/>
              </w:rPr>
            </w:pPr>
          </w:p>
        </w:tc>
      </w:tr>
      <w:tr>
        <w:trPr>
          <w:trHeight w:val="145"/>
        </w:trPr>
        <w:tc>
          <w:tcPr>
            <w:tcW w:w="2740" w:type="dxa"/>
            <w:vAlign w:val="bottom"/>
            <w:tcBorders>
              <w:top w:val="single" w:sz="8" w:color="CCEEFF"/>
            </w:tcBorders>
            <w:shd w:val="clear" w:color="auto" w:fill="CCEEFF"/>
          </w:tcPr>
          <w:p>
            <w:pPr>
              <w:ind w:left="360"/>
              <w:spacing w:after="0" w:line="145" w:lineRule="exact"/>
              <w:rPr>
                <w:sz w:val="20"/>
                <w:szCs w:val="20"/>
                <w:color w:val="auto"/>
              </w:rPr>
            </w:pPr>
            <w:r>
              <w:rPr>
                <w:rFonts w:ascii="Times New Roman" w:cs="Times New Roman" w:eastAsia="Times New Roman" w:hAnsi="Times New Roman"/>
                <w:sz w:val="16"/>
                <w:szCs w:val="16"/>
                <w:color w:val="auto"/>
              </w:rPr>
              <w:t>Total intangible assets other than</w:t>
            </w: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2,119.8</w:t>
            </w: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(1,100.8)</w:t>
            </w: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1,019.0</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2,097.7</w:t>
            </w: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(1,253.0)</w:t>
            </w: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844.7</w:t>
            </w:r>
          </w:p>
        </w:tc>
        <w:tc>
          <w:tcPr>
            <w:tcW w:w="0" w:type="dxa"/>
            <w:vAlign w:val="bottom"/>
          </w:tcPr>
          <w:p>
            <w:pPr>
              <w:spacing w:after="0"/>
              <w:rPr>
                <w:sz w:val="1"/>
                <w:szCs w:val="1"/>
                <w:color w:val="auto"/>
              </w:rPr>
            </w:pPr>
          </w:p>
        </w:tc>
      </w:tr>
      <w:tr>
        <w:trPr>
          <w:trHeight w:val="209"/>
        </w:trPr>
        <w:tc>
          <w:tcPr>
            <w:tcW w:w="27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goodwill</w:t>
            </w: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12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vMerge w:val="continue"/>
            <w:shd w:val="clear" w:color="auto" w:fill="CCEEFF"/>
          </w:tcPr>
          <w:p>
            <w:pPr>
              <w:spacing w:after="0"/>
              <w:rPr>
                <w:sz w:val="18"/>
                <w:szCs w:val="18"/>
                <w:color w:val="auto"/>
              </w:rPr>
            </w:pPr>
          </w:p>
        </w:tc>
        <w:tc>
          <w:tcPr>
            <w:tcW w:w="118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vMerge w:val="continue"/>
            <w:shd w:val="clear" w:color="auto" w:fill="CCEEFF"/>
          </w:tcPr>
          <w:p>
            <w:pPr>
              <w:spacing w:after="0"/>
              <w:rPr>
                <w:sz w:val="18"/>
                <w:szCs w:val="18"/>
                <w:color w:val="auto"/>
              </w:rPr>
            </w:pPr>
          </w:p>
        </w:tc>
        <w:tc>
          <w:tcPr>
            <w:tcW w:w="11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120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vMerge w:val="continue"/>
            <w:shd w:val="clear" w:color="auto" w:fill="CCEEFF"/>
          </w:tcPr>
          <w:p>
            <w:pPr>
              <w:spacing w:after="0"/>
              <w:rPr>
                <w:sz w:val="18"/>
                <w:szCs w:val="18"/>
                <w:color w:val="auto"/>
              </w:rPr>
            </w:pPr>
          </w:p>
        </w:tc>
        <w:tc>
          <w:tcPr>
            <w:tcW w:w="118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vMerge w:val="continue"/>
            <w:shd w:val="clear" w:color="auto" w:fill="CCEEFF"/>
          </w:tcPr>
          <w:p>
            <w:pPr>
              <w:spacing w:after="0"/>
              <w:rPr>
                <w:sz w:val="18"/>
                <w:szCs w:val="18"/>
                <w:color w:val="auto"/>
              </w:rPr>
            </w:pPr>
          </w:p>
        </w:tc>
        <w:tc>
          <w:tcPr>
            <w:tcW w:w="11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right="100" w:firstLine="486"/>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2023 and 2024 we recognized impairment charges of $57.0 million and $20.0 million, respectively, related to our trade name indefinite-lived intangible asset.</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240" w:firstLine="486"/>
        <w:spacing w:after="0" w:line="282" w:lineRule="auto"/>
        <w:rPr>
          <w:sz w:val="20"/>
          <w:szCs w:val="20"/>
          <w:color w:val="auto"/>
        </w:rPr>
      </w:pPr>
      <w:r>
        <w:rPr>
          <w:rFonts w:ascii="Times New Roman" w:cs="Times New Roman" w:eastAsia="Times New Roman" w:hAnsi="Times New Roman"/>
          <w:sz w:val="18"/>
          <w:szCs w:val="18"/>
          <w:color w:val="auto"/>
        </w:rPr>
        <w:t>Additionally, during the year ended December 31, 2022 we recognized impairment charges of $33.0 million and $22.4 million related to our trade name indefinite-lived intangible asset and the OpenStack Public Cloud definite-lived intangible assets, respectively.</w:t>
      </w:r>
    </w:p>
    <w:p>
      <w:pPr>
        <w:spacing w:after="0" w:line="1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These impairment charges are recorded in “Impairment of assets, net” in our Consolidated Statements of Comprehensive Loss.</w:t>
      </w:r>
    </w:p>
    <w:p>
      <w:pPr>
        <w:spacing w:after="0" w:line="252" w:lineRule="exact"/>
        <w:rPr>
          <w:sz w:val="20"/>
          <w:szCs w:val="20"/>
          <w:color w:val="auto"/>
        </w:rPr>
      </w:pPr>
    </w:p>
    <w:p>
      <w:pPr>
        <w:jc w:val="both"/>
        <w:ind w:right="300" w:firstLine="486"/>
        <w:spacing w:after="0" w:line="266" w:lineRule="auto"/>
        <w:rPr>
          <w:sz w:val="20"/>
          <w:szCs w:val="20"/>
          <w:color w:val="auto"/>
        </w:rPr>
      </w:pPr>
      <w:r>
        <w:rPr>
          <w:rFonts w:ascii="Times New Roman" w:cs="Times New Roman" w:eastAsia="Times New Roman" w:hAnsi="Times New Roman"/>
          <w:sz w:val="18"/>
          <w:szCs w:val="18"/>
          <w:color w:val="auto"/>
        </w:rPr>
        <w:t>In connection with the classification of our corporate headquarters facility as held for sale as of December 31, 2022, we wrote-off the remaining $4.8 million net book value of the related property tax abatement asset to "Impairment of assets, net" in our Consolidated Statements of Comprehensive Loss for the year ended December 31, 2022.</w:t>
      </w:r>
    </w:p>
    <w:p>
      <w:pPr>
        <w:spacing w:after="0" w:line="203" w:lineRule="exact"/>
        <w:rPr>
          <w:sz w:val="20"/>
          <w:szCs w:val="20"/>
          <w:color w:val="auto"/>
        </w:rPr>
      </w:pPr>
    </w:p>
    <w:p>
      <w:pPr>
        <w:jc w:val="both"/>
        <w:ind w:right="300" w:firstLine="486"/>
        <w:spacing w:after="0" w:line="282" w:lineRule="auto"/>
        <w:rPr>
          <w:sz w:val="20"/>
          <w:szCs w:val="20"/>
          <w:color w:val="auto"/>
        </w:rPr>
      </w:pPr>
      <w:r>
        <w:rPr>
          <w:rFonts w:ascii="Times New Roman" w:cs="Times New Roman" w:eastAsia="Times New Roman" w:hAnsi="Times New Roman"/>
          <w:sz w:val="18"/>
          <w:szCs w:val="18"/>
          <w:color w:val="auto"/>
        </w:rPr>
        <w:t>For additional information, see the discussion of our impairment charges in Note 1, "Company Overview, Basis of Presentation, and Summary of Significant Accounting Policies."</w:t>
      </w:r>
    </w:p>
    <w:p>
      <w:pPr>
        <w:spacing w:after="0" w:line="189" w:lineRule="exact"/>
        <w:rPr>
          <w:sz w:val="20"/>
          <w:szCs w:val="20"/>
          <w:color w:val="auto"/>
        </w:rPr>
      </w:pPr>
    </w:p>
    <w:p>
      <w:pPr>
        <w:jc w:val="both"/>
        <w:ind w:right="300" w:firstLine="486"/>
        <w:spacing w:after="0" w:line="282" w:lineRule="auto"/>
        <w:rPr>
          <w:sz w:val="20"/>
          <w:szCs w:val="20"/>
          <w:color w:val="auto"/>
        </w:rPr>
      </w:pPr>
      <w:r>
        <w:rPr>
          <w:rFonts w:ascii="Times New Roman" w:cs="Times New Roman" w:eastAsia="Times New Roman" w:hAnsi="Times New Roman"/>
          <w:sz w:val="18"/>
          <w:szCs w:val="18"/>
          <w:color w:val="auto"/>
        </w:rPr>
        <w:t>Amortization expense related to intangibles was $166.8 million, $161.0 million and $154.1 million for the years ended December 31, 2022, 2023 and 2024, respectively.</w:t>
      </w:r>
    </w:p>
    <w:p>
      <w:pPr>
        <w:spacing w:after="0" w:line="1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December 31, 2024, amortization of intangible assets for the next five years and thereafter is expected to be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Intangible Assets</w:t>
            </w:r>
          </w:p>
        </w:tc>
      </w:tr>
      <w:tr>
        <w:trPr>
          <w:trHeight w:val="199"/>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Year ending:</w:t>
            </w: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r>
      <w:tr>
        <w:trPr>
          <w:trHeight w:val="213"/>
        </w:trPr>
        <w:tc>
          <w:tcPr>
            <w:tcW w:w="97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2025</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146.9</w:t>
            </w:r>
          </w:p>
        </w:tc>
      </w:tr>
      <w:tr>
        <w:trPr>
          <w:trHeight w:val="219"/>
        </w:trPr>
        <w:tc>
          <w:tcPr>
            <w:tcW w:w="97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2026</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123.8</w:t>
            </w:r>
          </w:p>
        </w:tc>
      </w:tr>
      <w:tr>
        <w:trPr>
          <w:trHeight w:val="213"/>
        </w:trPr>
        <w:tc>
          <w:tcPr>
            <w:tcW w:w="97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2027</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117.3</w:t>
            </w:r>
          </w:p>
        </w:tc>
      </w:tr>
      <w:tr>
        <w:trPr>
          <w:trHeight w:val="219"/>
        </w:trPr>
        <w:tc>
          <w:tcPr>
            <w:tcW w:w="97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2028</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117.3</w:t>
            </w:r>
          </w:p>
        </w:tc>
      </w:tr>
      <w:tr>
        <w:trPr>
          <w:trHeight w:val="213"/>
        </w:trPr>
        <w:tc>
          <w:tcPr>
            <w:tcW w:w="97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2029</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111.2</w:t>
            </w:r>
          </w:p>
        </w:tc>
      </w:tr>
      <w:tr>
        <w:trPr>
          <w:trHeight w:val="216"/>
        </w:trPr>
        <w:tc>
          <w:tcPr>
            <w:tcW w:w="97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Thereafter</w:t>
            </w:r>
          </w:p>
        </w:tc>
        <w:tc>
          <w:tcPr>
            <w:tcW w:w="1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88.2</w:t>
            </w:r>
          </w:p>
        </w:tc>
      </w:tr>
      <w:tr>
        <w:trPr>
          <w:trHeight w:val="212"/>
        </w:trPr>
        <w:tc>
          <w:tcPr>
            <w:tcW w:w="97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704.7</w:t>
            </w:r>
          </w:p>
        </w:tc>
      </w:tr>
      <w:tr>
        <w:trPr>
          <w:trHeight w:val="20"/>
        </w:trPr>
        <w:tc>
          <w:tcPr>
            <w:tcW w:w="9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Debt</w:t>
      </w:r>
    </w:p>
    <w:p>
      <w:pPr>
        <w:spacing w:after="0" w:line="25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Debt consisted of the following:</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4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 millions, except %)</w:t>
            </w: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60" w:type="dxa"/>
            <w:vAlign w:val="bottom"/>
            <w:tcBorders>
              <w:bottom w:val="single" w:sz="8" w:color="auto"/>
            </w:tcBorders>
            <w:gridSpan w:val="4"/>
          </w:tcPr>
          <w:p>
            <w:pPr>
              <w:jc w:val="right"/>
              <w:ind w:right="739"/>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00" w:type="dxa"/>
            <w:vAlign w:val="bottom"/>
          </w:tcPr>
          <w:p>
            <w:pPr>
              <w:spacing w:after="0"/>
              <w:rPr>
                <w:sz w:val="18"/>
                <w:szCs w:val="18"/>
                <w:color w:val="auto"/>
              </w:rPr>
            </w:pPr>
          </w:p>
        </w:tc>
        <w:tc>
          <w:tcPr>
            <w:tcW w:w="2980" w:type="dxa"/>
            <w:vAlign w:val="bottom"/>
            <w:tcBorders>
              <w:bottom w:val="single" w:sz="8" w:color="auto"/>
            </w:tcBorders>
            <w:gridSpan w:val="4"/>
          </w:tcPr>
          <w:p>
            <w:pPr>
              <w:jc w:val="right"/>
              <w:ind w:right="759"/>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0" w:type="dxa"/>
            <w:vAlign w:val="bottom"/>
          </w:tcPr>
          <w:p>
            <w:pPr>
              <w:spacing w:after="0"/>
              <w:rPr>
                <w:sz w:val="1"/>
                <w:szCs w:val="1"/>
                <w:color w:val="auto"/>
              </w:rPr>
            </w:pPr>
          </w:p>
        </w:tc>
      </w:tr>
      <w:tr>
        <w:trPr>
          <w:trHeight w:val="215"/>
        </w:trPr>
        <w:tc>
          <w:tcPr>
            <w:tcW w:w="3480" w:type="dxa"/>
            <w:vAlign w:val="bottom"/>
            <w:gridSpan w:val="2"/>
          </w:tcPr>
          <w:p>
            <w:pPr>
              <w:ind w:left="1120"/>
              <w:spacing w:after="0"/>
              <w:rPr>
                <w:sz w:val="20"/>
                <w:szCs w:val="20"/>
                <w:color w:val="auto"/>
              </w:rPr>
            </w:pPr>
            <w:r>
              <w:rPr>
                <w:rFonts w:ascii="Times New Roman" w:cs="Times New Roman" w:eastAsia="Times New Roman" w:hAnsi="Times New Roman"/>
                <w:sz w:val="16"/>
                <w:szCs w:val="16"/>
                <w:b w:val="1"/>
                <w:bCs w:val="1"/>
                <w:color w:val="auto"/>
              </w:rPr>
              <w:t>Debt Instrument</w:t>
            </w:r>
          </w:p>
        </w:tc>
        <w:tc>
          <w:tcPr>
            <w:tcW w:w="17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Maturity Date</w:t>
            </w:r>
          </w:p>
        </w:tc>
        <w:tc>
          <w:tcPr>
            <w:tcW w:w="1540" w:type="dxa"/>
            <w:vAlign w:val="bottom"/>
            <w:gridSpan w:val="2"/>
          </w:tcPr>
          <w:p>
            <w:pPr>
              <w:ind w:left="180"/>
              <w:spacing w:after="0" w:line="216" w:lineRule="exact"/>
              <w:rPr>
                <w:sz w:val="20"/>
                <w:szCs w:val="20"/>
                <w:color w:val="auto"/>
              </w:rPr>
            </w:pPr>
            <w:r>
              <w:rPr>
                <w:rFonts w:ascii="Times New Roman" w:cs="Times New Roman" w:eastAsia="Times New Roman" w:hAnsi="Times New Roman"/>
                <w:sz w:val="16"/>
                <w:szCs w:val="16"/>
                <w:b w:val="1"/>
                <w:bCs w:val="1"/>
                <w:color w:val="auto"/>
              </w:rPr>
              <w:t xml:space="preserve">Interest Rate </w:t>
            </w:r>
            <w:r>
              <w:rPr>
                <w:rFonts w:ascii="Times New Roman" w:cs="Times New Roman" w:eastAsia="Times New Roman" w:hAnsi="Times New Roman"/>
                <w:sz w:val="21"/>
                <w:szCs w:val="21"/>
                <w:b w:val="1"/>
                <w:bCs w:val="1"/>
                <w:color w:val="auto"/>
                <w:vertAlign w:val="superscript"/>
              </w:rPr>
              <w:t>(1)</w:t>
            </w:r>
          </w:p>
        </w:tc>
        <w:tc>
          <w:tcPr>
            <w:tcW w:w="260" w:type="dxa"/>
            <w:vAlign w:val="bottom"/>
          </w:tcPr>
          <w:p>
            <w:pPr>
              <w:spacing w:after="0"/>
              <w:rPr>
                <w:sz w:val="18"/>
                <w:szCs w:val="18"/>
                <w:color w:val="auto"/>
              </w:rPr>
            </w:pPr>
          </w:p>
        </w:tc>
        <w:tc>
          <w:tcPr>
            <w:tcW w:w="116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 w:type="dxa"/>
            <w:vAlign w:val="bottom"/>
          </w:tcPr>
          <w:p>
            <w:pPr>
              <w:spacing w:after="0"/>
              <w:rPr>
                <w:sz w:val="18"/>
                <w:szCs w:val="18"/>
                <w:color w:val="auto"/>
              </w:rPr>
            </w:pPr>
          </w:p>
        </w:tc>
        <w:tc>
          <w:tcPr>
            <w:tcW w:w="1540" w:type="dxa"/>
            <w:vAlign w:val="bottom"/>
            <w:gridSpan w:val="2"/>
          </w:tcPr>
          <w:p>
            <w:pPr>
              <w:ind w:left="200"/>
              <w:spacing w:after="0" w:line="216" w:lineRule="exact"/>
              <w:rPr>
                <w:sz w:val="20"/>
                <w:szCs w:val="20"/>
                <w:color w:val="auto"/>
              </w:rPr>
            </w:pPr>
            <w:r>
              <w:rPr>
                <w:rFonts w:ascii="Times New Roman" w:cs="Times New Roman" w:eastAsia="Times New Roman" w:hAnsi="Times New Roman"/>
                <w:sz w:val="16"/>
                <w:szCs w:val="16"/>
                <w:b w:val="1"/>
                <w:bCs w:val="1"/>
                <w:color w:val="auto"/>
              </w:rPr>
              <w:t xml:space="preserve">Interest Rate </w:t>
            </w:r>
            <w:r>
              <w:rPr>
                <w:rFonts w:ascii="Times New Roman" w:cs="Times New Roman" w:eastAsia="Times New Roman" w:hAnsi="Times New Roman"/>
                <w:sz w:val="21"/>
                <w:szCs w:val="21"/>
                <w:b w:val="1"/>
                <w:bCs w:val="1"/>
                <w:color w:val="auto"/>
                <w:vertAlign w:val="superscript"/>
              </w:rPr>
              <w:t>(1)</w:t>
            </w:r>
          </w:p>
        </w:tc>
        <w:tc>
          <w:tcPr>
            <w:tcW w:w="280" w:type="dxa"/>
            <w:vAlign w:val="bottom"/>
          </w:tcPr>
          <w:p>
            <w:pPr>
              <w:spacing w:after="0"/>
              <w:rPr>
                <w:sz w:val="18"/>
                <w:szCs w:val="18"/>
                <w:color w:val="auto"/>
              </w:rPr>
            </w:pPr>
          </w:p>
        </w:tc>
        <w:tc>
          <w:tcPr>
            <w:tcW w:w="116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0" w:type="dxa"/>
            <w:vAlign w:val="bottom"/>
          </w:tcPr>
          <w:p>
            <w:pPr>
              <w:spacing w:after="0"/>
              <w:rPr>
                <w:sz w:val="1"/>
                <w:szCs w:val="1"/>
                <w:color w:val="auto"/>
              </w:rPr>
            </w:pPr>
          </w:p>
        </w:tc>
      </w:tr>
      <w:tr>
        <w:trPr>
          <w:trHeight w:val="210"/>
        </w:trPr>
        <w:tc>
          <w:tcPr>
            <w:tcW w:w="3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FLSO Term Loan Facility</w:t>
            </w:r>
          </w:p>
        </w:tc>
        <w:tc>
          <w:tcPr>
            <w:tcW w:w="12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May 15, 2028</w:t>
            </w:r>
          </w:p>
        </w:tc>
        <w:tc>
          <w:tcPr>
            <w:tcW w:w="12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7.35%</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1,626.8</w:t>
            </w:r>
          </w:p>
        </w:tc>
        <w:tc>
          <w:tcPr>
            <w:tcW w:w="0" w:type="dxa"/>
            <w:vAlign w:val="bottom"/>
          </w:tcPr>
          <w:p>
            <w:pPr>
              <w:spacing w:after="0"/>
              <w:rPr>
                <w:sz w:val="1"/>
                <w:szCs w:val="1"/>
                <w:color w:val="auto"/>
              </w:rPr>
            </w:pPr>
          </w:p>
        </w:tc>
      </w:tr>
      <w:tr>
        <w:trPr>
          <w:trHeight w:val="213"/>
        </w:trPr>
        <w:tc>
          <w:tcPr>
            <w:tcW w:w="3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FLFO Term Loan Facility</w:t>
            </w:r>
          </w:p>
        </w:tc>
        <w:tc>
          <w:tcPr>
            <w:tcW w:w="17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May 15, 2028</w:t>
            </w:r>
          </w:p>
        </w:tc>
        <w:tc>
          <w:tcPr>
            <w:tcW w:w="15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rPr>
              <w:t>10.85%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272.9</w:t>
            </w:r>
          </w:p>
        </w:tc>
        <w:tc>
          <w:tcPr>
            <w:tcW w:w="0" w:type="dxa"/>
            <w:vAlign w:val="bottom"/>
          </w:tcPr>
          <w:p>
            <w:pPr>
              <w:spacing w:after="0"/>
              <w:rPr>
                <w:sz w:val="1"/>
                <w:szCs w:val="1"/>
                <w:color w:val="auto"/>
              </w:rPr>
            </w:pPr>
          </w:p>
        </w:tc>
      </w:tr>
      <w:tr>
        <w:trPr>
          <w:trHeight w:val="219"/>
        </w:trPr>
        <w:tc>
          <w:tcPr>
            <w:tcW w:w="3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Term Loan Facility</w:t>
            </w:r>
          </w:p>
        </w:tc>
        <w:tc>
          <w:tcPr>
            <w:tcW w:w="17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February 15, 2028</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8.23%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2,181.2</w:t>
            </w:r>
          </w:p>
        </w:tc>
        <w:tc>
          <w:tcPr>
            <w:tcW w:w="1540" w:type="dxa"/>
            <w:vAlign w:val="bottom"/>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rPr>
              <w:t>7.35%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61.8</w:t>
            </w:r>
          </w:p>
        </w:tc>
        <w:tc>
          <w:tcPr>
            <w:tcW w:w="0" w:type="dxa"/>
            <w:vAlign w:val="bottom"/>
          </w:tcPr>
          <w:p>
            <w:pPr>
              <w:spacing w:after="0"/>
              <w:rPr>
                <w:sz w:val="1"/>
                <w:szCs w:val="1"/>
                <w:color w:val="auto"/>
              </w:rPr>
            </w:pPr>
          </w:p>
        </w:tc>
      </w:tr>
      <w:tr>
        <w:trPr>
          <w:trHeight w:val="213"/>
        </w:trPr>
        <w:tc>
          <w:tcPr>
            <w:tcW w:w="3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New Revolving Credit Facility</w:t>
            </w:r>
          </w:p>
        </w:tc>
        <w:tc>
          <w:tcPr>
            <w:tcW w:w="17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May 15, 2028</w:t>
            </w:r>
          </w:p>
        </w:tc>
        <w:tc>
          <w:tcPr>
            <w:tcW w:w="15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3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Revolving Credit Facility</w:t>
            </w:r>
          </w:p>
        </w:tc>
        <w:tc>
          <w:tcPr>
            <w:tcW w:w="17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August 7, 2025</w:t>
            </w:r>
          </w:p>
        </w:tc>
        <w:tc>
          <w:tcPr>
            <w:tcW w:w="15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3.50% FLSO Senior Secured Notes</w:t>
            </w:r>
          </w:p>
        </w:tc>
        <w:tc>
          <w:tcPr>
            <w:tcW w:w="17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May 15, 2028</w:t>
            </w:r>
          </w:p>
        </w:tc>
        <w:tc>
          <w:tcPr>
            <w:tcW w:w="15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rPr>
              <w:t>3.50%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318.6</w:t>
            </w:r>
          </w:p>
        </w:tc>
        <w:tc>
          <w:tcPr>
            <w:tcW w:w="0" w:type="dxa"/>
            <w:vAlign w:val="bottom"/>
          </w:tcPr>
          <w:p>
            <w:pPr>
              <w:spacing w:after="0"/>
              <w:rPr>
                <w:sz w:val="1"/>
                <w:szCs w:val="1"/>
                <w:color w:val="auto"/>
              </w:rPr>
            </w:pPr>
          </w:p>
        </w:tc>
      </w:tr>
      <w:tr>
        <w:trPr>
          <w:trHeight w:val="219"/>
        </w:trPr>
        <w:tc>
          <w:tcPr>
            <w:tcW w:w="3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3.50% Senior Secured Notes</w:t>
            </w:r>
          </w:p>
        </w:tc>
        <w:tc>
          <w:tcPr>
            <w:tcW w:w="17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February 15, 2028</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3.50%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513.7</w:t>
            </w:r>
          </w:p>
        </w:tc>
        <w:tc>
          <w:tcPr>
            <w:tcW w:w="1540" w:type="dxa"/>
            <w:vAlign w:val="bottom"/>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rPr>
              <w:t>3.50%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43.9</w:t>
            </w:r>
          </w:p>
        </w:tc>
        <w:tc>
          <w:tcPr>
            <w:tcW w:w="0" w:type="dxa"/>
            <w:vAlign w:val="bottom"/>
          </w:tcPr>
          <w:p>
            <w:pPr>
              <w:spacing w:after="0"/>
              <w:rPr>
                <w:sz w:val="1"/>
                <w:szCs w:val="1"/>
                <w:color w:val="auto"/>
              </w:rPr>
            </w:pPr>
          </w:p>
        </w:tc>
      </w:tr>
      <w:tr>
        <w:trPr>
          <w:trHeight w:val="213"/>
        </w:trPr>
        <w:tc>
          <w:tcPr>
            <w:tcW w:w="34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5.375% Senior Notes</w:t>
            </w:r>
          </w:p>
        </w:tc>
        <w:tc>
          <w:tcPr>
            <w:tcW w:w="1720" w:type="dxa"/>
            <w:vAlign w:val="bottom"/>
            <w:tcBorders>
              <w:bottom w:val="single" w:sz="8" w:color="CCEEFF"/>
            </w:tcBorders>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December 1, 2028</w:t>
            </w:r>
          </w:p>
        </w:tc>
        <w:tc>
          <w:tcPr>
            <w:tcW w:w="14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6"/>
                <w:szCs w:val="16"/>
                <w:color w:val="auto"/>
              </w:rPr>
              <w:t>5.375%</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197.6</w:t>
            </w:r>
          </w:p>
        </w:tc>
        <w:tc>
          <w:tcPr>
            <w:tcW w:w="1540" w:type="dxa"/>
            <w:vAlign w:val="bottom"/>
            <w:tcBorders>
              <w:bottom w:val="single" w:sz="8" w:color="CCEEFF"/>
            </w:tcBorders>
            <w:gridSpan w:val="2"/>
          </w:tcPr>
          <w:p>
            <w:pPr>
              <w:jc w:val="center"/>
              <w:ind w:left="39"/>
              <w:spacing w:after="0"/>
              <w:rPr>
                <w:sz w:val="20"/>
                <w:szCs w:val="20"/>
                <w:color w:val="auto"/>
              </w:rPr>
            </w:pPr>
            <w:r>
              <w:rPr>
                <w:rFonts w:ascii="Times New Roman" w:cs="Times New Roman" w:eastAsia="Times New Roman" w:hAnsi="Times New Roman"/>
                <w:sz w:val="16"/>
                <w:szCs w:val="16"/>
                <w:color w:val="auto"/>
              </w:rPr>
              <w:t>5.375%</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125.4</w:t>
            </w:r>
          </w:p>
        </w:tc>
        <w:tc>
          <w:tcPr>
            <w:tcW w:w="0" w:type="dxa"/>
            <w:vAlign w:val="bottom"/>
          </w:tcPr>
          <w:p>
            <w:pPr>
              <w:spacing w:after="0"/>
              <w:rPr>
                <w:sz w:val="1"/>
                <w:szCs w:val="1"/>
                <w:color w:val="auto"/>
              </w:rPr>
            </w:pPr>
          </w:p>
        </w:tc>
      </w:tr>
      <w:tr>
        <w:trPr>
          <w:trHeight w:val="212"/>
        </w:trPr>
        <w:tc>
          <w:tcPr>
            <w:tcW w:w="34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principal amount outstanding</w:t>
            </w: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2,892.5</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2,449.4</w:t>
            </w:r>
          </w:p>
        </w:tc>
        <w:tc>
          <w:tcPr>
            <w:tcW w:w="0" w:type="dxa"/>
            <w:vAlign w:val="bottom"/>
          </w:tcPr>
          <w:p>
            <w:pPr>
              <w:spacing w:after="0"/>
              <w:rPr>
                <w:sz w:val="1"/>
                <w:szCs w:val="1"/>
                <w:color w:val="auto"/>
              </w:rPr>
            </w:pPr>
          </w:p>
        </w:tc>
      </w:tr>
      <w:tr>
        <w:trPr>
          <w:trHeight w:val="162"/>
        </w:trPr>
        <w:tc>
          <w:tcPr>
            <w:tcW w:w="3480" w:type="dxa"/>
            <w:vAlign w:val="bottom"/>
            <w:gridSpan w:val="2"/>
          </w:tcPr>
          <w:p>
            <w:pPr>
              <w:ind w:left="140"/>
              <w:spacing w:after="0" w:line="162" w:lineRule="exact"/>
              <w:rPr>
                <w:sz w:val="20"/>
                <w:szCs w:val="20"/>
                <w:color w:val="auto"/>
              </w:rPr>
            </w:pPr>
            <w:r>
              <w:rPr>
                <w:rFonts w:ascii="Times New Roman" w:cs="Times New Roman" w:eastAsia="Times New Roman" w:hAnsi="Times New Roman"/>
                <w:sz w:val="16"/>
                <w:szCs w:val="16"/>
                <w:color w:val="auto"/>
              </w:rPr>
              <w:t>Unamortized debt issuance costs, debt premium,</w:t>
            </w: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(29.9)</w:t>
            </w: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336.2</w:t>
            </w:r>
          </w:p>
        </w:tc>
        <w:tc>
          <w:tcPr>
            <w:tcW w:w="0" w:type="dxa"/>
            <w:vAlign w:val="bottom"/>
          </w:tcPr>
          <w:p>
            <w:pPr>
              <w:spacing w:after="0"/>
              <w:rPr>
                <w:sz w:val="1"/>
                <w:szCs w:val="1"/>
                <w:color w:val="auto"/>
              </w:rPr>
            </w:pPr>
          </w:p>
        </w:tc>
      </w:tr>
      <w:tr>
        <w:trPr>
          <w:trHeight w:val="213"/>
        </w:trPr>
        <w:tc>
          <w:tcPr>
            <w:tcW w:w="348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6"/>
                <w:szCs w:val="16"/>
                <w:color w:val="auto"/>
              </w:rPr>
              <w:t>and debt discount</w:t>
            </w:r>
          </w:p>
        </w:tc>
        <w:tc>
          <w:tcPr>
            <w:tcW w:w="16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4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Total debt</w:t>
            </w: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2,862.6</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2,785.6</w:t>
            </w:r>
          </w:p>
        </w:tc>
        <w:tc>
          <w:tcPr>
            <w:tcW w:w="0" w:type="dxa"/>
            <w:vAlign w:val="bottom"/>
          </w:tcPr>
          <w:p>
            <w:pPr>
              <w:spacing w:after="0"/>
              <w:rPr>
                <w:sz w:val="1"/>
                <w:szCs w:val="1"/>
                <w:color w:val="auto"/>
              </w:rPr>
            </w:pPr>
          </w:p>
        </w:tc>
      </w:tr>
      <w:tr>
        <w:trPr>
          <w:trHeight w:val="213"/>
        </w:trPr>
        <w:tc>
          <w:tcPr>
            <w:tcW w:w="3480" w:type="dxa"/>
            <w:vAlign w:val="bottom"/>
            <w:tcBorders>
              <w:bottom w:val="single" w:sz="8" w:color="CCEEFF"/>
            </w:tcBorders>
            <w:gridSpan w:val="2"/>
          </w:tcPr>
          <w:p>
            <w:pPr>
              <w:ind w:left="260"/>
              <w:spacing w:after="0"/>
              <w:rPr>
                <w:sz w:val="20"/>
                <w:szCs w:val="20"/>
                <w:color w:val="auto"/>
              </w:rPr>
            </w:pPr>
            <w:r>
              <w:rPr>
                <w:rFonts w:ascii="Times New Roman" w:cs="Times New Roman" w:eastAsia="Times New Roman" w:hAnsi="Times New Roman"/>
                <w:sz w:val="16"/>
                <w:szCs w:val="16"/>
                <w:color w:val="auto"/>
              </w:rPr>
              <w:t>Less: current portion of debt</w:t>
            </w:r>
          </w:p>
        </w:tc>
        <w:tc>
          <w:tcPr>
            <w:tcW w:w="16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100" w:type="dxa"/>
            <w:vAlign w:val="bottom"/>
            <w:tcBorders>
              <w:bottom w:val="single" w:sz="8" w:color="CCEEFF"/>
            </w:tcBorders>
          </w:tcPr>
          <w:p>
            <w:pPr>
              <w:spacing w:after="0"/>
              <w:rPr>
                <w:sz w:val="18"/>
                <w:szCs w:val="18"/>
                <w:color w:val="auto"/>
              </w:rPr>
            </w:pPr>
          </w:p>
        </w:tc>
        <w:tc>
          <w:tcPr>
            <w:tcW w:w="14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(29.2)</w:t>
            </w:r>
          </w:p>
        </w:tc>
        <w:tc>
          <w:tcPr>
            <w:tcW w:w="0" w:type="dxa"/>
            <w:vAlign w:val="bottom"/>
          </w:tcPr>
          <w:p>
            <w:pPr>
              <w:spacing w:after="0"/>
              <w:rPr>
                <w:sz w:val="1"/>
                <w:szCs w:val="1"/>
                <w:color w:val="auto"/>
              </w:rPr>
            </w:pPr>
          </w:p>
        </w:tc>
      </w:tr>
      <w:tr>
        <w:trPr>
          <w:trHeight w:val="237"/>
        </w:trPr>
        <w:tc>
          <w:tcPr>
            <w:tcW w:w="348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Debt, excluding current portion</w:t>
            </w:r>
          </w:p>
        </w:tc>
        <w:tc>
          <w:tcPr>
            <w:tcW w:w="16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2,839.6</w:t>
            </w:r>
          </w:p>
        </w:tc>
        <w:tc>
          <w:tcPr>
            <w:tcW w:w="1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2,756.4</w:t>
            </w: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1"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6"/>
          <w:szCs w:val="16"/>
          <w:color w:val="auto"/>
        </w:rPr>
        <w:t>(1)</w:t>
        <w:tab/>
        <w:t>Contractual interest rate as of each respective balance sheet date.</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March 2024 Refinancing Transactions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Private Exchange</w:t>
      </w:r>
    </w:p>
    <w:p>
      <w:pPr>
        <w:spacing w:after="0" w:line="254"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On March 12, 2024, we (together with certain of our subsidiaries) closed a private debt exchange (the “Private Exchange”) with (i) holders of the 3.50% Senior Secured Notes (the “Existing Secured Notes”) issued by Rackspace Technology Global (the “Existing Borrower”) representing more than 64% of the aggregate principal amount outstanding of the Existing Secured Notes as of December 31, 2023, and (ii) lenders representing more than 72% of the aggregate principal amount of the outstanding term loan facility under the First Lien Credit Agreement (the “Existing Term Loans”) as of December 31, 2023.</w:t>
      </w:r>
    </w:p>
    <w:p>
      <w:pPr>
        <w:spacing w:after="0" w:line="210" w:lineRule="exact"/>
        <w:rPr>
          <w:sz w:val="20"/>
          <w:szCs w:val="20"/>
          <w:color w:val="auto"/>
        </w:rPr>
      </w:pPr>
    </w:p>
    <w:p>
      <w:pPr>
        <w:ind w:right="80" w:firstLine="486"/>
        <w:spacing w:after="0" w:line="261" w:lineRule="auto"/>
        <w:rPr>
          <w:sz w:val="20"/>
          <w:szCs w:val="20"/>
          <w:color w:val="auto"/>
        </w:rPr>
      </w:pPr>
      <w:r>
        <w:rPr>
          <w:rFonts w:ascii="Times New Roman" w:cs="Times New Roman" w:eastAsia="Times New Roman" w:hAnsi="Times New Roman"/>
          <w:sz w:val="18"/>
          <w:szCs w:val="18"/>
          <w:color w:val="auto"/>
        </w:rPr>
        <w:t>Pursuant to the Private Exchange, (i) $331.4 million aggregate principal amount of Existing Secured Notes and $1,588.8 million aggregate principal amount of the Existing Term Loans were exchanged or purchased for cancellation and (ii) $267.3 million aggregate principal amount of the 3.50% FLSO Senior Secured Notes and $1,312.0 million aggregate principal amount of the FLSO Term Loan Facility were issued by Rackspace Finance, a new subsidiary of the company (the “New Borrower”).</w:t>
      </w:r>
    </w:p>
    <w:p>
      <w:pPr>
        <w:spacing w:after="0" w:line="207" w:lineRule="exact"/>
        <w:rPr>
          <w:sz w:val="20"/>
          <w:szCs w:val="20"/>
          <w:color w:val="auto"/>
        </w:rPr>
      </w:pPr>
    </w:p>
    <w:p>
      <w:pPr>
        <w:ind w:right="40" w:firstLine="486"/>
        <w:spacing w:after="0" w:line="282" w:lineRule="auto"/>
        <w:rPr>
          <w:sz w:val="20"/>
          <w:szCs w:val="20"/>
          <w:color w:val="auto"/>
        </w:rPr>
      </w:pPr>
      <w:r>
        <w:rPr>
          <w:rFonts w:ascii="Times New Roman" w:cs="Times New Roman" w:eastAsia="Times New Roman" w:hAnsi="Times New Roman"/>
          <w:sz w:val="18"/>
          <w:szCs w:val="18"/>
          <w:color w:val="auto"/>
        </w:rPr>
        <w:t>In addition, the New Borrower issued $275.0 million aggregate principal amount of the FLFO Term Loan Facility and we repurchased and cancelled $69.3 million aggregate principal amount of the 5.375% Senior Notes.</w:t>
      </w:r>
    </w:p>
    <w:p>
      <w:pPr>
        <w:spacing w:after="0" w:line="187" w:lineRule="exact"/>
        <w:rPr>
          <w:sz w:val="20"/>
          <w:szCs w:val="20"/>
          <w:color w:val="auto"/>
        </w:rPr>
      </w:pPr>
    </w:p>
    <w:p>
      <w:pPr>
        <w:ind w:right="180" w:firstLine="486"/>
        <w:spacing w:after="0" w:line="284" w:lineRule="auto"/>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New Debt Instruments</w:t>
      </w:r>
      <w:r>
        <w:rPr>
          <w:rFonts w:ascii="Times New Roman" w:cs="Times New Roman" w:eastAsia="Times New Roman" w:hAnsi="Times New Roman"/>
          <w:sz w:val="18"/>
          <w:szCs w:val="18"/>
          <w:color w:val="auto"/>
        </w:rPr>
        <w:t>” below for additional discussion of the new 3.50% FLSO Senior Secured Notes, FLSO Term Loan Facility, and FLFO Term Loan Facility.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Public Exchanges</w:t>
      </w:r>
    </w:p>
    <w:p>
      <w:pPr>
        <w:spacing w:after="0" w:line="254" w:lineRule="exact"/>
        <w:rPr>
          <w:sz w:val="20"/>
          <w:szCs w:val="20"/>
          <w:color w:val="auto"/>
        </w:rPr>
      </w:pPr>
    </w:p>
    <w:p>
      <w:pPr>
        <w:ind w:right="60" w:firstLine="486"/>
        <w:spacing w:after="0" w:line="261" w:lineRule="auto"/>
        <w:rPr>
          <w:sz w:val="20"/>
          <w:szCs w:val="20"/>
          <w:color w:val="auto"/>
        </w:rPr>
      </w:pPr>
      <w:r>
        <w:rPr>
          <w:rFonts w:ascii="Times New Roman" w:cs="Times New Roman" w:eastAsia="Times New Roman" w:hAnsi="Times New Roman"/>
          <w:sz w:val="18"/>
          <w:szCs w:val="18"/>
          <w:color w:val="auto"/>
        </w:rPr>
        <w:t>On March 13, 2024, we launched an offer to all of the holders of the Existing Borrower’s remaining Existing Term Loans (the “Public Term Loan Exchange”). On March 26, 2024, we closed the Public Term Loan Exchange, pursuant to which (i) $529.9 million aggregate principal amount of the Existing Term Loans were exchanged or purchased for cancellation and (ii) $375.1 million aggregate principal amount of FLSO Term Loans was issued by the New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On March 14, 2024, we launched an offer to all of the holders of the Existing Borrower’s remaining Existing Secured Notes (the “Public Note Exchange”). On April 16, 2024, we completed the Public Note Exchange, pursuant to which (i) $138.4 million aggregate principal amount of Existing Secured Notes were exchanged or purchased for cancellation and (ii) $96.9 million aggregate principal amount of 3.50% FLSO Senior Secured Notes were issued by the New Borrower.</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New Revolving Credit Facility</w:t>
      </w:r>
    </w:p>
    <w:p>
      <w:pPr>
        <w:spacing w:after="0" w:line="254"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On March 12, 2024, the New Borrower also established the New Revolving Credit Facility with commitments in an aggregate principal amount of $375.0 million. All revolving lenders under the prior Revolving Credit Facility exchanged their revolving loan commitments for commitments in respect of the New Revolving Credit Facility, which replaces in full the prior Revolving Credit Facility. The New Revolving Credit Facility matures on May 15, 2028. See “</w:t>
      </w:r>
      <w:r>
        <w:rPr>
          <w:rFonts w:ascii="Times New Roman" w:cs="Times New Roman" w:eastAsia="Times New Roman" w:hAnsi="Times New Roman"/>
          <w:sz w:val="18"/>
          <w:szCs w:val="18"/>
          <w:i w:val="1"/>
          <w:iCs w:val="1"/>
          <w:color w:val="auto"/>
        </w:rPr>
        <w:t>New Debt Instruments</w:t>
      </w:r>
      <w:r>
        <w:rPr>
          <w:rFonts w:ascii="Times New Roman" w:cs="Times New Roman" w:eastAsia="Times New Roman" w:hAnsi="Times New Roman"/>
          <w:sz w:val="18"/>
          <w:szCs w:val="18"/>
          <w:color w:val="auto"/>
        </w:rPr>
        <w:t>” below for additional discussion of the New Revolving Credit Facility.</w:t>
      </w:r>
    </w:p>
    <w:p>
      <w:pPr>
        <w:spacing w:after="0" w:line="207"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We refer to the Private Exchange, the Public Term Loan Exchange, the Public Note Exchange and the entry into the New Revolving Credit Facility, collectively, as the “March 2024 Refinancing Transactions.”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Impacts</w:t>
      </w:r>
    </w:p>
    <w:p>
      <w:pPr>
        <w:spacing w:after="0" w:line="254" w:lineRule="exact"/>
        <w:rPr>
          <w:sz w:val="20"/>
          <w:szCs w:val="20"/>
          <w:color w:val="auto"/>
        </w:rPr>
      </w:pPr>
    </w:p>
    <w:p>
      <w:pPr>
        <w:ind w:right="100" w:firstLine="486"/>
        <w:spacing w:after="0" w:line="253" w:lineRule="auto"/>
        <w:rPr>
          <w:sz w:val="20"/>
          <w:szCs w:val="20"/>
          <w:color w:val="auto"/>
        </w:rPr>
      </w:pPr>
      <w:r>
        <w:rPr>
          <w:rFonts w:ascii="Times New Roman" w:cs="Times New Roman" w:eastAsia="Times New Roman" w:hAnsi="Times New Roman"/>
          <w:sz w:val="18"/>
          <w:szCs w:val="18"/>
          <w:color w:val="auto"/>
        </w:rPr>
        <w:t xml:space="preserve">We performed an assessment of the March 2024 Refinancing Transactions and determined it met the criteria to be accounted for as a troubled debt restructuring under ASC No. 470-60, </w:t>
      </w:r>
      <w:r>
        <w:rPr>
          <w:rFonts w:ascii="Times New Roman" w:cs="Times New Roman" w:eastAsia="Times New Roman" w:hAnsi="Times New Roman"/>
          <w:sz w:val="18"/>
          <w:szCs w:val="18"/>
          <w:i w:val="1"/>
          <w:iCs w:val="1"/>
          <w:color w:val="auto"/>
        </w:rPr>
        <w:t>Troubled Debt Restructurings by Debtors</w:t>
      </w:r>
      <w:r>
        <w:rPr>
          <w:rFonts w:ascii="Times New Roman" w:cs="Times New Roman" w:eastAsia="Times New Roman" w:hAnsi="Times New Roman"/>
          <w:sz w:val="18"/>
          <w:szCs w:val="18"/>
          <w:color w:val="auto"/>
        </w:rPr>
        <w:t>. For each series of the Existing Debt Instruments exchanged, the undiscounted cash flows associated with the New Debt Instruments issued were compared to the carrying value of the Existing Debt Instruments exchanged for such New Debt Instruments and the applicable exchange was accounted for as follows: (i) to the extent the undiscounted cash flows of the New Debt Instruments in question were lower than the carrying value of the applicable Existing Debt Instruments exchanged, the carrying value of the applicable New Debt Instruments was established at the total of these undiscounted cash flows, with a gain recorded for the remaining difference between this value and the carrying value of the applicable Existing Debt Instruments (as such, no interest expense will be recorded for the applicable 3.50% FLSO Senior Secured Notes prospectively) and (ii) to the extent the undiscounted cash flows of the New Debt Instruments in question exceeded the carrying value of the applicable Existing Debt Instruments exchanged, the carrying value of the applicable New Debt Instruments was established at the carrying value of the applicable Existing Debt Instruments and the company established new effective interest rates based on the carrying value of the applicable Existing Term Loans prior to the March 2024 Refinancing Transactions.</w:t>
      </w:r>
    </w:p>
    <w:p>
      <w:pPr>
        <w:spacing w:after="0" w:line="219" w:lineRule="exact"/>
        <w:rPr>
          <w:sz w:val="20"/>
          <w:szCs w:val="20"/>
          <w:color w:val="auto"/>
        </w:rPr>
      </w:pPr>
    </w:p>
    <w:p>
      <w:pPr>
        <w:ind w:right="320" w:firstLine="486"/>
        <w:spacing w:after="0" w:line="282" w:lineRule="auto"/>
        <w:rPr>
          <w:sz w:val="20"/>
          <w:szCs w:val="20"/>
          <w:color w:val="auto"/>
        </w:rPr>
      </w:pPr>
      <w:r>
        <w:rPr>
          <w:rFonts w:ascii="Times New Roman" w:cs="Times New Roman" w:eastAsia="Times New Roman" w:hAnsi="Times New Roman"/>
          <w:sz w:val="18"/>
          <w:szCs w:val="18"/>
          <w:color w:val="auto"/>
        </w:rPr>
        <w:t>The difference between the principal amount of the 3.50% FLSO Senior Secured Notes and the carrying value was recorded as a premium and is included in long-term debt on our Consolidated Balance Sheets.</w:t>
      </w:r>
    </w:p>
    <w:p>
      <w:pPr>
        <w:spacing w:after="0" w:line="189" w:lineRule="exact"/>
        <w:rPr>
          <w:sz w:val="20"/>
          <w:szCs w:val="20"/>
          <w:color w:val="auto"/>
        </w:rPr>
      </w:pPr>
    </w:p>
    <w:p>
      <w:pPr>
        <w:ind w:right="380" w:firstLine="486"/>
        <w:spacing w:after="0" w:line="282" w:lineRule="auto"/>
        <w:rPr>
          <w:sz w:val="20"/>
          <w:szCs w:val="20"/>
          <w:color w:val="auto"/>
        </w:rPr>
      </w:pPr>
      <w:r>
        <w:rPr>
          <w:rFonts w:ascii="Times New Roman" w:cs="Times New Roman" w:eastAsia="Times New Roman" w:hAnsi="Times New Roman"/>
          <w:sz w:val="18"/>
          <w:szCs w:val="18"/>
          <w:color w:val="auto"/>
        </w:rPr>
        <w:t>The premium recorded on the 3.50% FLSO Senior Secured Notes was $39.1 million, which will be reduced as contractual interest payments are made on the 3.50% FLSO Senior Secured Notes.</w:t>
      </w:r>
    </w:p>
    <w:p>
      <w:pPr>
        <w:spacing w:after="0" w:line="189" w:lineRule="exact"/>
        <w:rPr>
          <w:sz w:val="20"/>
          <w:szCs w:val="20"/>
          <w:color w:val="auto"/>
        </w:rPr>
      </w:pPr>
    </w:p>
    <w:p>
      <w:pPr>
        <w:jc w:val="both"/>
        <w:ind w:right="140" w:firstLine="486"/>
        <w:spacing w:after="0" w:line="266" w:lineRule="auto"/>
        <w:rPr>
          <w:sz w:val="20"/>
          <w:szCs w:val="20"/>
          <w:color w:val="auto"/>
        </w:rPr>
      </w:pPr>
      <w:r>
        <w:rPr>
          <w:rFonts w:ascii="Times New Roman" w:cs="Times New Roman" w:eastAsia="Times New Roman" w:hAnsi="Times New Roman"/>
          <w:sz w:val="18"/>
          <w:szCs w:val="18"/>
          <w:color w:val="auto"/>
        </w:rPr>
        <w:t>In connection with the March 2024 Refinancing Transactions, we recorded a gain in the first quarter of 2024 of $56.7 million after deducting third-party costs and lender fees incurred. The gain is included in "Gain on debt extinguishment, net of debt modification costs" in our Consolidated Statements of Comprehensive Loss. We incurred third party fees of $28.4 million.</w:t>
      </w:r>
    </w:p>
    <w:p>
      <w:pPr>
        <w:spacing w:after="0" w:line="203" w:lineRule="exact"/>
        <w:rPr>
          <w:sz w:val="20"/>
          <w:szCs w:val="20"/>
          <w:color w:val="auto"/>
        </w:rPr>
      </w:pPr>
    </w:p>
    <w:p>
      <w:pPr>
        <w:ind w:right="440" w:firstLine="486"/>
        <w:spacing w:after="0" w:line="266" w:lineRule="auto"/>
        <w:rPr>
          <w:sz w:val="20"/>
          <w:szCs w:val="20"/>
          <w:color w:val="auto"/>
        </w:rPr>
      </w:pPr>
      <w:r>
        <w:rPr>
          <w:rFonts w:ascii="Times New Roman" w:cs="Times New Roman" w:eastAsia="Times New Roman" w:hAnsi="Times New Roman"/>
          <w:sz w:val="18"/>
          <w:szCs w:val="18"/>
          <w:color w:val="auto"/>
        </w:rPr>
        <w:t>The March 2024 Refinancing Transactions were completed in April 2024 with the closing of the Public Note Exchange. In connection with the Public Note Exchange, we recorded a $23.3 million gain, after deducting $3.3 million of third-party fees, in the second quarter of 2024. The gain is included in "Gain on debt extinguishment, net of debt modification costs" in our Consolidated Statements of Comprehensive Loss.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Debt Instruments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New Senior Facilities</w:t>
      </w:r>
    </w:p>
    <w:p>
      <w:pPr>
        <w:spacing w:after="0" w:line="254" w:lineRule="exact"/>
        <w:rPr>
          <w:sz w:val="20"/>
          <w:szCs w:val="20"/>
          <w:color w:val="auto"/>
        </w:rPr>
      </w:pPr>
    </w:p>
    <w:p>
      <w:pPr>
        <w:ind w:right="380" w:firstLine="486"/>
        <w:spacing w:after="0" w:line="282" w:lineRule="auto"/>
        <w:rPr>
          <w:sz w:val="20"/>
          <w:szCs w:val="20"/>
          <w:color w:val="auto"/>
        </w:rPr>
      </w:pPr>
      <w:r>
        <w:rPr>
          <w:rFonts w:ascii="Times New Roman" w:cs="Times New Roman" w:eastAsia="Times New Roman" w:hAnsi="Times New Roman"/>
          <w:sz w:val="18"/>
          <w:szCs w:val="18"/>
          <w:color w:val="auto"/>
        </w:rPr>
        <w:t>On March 12, 2024, Rackspace Finance Holdings, the New Borrower, the lenders and issuing banks party thereto and Citi, as the administrative agent and collateral agent, entered into the New First Lien Credit Agreement.</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FLSO Term Loan Facility</w:t>
      </w:r>
    </w:p>
    <w:p>
      <w:pPr>
        <w:spacing w:after="0" w:line="25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New Borrower issued the FLSO Term Loan Facility in an aggregate principal amount of $1,687.2 million. The FLSO Term Loan Facility matures on May 15, 2028. Borrowings under the FLSO Term Loan Facility bear interest at an annual rate equal to Term SOFR equal to the forward-looking term rate, based on the secured overnight financing rate as administered by the Federal Reserve Bank of New York, for the interest period relevant to such borrowing, plus a credit spread adjustment of 0.11% for an interest period of one-month’s duration, 0.26% for an interest period of three-months’ duration, and 0.43% for an interest period of six-months’ duration, subject to a 0.75% floor, plus an applicable margin of 2.75%.</w:t>
      </w:r>
    </w:p>
    <w:p>
      <w:pPr>
        <w:spacing w:after="0" w:line="21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As of December 31, 2024, the contractual interest rate on the FLSO Term Loan Facility was 7.35%. We are required to make quarterly principal payments of $4.2 million, which began on March 31, 2024. See Note 14, “Derivatives,” for information on interest rate swap agreements we utilize to manage the interest rate risk on the FLSO Term Loan Facility.</w:t>
      </w:r>
    </w:p>
    <w:p>
      <w:pPr>
        <w:spacing w:after="0" w:line="203" w:lineRule="exact"/>
        <w:rPr>
          <w:sz w:val="20"/>
          <w:szCs w:val="20"/>
          <w:color w:val="auto"/>
        </w:rPr>
      </w:pPr>
    </w:p>
    <w:p>
      <w:pPr>
        <w:ind w:right="260" w:firstLine="486"/>
        <w:spacing w:after="0" w:line="282" w:lineRule="auto"/>
        <w:rPr>
          <w:sz w:val="20"/>
          <w:szCs w:val="20"/>
          <w:color w:val="auto"/>
        </w:rPr>
      </w:pPr>
      <w:r>
        <w:rPr>
          <w:rFonts w:ascii="Times New Roman" w:cs="Times New Roman" w:eastAsia="Times New Roman" w:hAnsi="Times New Roman"/>
          <w:sz w:val="18"/>
          <w:szCs w:val="18"/>
          <w:color w:val="auto"/>
        </w:rPr>
        <w:t>Affiliates of Apollo are FLSO Term Loan Facility lenders under the New First Lien Credit Agreement. As of December 31, 2024, the outstanding principal amount of the FLSO Term Loan Facility was $1,626.8 million, of which $80.5 million, or 4.9%, is due to Apollo affiliates.</w:t>
      </w:r>
    </w:p>
    <w:p>
      <w:pPr>
        <w:spacing w:after="0" w:line="189" w:lineRule="exact"/>
        <w:rPr>
          <w:sz w:val="20"/>
          <w:szCs w:val="20"/>
          <w:color w:val="auto"/>
        </w:rPr>
      </w:pPr>
    </w:p>
    <w:p>
      <w:pPr>
        <w:ind w:right="80" w:firstLine="486"/>
        <w:spacing w:after="0" w:line="266" w:lineRule="auto"/>
        <w:rPr>
          <w:sz w:val="20"/>
          <w:szCs w:val="20"/>
          <w:color w:val="auto"/>
        </w:rPr>
      </w:pPr>
      <w:r>
        <w:rPr>
          <w:rFonts w:ascii="Times New Roman" w:cs="Times New Roman" w:eastAsia="Times New Roman" w:hAnsi="Times New Roman"/>
          <w:sz w:val="18"/>
          <w:szCs w:val="18"/>
          <w:color w:val="auto"/>
        </w:rPr>
        <w:t>Prior to September 12, 2025, the New Borrower may prepay some or all of the FLSO Term Loan Facility, together with accrued and unpaid interest, subject to the applicable “make-whole” premium. On or after September 12, 2025, the New Borrower may prepay some or all of the FLSO Term Loan Facility, together with accrued and unpaid interest, without prepayment premium or penalty.</w:t>
      </w:r>
    </w:p>
    <w:p>
      <w:pPr>
        <w:spacing w:after="0" w:line="203" w:lineRule="exact"/>
        <w:rPr>
          <w:sz w:val="20"/>
          <w:szCs w:val="20"/>
          <w:color w:val="auto"/>
        </w:rPr>
      </w:pPr>
    </w:p>
    <w:p>
      <w:pPr>
        <w:ind w:right="200" w:firstLine="486"/>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2024, the New Borrower repurchased and surrendered for cancellation $43.4 million principal amount of the FLSO Term Loan Facility for $20.6 million. In connection with these repurchases, we recorded a gain, included in "Gain on debt extinguishment, net of debt modification costs", of $32.1 million in our Consolidated Statements of Comprehensive Loss for the year ended December 31, 2024, which includes $9.0 million of unamortized debt issuance costs and debt premium write-offs.</w:t>
      </w:r>
    </w:p>
    <w:p>
      <w:pPr>
        <w:spacing w:after="0" w:line="207" w:lineRule="exact"/>
        <w:rPr>
          <w:sz w:val="20"/>
          <w:szCs w:val="20"/>
          <w:color w:val="auto"/>
        </w:rPr>
      </w:pPr>
    </w:p>
    <w:p>
      <w:pPr>
        <w:ind w:right="100" w:firstLine="486"/>
        <w:spacing w:after="0" w:line="266" w:lineRule="auto"/>
        <w:rPr>
          <w:sz w:val="20"/>
          <w:szCs w:val="20"/>
          <w:color w:val="auto"/>
        </w:rPr>
      </w:pPr>
      <w:r>
        <w:rPr>
          <w:rFonts w:ascii="Times New Roman" w:cs="Times New Roman" w:eastAsia="Times New Roman" w:hAnsi="Times New Roman"/>
          <w:sz w:val="18"/>
          <w:szCs w:val="18"/>
          <w:color w:val="auto"/>
        </w:rPr>
        <w:t>The fair value of the FLSO Term Loan Facility as of December 31, 2024 was $943.5 million, based on quoted market prices for identical assets that are traded in over-the-counter secondary markets that are not considered active. The fair value of the FLSO Term Loan Facility is classified as Level 2 within the fair value hierarchy.</w:t>
      </w:r>
    </w:p>
    <w:p>
      <w:pPr>
        <w:spacing w:after="0" w:line="203" w:lineRule="exact"/>
        <w:rPr>
          <w:sz w:val="20"/>
          <w:szCs w:val="20"/>
          <w:color w:val="auto"/>
        </w:rPr>
      </w:pPr>
    </w:p>
    <w:p>
      <w:pPr>
        <w:ind w:right="300" w:firstLine="486"/>
        <w:spacing w:after="0" w:line="261" w:lineRule="auto"/>
        <w:rPr>
          <w:sz w:val="20"/>
          <w:szCs w:val="20"/>
          <w:color w:val="auto"/>
        </w:rPr>
      </w:pPr>
      <w:r>
        <w:rPr>
          <w:rFonts w:ascii="Times New Roman" w:cs="Times New Roman" w:eastAsia="Times New Roman" w:hAnsi="Times New Roman"/>
          <w:sz w:val="18"/>
          <w:szCs w:val="18"/>
          <w:color w:val="auto"/>
        </w:rPr>
        <w:t>The New Borrower is the borrower and all obligations under the FLSO Term Loan Facility are guaranteed on a senior secured basis, jointly and severally, by Rackspace Finance Holdings on a limited-recourse basis and by certain of the New Borrower’s subsidiaries (the “Subsidiary Guarantors”). The obligations under the FLSO Term Loan Facility are secured by a pledge of the New Borrower’s capital stock directly held by Rackspace Finance Holdings and substantially all of the New Borrower’s and the Subsidiary Guarantors’ assets, subject to exceptions.</w:t>
      </w:r>
    </w:p>
    <w:p>
      <w:pPr>
        <w:spacing w:after="0" w:line="20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FLSO Term Loan Facility contains certain customary affirmative covenants, negative covenants, and events of default.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- 125 -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FLFO Term Loan Facility</w:t>
      </w:r>
    </w:p>
    <w:p>
      <w:pPr>
        <w:spacing w:after="0" w:line="252"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New Borrower issued the FLFO Term Loan Facility in an initial aggregate principal amount of $275.0 million. The FLFO Term Loan Facility matures on May 15, 2028. Borrowings under the FLFO Term Loan Facility bear interest at an annual rate equal to Term SOFR equal to the forward-looking term rate, based on the secured overnight financing rate as administered by the Federal Reserve Bank of New York, for the interest period relevant to such borrowing, plus a credit spread adjustment of 0.11% for an interest period of one-month’s duration, 0.26% for an interest period of three-months’ duration, and 0.43% for an interest period of six-months’ duration, subject to a 0.75% floor, plus an applicable margin of 6.25% and were issued with 1.00% of original issue discount.</w:t>
      </w:r>
    </w:p>
    <w:p>
      <w:pPr>
        <w:spacing w:after="0" w:line="21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As of December 31, 2024, the contractual interest rate on the FLFO Term Loan Facility was 10.85%. We are required to make quarterly principal payments of $0.7 million, which began on June 30, 2024. See Note 14, “Derivatives,” for information on interest rate swap agreements we utilize to manage the interest rate risk on the FLFO Term Loan Facility.</w:t>
      </w:r>
    </w:p>
    <w:p>
      <w:pPr>
        <w:spacing w:after="0" w:line="203"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Prior to September 12, 2025, the New Borrower may prepay some or all of the FLFO Term Loan Facility, together with accrued and unpaid interest, subject to the applicable “make-whole” premium. On or after September 12, 2025 but prior to September 12, 2027, the New Borrower may prepay some or all of the FLFO Term Loan Facility, together with accrued and unpaid interest, subject to a prepayment fee equal to (x) 3.00% of the principal amount of the FLFO Term Loan Facility so prepaid prior to September 12, 2026 and (y) 1.00% of the principal amount of the FLFO Term Loan Facility so prepaid on or after September 12, 2026 but prior to September 12, 2027. On or after September 12, 2027, the New Borrower may prepay some or all of the FLFO Term Loan Facility, together with accrued and unpaid interest, without prepayment premium or penalty.</w:t>
      </w:r>
    </w:p>
    <w:p>
      <w:pPr>
        <w:spacing w:after="0" w:line="214" w:lineRule="exact"/>
        <w:rPr>
          <w:sz w:val="20"/>
          <w:szCs w:val="20"/>
          <w:color w:val="auto"/>
        </w:rPr>
      </w:pPr>
    </w:p>
    <w:p>
      <w:pPr>
        <w:ind w:right="100" w:firstLine="486"/>
        <w:spacing w:after="0" w:line="266" w:lineRule="auto"/>
        <w:rPr>
          <w:sz w:val="20"/>
          <w:szCs w:val="20"/>
          <w:color w:val="auto"/>
        </w:rPr>
      </w:pPr>
      <w:r>
        <w:rPr>
          <w:rFonts w:ascii="Times New Roman" w:cs="Times New Roman" w:eastAsia="Times New Roman" w:hAnsi="Times New Roman"/>
          <w:sz w:val="18"/>
          <w:szCs w:val="18"/>
          <w:color w:val="auto"/>
        </w:rPr>
        <w:t>The fair value of the FLFO Term Loan Facility as of December 31, 2024 was $280.7 million, based on quoted market prices for identical assets that are traded in over-the-counter secondary markets that are not considered active. The fair value of the FLFO Term Loan Facility is classified as Level 2 within the fair value hierarchy.</w:t>
      </w:r>
    </w:p>
    <w:p>
      <w:pPr>
        <w:spacing w:after="0" w:line="203" w:lineRule="exact"/>
        <w:rPr>
          <w:sz w:val="20"/>
          <w:szCs w:val="20"/>
          <w:color w:val="auto"/>
        </w:rPr>
      </w:pPr>
    </w:p>
    <w:p>
      <w:pPr>
        <w:ind w:right="400" w:firstLine="486"/>
        <w:spacing w:after="0" w:line="261" w:lineRule="auto"/>
        <w:rPr>
          <w:sz w:val="20"/>
          <w:szCs w:val="20"/>
          <w:color w:val="auto"/>
        </w:rPr>
      </w:pPr>
      <w:r>
        <w:rPr>
          <w:rFonts w:ascii="Times New Roman" w:cs="Times New Roman" w:eastAsia="Times New Roman" w:hAnsi="Times New Roman"/>
          <w:sz w:val="18"/>
          <w:szCs w:val="18"/>
          <w:color w:val="auto"/>
        </w:rPr>
        <w:t>The New Borrower is the borrower and all obligations under the FLFO Term Loan Facility are guaranteed on a senior secured basis, jointly and severally, by Rackspace Finance Holdings on a limited-recourse basis and by the Subsidiary Guarantors. The obligations under the FLFO Term Loan Facility are secured by the same collateral that secures the FLSO Term Loan Facility, the New Revolving Credit Facility and the 3.50% FLSO Senior Secured Notes.</w:t>
      </w:r>
    </w:p>
    <w:p>
      <w:pPr>
        <w:spacing w:after="0" w:line="20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FLFO Term Loan Facility contains certain customary affirmative covenants, negative covenants, and events of default.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New Revolving Credit Facility</w:t>
      </w:r>
    </w:p>
    <w:p>
      <w:pPr>
        <w:spacing w:after="0" w:line="252"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The New Borrower established the New Revolving Credit Facility in an aggregate principal amount of $375.0 million of commitments. The New Revolving Credit Facility matures on May 15, 2028 and bears interest at an annual rate equal to Term SOFR equal to the forward-looking term rate, based on the secured overnight financing rate as administered by the Federal Reserve Bank of New York, for the interest period relevant to such borrowing, subject to a 1.00% floor, plus an applicable margin of initially 3.00%. After June 30, 2024, the applicable margin became subject to a net first lien leverage-based pricing grid as set forth in the New First Lien Credit Agreement. In addition to paying interest on the outstanding principal under the New Revolving Credit Facility, the New Borrower is required to pay a commitment fee equal to initially 0.50% per annum to the lenders under the New Revolving Credit Facility in respect of the unutilized commitments thereunder. After June 30, 2024, the commitment fee became subject to a net first lien leverage-based pricing grid as set forth in the New First Lien Credit Agreement. The New Borrower may prepay loans incurred under the New Revolving Credit Facility, together with accrued and unpaid interest, without prepayment premium or penalty.</w:t>
      </w:r>
    </w:p>
    <w:p>
      <w:pPr>
        <w:spacing w:after="0" w:line="215" w:lineRule="exact"/>
        <w:rPr>
          <w:sz w:val="20"/>
          <w:szCs w:val="20"/>
          <w:color w:val="auto"/>
        </w:rPr>
      </w:pPr>
    </w:p>
    <w:p>
      <w:pPr>
        <w:ind w:right="60" w:firstLine="486"/>
        <w:spacing w:after="0" w:line="261" w:lineRule="auto"/>
        <w:rPr>
          <w:sz w:val="20"/>
          <w:szCs w:val="20"/>
          <w:color w:val="auto"/>
        </w:rPr>
      </w:pPr>
      <w:r>
        <w:rPr>
          <w:rFonts w:ascii="Times New Roman" w:cs="Times New Roman" w:eastAsia="Times New Roman" w:hAnsi="Times New Roman"/>
          <w:sz w:val="18"/>
          <w:szCs w:val="18"/>
          <w:color w:val="auto"/>
        </w:rPr>
        <w:t>The New Borrower is the borrower and all obligations under the New Revolving Credit Facility are guaranteed on a senior secured basis, jointly and severally, by Rackspace Finance Holdings on a limited-recourse basis and by the Subsidiary Guarantors. The obligations under the New Revolving Credit Facility are secured by the same collateral that secures the FLSO Term Loan Facility, the FLFO Term Loan Facility and the 3.50% FLSO Senior Secured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- 126 -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0" w:firstLine="486"/>
        <w:spacing w:after="0" w:line="258" w:lineRule="auto"/>
        <w:rPr>
          <w:sz w:val="20"/>
          <w:szCs w:val="20"/>
          <w:color w:val="auto"/>
        </w:rPr>
      </w:pPr>
      <w:r>
        <w:rPr>
          <w:rFonts w:ascii="Times New Roman" w:cs="Times New Roman" w:eastAsia="Times New Roman" w:hAnsi="Times New Roman"/>
          <w:sz w:val="18"/>
          <w:szCs w:val="18"/>
          <w:color w:val="auto"/>
        </w:rPr>
        <w:t>The New Revolving Credit Facility contains certain customary affirmative covenants, negative covenants, and events of default. In addition, the New Revolving Credit Facility contains a financial covenant which limits the super-priority net senior secured leverage ratio to a maximum of 5.00 to 1.00; however, this covenant is only applicable and tested if the aggregate amount of outstanding borrowings under the New Revolving Credit Facility and letters of credit issued thereunder (excluding $25.0 million of undrawn letters of credit and cash collateralized letters of credit) as of the last day of a fiscal quarter is greater than 35% of the New Revolving Credit Facility commitments as of the last day of such fiscal quarter.</w:t>
      </w:r>
    </w:p>
    <w:p>
      <w:pPr>
        <w:spacing w:after="0" w:line="210" w:lineRule="exact"/>
        <w:rPr>
          <w:sz w:val="20"/>
          <w:szCs w:val="20"/>
          <w:color w:val="auto"/>
        </w:rPr>
      </w:pPr>
    </w:p>
    <w:p>
      <w:pPr>
        <w:ind w:right="260" w:firstLine="486"/>
        <w:spacing w:after="0" w:line="282" w:lineRule="auto"/>
        <w:rPr>
          <w:sz w:val="20"/>
          <w:szCs w:val="20"/>
          <w:color w:val="auto"/>
        </w:rPr>
      </w:pPr>
      <w:r>
        <w:rPr>
          <w:rFonts w:ascii="Times New Roman" w:cs="Times New Roman" w:eastAsia="Times New Roman" w:hAnsi="Times New Roman"/>
          <w:sz w:val="18"/>
          <w:szCs w:val="18"/>
          <w:color w:val="auto"/>
        </w:rPr>
        <w:t>As of December 31, 2024, we had total commitments of $375.0 million, no outstanding borrowings under the New Revolving Credit Facility, and $23.5 million of letters of credit issued thereunder. As such, as of December 31, 2024, we had $375.0 million of available commitments remaining.</w:t>
      </w:r>
    </w:p>
    <w:p>
      <w:pPr>
        <w:spacing w:after="0" w:line="1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December 31, 2024, we were in compliance with all covenants under the New Senior Facilities.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3.50% FLSO Senior Secured Notes due 2028</w:t>
      </w:r>
    </w:p>
    <w:p>
      <w:pPr>
        <w:spacing w:after="0" w:line="254"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On March 12, 2024, the New Borrower issued $267.3 million initial aggregate principal amount of the 3.50% FLSO Senior Secured Notes. On April 2, 2024 and April 16, 2024, the New Borrower issued additional 3.50% FLSO Senior Secured Notes in an aggregate principal amount of $93.3 million and $3.6 million, respectively. The 3.50% FLSO Senior Secured Notes will mature on May 15, 2028 and bear interest at an annual fixed rate of 3.50%. Interest is payable semiannually on each February 15 and August 15, commencing on August 15, 2024. The 3.50% FLSO Senior Secured Notes are not subject to registration rights.</w:t>
      </w:r>
    </w:p>
    <w:p>
      <w:pPr>
        <w:spacing w:after="0" w:line="210" w:lineRule="exact"/>
        <w:rPr>
          <w:sz w:val="20"/>
          <w:szCs w:val="20"/>
          <w:color w:val="auto"/>
        </w:rPr>
      </w:pPr>
    </w:p>
    <w:p>
      <w:pPr>
        <w:jc w:val="both"/>
        <w:ind w:right="20" w:firstLine="486"/>
        <w:spacing w:after="0" w:line="261" w:lineRule="auto"/>
        <w:rPr>
          <w:sz w:val="20"/>
          <w:szCs w:val="20"/>
          <w:color w:val="auto"/>
        </w:rPr>
      </w:pPr>
      <w:r>
        <w:rPr>
          <w:rFonts w:ascii="Times New Roman" w:cs="Times New Roman" w:eastAsia="Times New Roman" w:hAnsi="Times New Roman"/>
          <w:sz w:val="18"/>
          <w:szCs w:val="18"/>
          <w:color w:val="auto"/>
        </w:rPr>
        <w:t>The New Borrower is the borrower and all obligations under the 3.50% FLSO Senior Secured Notes are fully and unconditionally guaranteed, jointly and severally, by Rackspace Finance Holdings on a limited-recourse basis and by the Subsidiary Guarantors. The obligations under the 3.50% FLSO Senior Secured Notes are secured by the same collateral that secures the FLSO Term Loan Facility, the FLFO Term Loan Facility and the New Revolving Credit Facility.</w:t>
      </w:r>
    </w:p>
    <w:p>
      <w:pPr>
        <w:spacing w:after="0" w:line="207"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New Borrower may redeem some or all of the 3.50% FLSO Senior Secured Notes at its option prior to September 12, 2025 at a redemption price equal to 100% of the principal amount of the 3.50% FLSO Senior Secured Notes redeemed, plus a “make-whole” premium described in the 3.50% FLSO Senior Secured Notes Indenture, plus accrued and unpaid interest, if any, to, but excluding, the redemption date. Commencing September 12, 2025, the New Borrower may redeem the 3.50% FLSO Senior Secured Notes at its option, in whole at any time or in part from time to time, at a redemption price equal to 100% of the principal amount of the 3.50% FLSO Senior Secured Notes redeemed, plus accrued and unpaid interest, if any, to but excluding the redemption date.</w:t>
      </w:r>
    </w:p>
    <w:p>
      <w:pPr>
        <w:spacing w:after="0" w:line="214" w:lineRule="exact"/>
        <w:rPr>
          <w:sz w:val="20"/>
          <w:szCs w:val="20"/>
          <w:color w:val="auto"/>
        </w:rPr>
      </w:pPr>
    </w:p>
    <w:p>
      <w:pPr>
        <w:jc w:val="both"/>
        <w:ind w:right="20" w:firstLine="486"/>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2024, the New Borrower repurchased and surrendered for cancellation $45.7 million principal amount of the 3.50% FLSO Senior Secured Notes for $19.3 million, including accrued interest of $0.4 million. In connection with these repurchases, we recorded a gain, included in "Gain on debt extinguishment, net of debt modification costs", of $33.0 million, in our Consolidated Statements of Comprehensive Loss for the year ended December 31, 2024, which includes $6.3 million of unamortized debt issuance costs and debt premium write-offs.</w:t>
      </w:r>
    </w:p>
    <w:p>
      <w:pPr>
        <w:spacing w:after="0" w:line="207"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3.50% FLSO Senior Secured Notes Indenture contains covenants that, among other things, limit our ability to incur certain additional debt, incur certain liens securing debt, pay certain dividends or make other restricted payments, make certain investments, make certain asset sales and enter into certain transactions with affiliates. These covenants are subject to a number of exceptions, limitations, and qualifications as set forth in the 3.50% FLSO Senior Secured Notes Indenture. Additionally, upon the occurrence of a change of control (as defined in the 3.50% FLSO Senior Secured Notes Indenture), we will be required to make an offer to repurchase all of the outstanding 3.50% FLSO Senior Secured Notes at a price in cash equal to 101.000% of the aggregate principal amount, plus accrued and unpaid interest, if any, to, but not including the purchase date. The 3.50% FLSO Senior Secured Notes Indenture also contains customary events of default.</w:t>
      </w:r>
    </w:p>
    <w:p>
      <w:pPr>
        <w:spacing w:after="0" w:line="21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December 31, 2024, we were in compliance with all covenants under the 3.50% FLSO Senior Secured Notes Indenture.</w:t>
      </w:r>
    </w:p>
    <w:p>
      <w:pPr>
        <w:spacing w:after="0" w:line="252" w:lineRule="exact"/>
        <w:rPr>
          <w:sz w:val="20"/>
          <w:szCs w:val="20"/>
          <w:color w:val="auto"/>
        </w:rPr>
      </w:pPr>
    </w:p>
    <w:p>
      <w:pPr>
        <w:ind w:right="240" w:firstLine="486"/>
        <w:spacing w:after="0" w:line="266" w:lineRule="auto"/>
        <w:rPr>
          <w:sz w:val="20"/>
          <w:szCs w:val="20"/>
          <w:color w:val="auto"/>
        </w:rPr>
      </w:pPr>
      <w:r>
        <w:rPr>
          <w:rFonts w:ascii="Times New Roman" w:cs="Times New Roman" w:eastAsia="Times New Roman" w:hAnsi="Times New Roman"/>
          <w:sz w:val="18"/>
          <w:szCs w:val="18"/>
          <w:color w:val="auto"/>
        </w:rPr>
        <w:t>The fair value of the 3.50% FLSO Senior Secured Notes as of December 31, 2024 was $191.3 million based on quoted market prices for identical assets that are traded in over-the-counter secondary markets that are not considered active. The fair value of the 3.50% FLSO Senior Secured Notes are classified as Level 2 within the fair value hierarchy.</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Existing Debt Instruments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Facilities</w:t>
      </w:r>
    </w:p>
    <w:p>
      <w:pPr>
        <w:spacing w:after="0" w:line="254" w:lineRule="exact"/>
        <w:rPr>
          <w:sz w:val="20"/>
          <w:szCs w:val="20"/>
          <w:color w:val="auto"/>
        </w:rPr>
      </w:pPr>
    </w:p>
    <w:p>
      <w:pPr>
        <w:ind w:right="500" w:firstLine="486"/>
        <w:spacing w:after="0" w:line="282" w:lineRule="auto"/>
        <w:rPr>
          <w:sz w:val="20"/>
          <w:szCs w:val="20"/>
          <w:color w:val="auto"/>
        </w:rPr>
      </w:pPr>
      <w:r>
        <w:rPr>
          <w:rFonts w:ascii="Times New Roman" w:cs="Times New Roman" w:eastAsia="Times New Roman" w:hAnsi="Times New Roman"/>
          <w:sz w:val="18"/>
          <w:szCs w:val="18"/>
          <w:color w:val="auto"/>
        </w:rPr>
        <w:t>The Senior Facilities include the Term Loan Facility and included the prior Revolving Credit Facility, and is governed by the First Lien Credit Agreement with Wilmington Trust, National Association as the administrative agent.</w:t>
      </w:r>
    </w:p>
    <w:p>
      <w:pPr>
        <w:spacing w:after="0" w:line="189" w:lineRule="exact"/>
        <w:rPr>
          <w:sz w:val="20"/>
          <w:szCs w:val="20"/>
          <w:color w:val="auto"/>
        </w:rPr>
      </w:pPr>
    </w:p>
    <w:p>
      <w:pPr>
        <w:ind w:right="160" w:firstLine="486"/>
        <w:spacing w:after="0" w:line="282" w:lineRule="auto"/>
        <w:rPr>
          <w:sz w:val="20"/>
          <w:szCs w:val="20"/>
          <w:color w:val="auto"/>
        </w:rPr>
      </w:pPr>
      <w:r>
        <w:rPr>
          <w:rFonts w:ascii="Times New Roman" w:cs="Times New Roman" w:eastAsia="Times New Roman" w:hAnsi="Times New Roman"/>
          <w:sz w:val="18"/>
          <w:szCs w:val="18"/>
          <w:color w:val="auto"/>
        </w:rPr>
        <w:t>On February 9, 2021, we amended and restated the First Lien Credit Agreement, which included a new seven-year $2,300.0 million senior secured first lien term loan facility due on February 15, 2028 and our prior $375.0 million Revolving Credit Facility.</w:t>
      </w:r>
    </w:p>
    <w:p>
      <w:pPr>
        <w:spacing w:after="0" w:line="189" w:lineRule="exact"/>
        <w:rPr>
          <w:sz w:val="20"/>
          <w:szCs w:val="20"/>
          <w:color w:val="auto"/>
        </w:rPr>
      </w:pPr>
    </w:p>
    <w:p>
      <w:pPr>
        <w:ind w:right="200" w:firstLine="486"/>
        <w:spacing w:after="0" w:line="282" w:lineRule="auto"/>
        <w:rPr>
          <w:sz w:val="20"/>
          <w:szCs w:val="20"/>
          <w:color w:val="auto"/>
        </w:rPr>
      </w:pPr>
      <w:r>
        <w:rPr>
          <w:rFonts w:ascii="Times New Roman" w:cs="Times New Roman" w:eastAsia="Times New Roman" w:hAnsi="Times New Roman"/>
          <w:sz w:val="18"/>
          <w:szCs w:val="18"/>
          <w:color w:val="auto"/>
        </w:rPr>
        <w:t>On April 26, 2023, we executed an amendment to our First Lien Credit Agreement to establish Term SOFR as the benchmark rate for determining the applicable interest rate, replacing LIBOR.</w:t>
      </w:r>
    </w:p>
    <w:p>
      <w:pPr>
        <w:spacing w:after="0" w:line="189" w:lineRule="exact"/>
        <w:rPr>
          <w:sz w:val="20"/>
          <w:szCs w:val="20"/>
          <w:color w:val="auto"/>
        </w:rPr>
      </w:pPr>
    </w:p>
    <w:p>
      <w:pPr>
        <w:ind w:right="120" w:firstLine="486"/>
        <w:spacing w:after="0" w:line="269" w:lineRule="auto"/>
        <w:rPr>
          <w:sz w:val="20"/>
          <w:szCs w:val="20"/>
          <w:color w:val="auto"/>
        </w:rPr>
      </w:pPr>
      <w:r>
        <w:rPr>
          <w:rFonts w:ascii="Times New Roman" w:cs="Times New Roman" w:eastAsia="Times New Roman" w:hAnsi="Times New Roman"/>
          <w:sz w:val="17"/>
          <w:szCs w:val="17"/>
          <w:color w:val="auto"/>
        </w:rPr>
        <w:t>Borrowings under the Senior Facilities bear interest at an annual rate equal to an applicable margin plus, at our option, either (a) Term SOFR equal to the forward-looking term rate, based on the secured overnight financing rate as administered by the Federal Reserve Bank of New York, for the interest period relevant to such borrowing, plus a credit spread adjustment of 0.11% for an interest period of one-month's duration, 0.26% for an interest period of three-months' duration, and 0.43% for an interest period of six-months' duration, subject to a 0.75% floor, in the case of the Term Loan Facility, and a 1.00% floor, in the case of the prior Revolving Credit Facility, or (b) a base rate determined by reference to the highest of (i) the federal funds rate plus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0.50%, (ii) the prime rate last quoted by The Wall Street Journal and (iii) adjusted Term SOFR for a one-month tenor plus 1.00%.</w:t>
      </w:r>
    </w:p>
    <w:p>
      <w:pPr>
        <w:spacing w:after="0" w:line="234" w:lineRule="exact"/>
        <w:rPr>
          <w:sz w:val="20"/>
          <w:szCs w:val="20"/>
          <w:color w:val="auto"/>
        </w:rPr>
      </w:pPr>
    </w:p>
    <w:p>
      <w:pPr>
        <w:ind w:right="40" w:firstLine="486"/>
        <w:spacing w:after="0" w:line="266" w:lineRule="auto"/>
        <w:rPr>
          <w:sz w:val="20"/>
          <w:szCs w:val="20"/>
          <w:color w:val="auto"/>
        </w:rPr>
      </w:pPr>
      <w:r>
        <w:rPr>
          <w:rFonts w:ascii="Times New Roman" w:cs="Times New Roman" w:eastAsia="Times New Roman" w:hAnsi="Times New Roman"/>
          <w:sz w:val="18"/>
          <w:szCs w:val="18"/>
          <w:color w:val="auto"/>
        </w:rPr>
        <w:t>The applicable margin for the Term Loan Facility is 2.75% for SOFR loans and 1.75% for base rate loans and the applicable margin for the Revolving Credit Facility was 3.00% for SOFR loans and 2.00% for base rate loans. Interest is due at the end of each interest period elected, not exceeding 90 days, for SOFR loans and at the end of every calendar quarter for base rate loans.</w:t>
      </w:r>
    </w:p>
    <w:p>
      <w:pPr>
        <w:spacing w:after="0" w:line="20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All other material terms and conditions of the First Lien Credit Agreement were unchanged.</w:t>
      </w:r>
    </w:p>
    <w:p>
      <w:pPr>
        <w:spacing w:after="0" w:line="252" w:lineRule="exact"/>
        <w:rPr>
          <w:sz w:val="20"/>
          <w:szCs w:val="20"/>
          <w:color w:val="auto"/>
        </w:rPr>
      </w:pPr>
    </w:p>
    <w:p>
      <w:pPr>
        <w:jc w:val="both"/>
        <w:ind w:right="80" w:firstLine="486"/>
        <w:spacing w:after="0" w:line="266" w:lineRule="auto"/>
        <w:rPr>
          <w:sz w:val="20"/>
          <w:szCs w:val="20"/>
          <w:color w:val="auto"/>
        </w:rPr>
      </w:pPr>
      <w:r>
        <w:rPr>
          <w:rFonts w:ascii="Times New Roman" w:cs="Times New Roman" w:eastAsia="Times New Roman" w:hAnsi="Times New Roman"/>
          <w:sz w:val="18"/>
          <w:szCs w:val="18"/>
          <w:color w:val="auto"/>
        </w:rPr>
        <w:t>In addition to paying interest on the outstanding principal under the Senior Facilities, the Revolving Credit Facility also included a commitment fee equal to 0.50% per annum in respect of the unused commitments that was due quarterly. This commitment fee is subject to one step-down based on the net first lien leverage ratio.</w:t>
      </w:r>
    </w:p>
    <w:p>
      <w:pPr>
        <w:spacing w:after="0" w:line="20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December 31, 2024, the interest rate on the Term Loan Facility was 7.35%. We are required to make quarterly principal payments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$0.2 million. See Note 14, "Derivatives" for information on interest rate swap agreements we utilize to manage the interest rate risk on the Term Loan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Facility.</w:t>
      </w:r>
    </w:p>
    <w:p>
      <w:pPr>
        <w:spacing w:after="0" w:line="234" w:lineRule="exact"/>
        <w:rPr>
          <w:sz w:val="20"/>
          <w:szCs w:val="20"/>
          <w:color w:val="auto"/>
        </w:rPr>
      </w:pPr>
    </w:p>
    <w:p>
      <w:pPr>
        <w:ind w:right="300" w:firstLine="486"/>
        <w:spacing w:after="0" w:line="258" w:lineRule="auto"/>
        <w:rPr>
          <w:sz w:val="20"/>
          <w:szCs w:val="20"/>
          <w:color w:val="auto"/>
        </w:rPr>
      </w:pPr>
      <w:r>
        <w:rPr>
          <w:rFonts w:ascii="Times New Roman" w:cs="Times New Roman" w:eastAsia="Times New Roman" w:hAnsi="Times New Roman"/>
          <w:sz w:val="18"/>
          <w:szCs w:val="18"/>
          <w:color w:val="auto"/>
        </w:rPr>
        <w:t>In addition to the quarterly amortization payments discussed above, the Senior Facilities require us to make certain mandatory prepayments, including using (i) a portion of annual excess cash flow, as defined in the First Lien Credit Agreement, to prepay the Term Loan Facility, (ii) net cash proceeds of certain non-ordinary assets sales or dispositions of property to prepay the Term Loan Facility, and (iii) net cash proceeds of any issuance or incurrence of debt not permitted under the Senior Facilities to prepay the Term Loan Facility. We may make voluntary prepayments at any time without penalty.</w:t>
      </w:r>
    </w:p>
    <w:p>
      <w:pPr>
        <w:spacing w:after="0" w:line="210" w:lineRule="exact"/>
        <w:rPr>
          <w:sz w:val="20"/>
          <w:szCs w:val="20"/>
          <w:color w:val="auto"/>
        </w:rPr>
      </w:pPr>
    </w:p>
    <w:p>
      <w:pPr>
        <w:ind w:right="400" w:firstLine="486"/>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2023, Rackspace Technology Global repurchased and surrendered for cancellation $55.6 million principal amount of the Term Loan Facility for $29.5 million. In connection with this repurchase, we recorded a gain on debt extinguishment of $25.5 million included in “Gain on debt extinguishment, net of debt modification costs” in our Consolidated Statements of Comprehensive Loss for the year ended December 31, 2023, which includes $0.6 million of unamortized debt issuance costs and debt discount write-offs.</w:t>
      </w:r>
    </w:p>
    <w:p>
      <w:pPr>
        <w:spacing w:after="0" w:line="205" w:lineRule="exact"/>
        <w:rPr>
          <w:sz w:val="20"/>
          <w:szCs w:val="20"/>
          <w:color w:val="auto"/>
        </w:rPr>
      </w:pPr>
    </w:p>
    <w:p>
      <w:pPr>
        <w:ind w:firstLine="486"/>
        <w:spacing w:after="0" w:line="267" w:lineRule="auto"/>
        <w:rPr>
          <w:sz w:val="20"/>
          <w:szCs w:val="20"/>
          <w:color w:val="auto"/>
        </w:rPr>
      </w:pPr>
      <w:r>
        <w:rPr>
          <w:rFonts w:ascii="Times New Roman" w:cs="Times New Roman" w:eastAsia="Times New Roman" w:hAnsi="Times New Roman"/>
          <w:sz w:val="18"/>
          <w:szCs w:val="18"/>
          <w:color w:val="auto"/>
        </w:rPr>
        <w:t>As a result of the Private Exchange and the Public Term Loan Exchange, discussed within “</w:t>
      </w:r>
      <w:r>
        <w:rPr>
          <w:rFonts w:ascii="Times New Roman" w:cs="Times New Roman" w:eastAsia="Times New Roman" w:hAnsi="Times New Roman"/>
          <w:sz w:val="18"/>
          <w:szCs w:val="18"/>
          <w:i w:val="1"/>
          <w:iCs w:val="1"/>
          <w:color w:val="auto"/>
        </w:rPr>
        <w:t>March 2024 Refinancing Transactions</w:t>
      </w:r>
      <w:r>
        <w:rPr>
          <w:rFonts w:ascii="Times New Roman" w:cs="Times New Roman" w:eastAsia="Times New Roman" w:hAnsi="Times New Roman"/>
          <w:sz w:val="18"/>
          <w:szCs w:val="18"/>
          <w:color w:val="auto"/>
        </w:rPr>
        <w:t>” above, over 97% of the $2,181.2 million aggregate principal amount of the Term Loan Facility outstanding as of December 31, 2023 was exchanged or purchased for cancellation.</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- 128 -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00" w:firstLine="486"/>
        <w:spacing w:after="0" w:line="258" w:lineRule="auto"/>
        <w:rPr>
          <w:sz w:val="20"/>
          <w:szCs w:val="20"/>
          <w:color w:val="auto"/>
        </w:rPr>
      </w:pPr>
      <w:r>
        <w:rPr>
          <w:rFonts w:ascii="Times New Roman" w:cs="Times New Roman" w:eastAsia="Times New Roman" w:hAnsi="Times New Roman"/>
          <w:sz w:val="18"/>
          <w:szCs w:val="18"/>
          <w:color w:val="auto"/>
        </w:rPr>
        <w:t>Rackspace Technology Global is the borrower under the Senior Facilities, and all obligations under the Senior Facilities are (i) guaranteed by Inception Parent, Rackspace Technology Global’s immediate parent company, on a limited recourse basis and secured by the equity interests of Rackspace Technology Global held by Inception Parent, and (ii) guaranteed by Rackspace Technology Global’s wholly-owned domestic restricted subsidiaries and secured by substantially all material owned assets of Rackspace Technology Global and the subsidiary guarantors, including the equity interests held by each, in each case subject to certain exceptions.</w:t>
      </w:r>
    </w:p>
    <w:p>
      <w:pPr>
        <w:spacing w:after="0" w:line="208" w:lineRule="exact"/>
        <w:rPr>
          <w:sz w:val="20"/>
          <w:szCs w:val="20"/>
          <w:color w:val="auto"/>
        </w:rPr>
      </w:pPr>
    </w:p>
    <w:p>
      <w:pPr>
        <w:ind w:right="80" w:firstLine="486"/>
        <w:spacing w:after="0" w:line="261" w:lineRule="auto"/>
        <w:rPr>
          <w:sz w:val="20"/>
          <w:szCs w:val="20"/>
          <w:color w:val="auto"/>
        </w:rPr>
      </w:pPr>
      <w:r>
        <w:rPr>
          <w:rFonts w:ascii="Times New Roman" w:cs="Times New Roman" w:eastAsia="Times New Roman" w:hAnsi="Times New Roman"/>
          <w:sz w:val="18"/>
          <w:szCs w:val="18"/>
          <w:color w:val="auto"/>
        </w:rPr>
        <w:t>The only financial covenant was with respect to the prior Revolving Credit Facility. As discussed in “</w:t>
      </w:r>
      <w:r>
        <w:rPr>
          <w:rFonts w:ascii="Times New Roman" w:cs="Times New Roman" w:eastAsia="Times New Roman" w:hAnsi="Times New Roman"/>
          <w:sz w:val="18"/>
          <w:szCs w:val="18"/>
          <w:i w:val="1"/>
          <w:iCs w:val="1"/>
          <w:color w:val="auto"/>
        </w:rPr>
        <w:t>March 2024 Refinancing Transactions</w:t>
      </w:r>
      <w:r>
        <w:rPr>
          <w:rFonts w:ascii="Times New Roman" w:cs="Times New Roman" w:eastAsia="Times New Roman" w:hAnsi="Times New Roman"/>
          <w:sz w:val="18"/>
          <w:szCs w:val="18"/>
          <w:color w:val="auto"/>
        </w:rPr>
        <w:t>” above, on March 12, 2024, all revolving lenders under the prior Revolving Credit Facility exchanged their revolving loan commitments for commitments in respect of the New Revolving Credit Facility, which replaces in full the prior Revolving Credit Facility. See “</w:t>
      </w:r>
      <w:r>
        <w:rPr>
          <w:rFonts w:ascii="Times New Roman" w:cs="Times New Roman" w:eastAsia="Times New Roman" w:hAnsi="Times New Roman"/>
          <w:sz w:val="18"/>
          <w:szCs w:val="18"/>
          <w:i w:val="1"/>
          <w:iCs w:val="1"/>
          <w:color w:val="auto"/>
        </w:rPr>
        <w:t>New Revolving Credit Facility</w:t>
      </w:r>
      <w:r>
        <w:rPr>
          <w:rFonts w:ascii="Times New Roman" w:cs="Times New Roman" w:eastAsia="Times New Roman" w:hAnsi="Times New Roman"/>
          <w:sz w:val="18"/>
          <w:szCs w:val="18"/>
          <w:color w:val="auto"/>
        </w:rPr>
        <w:t>” above for information regarding this new debt instrument.</w:t>
      </w:r>
    </w:p>
    <w:p>
      <w:pPr>
        <w:spacing w:after="0" w:line="20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December 31, 2024, we were in compliance with all covenants under the Senior Facilities.</w:t>
      </w:r>
    </w:p>
    <w:p>
      <w:pPr>
        <w:spacing w:after="0" w:line="252" w:lineRule="exact"/>
        <w:rPr>
          <w:sz w:val="20"/>
          <w:szCs w:val="20"/>
          <w:color w:val="auto"/>
        </w:rPr>
      </w:pPr>
    </w:p>
    <w:p>
      <w:pPr>
        <w:ind w:right="80" w:firstLine="486"/>
        <w:spacing w:after="0" w:line="266" w:lineRule="auto"/>
        <w:rPr>
          <w:sz w:val="20"/>
          <w:szCs w:val="20"/>
          <w:color w:val="auto"/>
        </w:rPr>
      </w:pPr>
      <w:r>
        <w:rPr>
          <w:rFonts w:ascii="Times New Roman" w:cs="Times New Roman" w:eastAsia="Times New Roman" w:hAnsi="Times New Roman"/>
          <w:sz w:val="18"/>
          <w:szCs w:val="18"/>
          <w:color w:val="auto"/>
        </w:rPr>
        <w:t>The fair value of the Term Loan Facility as of December 31, 2024 was $21.6 million, based on quoted market prices for identical assets that are traded in over-the-counter secondary markets that are not considered active. The fair value of the Term Loan Facility is classified as Level 2 within the fair value hierarchy.</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3.50% Senior Secured Notes due 2028</w:t>
      </w:r>
    </w:p>
    <w:p>
      <w:pPr>
        <w:spacing w:after="0" w:line="254" w:lineRule="exact"/>
        <w:rPr>
          <w:sz w:val="20"/>
          <w:szCs w:val="20"/>
          <w:color w:val="auto"/>
        </w:rPr>
      </w:pPr>
    </w:p>
    <w:p>
      <w:pPr>
        <w:ind w:right="160" w:firstLine="486"/>
        <w:spacing w:after="0" w:line="266" w:lineRule="auto"/>
        <w:rPr>
          <w:sz w:val="20"/>
          <w:szCs w:val="20"/>
          <w:color w:val="auto"/>
        </w:rPr>
      </w:pPr>
      <w:r>
        <w:rPr>
          <w:rFonts w:ascii="Times New Roman" w:cs="Times New Roman" w:eastAsia="Times New Roman" w:hAnsi="Times New Roman"/>
          <w:sz w:val="18"/>
          <w:szCs w:val="18"/>
          <w:color w:val="auto"/>
        </w:rPr>
        <w:t>On February 9, 2021, Rackspace Technology Global issued $550.0 million aggregate principal amount of 3.50% Senior Secured Notes due 2028. The 3.50% Senior Secured Notes will mature on February 15, 2028 and bear interest at an annual fixed rate of 3.50%. Interest is payable semiannually on each February 15 and August 15, commencing on August 15, 2021. The 3.50% Senior Secured Notes are not subject to registration rights.</w:t>
      </w:r>
    </w:p>
    <w:p>
      <w:pPr>
        <w:spacing w:after="0" w:line="203"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Rackspace Technology Global is the issuer of the 3.50% Senior Secured Notes, and obligations under the 3.50% Senior Secured Notes are fully and unconditionally guaranteed, jointly and severally, by all of Rackspace Technology Global’s wholly-owned domestic restricted subsidiaries (as subsidiary guarantors) that guarantee the Senior Facilities. The 3.50% Senior Secured Notes and the related guarantees are secured by first-priority security interests in substantially all material owned assets of Rackspace Technology Global and the subsidiary guarantors, including the equity interest held by each, subject to certain exceptions, which assets also secure the Senior Facilities. The 3.50% Notes Indenture describes certain terms and conditions under which other current and future domestic subsidiaries are required to become guarantors of the 3.50% Senior Secured Notes.</w:t>
      </w:r>
    </w:p>
    <w:p>
      <w:pPr>
        <w:spacing w:after="0" w:line="214" w:lineRule="exact"/>
        <w:rPr>
          <w:sz w:val="20"/>
          <w:szCs w:val="20"/>
          <w:color w:val="auto"/>
        </w:rPr>
      </w:pPr>
    </w:p>
    <w:p>
      <w:pPr>
        <w:ind w:right="60" w:firstLine="486"/>
        <w:spacing w:after="0" w:line="254" w:lineRule="auto"/>
        <w:rPr>
          <w:sz w:val="20"/>
          <w:szCs w:val="20"/>
          <w:color w:val="auto"/>
        </w:rPr>
      </w:pPr>
      <w:r>
        <w:rPr>
          <w:rFonts w:ascii="Times New Roman" w:cs="Times New Roman" w:eastAsia="Times New Roman" w:hAnsi="Times New Roman"/>
          <w:sz w:val="18"/>
          <w:szCs w:val="18"/>
          <w:color w:val="auto"/>
        </w:rPr>
        <w:t>Rackspace Technology Global may redeem the 3.50% Senior Secured Notes at its option, in whole at any time or in part from time to time, at the following redemption prices: from February 15, 2024 to February 14, 2025, at a redemption price equal to 101.750% of the principal amount, plus accrued and unpaid interest, if any, to but excluding the redemption date; from February 15, 2025 to February 14, 2026, at a redemption price equal to 100.875% of the principal amount, plus accrued and unpaid interest, if any, to but excluding the redemption date; and from February 15, 2026 and thereafter, at a redemption price equal to 100.000% of the principal amount, plus accrued and unpaid interest, if any, to but excluding the redemption date. Notwithstanding the foregoing, Rackspace Technology Global may redeem during each twelve-month period, commencing with February 9, 2021, up to 10.0% of the original aggregate principal amount of the 3.50% Senior Secured Notes at a redemption price of 103.000%, plus accrued and unpaid interest, if any, to, but excluding, the applicable redemption date.</w:t>
      </w:r>
    </w:p>
    <w:p>
      <w:pPr>
        <w:spacing w:after="0" w:line="219"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2023, Rackspace Technology Global repurchased and surrendered for cancellation $36.3 million principal amount of 3.50% Senior Secured Notes for $18.4 million, including accrued interest of $0.3 million. In connection with this repurchase, we recorded a gain on debt extinguishment of $17.9 million included in “Gain on debt extinguishment, net of debt modification costs” in our Consolidated Statements of Comprehensive Loss for the year ended December 31, 2023, which includes $0.3 million of unamortized debt issuance costs write-offs.</w:t>
      </w:r>
    </w:p>
    <w:p>
      <w:pPr>
        <w:spacing w:after="0" w:line="207" w:lineRule="exact"/>
        <w:rPr>
          <w:sz w:val="20"/>
          <w:szCs w:val="20"/>
          <w:color w:val="auto"/>
        </w:rPr>
      </w:pPr>
    </w:p>
    <w:p>
      <w:pPr>
        <w:ind w:right="180" w:firstLine="486"/>
        <w:spacing w:after="0" w:line="282" w:lineRule="auto"/>
        <w:rPr>
          <w:sz w:val="20"/>
          <w:szCs w:val="20"/>
          <w:color w:val="auto"/>
        </w:rPr>
      </w:pPr>
      <w:r>
        <w:rPr>
          <w:rFonts w:ascii="Times New Roman" w:cs="Times New Roman" w:eastAsia="Times New Roman" w:hAnsi="Times New Roman"/>
          <w:sz w:val="18"/>
          <w:szCs w:val="18"/>
          <w:color w:val="auto"/>
        </w:rPr>
        <w:t>As a result of the Private Exchange and the Public Note Exchange, discussed above, over 91% of the $513.7 million aggregate principal amount of the 3.50% Senior Secured Notes outstanding as of December 31, 2023 was exchanged or purchased for cancellation.</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- 129 -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40" w:firstLine="486"/>
        <w:spacing w:after="0" w:line="256" w:lineRule="auto"/>
        <w:rPr>
          <w:sz w:val="20"/>
          <w:szCs w:val="20"/>
          <w:color w:val="auto"/>
        </w:rPr>
      </w:pPr>
      <w:r>
        <w:rPr>
          <w:rFonts w:ascii="Times New Roman" w:cs="Times New Roman" w:eastAsia="Times New Roman" w:hAnsi="Times New Roman"/>
          <w:sz w:val="18"/>
          <w:szCs w:val="18"/>
          <w:color w:val="auto"/>
        </w:rPr>
        <w:t>The 3.50% Notes Indenture contains covenants that, among other things, limit our ability to incur certain additional debt, incur certain liens securing debt, pay certain dividends or make other restricted payments, make certain investments, make certain asset sales and enter into certain transactions with affiliates. These covenants are subject to a number of exceptions, limitations, and qualifications as set forth in the 3.50% Notes Indenture. Additionally, upon the occurrence of a change of control (as defined in the 3.50% Notes Indenture), we will be required to make an offer to repurchase all of the outstanding 3.50% Senior Secured Notes at a price in cash equal to 101.000% of the aggregate principal amount, plus accrued and unpaid interest, if any, to, but not including the purchase date.</w:t>
      </w:r>
    </w:p>
    <w:p>
      <w:pPr>
        <w:spacing w:after="0" w:line="21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December 31, 2024, Rackspace Technology Global was in compliance with all covenants under the 3.50% Notes Indenture.</w:t>
      </w:r>
    </w:p>
    <w:p>
      <w:pPr>
        <w:spacing w:after="0" w:line="252" w:lineRule="exact"/>
        <w:rPr>
          <w:sz w:val="20"/>
          <w:szCs w:val="20"/>
          <w:color w:val="auto"/>
        </w:rPr>
      </w:pPr>
    </w:p>
    <w:p>
      <w:pPr>
        <w:jc w:val="both"/>
        <w:ind w:right="320" w:firstLine="486"/>
        <w:spacing w:after="0" w:line="266" w:lineRule="auto"/>
        <w:rPr>
          <w:sz w:val="20"/>
          <w:szCs w:val="20"/>
          <w:color w:val="auto"/>
        </w:rPr>
      </w:pPr>
      <w:r>
        <w:rPr>
          <w:rFonts w:ascii="Times New Roman" w:cs="Times New Roman" w:eastAsia="Times New Roman" w:hAnsi="Times New Roman"/>
          <w:sz w:val="18"/>
          <w:szCs w:val="18"/>
          <w:color w:val="auto"/>
        </w:rPr>
        <w:t>The fair value of the 3.50% Senior Secured Notes as of December 31, 2024 was $12.5 million, based on quoted market prices for identical assets that are traded in over-the-counter secondary markets that are not considered active. The fair value of the 3.50% Senior Secured Notes are classified as Level 2 within the fair value hierarchy.</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5.375% Senior Notes due 2028</w:t>
      </w:r>
    </w:p>
    <w:p>
      <w:pPr>
        <w:spacing w:after="0" w:line="254" w:lineRule="exact"/>
        <w:rPr>
          <w:sz w:val="20"/>
          <w:szCs w:val="20"/>
          <w:color w:val="auto"/>
        </w:rPr>
      </w:pPr>
    </w:p>
    <w:p>
      <w:pPr>
        <w:jc w:val="both"/>
        <w:ind w:right="340" w:firstLine="486"/>
        <w:spacing w:after="0" w:line="266" w:lineRule="auto"/>
        <w:rPr>
          <w:sz w:val="20"/>
          <w:szCs w:val="20"/>
          <w:color w:val="auto"/>
        </w:rPr>
      </w:pPr>
      <w:r>
        <w:rPr>
          <w:rFonts w:ascii="Times New Roman" w:cs="Times New Roman" w:eastAsia="Times New Roman" w:hAnsi="Times New Roman"/>
          <w:sz w:val="18"/>
          <w:szCs w:val="18"/>
          <w:color w:val="auto"/>
        </w:rPr>
        <w:t>Rackspace Technology Global issued $550.0 million aggregate principal amount of the 5.375% Senior Notes on December 1, 2020. The 5.375% Senior Notes will mature on December 1, 2028 and bear interest at an annual fixed rate of 5.375%. Interest is payable semiannually on each June 1 and December 1, commencing on June 1, 2021. The 5.375% Senior Notes are not subject to registration rights.</w:t>
      </w:r>
    </w:p>
    <w:p>
      <w:pPr>
        <w:spacing w:after="0" w:line="203" w:lineRule="exact"/>
        <w:rPr>
          <w:sz w:val="20"/>
          <w:szCs w:val="20"/>
          <w:color w:val="auto"/>
        </w:rPr>
      </w:pPr>
    </w:p>
    <w:p>
      <w:pPr>
        <w:ind w:right="20" w:firstLine="486"/>
        <w:spacing w:after="0" w:line="258" w:lineRule="auto"/>
        <w:rPr>
          <w:sz w:val="20"/>
          <w:szCs w:val="20"/>
          <w:color w:val="auto"/>
        </w:rPr>
      </w:pPr>
      <w:r>
        <w:rPr>
          <w:rFonts w:ascii="Times New Roman" w:cs="Times New Roman" w:eastAsia="Times New Roman" w:hAnsi="Times New Roman"/>
          <w:sz w:val="18"/>
          <w:szCs w:val="18"/>
          <w:color w:val="auto"/>
        </w:rPr>
        <w:t>Rackspace Technology Global is the issuer of the 5.375% Senior Notes, and obligations under the 5.375% Senior Notes are guaranteed on a senior unsecured basis by all of Rackspace Technology Global’s wholly-owned domestic restricted subsidiaries (as subsidiary guarantors) that guarantee the Senior Facilities. The 5.375% Senior Notes are effectively junior to the indebtedness under the Senior Facilities and the 3.50% Senior Secured Notes, to the extent of the collateral securing the Senior Facilities and the 3.50% Senior Secured Notes. The 5.375% Notes Indenture describes certain terms and conditions under which other current and future domestic subsidiaries are required to become guarantors of the 5.375% Senior Notes.</w:t>
      </w:r>
    </w:p>
    <w:p>
      <w:pPr>
        <w:spacing w:after="0" w:line="210" w:lineRule="exact"/>
        <w:rPr>
          <w:sz w:val="20"/>
          <w:szCs w:val="20"/>
          <w:color w:val="auto"/>
        </w:rPr>
      </w:pPr>
    </w:p>
    <w:p>
      <w:pPr>
        <w:ind w:right="80" w:firstLine="486"/>
        <w:spacing w:after="0" w:line="261" w:lineRule="auto"/>
        <w:rPr>
          <w:sz w:val="20"/>
          <w:szCs w:val="20"/>
          <w:color w:val="auto"/>
        </w:rPr>
      </w:pPr>
      <w:r>
        <w:rPr>
          <w:rFonts w:ascii="Times New Roman" w:cs="Times New Roman" w:eastAsia="Times New Roman" w:hAnsi="Times New Roman"/>
          <w:sz w:val="18"/>
          <w:szCs w:val="18"/>
          <w:color w:val="auto"/>
        </w:rPr>
        <w:t>Rackspace Technology Global may redeem the 5.375% Senior Notes at its option, in whole at any time or in part from time to time, at the following redemption prices: from December 1, 2024 to November 30, 2025, at a redemption price equal to 101.344% of the principal amount, plus accrued and unpaid interest, if any, to but excluding the redemption date; and from December 1, 2025 and thereafter, at a redemption price equal to 100.000% of the principal amount, plus accrued and unpaid interest, if any, to but excluding the redemption date.</w:t>
      </w:r>
    </w:p>
    <w:p>
      <w:pPr>
        <w:spacing w:after="0" w:line="207" w:lineRule="exact"/>
        <w:rPr>
          <w:sz w:val="20"/>
          <w:szCs w:val="20"/>
          <w:color w:val="auto"/>
        </w:rPr>
      </w:pPr>
    </w:p>
    <w:p>
      <w:pPr>
        <w:ind w:right="60" w:firstLine="486"/>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2023, Rackspace Technology Global repurchased and surrendered for cancellation $352.4 million principal amount of 5.375% Senior Notes for $124.1 million, including accrued interest of $2.8 million. In connection with these repurchases, we recorded a gain on debt extinguishment of $227.9 million included in “Gain on debt extinguishment, net of debt modification costs” in our Consolidated Statements of Comprehensive Loss for the year ended December 31, 2023, which includes $3.2 million of unamortized debt issuance costs write-offs.</w:t>
      </w:r>
    </w:p>
    <w:p>
      <w:pPr>
        <w:spacing w:after="0" w:line="205" w:lineRule="exact"/>
        <w:rPr>
          <w:sz w:val="20"/>
          <w:szCs w:val="20"/>
          <w:color w:val="auto"/>
        </w:rPr>
      </w:pPr>
    </w:p>
    <w:p>
      <w:pPr>
        <w:ind w:right="800" w:firstLine="486"/>
        <w:spacing w:after="0" w:line="284" w:lineRule="auto"/>
        <w:rPr>
          <w:sz w:val="20"/>
          <w:szCs w:val="20"/>
          <w:color w:val="auto"/>
        </w:rPr>
      </w:pPr>
      <w:r>
        <w:rPr>
          <w:rFonts w:ascii="Times New Roman" w:cs="Times New Roman" w:eastAsia="Times New Roman" w:hAnsi="Times New Roman"/>
          <w:sz w:val="18"/>
          <w:szCs w:val="18"/>
          <w:color w:val="auto"/>
        </w:rPr>
        <w:t>As previously described in “</w:t>
      </w:r>
      <w:r>
        <w:rPr>
          <w:rFonts w:ascii="Times New Roman" w:cs="Times New Roman" w:eastAsia="Times New Roman" w:hAnsi="Times New Roman"/>
          <w:sz w:val="18"/>
          <w:szCs w:val="18"/>
          <w:i w:val="1"/>
          <w:iCs w:val="1"/>
          <w:color w:val="auto"/>
        </w:rPr>
        <w:t>March 2024 Refinancing Transactions</w:t>
      </w:r>
      <w:r>
        <w:rPr>
          <w:rFonts w:ascii="Times New Roman" w:cs="Times New Roman" w:eastAsia="Times New Roman" w:hAnsi="Times New Roman"/>
          <w:sz w:val="18"/>
          <w:szCs w:val="18"/>
          <w:color w:val="auto"/>
        </w:rPr>
        <w:t>” above, as part of the Private Exchange, we repurchased and cancelled $69.3 million aggregate principal amount of the 5.375% Senior Notes during the year ended December 31, 2024.</w:t>
      </w:r>
    </w:p>
    <w:p>
      <w:pPr>
        <w:spacing w:after="0" w:line="18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addition, during the year ended December 31, 2024, Rackspace Technology Global repurchased and surrendered for cancellation $2.9 million principal amount of 5.375% Senior Notes for $0.8 million. In connection with these repurchases, we recorded a gain, included in "Gain on debt extinguishment, net of debt modification costs", of $2.1 million, in our Consolidated Statements of Comprehensive Loss for the year ended December 31, 2024.</w:t>
      </w:r>
    </w:p>
    <w:p>
      <w:pPr>
        <w:spacing w:after="0" w:line="207" w:lineRule="exact"/>
        <w:rPr>
          <w:sz w:val="20"/>
          <w:szCs w:val="20"/>
          <w:color w:val="auto"/>
        </w:rPr>
      </w:pPr>
    </w:p>
    <w:p>
      <w:pPr>
        <w:ind w:right="340" w:firstLine="486"/>
        <w:spacing w:after="0" w:line="256" w:lineRule="auto"/>
        <w:rPr>
          <w:sz w:val="20"/>
          <w:szCs w:val="20"/>
          <w:color w:val="auto"/>
        </w:rPr>
      </w:pPr>
      <w:r>
        <w:rPr>
          <w:rFonts w:ascii="Times New Roman" w:cs="Times New Roman" w:eastAsia="Times New Roman" w:hAnsi="Times New Roman"/>
          <w:sz w:val="18"/>
          <w:szCs w:val="18"/>
          <w:color w:val="auto"/>
        </w:rPr>
        <w:t>The 5.375% Notes Indenture contains covenants that, among other things, limit our ability to incur certain additional debt, incur certain liens securing debt, pay certain dividends or make other restricted payments, make certain investments, make certain asset sales and enter into certain transactions with affiliates. These covenants are subject to a number of exceptions, limitations, and qualifications as set forth in the 5.375% Notes Indenture. Additionally, upon the occurrence of a change of control (as defined in the 5.375% Notes Indenture), we will be required to make an offer to repurchase all of the outstanding 5.375% Senior Notes at a price in cash equal to 101.000% of the aggregate principal amount, plus accrued and unpaid interest, if any, to, but not including the purchase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- 130 -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December 31, 2024, Rackspace Technology Global was in compliance with all covenants under the 5.375% Notes Indenture.</w:t>
      </w:r>
    </w:p>
    <w:p>
      <w:pPr>
        <w:spacing w:after="0" w:line="252" w:lineRule="exact"/>
        <w:rPr>
          <w:sz w:val="20"/>
          <w:szCs w:val="20"/>
          <w:color w:val="auto"/>
        </w:rPr>
      </w:pPr>
    </w:p>
    <w:p>
      <w:pPr>
        <w:ind w:right="140" w:firstLine="486"/>
        <w:spacing w:after="0" w:line="266" w:lineRule="auto"/>
        <w:rPr>
          <w:sz w:val="20"/>
          <w:szCs w:val="20"/>
          <w:color w:val="auto"/>
        </w:rPr>
      </w:pPr>
      <w:r>
        <w:rPr>
          <w:rFonts w:ascii="Times New Roman" w:cs="Times New Roman" w:eastAsia="Times New Roman" w:hAnsi="Times New Roman"/>
          <w:sz w:val="18"/>
          <w:szCs w:val="18"/>
          <w:color w:val="auto"/>
        </w:rPr>
        <w:t>The fair value of the 5.375% Senior Notes as of December 31, 2024 was $35.7 million, based on quoted market prices for identical assets that are traded in over-the-counter secondary markets that are not considered active. The fair value of the 5.375% Senior Notes are classified as Level 2 within the fair value hierarchy.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Maturities</w:t>
      </w:r>
    </w:p>
    <w:p>
      <w:pPr>
        <w:spacing w:after="0" w:line="25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maturities of debt obligations for the next five years at December 31, 2024 are as follows: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Amount</w:t>
            </w:r>
          </w:p>
        </w:tc>
      </w:tr>
      <w:tr>
        <w:trPr>
          <w:trHeight w:val="199"/>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Year ending:</w:t>
            </w:r>
          </w:p>
        </w:tc>
        <w:tc>
          <w:tcPr>
            <w:tcW w:w="2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13"/>
        </w:trPr>
        <w:tc>
          <w:tcPr>
            <w:tcW w:w="9780" w:type="dxa"/>
            <w:vAlign w:val="bottom"/>
          </w:tcPr>
          <w:p>
            <w:pPr>
              <w:jc w:val="right"/>
              <w:ind w:right="9120"/>
              <w:spacing w:after="0"/>
              <w:rPr>
                <w:sz w:val="20"/>
                <w:szCs w:val="20"/>
                <w:color w:val="auto"/>
              </w:rPr>
            </w:pPr>
            <w:r>
              <w:rPr>
                <w:rFonts w:ascii="Times New Roman" w:cs="Times New Roman" w:eastAsia="Times New Roman" w:hAnsi="Times New Roman"/>
                <w:sz w:val="16"/>
                <w:szCs w:val="16"/>
                <w:color w:val="auto"/>
              </w:rPr>
              <w:t>2025</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w:t>
            </w:r>
          </w:p>
        </w:tc>
      </w:tr>
      <w:tr>
        <w:trPr>
          <w:trHeight w:val="219"/>
        </w:trPr>
        <w:tc>
          <w:tcPr>
            <w:tcW w:w="9780" w:type="dxa"/>
            <w:vAlign w:val="bottom"/>
            <w:shd w:val="clear" w:color="auto" w:fill="CCEEFF"/>
          </w:tcPr>
          <w:p>
            <w:pPr>
              <w:jc w:val="right"/>
              <w:ind w:right="9120"/>
              <w:spacing w:after="0"/>
              <w:rPr>
                <w:sz w:val="20"/>
                <w:szCs w:val="20"/>
                <w:color w:val="auto"/>
              </w:rPr>
            </w:pPr>
            <w:r>
              <w:rPr>
                <w:rFonts w:ascii="Times New Roman" w:cs="Times New Roman" w:eastAsia="Times New Roman" w:hAnsi="Times New Roman"/>
                <w:sz w:val="16"/>
                <w:szCs w:val="16"/>
                <w:color w:val="auto"/>
              </w:rPr>
              <w:t>2026</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w:t>
            </w:r>
          </w:p>
        </w:tc>
      </w:tr>
      <w:tr>
        <w:trPr>
          <w:trHeight w:val="213"/>
        </w:trPr>
        <w:tc>
          <w:tcPr>
            <w:tcW w:w="9780" w:type="dxa"/>
            <w:vAlign w:val="bottom"/>
          </w:tcPr>
          <w:p>
            <w:pPr>
              <w:jc w:val="right"/>
              <w:ind w:right="9120"/>
              <w:spacing w:after="0"/>
              <w:rPr>
                <w:sz w:val="20"/>
                <w:szCs w:val="20"/>
                <w:color w:val="auto"/>
              </w:rPr>
            </w:pPr>
            <w:r>
              <w:rPr>
                <w:rFonts w:ascii="Times New Roman" w:cs="Times New Roman" w:eastAsia="Times New Roman" w:hAnsi="Times New Roman"/>
                <w:sz w:val="16"/>
                <w:szCs w:val="16"/>
                <w:color w:val="auto"/>
              </w:rPr>
              <w:t>2027</w:t>
            </w: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w:t>
            </w:r>
          </w:p>
        </w:tc>
      </w:tr>
      <w:tr>
        <w:trPr>
          <w:trHeight w:val="219"/>
        </w:trPr>
        <w:tc>
          <w:tcPr>
            <w:tcW w:w="9780" w:type="dxa"/>
            <w:vAlign w:val="bottom"/>
            <w:shd w:val="clear" w:color="auto" w:fill="CCEEFF"/>
          </w:tcPr>
          <w:p>
            <w:pPr>
              <w:jc w:val="right"/>
              <w:ind w:right="9120"/>
              <w:spacing w:after="0"/>
              <w:rPr>
                <w:sz w:val="20"/>
                <w:szCs w:val="20"/>
                <w:color w:val="auto"/>
              </w:rPr>
            </w:pPr>
            <w:r>
              <w:rPr>
                <w:rFonts w:ascii="Times New Roman" w:cs="Times New Roman" w:eastAsia="Times New Roman" w:hAnsi="Times New Roman"/>
                <w:sz w:val="16"/>
                <w:szCs w:val="16"/>
                <w:color w:val="auto"/>
              </w:rPr>
              <w:t>2028</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2,388.5</w:t>
            </w:r>
          </w:p>
        </w:tc>
      </w:tr>
      <w:tr>
        <w:trPr>
          <w:trHeight w:val="213"/>
        </w:trPr>
        <w:tc>
          <w:tcPr>
            <w:tcW w:w="9780" w:type="dxa"/>
            <w:vAlign w:val="bottom"/>
          </w:tcPr>
          <w:p>
            <w:pPr>
              <w:jc w:val="right"/>
              <w:ind w:right="9120"/>
              <w:spacing w:after="0"/>
              <w:rPr>
                <w:sz w:val="20"/>
                <w:szCs w:val="20"/>
                <w:color w:val="auto"/>
              </w:rPr>
            </w:pPr>
            <w:r>
              <w:rPr>
                <w:rFonts w:ascii="Times New Roman" w:cs="Times New Roman" w:eastAsia="Times New Roman" w:hAnsi="Times New Roman"/>
                <w:sz w:val="16"/>
                <w:szCs w:val="16"/>
                <w:color w:val="auto"/>
              </w:rPr>
              <w:t>2029</w:t>
            </w: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9780" w:type="dxa"/>
            <w:vAlign w:val="bottom"/>
            <w:shd w:val="clear" w:color="auto" w:fill="CCEEFF"/>
          </w:tcPr>
          <w:p>
            <w:pPr>
              <w:jc w:val="right"/>
              <w:ind w:right="8800"/>
              <w:spacing w:after="0"/>
              <w:rPr>
                <w:sz w:val="20"/>
                <w:szCs w:val="20"/>
                <w:color w:val="auto"/>
              </w:rPr>
            </w:pPr>
            <w:r>
              <w:rPr>
                <w:rFonts w:ascii="Times New Roman" w:cs="Times New Roman" w:eastAsia="Times New Roman" w:hAnsi="Times New Roman"/>
                <w:sz w:val="16"/>
                <w:szCs w:val="16"/>
                <w:color w:val="auto"/>
              </w:rPr>
              <w:t>Thereafter</w:t>
            </w:r>
          </w:p>
        </w:tc>
        <w:tc>
          <w:tcPr>
            <w:tcW w:w="2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9780" w:type="dxa"/>
            <w:vAlign w:val="bottom"/>
          </w:tcPr>
          <w:p>
            <w:pPr>
              <w:jc w:val="right"/>
              <w:ind w:right="9040"/>
              <w:spacing w:after="0"/>
              <w:rPr>
                <w:sz w:val="20"/>
                <w:szCs w:val="20"/>
                <w:color w:val="auto"/>
              </w:rPr>
            </w:pPr>
            <w:r>
              <w:rPr>
                <w:rFonts w:ascii="Times New Roman" w:cs="Times New Roman" w:eastAsia="Times New Roman" w:hAnsi="Times New Roman"/>
                <w:sz w:val="16"/>
                <w:szCs w:val="16"/>
                <w:color w:val="auto"/>
              </w:rPr>
              <w:t>Total</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2,449.4</w:t>
            </w:r>
          </w:p>
        </w:tc>
      </w:tr>
      <w:tr>
        <w:trPr>
          <w:trHeight w:val="20"/>
        </w:trPr>
        <w:tc>
          <w:tcPr>
            <w:tcW w:w="9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- 131 -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Leases</w:t>
      </w:r>
    </w:p>
    <w:p>
      <w:pPr>
        <w:spacing w:after="0" w:line="256" w:lineRule="exact"/>
        <w:rPr>
          <w:sz w:val="20"/>
          <w:szCs w:val="20"/>
          <w:color w:val="auto"/>
        </w:rPr>
      </w:pPr>
    </w:p>
    <w:p>
      <w:pPr>
        <w:ind w:right="280" w:firstLine="486"/>
        <w:spacing w:after="0" w:line="282" w:lineRule="auto"/>
        <w:rPr>
          <w:sz w:val="20"/>
          <w:szCs w:val="20"/>
          <w:color w:val="auto"/>
        </w:rPr>
      </w:pPr>
      <w:r>
        <w:rPr>
          <w:rFonts w:ascii="Times New Roman" w:cs="Times New Roman" w:eastAsia="Times New Roman" w:hAnsi="Times New Roman"/>
          <w:sz w:val="18"/>
          <w:szCs w:val="18"/>
          <w:color w:val="auto"/>
        </w:rPr>
        <w:t>Assets recorded as property and equipment under finance leases, and the related accumulated depreciation balances as of December 31, 2023 and 2024 were as follows:</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156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13"/>
        </w:trPr>
        <w:tc>
          <w:tcPr>
            <w:tcW w:w="8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Computers and equipment</w:t>
            </w:r>
          </w:p>
        </w:tc>
        <w:tc>
          <w:tcPr>
            <w:tcW w:w="520" w:type="dxa"/>
            <w:vAlign w:val="bottom"/>
            <w:tcBorders>
              <w:top w:val="single" w:sz="8" w:color="auto"/>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159.7</w:t>
            </w:r>
          </w:p>
        </w:tc>
        <w:tc>
          <w:tcPr>
            <w:tcW w:w="1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128.8</w:t>
            </w:r>
          </w:p>
        </w:tc>
      </w:tr>
      <w:tr>
        <w:trPr>
          <w:trHeight w:val="213"/>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Buildings</w:t>
            </w:r>
          </w:p>
        </w:tc>
        <w:tc>
          <w:tcPr>
            <w:tcW w:w="5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290.3</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291.0</w:t>
            </w:r>
          </w:p>
        </w:tc>
      </w:tr>
      <w:tr>
        <w:trPr>
          <w:trHeight w:val="216"/>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5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(124.2)</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(115.0)</w:t>
            </w:r>
          </w:p>
        </w:tc>
      </w:tr>
      <w:tr>
        <w:trPr>
          <w:trHeight w:val="212"/>
        </w:trPr>
        <w:tc>
          <w:tcPr>
            <w:tcW w:w="82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book value of property and equipment under finance leases</w:t>
            </w:r>
          </w:p>
        </w:tc>
        <w:tc>
          <w:tcPr>
            <w:tcW w:w="5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325.8</w:t>
            </w:r>
          </w:p>
        </w:tc>
        <w:tc>
          <w:tcPr>
            <w:tcW w:w="100" w:type="dxa"/>
            <w:vAlign w:val="bottom"/>
          </w:tcPr>
          <w:p>
            <w:pPr>
              <w:spacing w:after="0"/>
              <w:rPr>
                <w:sz w:val="18"/>
                <w:szCs w:val="18"/>
                <w:color w:val="auto"/>
              </w:rPr>
            </w:pPr>
          </w:p>
        </w:tc>
        <w:tc>
          <w:tcPr>
            <w:tcW w:w="54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304.8</w:t>
            </w:r>
          </w:p>
        </w:tc>
      </w:tr>
      <w:tr>
        <w:trPr>
          <w:trHeight w:val="20"/>
        </w:trPr>
        <w:tc>
          <w:tcPr>
            <w:tcW w:w="82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components of operating and finance lease expense for the years ended December 31, 2022, 2023 and 2024 were as follows: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2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r>
      <w:tr>
        <w:trPr>
          <w:trHeight w:val="211"/>
        </w:trPr>
        <w:tc>
          <w:tcPr>
            <w:tcW w:w="6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98"/>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expense:</w:t>
            </w: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13"/>
        </w:trPr>
        <w:tc>
          <w:tcPr>
            <w:tcW w:w="6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Fixed lease expense</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58.1</w:t>
            </w:r>
          </w:p>
        </w:tc>
        <w:tc>
          <w:tcPr>
            <w:tcW w:w="480" w:type="dxa"/>
            <w:vAlign w:val="bottom"/>
            <w:gridSpan w:val="3"/>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66.7</w:t>
            </w:r>
          </w:p>
        </w:tc>
      </w:tr>
      <w:tr>
        <w:trPr>
          <w:trHeight w:val="219"/>
        </w:trPr>
        <w:tc>
          <w:tcPr>
            <w:tcW w:w="6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Variable lease expense</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w:t>
            </w:r>
          </w:p>
        </w:tc>
      </w:tr>
      <w:tr>
        <w:trPr>
          <w:trHeight w:val="213"/>
        </w:trPr>
        <w:tc>
          <w:tcPr>
            <w:tcW w:w="6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Short-term lease expense</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219"/>
        </w:trPr>
        <w:tc>
          <w:tcPr>
            <w:tcW w:w="6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Sublease income</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62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operating lease expense</w:t>
            </w: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74.3</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85.4</w:t>
            </w: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90.1</w:t>
            </w:r>
          </w:p>
        </w:tc>
      </w:tr>
      <w:tr>
        <w:trPr>
          <w:trHeight w:val="20"/>
        </w:trPr>
        <w:tc>
          <w:tcPr>
            <w:tcW w:w="62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83"/>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Finance lease expense:</w:t>
            </w: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213"/>
        </w:trPr>
        <w:tc>
          <w:tcPr>
            <w:tcW w:w="6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 of finance lease assets</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51.2</w:t>
            </w:r>
          </w:p>
        </w:tc>
        <w:tc>
          <w:tcPr>
            <w:tcW w:w="480" w:type="dxa"/>
            <w:vAlign w:val="bottom"/>
            <w:gridSpan w:val="3"/>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w:t>
            </w:r>
          </w:p>
        </w:tc>
      </w:tr>
      <w:tr>
        <w:trPr>
          <w:trHeight w:val="219"/>
        </w:trPr>
        <w:tc>
          <w:tcPr>
            <w:tcW w:w="6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expense on finance lease liabilities</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w:t>
            </w:r>
          </w:p>
        </w:tc>
      </w:tr>
      <w:tr>
        <w:trPr>
          <w:trHeight w:val="210"/>
        </w:trPr>
        <w:tc>
          <w:tcPr>
            <w:tcW w:w="62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finance lease expense</w:t>
            </w: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74.7</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82.4</w:t>
            </w: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57.2</w:t>
            </w:r>
          </w:p>
        </w:tc>
      </w:tr>
      <w:tr>
        <w:trPr>
          <w:trHeight w:val="20"/>
        </w:trPr>
        <w:tc>
          <w:tcPr>
            <w:tcW w:w="6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- 132 -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60" w:firstLine="486"/>
        <w:spacing w:after="0" w:line="282" w:lineRule="auto"/>
        <w:rPr>
          <w:sz w:val="20"/>
          <w:szCs w:val="20"/>
          <w:color w:val="auto"/>
        </w:rPr>
      </w:pPr>
      <w:r>
        <w:rPr>
          <w:rFonts w:ascii="Times New Roman" w:cs="Times New Roman" w:eastAsia="Times New Roman" w:hAnsi="Times New Roman"/>
          <w:sz w:val="18"/>
          <w:szCs w:val="18"/>
          <w:color w:val="auto"/>
        </w:rPr>
        <w:t>Supplemental operating cash flow information related to operating and finance leases for the years ended December 31, 2022, 2023 and 2024 were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2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r>
      <w:tr>
        <w:trPr>
          <w:trHeight w:val="211"/>
        </w:trPr>
        <w:tc>
          <w:tcPr>
            <w:tcW w:w="6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98"/>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payments for lease liabilities included within operating activities:</w:t>
            </w: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13"/>
        </w:trPr>
        <w:tc>
          <w:tcPr>
            <w:tcW w:w="6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Operating leases</w:t>
            </w: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center"/>
              <w:ind w:left="699"/>
              <w:spacing w:after="0"/>
              <w:rPr>
                <w:sz w:val="20"/>
                <w:szCs w:val="20"/>
                <w:color w:val="auto"/>
              </w:rPr>
            </w:pPr>
            <w:r>
              <w:rPr>
                <w:rFonts w:ascii="Times New Roman" w:cs="Times New Roman" w:eastAsia="Times New Roman" w:hAnsi="Times New Roman"/>
                <w:sz w:val="16"/>
                <w:szCs w:val="16"/>
                <w:color w:val="auto"/>
              </w:rPr>
              <w:t>(73.3)</w:t>
            </w:r>
          </w:p>
        </w:tc>
        <w:tc>
          <w:tcPr>
            <w:tcW w:w="48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center"/>
              <w:ind w:left="699"/>
              <w:spacing w:after="0"/>
              <w:rPr>
                <w:sz w:val="20"/>
                <w:szCs w:val="20"/>
                <w:color w:val="auto"/>
              </w:rPr>
            </w:pPr>
            <w:r>
              <w:rPr>
                <w:rFonts w:ascii="Times New Roman" w:cs="Times New Roman" w:eastAsia="Times New Roman" w:hAnsi="Times New Roman"/>
                <w:sz w:val="16"/>
                <w:szCs w:val="16"/>
                <w:color w:val="auto"/>
              </w:rPr>
              <w:t>(80.2)</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center"/>
              <w:ind w:left="699"/>
              <w:spacing w:after="0"/>
              <w:rPr>
                <w:sz w:val="20"/>
                <w:szCs w:val="20"/>
                <w:color w:val="auto"/>
              </w:rPr>
            </w:pPr>
            <w:r>
              <w:rPr>
                <w:rFonts w:ascii="Times New Roman" w:cs="Times New Roman" w:eastAsia="Times New Roman" w:hAnsi="Times New Roman"/>
                <w:sz w:val="16"/>
                <w:szCs w:val="16"/>
                <w:color w:val="auto"/>
              </w:rPr>
              <w:t>(89.5)</w:t>
            </w:r>
          </w:p>
        </w:tc>
      </w:tr>
      <w:tr>
        <w:trPr>
          <w:trHeight w:val="219"/>
        </w:trPr>
        <w:tc>
          <w:tcPr>
            <w:tcW w:w="6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Finance leases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center"/>
              <w:ind w:left="699"/>
              <w:spacing w:after="0"/>
              <w:rPr>
                <w:sz w:val="20"/>
                <w:szCs w:val="20"/>
                <w:color w:val="auto"/>
              </w:rPr>
            </w:pPr>
            <w:r>
              <w:rPr>
                <w:rFonts w:ascii="Times New Roman" w:cs="Times New Roman" w:eastAsia="Times New Roman" w:hAnsi="Times New Roman"/>
                <w:sz w:val="16"/>
                <w:szCs w:val="16"/>
                <w:color w:val="auto"/>
              </w:rPr>
              <w:t>(26.7)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center"/>
              <w:ind w:left="699"/>
              <w:spacing w:after="0"/>
              <w:rPr>
                <w:sz w:val="20"/>
                <w:szCs w:val="20"/>
                <w:color w:val="auto"/>
              </w:rPr>
            </w:pPr>
            <w:r>
              <w:rPr>
                <w:rFonts w:ascii="Times New Roman" w:cs="Times New Roman" w:eastAsia="Times New Roman" w:hAnsi="Times New Roman"/>
                <w:sz w:val="16"/>
                <w:szCs w:val="16"/>
                <w:color w:val="auto"/>
              </w:rPr>
              <w:t>(29.2)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center"/>
              <w:ind w:left="699"/>
              <w:spacing w:after="0"/>
              <w:rPr>
                <w:sz w:val="20"/>
                <w:szCs w:val="20"/>
                <w:color w:val="auto"/>
              </w:rPr>
            </w:pPr>
            <w:r>
              <w:rPr>
                <w:rFonts w:ascii="Times New Roman" w:cs="Times New Roman" w:eastAsia="Times New Roman" w:hAnsi="Times New Roman"/>
                <w:sz w:val="16"/>
                <w:szCs w:val="16"/>
                <w:color w:val="auto"/>
              </w:rPr>
              <w:t>(28.9)</w:t>
            </w:r>
          </w:p>
        </w:tc>
      </w:tr>
      <w:tr>
        <w:trPr>
          <w:trHeight w:val="270"/>
        </w:trPr>
        <w:tc>
          <w:tcPr>
            <w:tcW w:w="62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16"/>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leases:</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3"/>
        </w:trPr>
        <w:tc>
          <w:tcPr>
            <w:tcW w:w="6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New lease assets obtained in exchange for lease liabilities</w:t>
            </w: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center"/>
              <w:ind w:left="719"/>
              <w:spacing w:after="0"/>
              <w:rPr>
                <w:sz w:val="20"/>
                <w:szCs w:val="20"/>
                <w:color w:val="auto"/>
              </w:rPr>
            </w:pPr>
            <w:r>
              <w:rPr>
                <w:rFonts w:ascii="Times New Roman" w:cs="Times New Roman" w:eastAsia="Times New Roman" w:hAnsi="Times New Roman"/>
                <w:sz w:val="16"/>
                <w:szCs w:val="16"/>
                <w:color w:val="auto"/>
              </w:rPr>
              <w:t>17.3</w:t>
            </w:r>
          </w:p>
        </w:tc>
        <w:tc>
          <w:tcPr>
            <w:tcW w:w="48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center"/>
              <w:ind w:left="719"/>
              <w:spacing w:after="0"/>
              <w:rPr>
                <w:sz w:val="20"/>
                <w:szCs w:val="20"/>
                <w:color w:val="auto"/>
              </w:rPr>
            </w:pPr>
            <w:r>
              <w:rPr>
                <w:rFonts w:ascii="Times New Roman" w:cs="Times New Roman" w:eastAsia="Times New Roman" w:hAnsi="Times New Roman"/>
                <w:sz w:val="16"/>
                <w:szCs w:val="16"/>
                <w:color w:val="auto"/>
              </w:rPr>
              <w:t>43.1</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center"/>
              <w:ind w:left="719"/>
              <w:spacing w:after="0"/>
              <w:rPr>
                <w:sz w:val="20"/>
                <w:szCs w:val="20"/>
                <w:color w:val="auto"/>
              </w:rPr>
            </w:pPr>
            <w:r>
              <w:rPr>
                <w:rFonts w:ascii="Times New Roman" w:cs="Times New Roman" w:eastAsia="Times New Roman" w:hAnsi="Times New Roman"/>
                <w:sz w:val="16"/>
                <w:szCs w:val="16"/>
                <w:color w:val="auto"/>
              </w:rPr>
              <w:t>33.3</w:t>
            </w:r>
          </w:p>
        </w:tc>
      </w:tr>
      <w:tr>
        <w:trPr>
          <w:trHeight w:val="219"/>
        </w:trPr>
        <w:tc>
          <w:tcPr>
            <w:tcW w:w="6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Modified/renewed lease assets obtained in exchange for lease liabilities</w:t>
            </w: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center"/>
              <w:ind w:left="719"/>
              <w:spacing w:after="0"/>
              <w:rPr>
                <w:sz w:val="20"/>
                <w:szCs w:val="20"/>
                <w:color w:val="auto"/>
              </w:rPr>
            </w:pPr>
            <w:r>
              <w:rPr>
                <w:rFonts w:ascii="Times New Roman" w:cs="Times New Roman" w:eastAsia="Times New Roman" w:hAnsi="Times New Roman"/>
                <w:sz w:val="16"/>
                <w:szCs w:val="16"/>
                <w:color w:val="auto"/>
              </w:rPr>
              <w:t>23.2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center"/>
              <w:ind w:left="719"/>
              <w:spacing w:after="0"/>
              <w:rPr>
                <w:sz w:val="20"/>
                <w:szCs w:val="20"/>
                <w:color w:val="auto"/>
              </w:rPr>
            </w:pPr>
            <w:r>
              <w:rPr>
                <w:rFonts w:ascii="Times New Roman" w:cs="Times New Roman" w:eastAsia="Times New Roman" w:hAnsi="Times New Roman"/>
                <w:sz w:val="16"/>
                <w:szCs w:val="16"/>
                <w:color w:val="auto"/>
              </w:rPr>
              <w:t>15.5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center"/>
              <w:ind w:left="719"/>
              <w:spacing w:after="0"/>
              <w:rPr>
                <w:sz w:val="20"/>
                <w:szCs w:val="20"/>
                <w:color w:val="auto"/>
              </w:rPr>
            </w:pPr>
            <w:r>
              <w:rPr>
                <w:rFonts w:ascii="Times New Roman" w:cs="Times New Roman" w:eastAsia="Times New Roman" w:hAnsi="Times New Roman"/>
                <w:sz w:val="16"/>
                <w:szCs w:val="16"/>
                <w:color w:val="auto"/>
              </w:rPr>
              <w:t>44.8</w:t>
            </w:r>
          </w:p>
        </w:tc>
      </w:tr>
      <w:tr>
        <w:trPr>
          <w:trHeight w:val="210"/>
        </w:trPr>
        <w:tc>
          <w:tcPr>
            <w:tcW w:w="62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lease assets obtained in exchange for lease liabilities</w:t>
            </w: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center"/>
              <w:ind w:left="719"/>
              <w:spacing w:after="0"/>
              <w:rPr>
                <w:sz w:val="20"/>
                <w:szCs w:val="20"/>
                <w:color w:val="auto"/>
              </w:rPr>
            </w:pPr>
            <w:r>
              <w:rPr>
                <w:rFonts w:ascii="Times New Roman" w:cs="Times New Roman" w:eastAsia="Times New Roman" w:hAnsi="Times New Roman"/>
                <w:sz w:val="16"/>
                <w:szCs w:val="16"/>
                <w:color w:val="auto"/>
              </w:rPr>
              <w:t>40.5</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center"/>
              <w:ind w:left="719"/>
              <w:spacing w:after="0"/>
              <w:rPr>
                <w:sz w:val="20"/>
                <w:szCs w:val="20"/>
                <w:color w:val="auto"/>
              </w:rPr>
            </w:pPr>
            <w:r>
              <w:rPr>
                <w:rFonts w:ascii="Times New Roman" w:cs="Times New Roman" w:eastAsia="Times New Roman" w:hAnsi="Times New Roman"/>
                <w:sz w:val="16"/>
                <w:szCs w:val="16"/>
                <w:color w:val="auto"/>
              </w:rPr>
              <w:t>58.6</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center"/>
              <w:ind w:left="719"/>
              <w:spacing w:after="0"/>
              <w:rPr>
                <w:sz w:val="20"/>
                <w:szCs w:val="20"/>
                <w:color w:val="auto"/>
              </w:rPr>
            </w:pPr>
            <w:r>
              <w:rPr>
                <w:rFonts w:ascii="Times New Roman" w:cs="Times New Roman" w:eastAsia="Times New Roman" w:hAnsi="Times New Roman"/>
                <w:sz w:val="16"/>
                <w:szCs w:val="16"/>
                <w:color w:val="auto"/>
              </w:rPr>
              <w:t>78.1</w:t>
            </w:r>
          </w:p>
        </w:tc>
      </w:tr>
      <w:tr>
        <w:trPr>
          <w:trHeight w:val="20"/>
        </w:trPr>
        <w:tc>
          <w:tcPr>
            <w:tcW w:w="6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340" w:firstLine="486"/>
        <w:spacing w:after="0" w:line="282" w:lineRule="auto"/>
        <w:rPr>
          <w:sz w:val="20"/>
          <w:szCs w:val="20"/>
          <w:color w:val="auto"/>
        </w:rPr>
      </w:pPr>
      <w:r>
        <w:rPr>
          <w:rFonts w:ascii="Times New Roman" w:cs="Times New Roman" w:eastAsia="Times New Roman" w:hAnsi="Times New Roman"/>
          <w:sz w:val="18"/>
          <w:szCs w:val="18"/>
          <w:color w:val="auto"/>
        </w:rPr>
        <w:t>As of December 31, 2023 and 2024, the weighted average remaining lease term and weighted average discount rate of our operating and finance leases, respectively, were as follows:</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000" w:type="dxa"/>
            <w:vAlign w:val="bottom"/>
          </w:tcPr>
          <w:p>
            <w:pPr>
              <w:spacing w:after="0"/>
              <w:rPr>
                <w:sz w:val="18"/>
                <w:szCs w:val="18"/>
                <w:color w:val="auto"/>
              </w:rPr>
            </w:pPr>
          </w:p>
        </w:tc>
        <w:tc>
          <w:tcPr>
            <w:tcW w:w="168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56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199"/>
        </w:trPr>
        <w:tc>
          <w:tcPr>
            <w:tcW w:w="8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remaining lease term (in years)</w:t>
            </w:r>
          </w:p>
        </w:tc>
        <w:tc>
          <w:tcPr>
            <w:tcW w:w="15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spacing w:after="0"/>
              <w:rPr>
                <w:sz w:val="17"/>
                <w:szCs w:val="17"/>
                <w:color w:val="auto"/>
              </w:rPr>
            </w:pPr>
          </w:p>
        </w:tc>
      </w:tr>
      <w:tr>
        <w:trPr>
          <w:trHeight w:val="213"/>
        </w:trPr>
        <w:tc>
          <w:tcPr>
            <w:tcW w:w="8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Operating leases</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19"/>
        </w:trPr>
        <w:tc>
          <w:tcPr>
            <w:tcW w:w="8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Finance leases</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13"/>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 average discount rate</w:t>
            </w: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9"/>
        </w:trPr>
        <w:tc>
          <w:tcPr>
            <w:tcW w:w="8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leases</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6.5 %</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6.3 %</w:t>
            </w:r>
          </w:p>
        </w:tc>
      </w:tr>
      <w:tr>
        <w:trPr>
          <w:trHeight w:val="210"/>
        </w:trPr>
        <w:tc>
          <w:tcPr>
            <w:tcW w:w="8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Finance leases</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7.2 %</w:t>
            </w:r>
          </w:p>
        </w:tc>
        <w:tc>
          <w:tcPr>
            <w:tcW w:w="1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7.9 %</w:t>
            </w:r>
          </w:p>
        </w:tc>
      </w:tr>
    </w:tbl>
    <w:p>
      <w:pPr>
        <w:spacing w:after="0" w:line="31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Future lease payments under operating and finance leases as of December 31, 2024 are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4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144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Operating leases</w:t>
            </w:r>
          </w:p>
        </w:tc>
        <w:tc>
          <w:tcPr>
            <w:tcW w:w="1320" w:type="dxa"/>
            <w:vAlign w:val="bottom"/>
            <w:gridSpan w:val="2"/>
            <w:vMerge w:val="restart"/>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 xml:space="preserve">Finance leases </w:t>
            </w:r>
            <w:r>
              <w:rPr>
                <w:rFonts w:ascii="Times New Roman" w:cs="Times New Roman" w:eastAsia="Times New Roman" w:hAnsi="Times New Roman"/>
                <w:sz w:val="21"/>
                <w:szCs w:val="21"/>
                <w:b w:val="1"/>
                <w:bCs w:val="1"/>
                <w:color w:val="auto"/>
                <w:vertAlign w:val="superscript"/>
              </w:rPr>
              <w:t>(1)</w:t>
            </w:r>
          </w:p>
        </w:tc>
        <w:tc>
          <w:tcPr>
            <w:tcW w:w="0" w:type="dxa"/>
            <w:vAlign w:val="bottom"/>
          </w:tcPr>
          <w:p>
            <w:pPr>
              <w:spacing w:after="0"/>
              <w:rPr>
                <w:sz w:val="1"/>
                <w:szCs w:val="1"/>
                <w:color w:val="auto"/>
              </w:rPr>
            </w:pPr>
          </w:p>
        </w:tc>
      </w:tr>
      <w:tr>
        <w:trPr>
          <w:trHeight w:val="162"/>
        </w:trPr>
        <w:tc>
          <w:tcPr>
            <w:tcW w:w="8480" w:type="dxa"/>
            <w:vAlign w:val="bottom"/>
            <w:tcBorders>
              <w:bottom w:val="single" w:sz="8" w:color="CCEEFF"/>
            </w:tcBorders>
            <w:vMerge w:val="continue"/>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522"/>
              <w:spacing w:after="0"/>
              <w:rPr>
                <w:sz w:val="20"/>
                <w:szCs w:val="20"/>
                <w:color w:val="auto"/>
              </w:rPr>
            </w:pPr>
            <w:r>
              <w:rPr>
                <w:rFonts w:ascii="Times New Roman" w:cs="Times New Roman" w:eastAsia="Times New Roman" w:hAnsi="Times New Roman"/>
                <w:sz w:val="11"/>
                <w:szCs w:val="11"/>
                <w:b w:val="1"/>
                <w:bCs w:val="1"/>
                <w:color w:val="auto"/>
              </w:rPr>
              <w:t>(1)</w:t>
            </w:r>
          </w:p>
        </w:tc>
        <w:tc>
          <w:tcPr>
            <w:tcW w:w="120" w:type="dxa"/>
            <w:vAlign w:val="bottom"/>
            <w:tcBorders>
              <w:bottom w:val="single" w:sz="8" w:color="CCEEFF"/>
            </w:tcBorders>
          </w:tcPr>
          <w:p>
            <w:pPr>
              <w:spacing w:after="0"/>
              <w:rPr>
                <w:sz w:val="14"/>
                <w:szCs w:val="14"/>
                <w:color w:val="auto"/>
              </w:rPr>
            </w:pPr>
          </w:p>
        </w:tc>
        <w:tc>
          <w:tcPr>
            <w:tcW w:w="1320" w:type="dxa"/>
            <w:vAlign w:val="bottom"/>
            <w:tcBorders>
              <w:bottom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Year ending:</w:t>
            </w:r>
          </w:p>
        </w:tc>
        <w:tc>
          <w:tcPr>
            <w:tcW w:w="3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4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2025</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64.1</w:t>
            </w:r>
          </w:p>
        </w:tc>
        <w:tc>
          <w:tcPr>
            <w:tcW w:w="12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77.0</w:t>
            </w:r>
          </w:p>
        </w:tc>
        <w:tc>
          <w:tcPr>
            <w:tcW w:w="0" w:type="dxa"/>
            <w:vAlign w:val="bottom"/>
          </w:tcPr>
          <w:p>
            <w:pPr>
              <w:spacing w:after="0"/>
              <w:rPr>
                <w:sz w:val="1"/>
                <w:szCs w:val="1"/>
                <w:color w:val="auto"/>
              </w:rPr>
            </w:pPr>
          </w:p>
        </w:tc>
      </w:tr>
      <w:tr>
        <w:trPr>
          <w:trHeight w:val="219"/>
        </w:trPr>
        <w:tc>
          <w:tcPr>
            <w:tcW w:w="8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2026</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w:t>
            </w:r>
          </w:p>
        </w:tc>
        <w:tc>
          <w:tcPr>
            <w:tcW w:w="0" w:type="dxa"/>
            <w:vAlign w:val="bottom"/>
          </w:tcPr>
          <w:p>
            <w:pPr>
              <w:spacing w:after="0"/>
              <w:rPr>
                <w:sz w:val="1"/>
                <w:szCs w:val="1"/>
                <w:color w:val="auto"/>
              </w:rPr>
            </w:pPr>
          </w:p>
        </w:tc>
      </w:tr>
      <w:tr>
        <w:trPr>
          <w:trHeight w:val="213"/>
        </w:trPr>
        <w:tc>
          <w:tcPr>
            <w:tcW w:w="84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2027</w:t>
            </w: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w:t>
            </w:r>
          </w:p>
        </w:tc>
        <w:tc>
          <w:tcPr>
            <w:tcW w:w="0" w:type="dxa"/>
            <w:vAlign w:val="bottom"/>
          </w:tcPr>
          <w:p>
            <w:pPr>
              <w:spacing w:after="0"/>
              <w:rPr>
                <w:sz w:val="1"/>
                <w:szCs w:val="1"/>
                <w:color w:val="auto"/>
              </w:rPr>
            </w:pPr>
          </w:p>
        </w:tc>
      </w:tr>
      <w:tr>
        <w:trPr>
          <w:trHeight w:val="219"/>
        </w:trPr>
        <w:tc>
          <w:tcPr>
            <w:tcW w:w="8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2028</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w:t>
            </w:r>
          </w:p>
        </w:tc>
        <w:tc>
          <w:tcPr>
            <w:tcW w:w="0" w:type="dxa"/>
            <w:vAlign w:val="bottom"/>
          </w:tcPr>
          <w:p>
            <w:pPr>
              <w:spacing w:after="0"/>
              <w:rPr>
                <w:sz w:val="1"/>
                <w:szCs w:val="1"/>
                <w:color w:val="auto"/>
              </w:rPr>
            </w:pPr>
          </w:p>
        </w:tc>
      </w:tr>
      <w:tr>
        <w:trPr>
          <w:trHeight w:val="213"/>
        </w:trPr>
        <w:tc>
          <w:tcPr>
            <w:tcW w:w="84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2029</w:t>
            </w: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w:t>
            </w:r>
          </w:p>
        </w:tc>
        <w:tc>
          <w:tcPr>
            <w:tcW w:w="0" w:type="dxa"/>
            <w:vAlign w:val="bottom"/>
          </w:tcPr>
          <w:p>
            <w:pPr>
              <w:spacing w:after="0"/>
              <w:rPr>
                <w:sz w:val="1"/>
                <w:szCs w:val="1"/>
                <w:color w:val="auto"/>
              </w:rPr>
            </w:pPr>
          </w:p>
        </w:tc>
      </w:tr>
      <w:tr>
        <w:trPr>
          <w:trHeight w:val="219"/>
        </w:trPr>
        <w:tc>
          <w:tcPr>
            <w:tcW w:w="8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Thereafter</w:t>
            </w: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273.5</w:t>
            </w:r>
          </w:p>
        </w:tc>
        <w:tc>
          <w:tcPr>
            <w:tcW w:w="0" w:type="dxa"/>
            <w:vAlign w:val="bottom"/>
          </w:tcPr>
          <w:p>
            <w:pPr>
              <w:spacing w:after="0"/>
              <w:rPr>
                <w:sz w:val="1"/>
                <w:szCs w:val="1"/>
                <w:color w:val="auto"/>
              </w:rPr>
            </w:pPr>
          </w:p>
        </w:tc>
      </w:tr>
      <w:tr>
        <w:trPr>
          <w:trHeight w:val="207"/>
        </w:trPr>
        <w:tc>
          <w:tcPr>
            <w:tcW w:w="84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future lease payments</w:t>
            </w:r>
          </w:p>
        </w:tc>
        <w:tc>
          <w:tcPr>
            <w:tcW w:w="3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151.7</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506.3</w:t>
            </w: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Less amount representing interest</w:t>
            </w:r>
          </w:p>
        </w:tc>
        <w:tc>
          <w:tcPr>
            <w:tcW w:w="3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1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(160.1)</w:t>
            </w:r>
          </w:p>
        </w:tc>
        <w:tc>
          <w:tcPr>
            <w:tcW w:w="0" w:type="dxa"/>
            <w:vAlign w:val="bottom"/>
          </w:tcPr>
          <w:p>
            <w:pPr>
              <w:spacing w:after="0"/>
              <w:rPr>
                <w:sz w:val="1"/>
                <w:szCs w:val="1"/>
                <w:color w:val="auto"/>
              </w:rPr>
            </w:pPr>
          </w:p>
        </w:tc>
      </w:tr>
      <w:tr>
        <w:trPr>
          <w:trHeight w:val="212"/>
        </w:trPr>
        <w:tc>
          <w:tcPr>
            <w:tcW w:w="84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lease liability</w:t>
            </w: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133.7</w:t>
            </w:r>
          </w:p>
        </w:tc>
        <w:tc>
          <w:tcPr>
            <w:tcW w:w="120" w:type="dxa"/>
            <w:vAlign w:val="bottom"/>
          </w:tcPr>
          <w:p>
            <w:pPr>
              <w:spacing w:after="0"/>
              <w:rPr>
                <w:sz w:val="18"/>
                <w:szCs w:val="18"/>
                <w:color w:val="auto"/>
              </w:rPr>
            </w:pPr>
          </w:p>
        </w:tc>
        <w:tc>
          <w:tcPr>
            <w:tcW w:w="46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346.2</w:t>
            </w:r>
          </w:p>
        </w:tc>
        <w:tc>
          <w:tcPr>
            <w:tcW w:w="0" w:type="dxa"/>
            <w:vAlign w:val="bottom"/>
          </w:tcPr>
          <w:p>
            <w:pPr>
              <w:spacing w:after="0"/>
              <w:rPr>
                <w:sz w:val="1"/>
                <w:szCs w:val="1"/>
                <w:color w:val="auto"/>
              </w:rPr>
            </w:pPr>
          </w:p>
        </w:tc>
      </w:tr>
      <w:tr>
        <w:trPr>
          <w:trHeight w:val="20"/>
        </w:trPr>
        <w:tc>
          <w:tcPr>
            <w:tcW w:w="84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(1)  There are no material finance or operating leases that have not yet commenced.</w:t>
            </w: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1"/>
        </w:trPr>
        <w:tc>
          <w:tcPr>
            <w:tcW w:w="8480" w:type="dxa"/>
            <w:vAlign w:val="bottom"/>
            <w:vMerge w:val="continue"/>
          </w:tcPr>
          <w:p>
            <w:pPr>
              <w:spacing w:after="0"/>
              <w:rPr>
                <w:sz w:val="23"/>
                <w:szCs w:val="23"/>
                <w:color w:val="auto"/>
              </w:rPr>
            </w:pPr>
          </w:p>
        </w:tc>
        <w:tc>
          <w:tcPr>
            <w:tcW w:w="3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- 133 -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Financing Obligations</w:t>
      </w:r>
    </w:p>
    <w:p>
      <w:pPr>
        <w:spacing w:after="0" w:line="256" w:lineRule="exact"/>
        <w:rPr>
          <w:sz w:val="20"/>
          <w:szCs w:val="20"/>
          <w:color w:val="auto"/>
        </w:rPr>
      </w:pPr>
    </w:p>
    <w:p>
      <w:pPr>
        <w:ind w:right="40" w:firstLine="486"/>
        <w:spacing w:after="0" w:line="266" w:lineRule="auto"/>
        <w:rPr>
          <w:sz w:val="20"/>
          <w:szCs w:val="20"/>
          <w:color w:val="auto"/>
        </w:rPr>
      </w:pPr>
      <w:r>
        <w:rPr>
          <w:rFonts w:ascii="Times New Roman" w:cs="Times New Roman" w:eastAsia="Times New Roman" w:hAnsi="Times New Roman"/>
          <w:sz w:val="18"/>
          <w:szCs w:val="18"/>
          <w:color w:val="auto"/>
        </w:rPr>
        <w:t>We have entered into installment payment arrangements with certain equipment and software vendors. In addition, we have entered into certain sale-leaseback agreements that do not qualify as asset sales and are accounted for as failed sale-leasebacks. These arrangements include the sale and leaseback of equipment with third party financial institutions and certain property leases we assumed upon the acquisition of Datapipe.</w:t>
      </w:r>
    </w:p>
    <w:p>
      <w:pPr>
        <w:spacing w:after="0" w:line="20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weighted average imputed interest rate for our financing obligations was 8.3% as of December 31, 2024.</w:t>
      </w:r>
    </w:p>
    <w:p>
      <w:pPr>
        <w:spacing w:after="0" w:line="25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December 31, 2024, future payments under financing obligations were as follows: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Amount</w:t>
            </w:r>
          </w:p>
        </w:tc>
      </w:tr>
      <w:tr>
        <w:trPr>
          <w:trHeight w:val="199"/>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Year ending:</w:t>
            </w:r>
          </w:p>
        </w:tc>
        <w:tc>
          <w:tcPr>
            <w:tcW w:w="2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13"/>
        </w:trPr>
        <w:tc>
          <w:tcPr>
            <w:tcW w:w="9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2025</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w:t>
            </w:r>
          </w:p>
        </w:tc>
      </w:tr>
      <w:tr>
        <w:trPr>
          <w:trHeight w:val="219"/>
        </w:trPr>
        <w:tc>
          <w:tcPr>
            <w:tcW w:w="9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2026</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w:t>
            </w:r>
          </w:p>
        </w:tc>
      </w:tr>
      <w:tr>
        <w:trPr>
          <w:trHeight w:val="213"/>
        </w:trPr>
        <w:tc>
          <w:tcPr>
            <w:tcW w:w="9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2027</w:t>
            </w: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r>
      <w:tr>
        <w:trPr>
          <w:trHeight w:val="219"/>
        </w:trPr>
        <w:tc>
          <w:tcPr>
            <w:tcW w:w="9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2028</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r>
      <w:tr>
        <w:trPr>
          <w:trHeight w:val="213"/>
        </w:trPr>
        <w:tc>
          <w:tcPr>
            <w:tcW w:w="9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2029</w:t>
            </w: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r>
      <w:tr>
        <w:trPr>
          <w:trHeight w:val="219"/>
        </w:trPr>
        <w:tc>
          <w:tcPr>
            <w:tcW w:w="9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Thereafter</w:t>
            </w: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w:t>
            </w:r>
          </w:p>
        </w:tc>
      </w:tr>
      <w:tr>
        <w:trPr>
          <w:trHeight w:val="207"/>
        </w:trPr>
        <w:tc>
          <w:tcPr>
            <w:tcW w:w="97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future payments</w:t>
            </w:r>
          </w:p>
        </w:tc>
        <w:tc>
          <w:tcPr>
            <w:tcW w:w="2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59.5</w:t>
            </w:r>
          </w:p>
        </w:tc>
      </w:tr>
      <w:tr>
        <w:trPr>
          <w:trHeight w:val="219"/>
        </w:trPr>
        <w:tc>
          <w:tcPr>
            <w:tcW w:w="9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Plus amount representing residual asset balance</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w:t>
            </w:r>
          </w:p>
        </w:tc>
      </w:tr>
      <w:tr>
        <w:trPr>
          <w:trHeight w:val="213"/>
        </w:trPr>
        <w:tc>
          <w:tcPr>
            <w:tcW w:w="97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Less amount representing interest</w:t>
            </w: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w:t>
            </w:r>
          </w:p>
        </w:tc>
      </w:tr>
      <w:tr>
        <w:trPr>
          <w:trHeight w:val="237"/>
        </w:trPr>
        <w:tc>
          <w:tcPr>
            <w:tcW w:w="97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financing obligations</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55.6</w:t>
            </w:r>
          </w:p>
        </w:tc>
      </w:tr>
      <w:tr>
        <w:trPr>
          <w:trHeight w:val="20"/>
        </w:trPr>
        <w:tc>
          <w:tcPr>
            <w:tcW w:w="97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Commitments and Contingencies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 Commitments</w:t>
      </w:r>
    </w:p>
    <w:p>
      <w:pPr>
        <w:spacing w:after="0" w:line="256" w:lineRule="exact"/>
        <w:rPr>
          <w:sz w:val="20"/>
          <w:szCs w:val="20"/>
          <w:color w:val="auto"/>
        </w:rPr>
      </w:pPr>
    </w:p>
    <w:p>
      <w:pPr>
        <w:ind w:right="60" w:firstLine="486"/>
        <w:spacing w:after="0" w:line="261" w:lineRule="auto"/>
        <w:rPr>
          <w:sz w:val="20"/>
          <w:szCs w:val="20"/>
          <w:color w:val="auto"/>
        </w:rPr>
      </w:pPr>
      <w:r>
        <w:rPr>
          <w:rFonts w:ascii="Times New Roman" w:cs="Times New Roman" w:eastAsia="Times New Roman" w:hAnsi="Times New Roman"/>
          <w:sz w:val="18"/>
          <w:szCs w:val="18"/>
          <w:color w:val="auto"/>
        </w:rPr>
        <w:t>Non-cancelable purchase commitments primarily consist of commitments for certain software licenses, hardware purchases, third party infrastructure purchases, and costs associated with our data centers, such as bandwidth and electricity. The agreements provide for either penalties for early termination or may require minimum commitments for the remaining term. The minimum commitments for all of these agreements, as of December 31, 2024, are approximated as follows: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Amount</w:t>
            </w:r>
          </w:p>
        </w:tc>
      </w:tr>
      <w:tr>
        <w:trPr>
          <w:trHeight w:val="199"/>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Year ending:</w:t>
            </w:r>
          </w:p>
        </w:tc>
        <w:tc>
          <w:tcPr>
            <w:tcW w:w="2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13"/>
        </w:trPr>
        <w:tc>
          <w:tcPr>
            <w:tcW w:w="9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2025</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682.5</w:t>
            </w:r>
          </w:p>
        </w:tc>
      </w:tr>
      <w:tr>
        <w:trPr>
          <w:trHeight w:val="219"/>
        </w:trPr>
        <w:tc>
          <w:tcPr>
            <w:tcW w:w="9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2026</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567.7</w:t>
            </w:r>
          </w:p>
        </w:tc>
      </w:tr>
      <w:tr>
        <w:trPr>
          <w:trHeight w:val="213"/>
        </w:trPr>
        <w:tc>
          <w:tcPr>
            <w:tcW w:w="9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2027</w:t>
            </w: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257.0</w:t>
            </w:r>
          </w:p>
        </w:tc>
      </w:tr>
      <w:tr>
        <w:trPr>
          <w:trHeight w:val="219"/>
        </w:trPr>
        <w:tc>
          <w:tcPr>
            <w:tcW w:w="9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2028</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106.2</w:t>
            </w:r>
          </w:p>
        </w:tc>
      </w:tr>
      <w:tr>
        <w:trPr>
          <w:trHeight w:val="213"/>
        </w:trPr>
        <w:tc>
          <w:tcPr>
            <w:tcW w:w="9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2029</w:t>
            </w: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w:t>
            </w:r>
          </w:p>
        </w:tc>
      </w:tr>
      <w:tr>
        <w:trPr>
          <w:trHeight w:val="216"/>
        </w:trPr>
        <w:tc>
          <w:tcPr>
            <w:tcW w:w="9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Thereafter</w:t>
            </w:r>
          </w:p>
        </w:tc>
        <w:tc>
          <w:tcPr>
            <w:tcW w:w="2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52.6</w:t>
            </w:r>
          </w:p>
        </w:tc>
      </w:tr>
      <w:tr>
        <w:trPr>
          <w:trHeight w:val="212"/>
        </w:trPr>
        <w:tc>
          <w:tcPr>
            <w:tcW w:w="97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1,684.6</w:t>
            </w:r>
          </w:p>
        </w:tc>
      </w:tr>
      <w:tr>
        <w:trPr>
          <w:trHeight w:val="20"/>
        </w:trPr>
        <w:tc>
          <w:tcPr>
            <w:tcW w:w="9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280" w:firstLine="486"/>
        <w:spacing w:after="0" w:line="282" w:lineRule="auto"/>
        <w:rPr>
          <w:sz w:val="20"/>
          <w:szCs w:val="20"/>
          <w:color w:val="auto"/>
        </w:rPr>
      </w:pPr>
      <w:r>
        <w:rPr>
          <w:rFonts w:ascii="Times New Roman" w:cs="Times New Roman" w:eastAsia="Times New Roman" w:hAnsi="Times New Roman"/>
          <w:sz w:val="18"/>
          <w:szCs w:val="18"/>
          <w:color w:val="auto"/>
        </w:rPr>
        <w:t>We also have purchase orders and construction contracts primarily related to data center equipment and facility build-outs. We generally have the right to cancel these open purchase orders prior to delivery or terminate the contracts without cause.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25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have contingencies that arise from various litigation, claims and commitments, none of which we consider to be material.</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- 134 -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right="40" w:firstLine="486"/>
        <w:spacing w:after="0" w:line="261" w:lineRule="auto"/>
        <w:rPr>
          <w:sz w:val="20"/>
          <w:szCs w:val="20"/>
          <w:color w:val="auto"/>
        </w:rPr>
      </w:pPr>
      <w:r>
        <w:rPr>
          <w:rFonts w:ascii="Times New Roman" w:cs="Times New Roman" w:eastAsia="Times New Roman" w:hAnsi="Times New Roman"/>
          <w:sz w:val="18"/>
          <w:szCs w:val="18"/>
          <w:color w:val="auto"/>
        </w:rPr>
        <w:t>From time to time, we are a party to various claims asserting that certain of our services and technologies infringe the intellectual property rights of others. Adverse results in these lawsuits may include awards of substantial monetary damages, costly royalty or licensing agreements, or orders preventing us from offering certain features, products, or services, and may also cause us to change our business practices and require development of non-infringing products or technologies, which could result in a loss of revenue for us or otherwise harm our business.</w:t>
      </w:r>
    </w:p>
    <w:p>
      <w:pPr>
        <w:spacing w:after="0" w:line="207" w:lineRule="exact"/>
        <w:rPr>
          <w:sz w:val="20"/>
          <w:szCs w:val="20"/>
          <w:color w:val="auto"/>
        </w:rPr>
      </w:pPr>
    </w:p>
    <w:p>
      <w:pPr>
        <w:jc w:val="both"/>
        <w:ind w:right="340" w:firstLine="486"/>
        <w:spacing w:after="0" w:line="266" w:lineRule="auto"/>
        <w:rPr>
          <w:sz w:val="20"/>
          <w:szCs w:val="20"/>
          <w:color w:val="auto"/>
        </w:rPr>
      </w:pPr>
      <w:r>
        <w:rPr>
          <w:rFonts w:ascii="Times New Roman" w:cs="Times New Roman" w:eastAsia="Times New Roman" w:hAnsi="Times New Roman"/>
          <w:sz w:val="18"/>
          <w:szCs w:val="18"/>
          <w:color w:val="auto"/>
        </w:rPr>
        <w:t>We record an accrual for a loss contingency when a loss is considered probable and reasonably estimable. As additional facts concerning a loss contingency become known, we reassess our position and make appropriate adjustments to a recorded accrual. The amount that will ultimately be paid related to a matter may differ from the recorded accrual, and the timing of such payments, if any, may be uncertain.</w:t>
      </w:r>
    </w:p>
    <w:p>
      <w:pPr>
        <w:spacing w:after="0" w:line="203" w:lineRule="exact"/>
        <w:rPr>
          <w:sz w:val="20"/>
          <w:szCs w:val="20"/>
          <w:color w:val="auto"/>
        </w:rPr>
      </w:pPr>
    </w:p>
    <w:p>
      <w:pPr>
        <w:ind w:right="500" w:firstLine="486"/>
        <w:spacing w:after="0" w:line="282" w:lineRule="auto"/>
        <w:rPr>
          <w:sz w:val="20"/>
          <w:szCs w:val="20"/>
          <w:color w:val="auto"/>
        </w:rPr>
      </w:pPr>
      <w:r>
        <w:rPr>
          <w:rFonts w:ascii="Times New Roman" w:cs="Times New Roman" w:eastAsia="Times New Roman" w:hAnsi="Times New Roman"/>
          <w:sz w:val="18"/>
          <w:szCs w:val="18"/>
          <w:color w:val="auto"/>
        </w:rPr>
        <w:t>We are not a party to any litigation, the outcome of which, if determined adversely to us, would individually or in the aggregate be reasonably expected to have a material and adverse effect on our business, financial position or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Indemnifications</w:t>
      </w:r>
    </w:p>
    <w:p>
      <w:pPr>
        <w:spacing w:after="0" w:line="256" w:lineRule="exact"/>
        <w:rPr>
          <w:sz w:val="20"/>
          <w:szCs w:val="20"/>
          <w:color w:val="auto"/>
        </w:rPr>
      </w:pPr>
    </w:p>
    <w:p>
      <w:pPr>
        <w:ind w:right="40" w:firstLine="486"/>
        <w:spacing w:after="0" w:line="255" w:lineRule="auto"/>
        <w:rPr>
          <w:sz w:val="20"/>
          <w:szCs w:val="20"/>
          <w:color w:val="auto"/>
        </w:rPr>
      </w:pPr>
      <w:r>
        <w:rPr>
          <w:rFonts w:ascii="Times New Roman" w:cs="Times New Roman" w:eastAsia="Times New Roman" w:hAnsi="Times New Roman"/>
          <w:sz w:val="18"/>
          <w:szCs w:val="18"/>
          <w:color w:val="auto"/>
        </w:rPr>
        <w:t>As permitted under Delaware law, we have agreements whereby we indemnify our officers and directors for certain events or occurrences while the officer or director is, or was, serving at our request in such capacity. In addition, from time to time we may enter into indemnification agreements with certain of our employees so that such employees will agree to serve as directors or officers of our foreign subsidiaries. The term of the indemnification period is for the officer’s or director’s lifetime. The maximum potential amount of future payments we could be required to make under these indemnification agreements is unlimited; however, we have a director and officer insurance policy that limits our exposure and enables us to recover a portion of any future amounts paid. As a result of the insurance policy coverage, we believe the estimated fair value of these indemnification agreements is minimal. We had no material liabilities recorded for these agreements as of December 31, 2023 or 2024.</w:t>
      </w:r>
    </w:p>
    <w:p>
      <w:pPr>
        <w:spacing w:after="0" w:line="216"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Additionally, in the normal course of business, we indemnify certain parties, including customers, vendors and lessors, with respect to certain matters. We have agreed to hold certain parties harmless against losses arising from a breach of representations or covenants or out of intellectual property infringement or other claims made against certain parties. These agreements may limit the time within which an indemnification claim can be made and the amount of the claim. We had no material liabilities recorded for these agreements as of December 31, 2023 or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- 135 -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Stockholders' Equity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256"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As of December 31, 2023 and 2024, we had 220.5 million and 232.2 million shares of our common stock legally issued and 217.4 million and 229.1 million common stock outstanding, respectively.</w:t>
      </w:r>
    </w:p>
    <w:p>
      <w:pPr>
        <w:spacing w:after="0" w:line="1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have one class of authorized common stock. The rights and privileges provided to our common stockholders are as follows:</w:t>
      </w:r>
    </w:p>
    <w:p>
      <w:pPr>
        <w:spacing w:after="0" w:line="250" w:lineRule="exact"/>
        <w:rPr>
          <w:sz w:val="20"/>
          <w:szCs w:val="20"/>
          <w:color w:val="auto"/>
        </w:rPr>
      </w:pPr>
    </w:p>
    <w:p>
      <w:pPr>
        <w:ind w:left="820" w:right="440" w:hanging="326"/>
        <w:spacing w:after="0" w:line="284" w:lineRule="auto"/>
        <w:tabs>
          <w:tab w:leader="none" w:pos="81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Voting Rights</w:t>
      </w:r>
      <w:r>
        <w:rPr>
          <w:rFonts w:ascii="Times New Roman" w:cs="Times New Roman" w:eastAsia="Times New Roman" w:hAnsi="Times New Roman"/>
          <w:sz w:val="18"/>
          <w:szCs w:val="18"/>
          <w:color w:val="auto"/>
        </w:rPr>
        <w:t>—The holders of our common stock are entitled to one vote per share on all matters submitted for action by the stockholders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generally.</w:t>
      </w:r>
    </w:p>
    <w:p>
      <w:pPr>
        <w:spacing w:after="0" w:line="185" w:lineRule="exact"/>
        <w:rPr>
          <w:rFonts w:ascii="Times New Roman" w:cs="Times New Roman" w:eastAsia="Times New Roman" w:hAnsi="Times New Roman"/>
          <w:sz w:val="18"/>
          <w:szCs w:val="18"/>
          <w:color w:val="auto"/>
        </w:rPr>
      </w:pPr>
    </w:p>
    <w:p>
      <w:pPr>
        <w:ind w:left="820" w:hanging="326"/>
        <w:spacing w:after="0" w:line="284" w:lineRule="auto"/>
        <w:tabs>
          <w:tab w:leader="none" w:pos="81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Dividend Rights</w:t>
      </w:r>
      <w:r>
        <w:rPr>
          <w:rFonts w:ascii="Times New Roman" w:cs="Times New Roman" w:eastAsia="Times New Roman" w:hAnsi="Times New Roman"/>
          <w:sz w:val="18"/>
          <w:szCs w:val="18"/>
          <w:color w:val="auto"/>
        </w:rPr>
        <w:t>—Subject to any preferential rights of any then outstanding preferred stock, all shares of our common stock are entitled to share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equally in any dividends our Board may declare from legally available sources.</w:t>
      </w:r>
    </w:p>
    <w:p>
      <w:pPr>
        <w:spacing w:after="0" w:line="185" w:lineRule="exact"/>
        <w:rPr>
          <w:rFonts w:ascii="Times New Roman" w:cs="Times New Roman" w:eastAsia="Times New Roman" w:hAnsi="Times New Roman"/>
          <w:sz w:val="18"/>
          <w:szCs w:val="18"/>
          <w:color w:val="auto"/>
        </w:rPr>
      </w:pPr>
    </w:p>
    <w:p>
      <w:pPr>
        <w:ind w:left="820" w:right="80" w:hanging="326"/>
        <w:spacing w:after="0" w:line="267" w:lineRule="auto"/>
        <w:tabs>
          <w:tab w:leader="none" w:pos="81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Liquidation Rights</w:t>
      </w:r>
      <w:r>
        <w:rPr>
          <w:rFonts w:ascii="Times New Roman" w:cs="Times New Roman" w:eastAsia="Times New Roman" w:hAnsi="Times New Roman"/>
          <w:sz w:val="18"/>
          <w:szCs w:val="18"/>
          <w:color w:val="auto"/>
        </w:rPr>
        <w:t>—Upon our liquidation, dissolution or winding up, whether voluntary or involuntary, after payment in full of the amounts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required to be paid to holders of any then outstanding preferred stock, all shares of our common stock are entitled to share equally in the assets available for distribution to stockholders after payment of all of our prior obligations.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25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December 31, 2023 and 2024, there were 5.0 million authorized shares of preferred stock, of which none was issued or outstanding.</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w:t>
      </w:r>
    </w:p>
    <w:p>
      <w:pPr>
        <w:spacing w:after="0" w:line="256" w:lineRule="exact"/>
        <w:rPr>
          <w:sz w:val="20"/>
          <w:szCs w:val="20"/>
          <w:color w:val="auto"/>
        </w:rPr>
      </w:pPr>
    </w:p>
    <w:p>
      <w:pPr>
        <w:ind w:right="80" w:firstLine="486"/>
        <w:spacing w:after="0" w:line="258" w:lineRule="auto"/>
        <w:rPr>
          <w:sz w:val="20"/>
          <w:szCs w:val="20"/>
          <w:color w:val="auto"/>
        </w:rPr>
      </w:pPr>
      <w:r>
        <w:rPr>
          <w:rFonts w:ascii="Times New Roman" w:cs="Times New Roman" w:eastAsia="Times New Roman" w:hAnsi="Times New Roman"/>
          <w:sz w:val="18"/>
          <w:szCs w:val="18"/>
          <w:color w:val="auto"/>
        </w:rPr>
        <w:t>On March 3, 2022, our Board authorized a program to repurchase up to $75.0 million of shares of our common stock from time to time through open-market transactions, privately negotiated transactions, accelerated share repurchases and other transactions in accordance with applicable security laws. During the year ended December 31, 2022, we repurchased $31.0 million, or 3.1 million shares, of our common stock on the open market under this program. No shares were repurchased during the year ended December 31, 2023. Shares purchased pursuant to the program are recorded as treasury stock at cost in the Consolidated Balance Sheets. The program expired on September 30, 2023.</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Datapipe Contingent Shares</w:t>
      </w:r>
    </w:p>
    <w:p>
      <w:pPr>
        <w:spacing w:after="0" w:line="256" w:lineRule="exact"/>
        <w:rPr>
          <w:sz w:val="20"/>
          <w:szCs w:val="20"/>
          <w:color w:val="auto"/>
        </w:rPr>
      </w:pPr>
    </w:p>
    <w:p>
      <w:pPr>
        <w:ind w:right="120" w:firstLine="486"/>
        <w:spacing w:after="0" w:line="254" w:lineRule="auto"/>
        <w:rPr>
          <w:sz w:val="20"/>
          <w:szCs w:val="20"/>
          <w:color w:val="auto"/>
        </w:rPr>
      </w:pPr>
      <w:r>
        <w:rPr>
          <w:rFonts w:ascii="Times New Roman" w:cs="Times New Roman" w:eastAsia="Times New Roman" w:hAnsi="Times New Roman"/>
          <w:sz w:val="18"/>
          <w:szCs w:val="18"/>
          <w:color w:val="auto"/>
        </w:rPr>
        <w:t>On September 6, 2017, we entered into an Agreement and Plan of Merger (the "Datapipe Merger Agreement") pursuant to which we acquired Datapipe. In addition, the Datapipe Merger Agreement provides that we will be required to issue additional shares of our common stock to an affiliate of ABRY based on a MOIC on any “Measurement Date” (which is defined in the Datapipe Merger Agreement as (i) each date following the occurrence of a change in control or closing date of the IPO on which Apollo receives cash distributions, cash proceeds and/or marketable securities of the company in respect of their ownership interest in the company and (ii) each day after the IPO on which the company’s shares of capital stock are (a) freely tradeable without violating any “lockup” agreements, other contractual restrictions or securities laws and (b) are listed on a public stock exchange). The maximum number of shares of common stock issuable will not exceed 10,663,741 shares in the aggregate, subject to adjustment for stock splits, stock dividends, recombinations, reclassifications and similar equitable adjustments.</w:t>
      </w:r>
    </w:p>
    <w:p>
      <w:pPr>
        <w:spacing w:after="0" w:line="219"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On February 2, 2021, we issued 2,665,935 shares of common stock for no additional consideration pursuant to the Datapipe Merger Agreement. If the MOIC exceeds 3.0x, which is indicated by a volume weighted average trading price of our common stock over 30 consecutive trading days of more than $25.00 per share, we will be required to issue an additional 2,665,935 shares. No shares were issued under the Datapipe Merger Agreement during the years ended December 31, 2022, 2023 or 2024.</w:t>
      </w:r>
    </w:p>
    <w:p>
      <w:pPr>
        <w:spacing w:after="0" w:line="200" w:lineRule="exact"/>
        <w:rPr>
          <w:sz w:val="20"/>
          <w:szCs w:val="20"/>
          <w:color w:val="auto"/>
        </w:rPr>
      </w:pPr>
    </w:p>
    <w:p>
      <w:pPr>
        <w:spacing w:after="0" w:line="3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- 136 -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Share-Based Compensation and Employee Benefit Plans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Plans</w:t>
      </w:r>
    </w:p>
    <w:p>
      <w:pPr>
        <w:spacing w:after="0" w:line="256" w:lineRule="exact"/>
        <w:rPr>
          <w:sz w:val="20"/>
          <w:szCs w:val="20"/>
          <w:color w:val="auto"/>
        </w:rPr>
      </w:pPr>
    </w:p>
    <w:p>
      <w:pPr>
        <w:ind w:right="420" w:firstLine="486"/>
        <w:spacing w:after="0" w:line="261" w:lineRule="auto"/>
        <w:rPr>
          <w:sz w:val="20"/>
          <w:szCs w:val="20"/>
          <w:color w:val="auto"/>
        </w:rPr>
      </w:pPr>
      <w:r>
        <w:rPr>
          <w:rFonts w:ascii="Times New Roman" w:cs="Times New Roman" w:eastAsia="Times New Roman" w:hAnsi="Times New Roman"/>
          <w:sz w:val="18"/>
          <w:szCs w:val="18"/>
          <w:color w:val="auto"/>
        </w:rPr>
        <w:t>In April 2017, the Executive Committee of the Board authorized the company to adopt the 2017 Incentive Plan. On July 24, 2020, the Board approved, effective on August 7, 2020, the 2020 Incentive Plan and amendments to the 2017 Incentive Plan which, among other things, resulted in the termination of the 2017 Incentive Plan, except as it relates to outstanding awards, and any remaining shares reserved for future grants under the 2017 Incentive Plan were released.</w:t>
      </w:r>
    </w:p>
    <w:p>
      <w:pPr>
        <w:spacing w:after="0" w:line="207"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The 2020 Incentive Plan provides for the grant of stock options, including incentive stock options, and nonqualified stock options, stock appreciation rights, restricted stock, RSUs, other stock-based incentive awards, dividend equivalents and cash-based awards (collectively, "awards"). Incentive stock options may be granted only to our employees or an employee of a parent or subsidiary. All other awards may be granted to employees and consultants of the company and its parents and subsidiaries, as well as all non-employee members of our Board.</w:t>
      </w:r>
    </w:p>
    <w:p>
      <w:pPr>
        <w:spacing w:after="0" w:line="207"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For the years ended December 31, 2022, 2023 and 2024, the company granted RSU's (including performance-based RSUs) and restricted stock (collectively "restricted stock") under the Incentive Plans. The company issues new shares of its common stock to satisfy vesting of restricted stock and exercise of stock options under the Incentive Plans. All awards deduct one share from the Incentive Plans shares available for issuance for each share granted. The 2017 Incentive Plan began with 12.2 million shares authorized for grant and contained an evergreen feature whereby shares available increased each grant date based on the quantity of certain types of awards granted. Upon the approval of the 2020 Incentive Plan, the 2017 Incentive Plan was terminated, except as it relates to outstanding awards.</w:t>
      </w:r>
    </w:p>
    <w:p>
      <w:pPr>
        <w:spacing w:after="0" w:line="214"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maximum number of shares of our common stock available for issuance under the 2020 Incentive Plan was originally 25.0 million shares. This amount was subsequently increased to 50.0 million in 2022 and 57.9 million in 2023. On April 22, 2024 the Board approved a proposed amendment to increase the maximum number of shares to 87.9 million shares, which was subsequently approved by our stockholders as part of the 2024 Annual Meeting of Stockholders held on June 14, 2024. To the extent awards granted under the 2020 Incentive Plan terminate, expire or lapse, shares subject to such awards generally will again be available for future grant.</w:t>
      </w:r>
    </w:p>
    <w:p>
      <w:pPr>
        <w:spacing w:after="0" w:line="210"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As of December 31, 2024, the total number of shares outstanding and the total number of shares available for future grants under the Incentive Plans was 28.6 million and 42.1 million, respectively.</w:t>
      </w:r>
    </w:p>
    <w:p>
      <w:pPr>
        <w:spacing w:after="0" w:line="1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composition of the equity awards outstanding as of December 31, 2023 and 2024 was as follows:</w:t>
      </w: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15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13"/>
        </w:trPr>
        <w:tc>
          <w:tcPr>
            <w:tcW w:w="8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Restricted stock</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w:t>
            </w:r>
          </w:p>
        </w:tc>
        <w:tc>
          <w:tcPr>
            <w:tcW w:w="1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w:t>
            </w:r>
          </w:p>
        </w:tc>
      </w:tr>
      <w:tr>
        <w:trPr>
          <w:trHeight w:val="213"/>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Stock options</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w:t>
            </w:r>
          </w:p>
        </w:tc>
      </w:tr>
      <w:tr>
        <w:trPr>
          <w:trHeight w:val="237"/>
        </w:trPr>
        <w:tc>
          <w:tcPr>
            <w:tcW w:w="82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outstanding awards</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w:t>
            </w:r>
          </w:p>
        </w:tc>
        <w:tc>
          <w:tcPr>
            <w:tcW w:w="1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2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Stock options have been granted for a term of 10 years and generally vest ratably over a three-year period, subject to continued service.</w:t>
      </w:r>
    </w:p>
    <w:p>
      <w:pPr>
        <w:spacing w:after="0" w:line="252" w:lineRule="exact"/>
        <w:rPr>
          <w:sz w:val="20"/>
          <w:szCs w:val="20"/>
          <w:color w:val="auto"/>
        </w:rPr>
      </w:pPr>
    </w:p>
    <w:p>
      <w:pPr>
        <w:ind w:right="120" w:firstLine="486"/>
        <w:spacing w:after="0" w:line="282" w:lineRule="auto"/>
        <w:rPr>
          <w:sz w:val="20"/>
          <w:szCs w:val="20"/>
          <w:color w:val="auto"/>
        </w:rPr>
      </w:pPr>
      <w:r>
        <w:rPr>
          <w:rFonts w:ascii="Times New Roman" w:cs="Times New Roman" w:eastAsia="Times New Roman" w:hAnsi="Times New Roman"/>
          <w:sz w:val="18"/>
          <w:szCs w:val="18"/>
          <w:color w:val="auto"/>
        </w:rPr>
        <w:t>In 2021, we shifted away from granting stock options as we had in previous years, to granting restricted stock. As such, there were no stock options granted during the years ended December 31, 2022, 2023 or 2024.</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- 137 -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the stock option activity for the year ended December 31, 2024:</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00" w:type="dxa"/>
            <w:vAlign w:val="bottom"/>
          </w:tcPr>
          <w:p>
            <w:pPr>
              <w:spacing w:after="0"/>
              <w:rPr>
                <w:sz w:val="16"/>
                <w:szCs w:val="16"/>
                <w:color w:val="auto"/>
              </w:rPr>
            </w:pPr>
          </w:p>
        </w:tc>
        <w:tc>
          <w:tcPr>
            <w:tcW w:w="15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Number of Shares</w:t>
            </w:r>
          </w:p>
        </w:tc>
        <w:tc>
          <w:tcPr>
            <w:tcW w:w="100" w:type="dxa"/>
            <w:vAlign w:val="bottom"/>
          </w:tcPr>
          <w:p>
            <w:pPr>
              <w:spacing w:after="0"/>
              <w:rPr>
                <w:sz w:val="16"/>
                <w:szCs w:val="16"/>
                <w:color w:val="auto"/>
              </w:rPr>
            </w:pPr>
          </w:p>
        </w:tc>
        <w:tc>
          <w:tcPr>
            <w:tcW w:w="14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120" w:type="dxa"/>
            <w:vAlign w:val="bottom"/>
          </w:tcPr>
          <w:p>
            <w:pPr>
              <w:spacing w:after="0"/>
              <w:rPr>
                <w:sz w:val="16"/>
                <w:szCs w:val="16"/>
                <w:color w:val="auto"/>
              </w:rPr>
            </w:pPr>
          </w:p>
        </w:tc>
        <w:tc>
          <w:tcPr>
            <w:tcW w:w="148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Aggregate Intrinsic</w:t>
            </w:r>
          </w:p>
        </w:tc>
        <w:tc>
          <w:tcPr>
            <w:tcW w:w="0" w:type="dxa"/>
            <w:vAlign w:val="bottom"/>
          </w:tcPr>
          <w:p>
            <w:pPr>
              <w:spacing w:after="0"/>
              <w:rPr>
                <w:sz w:val="1"/>
                <w:szCs w:val="1"/>
                <w:color w:val="auto"/>
              </w:rPr>
            </w:pPr>
          </w:p>
        </w:tc>
      </w:tr>
      <w:tr>
        <w:trPr>
          <w:trHeight w:val="162"/>
        </w:trPr>
        <w:tc>
          <w:tcPr>
            <w:tcW w:w="500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154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Remaining</w:t>
            </w:r>
          </w:p>
        </w:tc>
        <w:tc>
          <w:tcPr>
            <w:tcW w:w="120" w:type="dxa"/>
            <w:vAlign w:val="bottom"/>
          </w:tcPr>
          <w:p>
            <w:pPr>
              <w:spacing w:after="0"/>
              <w:rPr>
                <w:sz w:val="14"/>
                <w:szCs w:val="14"/>
                <w:color w:val="auto"/>
              </w:rPr>
            </w:pPr>
          </w:p>
        </w:tc>
        <w:tc>
          <w:tcPr>
            <w:tcW w:w="14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5000" w:type="dxa"/>
            <w:vAlign w:val="bottom"/>
          </w:tcPr>
          <w:p>
            <w:pPr>
              <w:spacing w:after="0"/>
              <w:rPr>
                <w:sz w:val="18"/>
                <w:szCs w:val="18"/>
                <w:color w:val="auto"/>
              </w:rPr>
            </w:pP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00" w:type="dxa"/>
            <w:vAlign w:val="bottom"/>
          </w:tcPr>
          <w:p>
            <w:pPr>
              <w:spacing w:after="0"/>
              <w:rPr>
                <w:sz w:val="18"/>
                <w:szCs w:val="18"/>
                <w:color w:val="auto"/>
              </w:rPr>
            </w:pP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Exercise Price</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Contractual Life</w:t>
            </w:r>
          </w:p>
        </w:tc>
        <w:tc>
          <w:tcPr>
            <w:tcW w:w="120" w:type="dxa"/>
            <w:vAlign w:val="bottom"/>
          </w:tcPr>
          <w:p>
            <w:pPr>
              <w:spacing w:after="0"/>
              <w:rPr>
                <w:sz w:val="18"/>
                <w:szCs w:val="18"/>
                <w:color w:val="auto"/>
              </w:rPr>
            </w:pPr>
          </w:p>
        </w:tc>
        <w:tc>
          <w:tcPr>
            <w:tcW w:w="148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Value (in millions)</w:t>
            </w:r>
          </w:p>
        </w:tc>
        <w:tc>
          <w:tcPr>
            <w:tcW w:w="0" w:type="dxa"/>
            <w:vAlign w:val="bottom"/>
          </w:tcPr>
          <w:p>
            <w:pPr>
              <w:spacing w:after="0"/>
              <w:rPr>
                <w:sz w:val="1"/>
                <w:szCs w:val="1"/>
                <w:color w:val="auto"/>
              </w:rPr>
            </w:pPr>
          </w:p>
        </w:tc>
      </w:tr>
      <w:tr>
        <w:trPr>
          <w:trHeight w:val="211"/>
        </w:trPr>
        <w:tc>
          <w:tcPr>
            <w:tcW w:w="5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at December 31, 2023</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13.04</w:t>
            </w:r>
          </w:p>
        </w:tc>
        <w:tc>
          <w:tcPr>
            <w:tcW w:w="1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top w:val="single" w:sz="8" w:color="auto"/>
              <w:bottom w:val="single" w:sz="8" w:color="auto"/>
            </w:tcBorders>
            <w:shd w:val="clear" w:color="auto" w:fill="CCEEFF"/>
          </w:tcPr>
          <w:p>
            <w:pPr>
              <w:ind w:left="12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5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Granted</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Exercised</w:t>
            </w:r>
          </w:p>
        </w:tc>
        <w:tc>
          <w:tcPr>
            <w:tcW w:w="1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Forfeited</w:t>
            </w: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Expired</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13.00</w:t>
            </w:r>
          </w:p>
        </w:tc>
        <w:tc>
          <w:tcPr>
            <w:tcW w:w="100" w:type="dxa"/>
            <w:vAlign w:val="bottom"/>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Outstanding at December 31, 2024</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13.05</w:t>
            </w:r>
          </w:p>
        </w:tc>
        <w:tc>
          <w:tcPr>
            <w:tcW w:w="10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4.08</w:t>
            </w: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tcPr>
          <w:p>
            <w:pPr>
              <w:ind w:left="12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50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5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Vested and exercisable at December 31, 2024</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13.07</w:t>
            </w:r>
          </w:p>
        </w:tc>
        <w:tc>
          <w:tcPr>
            <w:tcW w:w="1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shd w:val="clear" w:color="auto" w:fill="CCEEFF"/>
          </w:tcPr>
          <w:p>
            <w:pPr>
              <w:ind w:left="12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bottom w:val="single" w:sz="8" w:color="CCEEFF"/>
            </w:tcBorders>
            <w:vMerge w:val="restart"/>
          </w:tcPr>
          <w:p>
            <w:pPr>
              <w:ind w:left="20"/>
              <w:spacing w:after="0" w:line="149" w:lineRule="exact"/>
              <w:rPr>
                <w:sz w:val="20"/>
                <w:szCs w:val="20"/>
                <w:color w:val="auto"/>
              </w:rPr>
            </w:pPr>
            <w:r>
              <w:rPr>
                <w:rFonts w:ascii="Times New Roman" w:cs="Times New Roman" w:eastAsia="Times New Roman" w:hAnsi="Times New Roman"/>
                <w:sz w:val="16"/>
                <w:szCs w:val="16"/>
                <w:color w:val="auto"/>
              </w:rPr>
              <w:t>Vested and exercisable at December 31, 2024 and expected to vest</w:t>
            </w: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5000" w:type="dxa"/>
            <w:vAlign w:val="bottom"/>
            <w:vMerge w:val="continue"/>
          </w:tcPr>
          <w:p>
            <w:pPr>
              <w:spacing w:after="0"/>
              <w:rPr>
                <w:sz w:val="9"/>
                <w:szCs w:val="9"/>
                <w:color w:val="auto"/>
              </w:rPr>
            </w:pP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tcPr>
          <w:p>
            <w:pPr>
              <w:spacing w:after="0"/>
              <w:rPr>
                <w:sz w:val="9"/>
                <w:szCs w:val="9"/>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13.05</w:t>
            </w:r>
          </w:p>
        </w:tc>
        <w:tc>
          <w:tcPr>
            <w:tcW w:w="100" w:type="dxa"/>
            <w:vAlign w:val="bottom"/>
          </w:tcPr>
          <w:p>
            <w:pPr>
              <w:spacing w:after="0"/>
              <w:rPr>
                <w:sz w:val="9"/>
                <w:szCs w:val="9"/>
                <w:color w:val="auto"/>
              </w:rPr>
            </w:pPr>
          </w:p>
        </w:tc>
        <w:tc>
          <w:tcPr>
            <w:tcW w:w="14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4.08</w:t>
            </w:r>
          </w:p>
        </w:tc>
        <w:tc>
          <w:tcPr>
            <w:tcW w:w="80" w:type="dxa"/>
            <w:vAlign w:val="bottom"/>
          </w:tcPr>
          <w:p>
            <w:pPr>
              <w:spacing w:after="0"/>
              <w:rPr>
                <w:sz w:val="9"/>
                <w:szCs w:val="9"/>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vMerge w:val="restart"/>
          </w:tcPr>
          <w:p>
            <w:pPr>
              <w:ind w:left="12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4"/>
        </w:trPr>
        <w:tc>
          <w:tcPr>
            <w:tcW w:w="5000" w:type="dxa"/>
            <w:vAlign w:val="bottom"/>
          </w:tcPr>
          <w:p>
            <w:pPr>
              <w:ind w:left="20"/>
              <w:spacing w:after="0" w:line="189" w:lineRule="exact"/>
              <w:rPr>
                <w:sz w:val="20"/>
                <w:szCs w:val="20"/>
                <w:color w:val="auto"/>
              </w:rPr>
            </w:pPr>
            <w:r>
              <w:rPr>
                <w:rFonts w:ascii="Times New Roman" w:cs="Times New Roman" w:eastAsia="Times New Roman" w:hAnsi="Times New Roman"/>
                <w:sz w:val="16"/>
                <w:szCs w:val="16"/>
                <w:color w:val="auto"/>
              </w:rPr>
              <w:t xml:space="preserve">thereafter </w:t>
            </w:r>
            <w:r>
              <w:rPr>
                <w:rFonts w:ascii="Times New Roman" w:cs="Times New Roman" w:eastAsia="Times New Roman" w:hAnsi="Times New Roman"/>
                <w:sz w:val="21"/>
                <w:szCs w:val="21"/>
                <w:color w:val="auto"/>
                <w:vertAlign w:val="superscript"/>
              </w:rPr>
              <w:t>(1)</w:t>
            </w:r>
          </w:p>
        </w:tc>
        <w:tc>
          <w:tcPr>
            <w:tcW w:w="14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vMerge w:val="continue"/>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6"/>
          <w:szCs w:val="16"/>
          <w:color w:val="auto"/>
        </w:rPr>
        <w:t>(1)</w:t>
        <w:tab/>
        <w:t>Forfeitures are recognized as they occur, rather than estimated</w:t>
      </w:r>
      <w:r>
        <w:rPr>
          <w:rFonts w:ascii="Times New Roman" w:cs="Times New Roman" w:eastAsia="Times New Roman" w:hAnsi="Times New Roman"/>
          <w:sz w:val="17"/>
          <w:szCs w:val="17"/>
          <w:color w:val="auto"/>
        </w:rPr>
        <w:t>.</w:t>
      </w:r>
    </w:p>
    <w:p>
      <w:pPr>
        <w:spacing w:after="0" w:line="26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total pre-tax intrinsic value of the stock options exercised during the years ended December 31, 2022 and 2023 was not material.</w:t>
      </w:r>
    </w:p>
    <w:p>
      <w:pPr>
        <w:spacing w:after="0" w:line="252"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Share-based compensation expense is recognized over the awards requisite service period or over our best estimate of the period over which the performance condition will be met, as applicable. As of December 31, 2024 total unrecognized compensation cost related to stock options was not material.</w:t>
      </w:r>
    </w:p>
    <w:p>
      <w:pPr>
        <w:spacing w:after="0" w:line="18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Restricted Stock</w:t>
      </w:r>
    </w:p>
    <w:p>
      <w:pPr>
        <w:spacing w:after="0" w:line="254" w:lineRule="exact"/>
        <w:rPr>
          <w:sz w:val="20"/>
          <w:szCs w:val="20"/>
          <w:color w:val="auto"/>
        </w:rPr>
      </w:pPr>
    </w:p>
    <w:p>
      <w:pPr>
        <w:ind w:right="40" w:firstLine="486"/>
        <w:spacing w:after="0" w:line="255" w:lineRule="auto"/>
        <w:rPr>
          <w:sz w:val="20"/>
          <w:szCs w:val="20"/>
          <w:color w:val="auto"/>
        </w:rPr>
      </w:pPr>
      <w:r>
        <w:rPr>
          <w:rFonts w:ascii="Times New Roman" w:cs="Times New Roman" w:eastAsia="Times New Roman" w:hAnsi="Times New Roman"/>
          <w:sz w:val="18"/>
          <w:szCs w:val="18"/>
          <w:color w:val="auto"/>
        </w:rPr>
        <w:t>In 2021, we shifted away from granting stock options as we had in previous years, to granting restricted stock. The majority of our restricted stock grants were made as part of our annual compensation award process and vest ratably over a three-year period, subject to continued service. Restricted stock has also been granted to certain executives that vest in part subject to continued service ratably over a three or five-year period and in part based upon the attainment of performance and market conditions. The fair value of the service-vesting awards is measured based on the fair value of the underlying common stock on the date of the grant. The fair value of restricted stock with vesting conditions dependent upon market performance is determined using a Monte Carlo simulation. Share-based compensation expense is recognized on a straight-line basis over the service period or over our best estimate of the period over which the performance condition will be met, as applicable.</w:t>
      </w:r>
    </w:p>
    <w:p>
      <w:pPr>
        <w:spacing w:after="0" w:line="216" w:lineRule="exact"/>
        <w:rPr>
          <w:sz w:val="20"/>
          <w:szCs w:val="20"/>
          <w:color w:val="auto"/>
        </w:rPr>
      </w:pPr>
    </w:p>
    <w:p>
      <w:pPr>
        <w:ind w:right="380" w:firstLine="486"/>
        <w:spacing w:after="0" w:line="266" w:lineRule="auto"/>
        <w:rPr>
          <w:sz w:val="20"/>
          <w:szCs w:val="20"/>
          <w:color w:val="auto"/>
        </w:rPr>
      </w:pPr>
      <w:r>
        <w:rPr>
          <w:rFonts w:ascii="Times New Roman" w:cs="Times New Roman" w:eastAsia="Times New Roman" w:hAnsi="Times New Roman"/>
          <w:sz w:val="18"/>
          <w:szCs w:val="18"/>
          <w:color w:val="auto"/>
        </w:rPr>
        <w:t>Certain non-executive board members elected to receive a portion of their annual compensation in the form of restricted stock. The fair value of these service-vesting awards is measured based on the fair value of the underlying common stock on the date of grant, and share-based compensation expense is recognized on a straight-line basis over the one-year service period.</w:t>
      </w:r>
    </w:p>
    <w:p>
      <w:pPr>
        <w:spacing w:after="0" w:line="203" w:lineRule="exact"/>
        <w:rPr>
          <w:sz w:val="20"/>
          <w:szCs w:val="20"/>
          <w:color w:val="auto"/>
        </w:rPr>
      </w:pPr>
    </w:p>
    <w:p>
      <w:pPr>
        <w:ind w:right="140" w:firstLine="486"/>
        <w:spacing w:after="0" w:line="266" w:lineRule="auto"/>
        <w:rPr>
          <w:sz w:val="20"/>
          <w:szCs w:val="20"/>
          <w:color w:val="auto"/>
        </w:rPr>
      </w:pPr>
      <w:r>
        <w:rPr>
          <w:rFonts w:ascii="Times New Roman" w:cs="Times New Roman" w:eastAsia="Times New Roman" w:hAnsi="Times New Roman"/>
          <w:sz w:val="18"/>
          <w:szCs w:val="18"/>
          <w:color w:val="auto"/>
        </w:rPr>
        <w:t>During 2022, 2023 and 2024, we granted 11.1 million, 28.5 million and 10.1 million RSUs, respectively, under the 2020 Incentive Plan with a weighted average grant date fair value of $8.68, $2.17 and $1.89, respectively. The majority of the RSUs were granted as part of our annual compensation award process and vest ratable over a three-year period, subject to continued service.</w:t>
      </w:r>
    </w:p>
    <w:p>
      <w:pPr>
        <w:spacing w:after="0" w:line="203" w:lineRule="exact"/>
        <w:rPr>
          <w:sz w:val="20"/>
          <w:szCs w:val="20"/>
          <w:color w:val="auto"/>
        </w:rPr>
      </w:pPr>
    </w:p>
    <w:p>
      <w:pPr>
        <w:ind w:right="180" w:firstLine="486"/>
        <w:spacing w:after="0" w:line="258" w:lineRule="auto"/>
        <w:rPr>
          <w:sz w:val="20"/>
          <w:szCs w:val="20"/>
          <w:color w:val="auto"/>
        </w:rPr>
      </w:pPr>
      <w:r>
        <w:rPr>
          <w:rFonts w:ascii="Times New Roman" w:cs="Times New Roman" w:eastAsia="Times New Roman" w:hAnsi="Times New Roman"/>
          <w:sz w:val="18"/>
          <w:szCs w:val="18"/>
          <w:color w:val="auto"/>
        </w:rPr>
        <w:t>In addition, during 2022, 2023 and 2024, 2.6 million, 2.8 million and 0.6 million PSUs, respectively, were granted under the 2020 Incentive Plan. The PSUs represent the target amount of grants, and the actual number of shares awarded upon vesting may vary depending upon the achievement of the relevant market condition which is based on Rackspace’s Total Shareholder Return (“TSR”) relative to the TSR of a comparator group of IT and Cloud Services Companies. The awards are eligible to vest in equal annual installments over three years based on the attainment of the market condition and the employee’s continued service through the end of the applicable measurement period and were valued using a Monte Carlo simulation.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- 138 -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380" w:firstLine="486"/>
        <w:spacing w:after="0" w:line="261" w:lineRule="auto"/>
        <w:rPr>
          <w:sz w:val="20"/>
          <w:szCs w:val="20"/>
          <w:color w:val="auto"/>
        </w:rPr>
      </w:pPr>
      <w:r>
        <w:rPr>
          <w:rFonts w:ascii="Times New Roman" w:cs="Times New Roman" w:eastAsia="Times New Roman" w:hAnsi="Times New Roman"/>
          <w:sz w:val="18"/>
          <w:szCs w:val="18"/>
          <w:color w:val="auto"/>
        </w:rPr>
        <w:t>Lastly, during 2023 and 2024, 5.5 million and 32.1 million long-term incentive cash units (“LTIC units”) were granted under the 2020 Incentive Plan. The LTIC units represent the target amount of grants, and the actual number of units awarded upon vesting may vary depending upon the achievement of the relevant market condition which is based on Rackspace’s TSR relative to the TSR of a comparator group of IT and Cloud Services Companies for LTIC units granted in 2023 and on the performance of our common stock for LTIC units granted in 2024.</w:t>
      </w:r>
    </w:p>
    <w:p>
      <w:pPr>
        <w:spacing w:after="0" w:line="207" w:lineRule="exact"/>
        <w:rPr>
          <w:sz w:val="20"/>
          <w:szCs w:val="20"/>
          <w:color w:val="auto"/>
        </w:rPr>
      </w:pPr>
    </w:p>
    <w:p>
      <w:pPr>
        <w:ind w:right="80" w:firstLine="486"/>
        <w:spacing w:after="0" w:line="258" w:lineRule="auto"/>
        <w:rPr>
          <w:sz w:val="20"/>
          <w:szCs w:val="20"/>
          <w:color w:val="auto"/>
        </w:rPr>
      </w:pPr>
      <w:r>
        <w:rPr>
          <w:rFonts w:ascii="Times New Roman" w:cs="Times New Roman" w:eastAsia="Times New Roman" w:hAnsi="Times New Roman"/>
          <w:sz w:val="18"/>
          <w:szCs w:val="18"/>
          <w:color w:val="auto"/>
        </w:rPr>
        <w:t>The awards are eligible to vest in equal annual installments over three years based on the attainment of the market condition and the employee’s continued service through the end of the applicable measurement period and were valued using a Monte Carlo simulation. As of December 31, 2024, the remaining outstanding LTIC units granted in 2023 and 2024 had a weighted average fair value of $0.49 and $1.04, respectively. As the company intends to settle the LTIC units in cash, they are classified as a liability within "Other current liabilities" and "Other non-current liabilities" in the Consolidated Balance Sheets.</w:t>
      </w:r>
    </w:p>
    <w:p>
      <w:pPr>
        <w:spacing w:after="0" w:line="21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the assumptions used to estimate the fair values of the PSUs granted in the periods presented:</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020" w:type="dxa"/>
            <w:vAlign w:val="bottom"/>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680" w:type="dxa"/>
            <w:vAlign w:val="bottom"/>
            <w:tcBorders>
              <w:bottom w:val="single" w:sz="8" w:color="auto"/>
            </w:tcBorders>
          </w:tcPr>
          <w:p>
            <w:pPr>
              <w:spacing w:after="0"/>
              <w:rPr>
                <w:sz w:val="18"/>
                <w:szCs w:val="18"/>
                <w:color w:val="auto"/>
              </w:rPr>
            </w:pPr>
          </w:p>
        </w:tc>
      </w:tr>
      <w:tr>
        <w:trPr>
          <w:trHeight w:val="211"/>
        </w:trPr>
        <w:tc>
          <w:tcPr>
            <w:tcW w:w="6020" w:type="dxa"/>
            <w:vAlign w:val="bottom"/>
          </w:tcPr>
          <w:p>
            <w:pPr>
              <w:spacing w:after="0"/>
              <w:rPr>
                <w:sz w:val="18"/>
                <w:szCs w:val="18"/>
                <w:color w:val="auto"/>
              </w:rPr>
            </w:pPr>
          </w:p>
        </w:tc>
        <w:tc>
          <w:tcPr>
            <w:tcW w:w="1680" w:type="dxa"/>
            <w:vAlign w:val="bottom"/>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780" w:type="dxa"/>
            <w:vAlign w:val="bottom"/>
            <w:gridSpan w:val="2"/>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Pr>
          <w:p>
            <w:pPr>
              <w:spacing w:after="0"/>
              <w:rPr>
                <w:sz w:val="18"/>
                <w:szCs w:val="18"/>
                <w:color w:val="auto"/>
              </w:rPr>
            </w:pPr>
          </w:p>
        </w:tc>
        <w:tc>
          <w:tcPr>
            <w:tcW w:w="1680" w:type="dxa"/>
            <w:vAlign w:val="bottom"/>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1"/>
        </w:trPr>
        <w:tc>
          <w:tcPr>
            <w:tcW w:w="6020" w:type="dxa"/>
            <w:vAlign w:val="bottom"/>
            <w:tcBorders>
              <w:top w:val="single" w:sz="8" w:color="CCEEFF"/>
            </w:tcBorders>
            <w:shd w:val="clear" w:color="auto" w:fill="CCEEFF"/>
          </w:tcPr>
          <w:p>
            <w:pPr>
              <w:ind w:left="20"/>
              <w:spacing w:after="0" w:line="212" w:lineRule="exact"/>
              <w:rPr>
                <w:sz w:val="20"/>
                <w:szCs w:val="20"/>
                <w:color w:val="auto"/>
              </w:rPr>
            </w:pPr>
            <w:r>
              <w:rPr>
                <w:rFonts w:ascii="Times New Roman" w:cs="Times New Roman" w:eastAsia="Times New Roman" w:hAnsi="Times New Roman"/>
                <w:sz w:val="16"/>
                <w:szCs w:val="16"/>
                <w:color w:val="auto"/>
              </w:rPr>
              <w:t xml:space="preserve">Expected stock volatility </w:t>
            </w:r>
            <w:r>
              <w:rPr>
                <w:rFonts w:ascii="Times New Roman" w:cs="Times New Roman" w:eastAsia="Times New Roman" w:hAnsi="Times New Roman"/>
                <w:sz w:val="21"/>
                <w:szCs w:val="21"/>
                <w:color w:val="auto"/>
                <w:vertAlign w:val="superscript"/>
              </w:rPr>
              <w:t>(1)</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 - 63%</w:t>
            </w:r>
          </w:p>
        </w:tc>
        <w:tc>
          <w:tcPr>
            <w:tcW w:w="10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 - 72%</w:t>
            </w:r>
          </w:p>
        </w:tc>
        <w:tc>
          <w:tcPr>
            <w:tcW w:w="8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w:t>
            </w:r>
          </w:p>
        </w:tc>
      </w:tr>
      <w:tr>
        <w:trPr>
          <w:trHeight w:val="216"/>
        </w:trPr>
        <w:tc>
          <w:tcPr>
            <w:tcW w:w="602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Expected dividend yield </w:t>
            </w:r>
            <w:r>
              <w:rPr>
                <w:rFonts w:ascii="Times New Roman" w:cs="Times New Roman" w:eastAsia="Times New Roman" w:hAnsi="Times New Roman"/>
                <w:sz w:val="21"/>
                <w:szCs w:val="21"/>
                <w:color w:val="auto"/>
                <w:vertAlign w:val="superscript"/>
              </w:rPr>
              <w:t>(2)</w:t>
            </w: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0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 %</w:t>
            </w: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16"/>
        </w:trPr>
        <w:tc>
          <w:tcPr>
            <w:tcW w:w="6020" w:type="dxa"/>
            <w:vAlign w:val="bottom"/>
            <w:shd w:val="clear" w:color="auto" w:fill="CCEEFF"/>
          </w:tcPr>
          <w:p>
            <w:pPr>
              <w:ind w:left="40"/>
              <w:spacing w:after="0" w:line="216" w:lineRule="exact"/>
              <w:rPr>
                <w:sz w:val="20"/>
                <w:szCs w:val="20"/>
                <w:color w:val="auto"/>
              </w:rPr>
            </w:pPr>
            <w:r>
              <w:rPr>
                <w:rFonts w:ascii="Times New Roman" w:cs="Times New Roman" w:eastAsia="Times New Roman" w:hAnsi="Times New Roman"/>
                <w:sz w:val="16"/>
                <w:szCs w:val="16"/>
                <w:color w:val="auto"/>
              </w:rPr>
              <w:t xml:space="preserve">Risk-free interest rate </w:t>
            </w:r>
            <w:r>
              <w:rPr>
                <w:rFonts w:ascii="Times New Roman" w:cs="Times New Roman" w:eastAsia="Times New Roman" w:hAnsi="Times New Roman"/>
                <w:sz w:val="21"/>
                <w:szCs w:val="21"/>
                <w:color w:val="auto"/>
                <w:vertAlign w:val="superscript"/>
              </w:rPr>
              <w:t>(3)</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 - 4.34%</w:t>
            </w:r>
          </w:p>
        </w:tc>
        <w:tc>
          <w:tcPr>
            <w:tcW w:w="1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 - 3.78%</w:t>
            </w:r>
          </w:p>
        </w:tc>
        <w:tc>
          <w:tcPr>
            <w:tcW w:w="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w:t>
            </w:r>
          </w:p>
        </w:tc>
      </w:tr>
    </w:tbl>
    <w:p>
      <w:pPr>
        <w:spacing w:after="0" w:line="81" w:lineRule="exact"/>
        <w:rPr>
          <w:sz w:val="20"/>
          <w:szCs w:val="20"/>
          <w:color w:val="auto"/>
        </w:rPr>
      </w:pPr>
    </w:p>
    <w:p>
      <w:pPr>
        <w:ind w:left="360" w:hanging="352"/>
        <w:spacing w:after="0"/>
        <w:tabs>
          <w:tab w:leader="none" w:pos="36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Management estimates volatility based on the historical trading volatility of a public company peer group and the implied volatility of our assets and current leverage.</w:t>
      </w:r>
    </w:p>
    <w:p>
      <w:pPr>
        <w:spacing w:after="0" w:line="23" w:lineRule="exact"/>
        <w:rPr>
          <w:rFonts w:ascii="Times New Roman" w:cs="Times New Roman" w:eastAsia="Times New Roman" w:hAnsi="Times New Roman"/>
          <w:sz w:val="16"/>
          <w:szCs w:val="16"/>
          <w:color w:val="auto"/>
        </w:rPr>
      </w:pPr>
    </w:p>
    <w:p>
      <w:pPr>
        <w:ind w:left="360" w:hanging="352"/>
        <w:spacing w:after="0"/>
        <w:tabs>
          <w:tab w:leader="none" w:pos="36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have not issued dividends to date and do not anticipate issuing dividends.</w:t>
      </w:r>
    </w:p>
    <w:p>
      <w:pPr>
        <w:spacing w:after="0" w:line="5" w:lineRule="exact"/>
        <w:rPr>
          <w:rFonts w:ascii="Times New Roman" w:cs="Times New Roman" w:eastAsia="Times New Roman" w:hAnsi="Times New Roman"/>
          <w:sz w:val="16"/>
          <w:szCs w:val="16"/>
          <w:color w:val="auto"/>
        </w:rPr>
      </w:pPr>
    </w:p>
    <w:p>
      <w:pPr>
        <w:ind w:left="360" w:hanging="352"/>
        <w:spacing w:after="0"/>
        <w:tabs>
          <w:tab w:leader="none" w:pos="36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the implied yield currently available on U.S. Treasury zero-coupon issues with an equivalent expected term.</w:t>
      </w:r>
    </w:p>
    <w:p>
      <w:pPr>
        <w:spacing w:after="0" w:line="23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our restricted stock activity for the year ended December 31, 2024:</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20" w:type="dxa"/>
            <w:vAlign w:val="bottom"/>
          </w:tcPr>
          <w:p>
            <w:pPr>
              <w:spacing w:after="0"/>
              <w:rPr>
                <w:sz w:val="16"/>
                <w:szCs w:val="16"/>
                <w:color w:val="auto"/>
              </w:rPr>
            </w:pPr>
          </w:p>
        </w:tc>
        <w:tc>
          <w:tcPr>
            <w:tcW w:w="156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Number of Units or</w:t>
            </w:r>
          </w:p>
        </w:tc>
        <w:tc>
          <w:tcPr>
            <w:tcW w:w="100" w:type="dxa"/>
            <w:vAlign w:val="bottom"/>
          </w:tcPr>
          <w:p>
            <w:pPr>
              <w:spacing w:after="0"/>
              <w:rPr>
                <w:sz w:val="16"/>
                <w:szCs w:val="16"/>
                <w:color w:val="auto"/>
              </w:rPr>
            </w:pPr>
          </w:p>
        </w:tc>
        <w:tc>
          <w:tcPr>
            <w:tcW w:w="136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0" w:type="dxa"/>
            <w:vAlign w:val="bottom"/>
          </w:tcPr>
          <w:p>
            <w:pPr>
              <w:spacing w:after="0"/>
              <w:rPr>
                <w:sz w:val="1"/>
                <w:szCs w:val="1"/>
                <w:color w:val="auto"/>
              </w:rPr>
            </w:pPr>
          </w:p>
        </w:tc>
      </w:tr>
      <w:tr>
        <w:trPr>
          <w:trHeight w:val="162"/>
        </w:trPr>
        <w:tc>
          <w:tcPr>
            <w:tcW w:w="822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jc w:val="center"/>
              <w:ind w:right="19"/>
              <w:spacing w:after="0" w:line="162" w:lineRule="exact"/>
              <w:rPr>
                <w:sz w:val="20"/>
                <w:szCs w:val="20"/>
                <w:color w:val="auto"/>
              </w:rPr>
            </w:pPr>
            <w:r>
              <w:rPr>
                <w:rFonts w:ascii="Times New Roman" w:cs="Times New Roman" w:eastAsia="Times New Roman" w:hAnsi="Times New Roman"/>
                <w:sz w:val="16"/>
                <w:szCs w:val="16"/>
                <w:b w:val="1"/>
                <w:bCs w:val="1"/>
                <w:color w:val="auto"/>
              </w:rPr>
              <w:t>Grant-Date Fair</w:t>
            </w:r>
          </w:p>
        </w:tc>
        <w:tc>
          <w:tcPr>
            <w:tcW w:w="0" w:type="dxa"/>
            <w:vAlign w:val="bottom"/>
          </w:tcPr>
          <w:p>
            <w:pPr>
              <w:spacing w:after="0"/>
              <w:rPr>
                <w:sz w:val="1"/>
                <w:szCs w:val="1"/>
                <w:color w:val="auto"/>
              </w:rPr>
            </w:pPr>
          </w:p>
        </w:tc>
      </w:tr>
      <w:tr>
        <w:trPr>
          <w:trHeight w:val="214"/>
        </w:trPr>
        <w:tc>
          <w:tcPr>
            <w:tcW w:w="82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Shares (in millions)</w:t>
            </w:r>
          </w:p>
        </w:tc>
        <w:tc>
          <w:tcPr>
            <w:tcW w:w="100" w:type="dxa"/>
            <w:vAlign w:val="bottom"/>
          </w:tcPr>
          <w:p>
            <w:pPr>
              <w:spacing w:after="0"/>
              <w:rPr>
                <w:sz w:val="18"/>
                <w:szCs w:val="18"/>
                <w:color w:val="auto"/>
              </w:rPr>
            </w:pPr>
          </w:p>
        </w:tc>
        <w:tc>
          <w:tcPr>
            <w:tcW w:w="136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0" w:type="dxa"/>
            <w:vAlign w:val="bottom"/>
          </w:tcPr>
          <w:p>
            <w:pPr>
              <w:spacing w:after="0"/>
              <w:rPr>
                <w:sz w:val="1"/>
                <w:szCs w:val="1"/>
                <w:color w:val="auto"/>
              </w:rPr>
            </w:pPr>
          </w:p>
        </w:tc>
      </w:tr>
      <w:tr>
        <w:trPr>
          <w:trHeight w:val="211"/>
        </w:trPr>
        <w:tc>
          <w:tcPr>
            <w:tcW w:w="8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at December 31, 2023</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w:t>
            </w:r>
          </w:p>
        </w:tc>
        <w:tc>
          <w:tcPr>
            <w:tcW w:w="0" w:type="dxa"/>
            <w:vAlign w:val="bottom"/>
          </w:tcPr>
          <w:p>
            <w:pPr>
              <w:spacing w:after="0"/>
              <w:rPr>
                <w:sz w:val="1"/>
                <w:szCs w:val="1"/>
                <w:color w:val="auto"/>
              </w:rPr>
            </w:pPr>
          </w:p>
        </w:tc>
      </w:tr>
      <w:tr>
        <w:trPr>
          <w:trHeight w:val="207"/>
        </w:trPr>
        <w:tc>
          <w:tcPr>
            <w:tcW w:w="82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Granted</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Released</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w:t>
            </w:r>
          </w:p>
        </w:tc>
        <w:tc>
          <w:tcPr>
            <w:tcW w:w="0" w:type="dxa"/>
            <w:vAlign w:val="bottom"/>
          </w:tcPr>
          <w:p>
            <w:pPr>
              <w:spacing w:after="0"/>
              <w:rPr>
                <w:sz w:val="1"/>
                <w:szCs w:val="1"/>
                <w:color w:val="auto"/>
              </w:rPr>
            </w:pPr>
          </w:p>
        </w:tc>
      </w:tr>
      <w:tr>
        <w:trPr>
          <w:trHeight w:val="213"/>
        </w:trPr>
        <w:tc>
          <w:tcPr>
            <w:tcW w:w="82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Cancelled</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2.83</w:t>
            </w:r>
          </w:p>
        </w:tc>
        <w:tc>
          <w:tcPr>
            <w:tcW w:w="0" w:type="dxa"/>
            <w:vAlign w:val="bottom"/>
          </w:tcPr>
          <w:p>
            <w:pPr>
              <w:spacing w:after="0"/>
              <w:rPr>
                <w:sz w:val="1"/>
                <w:szCs w:val="1"/>
                <w:color w:val="auto"/>
              </w:rPr>
            </w:pPr>
          </w:p>
        </w:tc>
      </w:tr>
      <w:tr>
        <w:trPr>
          <w:trHeight w:val="237"/>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at December 31, 2024</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220" w:type="dxa"/>
            <w:vAlign w:val="bottom"/>
          </w:tcPr>
          <w:p>
            <w:pPr>
              <w:ind w:left="20"/>
              <w:spacing w:after="0" w:line="190" w:lineRule="exact"/>
              <w:rPr>
                <w:sz w:val="20"/>
                <w:szCs w:val="20"/>
                <w:color w:val="auto"/>
              </w:rPr>
            </w:pPr>
            <w:r>
              <w:rPr>
                <w:rFonts w:ascii="Times New Roman" w:cs="Times New Roman" w:eastAsia="Times New Roman" w:hAnsi="Times New Roman"/>
                <w:sz w:val="16"/>
                <w:szCs w:val="16"/>
                <w:color w:val="auto"/>
              </w:rPr>
              <w:t xml:space="preserve">Expected to vest after at December 31, 2024 </w:t>
            </w:r>
            <w:r>
              <w:rPr>
                <w:rFonts w:ascii="Times New Roman" w:cs="Times New Roman" w:eastAsia="Times New Roman" w:hAnsi="Times New Roman"/>
                <w:sz w:val="21"/>
                <w:szCs w:val="21"/>
                <w:color w:val="auto"/>
                <w:vertAlign w:val="superscript"/>
              </w:rPr>
              <w:t>(1)</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25.3</w:t>
            </w:r>
          </w:p>
        </w:tc>
        <w:tc>
          <w:tcPr>
            <w:tcW w:w="10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2.77</w:t>
            </w:r>
          </w:p>
        </w:tc>
        <w:tc>
          <w:tcPr>
            <w:tcW w:w="0" w:type="dxa"/>
            <w:vAlign w:val="bottom"/>
          </w:tcPr>
          <w:p>
            <w:pPr>
              <w:spacing w:after="0"/>
              <w:rPr>
                <w:sz w:val="1"/>
                <w:szCs w:val="1"/>
                <w:color w:val="auto"/>
              </w:rPr>
            </w:pPr>
          </w:p>
        </w:tc>
      </w:tr>
      <w:tr>
        <w:trPr>
          <w:trHeight w:val="20"/>
        </w:trPr>
        <w:tc>
          <w:tcPr>
            <w:tcW w:w="82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(1)   Forfeitures are recognized as they occur, rather than estimated.</w:t>
            </w: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1"/>
        </w:trPr>
        <w:tc>
          <w:tcPr>
            <w:tcW w:w="8220" w:type="dxa"/>
            <w:vAlign w:val="bottom"/>
            <w:vMerge w:val="continue"/>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31" w:lineRule="exact"/>
        <w:rPr>
          <w:sz w:val="20"/>
          <w:szCs w:val="20"/>
          <w:color w:val="auto"/>
        </w:rPr>
      </w:pPr>
    </w:p>
    <w:p>
      <w:pPr>
        <w:jc w:val="both"/>
        <w:ind w:right="300" w:firstLine="486"/>
        <w:spacing w:after="0" w:line="282" w:lineRule="auto"/>
        <w:rPr>
          <w:sz w:val="20"/>
          <w:szCs w:val="20"/>
          <w:color w:val="auto"/>
        </w:rPr>
      </w:pPr>
      <w:r>
        <w:rPr>
          <w:rFonts w:ascii="Times New Roman" w:cs="Times New Roman" w:eastAsia="Times New Roman" w:hAnsi="Times New Roman"/>
          <w:sz w:val="18"/>
          <w:szCs w:val="18"/>
          <w:color w:val="auto"/>
        </w:rPr>
        <w:t>The weighted-average grant-date fair value of restricted stock granted during the years ended December 31, 2022 and 2023 was $8.70 and $2.15, respectively.</w:t>
      </w:r>
    </w:p>
    <w:p>
      <w:pPr>
        <w:spacing w:after="0" w:line="189" w:lineRule="exact"/>
        <w:rPr>
          <w:sz w:val="20"/>
          <w:szCs w:val="20"/>
          <w:color w:val="auto"/>
        </w:rPr>
      </w:pPr>
    </w:p>
    <w:p>
      <w:pPr>
        <w:ind w:right="200" w:firstLine="486"/>
        <w:spacing w:after="0" w:line="282" w:lineRule="auto"/>
        <w:rPr>
          <w:sz w:val="20"/>
          <w:szCs w:val="20"/>
          <w:color w:val="auto"/>
        </w:rPr>
      </w:pPr>
      <w:r>
        <w:rPr>
          <w:rFonts w:ascii="Times New Roman" w:cs="Times New Roman" w:eastAsia="Times New Roman" w:hAnsi="Times New Roman"/>
          <w:sz w:val="18"/>
          <w:szCs w:val="18"/>
          <w:color w:val="auto"/>
        </w:rPr>
        <w:t>The total pre-tax intrinsic value of the restricted stock released during the years ended December 31, 2022, 2023 and 2024 was $30.7 million, $9.5 million and $26.9 million, respectively.</w:t>
      </w:r>
    </w:p>
    <w:p>
      <w:pPr>
        <w:spacing w:after="0" w:line="189" w:lineRule="exact"/>
        <w:rPr>
          <w:sz w:val="20"/>
          <w:szCs w:val="20"/>
          <w:color w:val="auto"/>
        </w:rPr>
      </w:pPr>
    </w:p>
    <w:p>
      <w:pPr>
        <w:jc w:val="both"/>
        <w:ind w:right="320" w:firstLine="486"/>
        <w:spacing w:after="0" w:line="266" w:lineRule="auto"/>
        <w:rPr>
          <w:sz w:val="20"/>
          <w:szCs w:val="20"/>
          <w:color w:val="auto"/>
        </w:rPr>
      </w:pPr>
      <w:r>
        <w:rPr>
          <w:rFonts w:ascii="Times New Roman" w:cs="Times New Roman" w:eastAsia="Times New Roman" w:hAnsi="Times New Roman"/>
          <w:sz w:val="18"/>
          <w:szCs w:val="18"/>
          <w:color w:val="auto"/>
        </w:rPr>
        <w:t>Share-based compensation expense is recognized over the awards requisite service period or over our best estimate of the period over which the performance condition will be met, as applicable. As of December 31, 2024, there was $36.0 million of total unrecognized compensation cost related to restricted stock, which will be recognized over a weighted average period of 1.4 years.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- 139 -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256" w:lineRule="exact"/>
        <w:rPr>
          <w:sz w:val="20"/>
          <w:szCs w:val="20"/>
          <w:color w:val="auto"/>
        </w:rPr>
      </w:pPr>
    </w:p>
    <w:p>
      <w:pPr>
        <w:ind w:right="80" w:firstLine="486"/>
        <w:spacing w:after="0" w:line="255" w:lineRule="auto"/>
        <w:rPr>
          <w:sz w:val="20"/>
          <w:szCs w:val="20"/>
          <w:color w:val="auto"/>
        </w:rPr>
      </w:pPr>
      <w:r>
        <w:rPr>
          <w:rFonts w:ascii="Times New Roman" w:cs="Times New Roman" w:eastAsia="Times New Roman" w:hAnsi="Times New Roman"/>
          <w:sz w:val="18"/>
          <w:szCs w:val="18"/>
          <w:color w:val="auto"/>
        </w:rPr>
        <w:t>The ESPP was approved by the Board on July 24, 2020 and became effective on August 7, 2020. Under the ESPP, eligible employees may purchase a limited number of shares of our common stock at the lesser of 85% of the market value on the enrollment date or 85% of the market value on the purchase date. The fair value on each enrollment date is determined using the Black-Scholes option-pricing model. Share-based compensation expense is recognized on a straight-line basis over the offering period. We issued 0.8 million, 0.7 million and 0.6 million shares through the ESPP during the years ended December 31, 2022, 2023 and 2024, respectively. The share-based compensation expense recognized for the ESPP was $1.9 million, $0.9 million and $0.8 million for the years ended December 31, 2022, 2023 and 2024, respectively. As of December 31, 2024, there was no material unrecognized compensation cost related to the ESPP. The shares available for issuance under the ESPP is 8.3 million shares as of December 31, 2024.</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 Expense</w:t>
      </w:r>
    </w:p>
    <w:p>
      <w:pPr>
        <w:spacing w:after="0" w:line="256" w:lineRule="exact"/>
        <w:rPr>
          <w:sz w:val="20"/>
          <w:szCs w:val="20"/>
          <w:color w:val="auto"/>
        </w:rPr>
      </w:pPr>
    </w:p>
    <w:p>
      <w:pPr>
        <w:ind w:right="60" w:firstLine="486"/>
        <w:spacing w:after="0" w:line="261" w:lineRule="auto"/>
        <w:rPr>
          <w:sz w:val="20"/>
          <w:szCs w:val="20"/>
          <w:color w:val="auto"/>
        </w:rPr>
      </w:pPr>
      <w:r>
        <w:rPr>
          <w:rFonts w:ascii="Times New Roman" w:cs="Times New Roman" w:eastAsia="Times New Roman" w:hAnsi="Times New Roman"/>
          <w:sz w:val="18"/>
          <w:szCs w:val="18"/>
          <w:color w:val="auto"/>
        </w:rPr>
        <w:t>In connection with the departure of certain executives during the years ended December 31, 2022 and 2023, we accelerated vesting of options and restricted stock for awards with service-only vesting conditions and extended the post termination option exercise period. These modifications resulted in a reduction in expense of $2.0 million and $0.6 million during the years ended December 31, 2022 and 2023, respectively. There were no modifications during the year ended December 31, 2024.</w:t>
      </w:r>
    </w:p>
    <w:p>
      <w:pPr>
        <w:spacing w:after="0" w:line="20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Total share-based compensation expense is comprised of the following equity and liability classified award amounts: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2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r>
      <w:tr>
        <w:trPr>
          <w:trHeight w:val="211"/>
        </w:trPr>
        <w:tc>
          <w:tcPr>
            <w:tcW w:w="6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2022</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1"/>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 classified awards</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69.5</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64.6</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48.1</w:t>
            </w:r>
          </w:p>
        </w:tc>
      </w:tr>
      <w:tr>
        <w:trPr>
          <w:trHeight w:val="213"/>
        </w:trPr>
        <w:tc>
          <w:tcPr>
            <w:tcW w:w="6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Liability classified awards</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w:t>
            </w:r>
          </w:p>
        </w:tc>
      </w:tr>
      <w:tr>
        <w:trPr>
          <w:trHeight w:val="237"/>
        </w:trPr>
        <w:tc>
          <w:tcPr>
            <w:tcW w:w="62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share-based compensation expense</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69.5</w:t>
            </w:r>
          </w:p>
        </w:tc>
        <w:tc>
          <w:tcPr>
            <w:tcW w:w="4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65.4</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63.4</w:t>
            </w: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Share-based compensation expense recognized was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2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r>
      <w:tr>
        <w:trPr>
          <w:trHeight w:val="211"/>
        </w:trPr>
        <w:tc>
          <w:tcPr>
            <w:tcW w:w="6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1"/>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center"/>
              <w:ind w:left="739"/>
              <w:spacing w:after="0"/>
              <w:rPr>
                <w:sz w:val="20"/>
                <w:szCs w:val="20"/>
                <w:color w:val="auto"/>
              </w:rPr>
            </w:pPr>
            <w:r>
              <w:rPr>
                <w:rFonts w:ascii="Times New Roman" w:cs="Times New Roman" w:eastAsia="Times New Roman" w:hAnsi="Times New Roman"/>
                <w:sz w:val="16"/>
                <w:szCs w:val="16"/>
                <w:color w:val="auto"/>
                <w:w w:val="99"/>
              </w:rPr>
              <w:t>11.6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w:t>
            </w:r>
          </w:p>
        </w:tc>
      </w:tr>
      <w:tr>
        <w:trPr>
          <w:trHeight w:val="213"/>
        </w:trPr>
        <w:tc>
          <w:tcPr>
            <w:tcW w:w="6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left="739"/>
              <w:spacing w:after="0"/>
              <w:rPr>
                <w:sz w:val="20"/>
                <w:szCs w:val="20"/>
                <w:color w:val="auto"/>
              </w:rPr>
            </w:pPr>
            <w:r>
              <w:rPr>
                <w:rFonts w:ascii="Times New Roman" w:cs="Times New Roman" w:eastAsia="Times New Roman" w:hAnsi="Times New Roman"/>
                <w:sz w:val="16"/>
                <w:szCs w:val="16"/>
                <w:color w:val="auto"/>
                <w:w w:val="99"/>
              </w:rPr>
              <w:t>57.9</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56.3</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55.8</w:t>
            </w:r>
          </w:p>
        </w:tc>
      </w:tr>
      <w:tr>
        <w:trPr>
          <w:trHeight w:val="212"/>
        </w:trPr>
        <w:tc>
          <w:tcPr>
            <w:tcW w:w="6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Pre-tax share-based compensation expense</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center"/>
              <w:ind w:left="739"/>
              <w:spacing w:after="0"/>
              <w:rPr>
                <w:sz w:val="20"/>
                <w:szCs w:val="20"/>
                <w:color w:val="auto"/>
              </w:rPr>
            </w:pPr>
            <w:r>
              <w:rPr>
                <w:rFonts w:ascii="Times New Roman" w:cs="Times New Roman" w:eastAsia="Times New Roman" w:hAnsi="Times New Roman"/>
                <w:sz w:val="16"/>
                <w:szCs w:val="16"/>
                <w:color w:val="auto"/>
                <w:w w:val="99"/>
              </w:rPr>
              <w:t>69.5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65.4</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63.4</w:t>
            </w:r>
          </w:p>
        </w:tc>
      </w:tr>
      <w:tr>
        <w:trPr>
          <w:trHeight w:val="213"/>
        </w:trPr>
        <w:tc>
          <w:tcPr>
            <w:tcW w:w="62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Less: Income tax benefit</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left="719"/>
              <w:spacing w:after="0"/>
              <w:rPr>
                <w:sz w:val="20"/>
                <w:szCs w:val="20"/>
                <w:color w:val="auto"/>
              </w:rPr>
            </w:pPr>
            <w:r>
              <w:rPr>
                <w:rFonts w:ascii="Times New Roman" w:cs="Times New Roman" w:eastAsia="Times New Roman" w:hAnsi="Times New Roman"/>
                <w:sz w:val="16"/>
                <w:szCs w:val="16"/>
                <w:color w:val="auto"/>
                <w:w w:val="98"/>
              </w:rPr>
              <w:t>(14.6)</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w:t>
            </w:r>
          </w:p>
        </w:tc>
      </w:tr>
      <w:tr>
        <w:trPr>
          <w:trHeight w:val="237"/>
        </w:trPr>
        <w:tc>
          <w:tcPr>
            <w:tcW w:w="62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share-based compensation expense, net of tax</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center"/>
              <w:ind w:left="739"/>
              <w:spacing w:after="0"/>
              <w:rPr>
                <w:sz w:val="20"/>
                <w:szCs w:val="20"/>
                <w:color w:val="auto"/>
              </w:rPr>
            </w:pPr>
            <w:r>
              <w:rPr>
                <w:rFonts w:ascii="Times New Roman" w:cs="Times New Roman" w:eastAsia="Times New Roman" w:hAnsi="Times New Roman"/>
                <w:sz w:val="16"/>
                <w:szCs w:val="16"/>
                <w:color w:val="auto"/>
                <w:w w:val="99"/>
              </w:rPr>
              <w:t>54.9</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51.7</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50.1</w:t>
            </w: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Benefit Plans</w:t>
      </w:r>
    </w:p>
    <w:p>
      <w:pPr>
        <w:spacing w:after="0" w:line="25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sponsor defined contribution plans whereby employees may elect to contribute a portion of their annual compensation to the plans, after complying with certain limitations. The plans also include a discretionary employer contribution. Contribution expense recognized for these plans was $15.7 million, $16.3 million and $14.2 million for the years ended December 31, 2022, 2023 and 2024, respectively.</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- 140 -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Taxes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benefit for income taxes consisted of the following:</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2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r>
      <w:tr>
        <w:trPr>
          <w:trHeight w:val="211"/>
        </w:trPr>
        <w:tc>
          <w:tcPr>
            <w:tcW w:w="6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1"/>
        </w:trPr>
        <w:tc>
          <w:tcPr>
            <w:tcW w:w="6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Federal</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r>
      <w:tr>
        <w:trPr>
          <w:trHeight w:val="213"/>
        </w:trPr>
        <w:tc>
          <w:tcPr>
            <w:tcW w:w="6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Foreign</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w:t>
            </w:r>
          </w:p>
        </w:tc>
      </w:tr>
      <w:tr>
        <w:trPr>
          <w:trHeight w:val="219"/>
        </w:trPr>
        <w:tc>
          <w:tcPr>
            <w:tcW w:w="6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State</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r>
      <w:tr>
        <w:trPr>
          <w:trHeight w:val="207"/>
        </w:trPr>
        <w:tc>
          <w:tcPr>
            <w:tcW w:w="62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Total current</w:t>
            </w: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w:t>
            </w:r>
          </w:p>
        </w:tc>
      </w:tr>
      <w:tr>
        <w:trPr>
          <w:trHeight w:val="219"/>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13"/>
        </w:trPr>
        <w:tc>
          <w:tcPr>
            <w:tcW w:w="6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Federal</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(34.3)</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w:t>
            </w:r>
          </w:p>
        </w:tc>
      </w:tr>
      <w:tr>
        <w:trPr>
          <w:trHeight w:val="219"/>
        </w:trPr>
        <w:tc>
          <w:tcPr>
            <w:tcW w:w="6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Foreign</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r>
      <w:tr>
        <w:trPr>
          <w:trHeight w:val="213"/>
        </w:trPr>
        <w:tc>
          <w:tcPr>
            <w:tcW w:w="62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State</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(20.4)</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w:t>
            </w:r>
          </w:p>
        </w:tc>
      </w:tr>
      <w:tr>
        <w:trPr>
          <w:trHeight w:val="212"/>
        </w:trPr>
        <w:tc>
          <w:tcPr>
            <w:tcW w:w="62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Total deferred</w:t>
            </w: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(108.8)</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w:t>
            </w:r>
          </w:p>
        </w:tc>
        <w:tc>
          <w:tcPr>
            <w:tcW w:w="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w:t>
            </w:r>
          </w:p>
        </w:tc>
      </w:tr>
      <w:tr>
        <w:trPr>
          <w:trHeight w:val="210"/>
        </w:trPr>
        <w:tc>
          <w:tcPr>
            <w:tcW w:w="6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benefit for income taxes</w:t>
            </w: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(92.9)</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(23.3)</w:t>
            </w:r>
          </w:p>
        </w:tc>
      </w:tr>
      <w:tr>
        <w:trPr>
          <w:trHeight w:val="20"/>
        </w:trPr>
        <w:tc>
          <w:tcPr>
            <w:tcW w:w="6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Loss before income taxes from U.S. and foreign operations were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2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r>
      <w:tr>
        <w:trPr>
          <w:trHeight w:val="211"/>
        </w:trPr>
        <w:tc>
          <w:tcPr>
            <w:tcW w:w="6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1"/>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(819.6)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(678.4)</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(782.9)</w:t>
            </w:r>
          </w:p>
        </w:tc>
      </w:tr>
      <w:tr>
        <w:trPr>
          <w:trHeight w:val="213"/>
        </w:trPr>
        <w:tc>
          <w:tcPr>
            <w:tcW w:w="6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Foreign</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(78.1)</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(176.0)</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(98.6)</w:t>
            </w:r>
          </w:p>
        </w:tc>
      </w:tr>
      <w:tr>
        <w:trPr>
          <w:trHeight w:val="237"/>
        </w:trPr>
        <w:tc>
          <w:tcPr>
            <w:tcW w:w="62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loss before income taxes</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(897.7)</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(854.4)</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(881.5)</w:t>
            </w: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 reconciliation of the statutory federal tax rate to the effective tax rate is as follows:</w:t>
      </w:r>
    </w:p>
    <w:p>
      <w:pPr>
        <w:spacing w:after="0" w:line="52" w:lineRule="exact"/>
        <w:rPr>
          <w:sz w:val="20"/>
          <w:szCs w:val="20"/>
          <w:color w:val="auto"/>
        </w:rPr>
      </w:pPr>
    </w:p>
    <w:p>
      <w:pPr>
        <w:ind w:left="7720"/>
        <w:spacing w:after="0"/>
        <w:rPr>
          <w:sz w:val="20"/>
          <w:szCs w:val="20"/>
          <w:color w:val="auto"/>
        </w:rPr>
      </w:pPr>
      <w:r>
        <w:rPr>
          <w:rFonts w:ascii="Times New Roman" w:cs="Times New Roman" w:eastAsia="Times New Roman" w:hAnsi="Times New Roman"/>
          <w:sz w:val="16"/>
          <w:szCs w:val="16"/>
          <w:b w:val="1"/>
          <w:bCs w:val="1"/>
          <w:color w:val="auto"/>
        </w:rPr>
        <w:t>Year Ended 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020" w:type="dxa"/>
            <w:vAlign w:val="bottom"/>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1760" w:type="dxa"/>
            <w:vAlign w:val="bottom"/>
            <w:tcBorders>
              <w:top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2023</w:t>
            </w:r>
          </w:p>
        </w:tc>
        <w:tc>
          <w:tcPr>
            <w:tcW w:w="6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1"/>
        </w:trPr>
        <w:tc>
          <w:tcPr>
            <w:tcW w:w="6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Statutory federal tax rate</w:t>
            </w:r>
          </w:p>
        </w:tc>
        <w:tc>
          <w:tcPr>
            <w:tcW w:w="10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21.0 %</w:t>
            </w:r>
          </w:p>
        </w:tc>
        <w:tc>
          <w:tcPr>
            <w:tcW w:w="12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21.0 %</w:t>
            </w:r>
          </w:p>
        </w:tc>
        <w:tc>
          <w:tcPr>
            <w:tcW w:w="8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21.0 %</w:t>
            </w:r>
          </w:p>
        </w:tc>
      </w:tr>
      <w:tr>
        <w:trPr>
          <w:trHeight w:val="213"/>
        </w:trPr>
        <w:tc>
          <w:tcPr>
            <w:tcW w:w="71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State taxes, net of federal benefit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1.6 %</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0.3 %</w:t>
            </w:r>
          </w:p>
        </w:tc>
        <w:tc>
          <w:tcPr>
            <w:tcW w:w="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0.7 %</w:t>
            </w:r>
          </w:p>
        </w:tc>
      </w:tr>
      <w:tr>
        <w:trPr>
          <w:trHeight w:val="219"/>
        </w:trPr>
        <w:tc>
          <w:tcPr>
            <w:tcW w:w="71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Tax rate differentials for international jurisdictions</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2.5 %</w:t>
            </w:r>
          </w:p>
        </w:tc>
        <w:tc>
          <w:tcPr>
            <w:tcW w:w="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13"/>
        </w:trPr>
        <w:tc>
          <w:tcPr>
            <w:tcW w:w="71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Effects of other enacted tax law and rate changes</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0.1 %</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r>
      <w:tr>
        <w:trPr>
          <w:trHeight w:val="219"/>
        </w:trPr>
        <w:tc>
          <w:tcPr>
            <w:tcW w:w="71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Valuation allowance</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w:t>
            </w:r>
          </w:p>
        </w:tc>
      </w:tr>
      <w:tr>
        <w:trPr>
          <w:trHeight w:val="213"/>
        </w:trPr>
        <w:tc>
          <w:tcPr>
            <w:tcW w:w="71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Share-based compensation</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w:t>
            </w:r>
          </w:p>
        </w:tc>
      </w:tr>
      <w:tr>
        <w:trPr>
          <w:trHeight w:val="219"/>
        </w:trPr>
        <w:tc>
          <w:tcPr>
            <w:tcW w:w="71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Nondeductible compensation</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r>
      <w:tr>
        <w:trPr>
          <w:trHeight w:val="213"/>
        </w:trPr>
        <w:tc>
          <w:tcPr>
            <w:tcW w:w="71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Tax impact of goodwill impairment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w:t>
            </w:r>
          </w:p>
        </w:tc>
      </w:tr>
      <w:tr>
        <w:trPr>
          <w:trHeight w:val="219"/>
        </w:trPr>
        <w:tc>
          <w:tcPr>
            <w:tcW w:w="71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Tax impact of the March 2024 Refinancing Transactions</w:t>
            </w:r>
          </w:p>
        </w:tc>
        <w:tc>
          <w:tcPr>
            <w:tcW w:w="1760" w:type="dxa"/>
            <w:vAlign w:val="bottom"/>
            <w:gridSpan w:val="3"/>
            <w:shd w:val="clear" w:color="auto" w:fill="CCEEFF"/>
          </w:tcPr>
          <w:p>
            <w:pPr>
              <w:jc w:val="right"/>
              <w:ind w:right="1180"/>
              <w:spacing w:after="0"/>
              <w:rPr>
                <w:sz w:val="20"/>
                <w:szCs w:val="20"/>
                <w:color w:val="auto"/>
              </w:rPr>
            </w:pPr>
            <w:r>
              <w:rPr>
                <w:rFonts w:ascii="Times New Roman" w:cs="Times New Roman" w:eastAsia="Times New Roman" w:hAnsi="Times New Roman"/>
                <w:sz w:val="16"/>
                <w:szCs w:val="16"/>
                <w:color w:val="auto"/>
              </w:rPr>
              <w:t>— %</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 %</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11.7 %</w:t>
            </w:r>
          </w:p>
        </w:tc>
      </w:tr>
      <w:tr>
        <w:trPr>
          <w:trHeight w:val="213"/>
        </w:trPr>
        <w:tc>
          <w:tcPr>
            <w:tcW w:w="60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net</w:t>
            </w:r>
          </w:p>
        </w:tc>
        <w:tc>
          <w:tcPr>
            <w:tcW w:w="10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2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80" w:type="dxa"/>
            <w:vAlign w:val="bottom"/>
            <w:tcBorders>
              <w:bottom w:val="single" w:sz="8" w:color="CCEEFF"/>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32"/>
        </w:trPr>
        <w:tc>
          <w:tcPr>
            <w:tcW w:w="71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Effective tax rate</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10.3 %</w:t>
            </w: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1.9 %</w:t>
            </w:r>
          </w:p>
        </w:tc>
        <w:tc>
          <w:tcPr>
            <w:tcW w:w="80" w:type="dxa"/>
            <w:vAlign w:val="bottom"/>
            <w:shd w:val="clear" w:color="auto" w:fill="CCEEFF"/>
          </w:tcPr>
          <w:p>
            <w:pPr>
              <w:spacing w:after="0"/>
              <w:rPr>
                <w:sz w:val="20"/>
                <w:szCs w:val="20"/>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2.6 %</w:t>
            </w: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- 141 -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Taxes</w:t>
      </w:r>
    </w:p>
    <w:p>
      <w:pPr>
        <w:spacing w:after="0" w:line="256" w:lineRule="exact"/>
        <w:rPr>
          <w:sz w:val="20"/>
          <w:szCs w:val="20"/>
          <w:color w:val="auto"/>
        </w:rPr>
      </w:pPr>
    </w:p>
    <w:p>
      <w:pPr>
        <w:jc w:val="both"/>
        <w:ind w:right="180" w:firstLine="486"/>
        <w:spacing w:after="0" w:line="266" w:lineRule="auto"/>
        <w:rPr>
          <w:sz w:val="20"/>
          <w:szCs w:val="20"/>
          <w:color w:val="auto"/>
        </w:rPr>
      </w:pPr>
      <w:r>
        <w:rPr>
          <w:rFonts w:ascii="Times New Roman" w:cs="Times New Roman" w:eastAsia="Times New Roman" w:hAnsi="Times New Roman"/>
          <w:sz w:val="18"/>
          <w:szCs w:val="18"/>
          <w:color w:val="auto"/>
        </w:rPr>
        <w:t>Deferred income taxes reflect the net effects of temporary differences between the carrying amounts of assets and liabilities for financial reporting purposes using the enacted tax rates in effect for the year in which the differences are expected to be reversed. Significant components of our deferred tax assets and liabilities are as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80" w:type="dxa"/>
            <w:vAlign w:val="bottom"/>
          </w:tcPr>
          <w:p>
            <w:pPr>
              <w:spacing w:after="0"/>
              <w:rPr>
                <w:sz w:val="16"/>
                <w:szCs w:val="16"/>
                <w:color w:val="auto"/>
              </w:rPr>
            </w:pPr>
          </w:p>
        </w:tc>
        <w:tc>
          <w:tcPr>
            <w:tcW w:w="128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4"/>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98"/>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tax assets:</w:t>
            </w: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13"/>
        </w:trPr>
        <w:tc>
          <w:tcPr>
            <w:tcW w:w="82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Deferred revenue</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w:t>
            </w:r>
          </w:p>
        </w:tc>
      </w:tr>
      <w:tr>
        <w:trPr>
          <w:trHeight w:val="219"/>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Share-based compensation</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w:t>
            </w:r>
          </w:p>
        </w:tc>
      </w:tr>
      <w:tr>
        <w:trPr>
          <w:trHeight w:val="213"/>
        </w:trPr>
        <w:tc>
          <w:tcPr>
            <w:tcW w:w="82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Accruals not currently deductible</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w:t>
            </w:r>
          </w:p>
        </w:tc>
      </w:tr>
      <w:tr>
        <w:trPr>
          <w:trHeight w:val="219"/>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Finance lease liabilities</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85.8</w:t>
            </w:r>
          </w:p>
        </w:tc>
      </w:tr>
      <w:tr>
        <w:trPr>
          <w:trHeight w:val="213"/>
        </w:trPr>
        <w:tc>
          <w:tcPr>
            <w:tcW w:w="82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operating loss carryforwards</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w:t>
            </w:r>
          </w:p>
        </w:tc>
      </w:tr>
      <w:tr>
        <w:trPr>
          <w:trHeight w:val="219"/>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Foreign tax credit</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82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Research and development credits</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r>
      <w:tr>
        <w:trPr>
          <w:trHeight w:val="213"/>
        </w:trPr>
        <w:tc>
          <w:tcPr>
            <w:tcW w:w="82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Disallowed interest carryforward</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118.8</w:t>
            </w:r>
          </w:p>
        </w:tc>
      </w:tr>
      <w:tr>
        <w:trPr>
          <w:trHeight w:val="219"/>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w:t>
            </w:r>
          </w:p>
        </w:tc>
      </w:tr>
      <w:tr>
        <w:trPr>
          <w:trHeight w:val="213"/>
        </w:trPr>
        <w:tc>
          <w:tcPr>
            <w:tcW w:w="82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March 2024 Refinancing Transactions</w:t>
            </w:r>
          </w:p>
        </w:tc>
        <w:tc>
          <w:tcPr>
            <w:tcW w:w="18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100.5</w:t>
            </w:r>
          </w:p>
        </w:tc>
      </w:tr>
      <w:tr>
        <w:trPr>
          <w:trHeight w:val="219"/>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w:t>
            </w:r>
          </w:p>
        </w:tc>
      </w:tr>
      <w:tr>
        <w:trPr>
          <w:trHeight w:val="207"/>
        </w:trPr>
        <w:tc>
          <w:tcPr>
            <w:tcW w:w="82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gross deferred tax assets</w:t>
            </w:r>
          </w:p>
        </w:tc>
        <w:tc>
          <w:tcPr>
            <w:tcW w:w="1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428.0</w:t>
            </w:r>
          </w:p>
        </w:tc>
      </w:tr>
      <w:tr>
        <w:trPr>
          <w:trHeight w:val="219"/>
        </w:trPr>
        <w:tc>
          <w:tcPr>
            <w:tcW w:w="8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Valuation allowance</w:t>
            </w: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(173.4)</w:t>
            </w:r>
          </w:p>
        </w:tc>
      </w:tr>
      <w:tr>
        <w:trPr>
          <w:trHeight w:val="207"/>
        </w:trPr>
        <w:tc>
          <w:tcPr>
            <w:tcW w:w="82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net deferred tax assets</w:t>
            </w:r>
          </w:p>
        </w:tc>
        <w:tc>
          <w:tcPr>
            <w:tcW w:w="1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254.6</w:t>
            </w:r>
          </w:p>
        </w:tc>
      </w:tr>
      <w:tr>
        <w:trPr>
          <w:trHeight w:val="21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tax liabilities:</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13"/>
        </w:trPr>
        <w:tc>
          <w:tcPr>
            <w:tcW w:w="82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204.5</w:t>
            </w:r>
          </w:p>
        </w:tc>
      </w:tr>
      <w:tr>
        <w:trPr>
          <w:trHeight w:val="219"/>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Finance lease liabilities</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r>
      <w:tr>
        <w:trPr>
          <w:trHeight w:val="213"/>
        </w:trPr>
        <w:tc>
          <w:tcPr>
            <w:tcW w:w="82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Capitalized costs</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w:t>
            </w:r>
          </w:p>
        </w:tc>
      </w:tr>
      <w:tr>
        <w:trPr>
          <w:trHeight w:val="219"/>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rate swaps</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w:t>
            </w:r>
          </w:p>
        </w:tc>
      </w:tr>
      <w:tr>
        <w:trPr>
          <w:trHeight w:val="213"/>
        </w:trPr>
        <w:tc>
          <w:tcPr>
            <w:tcW w:w="82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Operating right-of-use assets</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w:t>
            </w:r>
          </w:p>
        </w:tc>
      </w:tr>
      <w:tr>
        <w:trPr>
          <w:trHeight w:val="219"/>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w:t>
            </w:r>
          </w:p>
        </w:tc>
      </w:tr>
      <w:tr>
        <w:trPr>
          <w:trHeight w:val="207"/>
        </w:trPr>
        <w:tc>
          <w:tcPr>
            <w:tcW w:w="82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Total gross deferred tax liabilities</w:t>
            </w: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331.8</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271.8</w:t>
            </w:r>
          </w:p>
        </w:tc>
      </w:tr>
      <w:tr>
        <w:trPr>
          <w:trHeight w:val="237"/>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deferred tax liabilities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As of December 31, 2024, we no longer have federal net operating loss carryforwards, federal research and development credits, and federal foreign tax credit carryforwards pursuant to IRC Section 108(b)(2) attribute reduction. We have $93.6 million of foreign net operating losses, $5.4 million of which have carryforward periods ranging from 5 to 20 years, and $88.2 million of which have an indefinite carryforward period. Certain foreign net operating loss carryforwards are subject to various limitations under the applicable statutory foreign tax laws. We have disallowed interest expense carryforwards in the U.S. of $493.0 million that can be carried forward indefinitely.</w:t>
      </w:r>
    </w:p>
    <w:p>
      <w:pPr>
        <w:spacing w:after="0" w:line="210" w:lineRule="exact"/>
        <w:rPr>
          <w:sz w:val="20"/>
          <w:szCs w:val="20"/>
          <w:color w:val="auto"/>
        </w:rPr>
      </w:pPr>
    </w:p>
    <w:p>
      <w:pPr>
        <w:ind w:right="20" w:firstLine="486"/>
        <w:spacing w:after="0" w:line="258" w:lineRule="auto"/>
        <w:rPr>
          <w:sz w:val="20"/>
          <w:szCs w:val="20"/>
          <w:color w:val="auto"/>
        </w:rPr>
      </w:pPr>
      <w:r>
        <w:rPr>
          <w:rFonts w:ascii="Times New Roman" w:cs="Times New Roman" w:eastAsia="Times New Roman" w:hAnsi="Times New Roman"/>
          <w:sz w:val="18"/>
          <w:szCs w:val="18"/>
          <w:color w:val="auto"/>
        </w:rPr>
        <w:t>We’ve recorded a valuation allowance with respect to certain of our deferred tax assets relating primarily to operating losses in certain U.S. state and foreign jurisdictions that we believe are not likely to be realized. Additionally, we’ve recorded a valuation allowance with respect to disallowed interest that we do not expect to be realizable in the future. Furthermore, we recorded a valuation allowance with respect to other deferred tax assets based upon the determination that we would not generate enough income by reversing deferred tax liabilities to fully utilize all deferred tax assets prior to the expiration of any applicable carryforward periods. Changes to valuation allowances consisted of the following:</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11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3"/>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January 1,</w:t>
            </w:r>
          </w:p>
        </w:tc>
        <w:tc>
          <w:tcPr>
            <w:tcW w:w="1100" w:type="dxa"/>
            <w:vAlign w:val="bottom"/>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58.3</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rPr>
              <w:t>58.5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66.1</w:t>
            </w:r>
          </w:p>
        </w:tc>
      </w:tr>
      <w:tr>
        <w:trPr>
          <w:trHeight w:val="213"/>
        </w:trPr>
        <w:tc>
          <w:tcPr>
            <w:tcW w:w="6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Additions charged to income tax expense</w:t>
            </w:r>
          </w:p>
        </w:tc>
        <w:tc>
          <w:tcPr>
            <w:tcW w:w="1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20" w:type="dxa"/>
            <w:vAlign w:val="bottom"/>
          </w:tcPr>
          <w:p>
            <w:pPr>
              <w:jc w:val="center"/>
              <w:ind w:left="19"/>
              <w:spacing w:after="0"/>
              <w:rPr>
                <w:sz w:val="20"/>
                <w:szCs w:val="20"/>
                <w:color w:val="auto"/>
              </w:rPr>
            </w:pPr>
            <w:r>
              <w:rPr>
                <w:rFonts w:ascii="Times New Roman" w:cs="Times New Roman" w:eastAsia="Times New Roman" w:hAnsi="Times New Roman"/>
                <w:sz w:val="16"/>
                <w:szCs w:val="16"/>
                <w:color w:val="auto"/>
              </w:rPr>
              <w:t>39.2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124.1</w:t>
            </w:r>
          </w:p>
        </w:tc>
      </w:tr>
      <w:tr>
        <w:trPr>
          <w:trHeight w:val="216"/>
        </w:trPr>
        <w:tc>
          <w:tcPr>
            <w:tcW w:w="6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Reductions credited to income tax expense</w:t>
            </w:r>
          </w:p>
        </w:tc>
        <w:tc>
          <w:tcPr>
            <w:tcW w:w="1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(31.6)</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w:t>
            </w:r>
          </w:p>
        </w:tc>
      </w:tr>
      <w:tr>
        <w:trPr>
          <w:trHeight w:val="212"/>
        </w:trPr>
        <w:tc>
          <w:tcPr>
            <w:tcW w:w="6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at December 31,</w:t>
            </w:r>
          </w:p>
        </w:tc>
        <w:tc>
          <w:tcPr>
            <w:tcW w:w="1100" w:type="dxa"/>
            <w:vAlign w:val="bottom"/>
            <w:tcBorders>
              <w:bottom w:val="single" w:sz="8" w:color="auto"/>
            </w:tcBorders>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58.5</w:t>
            </w:r>
          </w:p>
        </w:tc>
        <w:tc>
          <w:tcPr>
            <w:tcW w:w="100" w:type="dxa"/>
            <w:vAlign w:val="bottom"/>
          </w:tcPr>
          <w:p>
            <w:pPr>
              <w:spacing w:after="0"/>
              <w:rPr>
                <w:sz w:val="18"/>
                <w:szCs w:val="18"/>
                <w:color w:val="auto"/>
              </w:rPr>
            </w:pPr>
          </w:p>
        </w:tc>
        <w:tc>
          <w:tcPr>
            <w:tcW w:w="1080" w:type="dxa"/>
            <w:vAlign w:val="bottom"/>
            <w:tcBorders>
              <w:bottom w:val="single" w:sz="8" w:color="auto"/>
            </w:tcBorders>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tcPr>
          <w:p>
            <w:pPr>
              <w:jc w:val="center"/>
              <w:ind w:left="19"/>
              <w:spacing w:after="0"/>
              <w:rPr>
                <w:sz w:val="20"/>
                <w:szCs w:val="20"/>
                <w:color w:val="auto"/>
              </w:rPr>
            </w:pPr>
            <w:r>
              <w:rPr>
                <w:rFonts w:ascii="Times New Roman" w:cs="Times New Roman" w:eastAsia="Times New Roman" w:hAnsi="Times New Roman"/>
                <w:sz w:val="16"/>
                <w:szCs w:val="16"/>
                <w:color w:val="auto"/>
              </w:rPr>
              <w:t>66.1</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173.4</w:t>
            </w:r>
          </w:p>
        </w:tc>
      </w:tr>
      <w:tr>
        <w:trPr>
          <w:trHeight w:val="21"/>
        </w:trPr>
        <w:tc>
          <w:tcPr>
            <w:tcW w:w="62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- 142 -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The effective tax rate for the year ended December 31, 2022 was primarily impacted by the tax impact associated with the goodwill impairments, the geographic distribution of profits, tax effects from share-based compensation and executive compensation that is nondeductible under IRC Section 162(m) of the IRC. The effective tax rate for the year ended December 31, 2023 was impacted by the tax impact associated with the goodwill impairments, executive compensation that is nondeductible under IRC Section 162(m), the net impact of the geographic distribution of our earnings, tax effects from nondeductible share-based compensation as well as changes in our valuation allowance. The effective tax rate for the year ended December 31, 2024 was impacted by the tax impact associated with changes in valuation allowance, the tax impact associated with the goodwill impairment recorded in the first and third quarters of 2024, the majority of which was nondeductible for income tax purposes, and the tax impact of the March 2024 Refinancing Transactions discussed below. The tax impact of the March 2024 Refinancing Transactions includes the exclusion of cancellation of indebtedness income (“CODI”), federal and state attribution reduction and changes in valuation allowance.</w:t>
      </w:r>
    </w:p>
    <w:p>
      <w:pPr>
        <w:spacing w:after="0" w:line="215" w:lineRule="exact"/>
        <w:rPr>
          <w:sz w:val="20"/>
          <w:szCs w:val="20"/>
          <w:color w:val="auto"/>
        </w:rPr>
      </w:pPr>
    </w:p>
    <w:p>
      <w:pPr>
        <w:ind w:right="60" w:firstLine="486"/>
        <w:spacing w:after="0" w:line="254" w:lineRule="auto"/>
        <w:rPr>
          <w:sz w:val="20"/>
          <w:szCs w:val="20"/>
          <w:color w:val="auto"/>
        </w:rPr>
      </w:pPr>
      <w:r>
        <w:rPr>
          <w:rFonts w:ascii="Times New Roman" w:cs="Times New Roman" w:eastAsia="Times New Roman" w:hAnsi="Times New Roman"/>
          <w:sz w:val="18"/>
          <w:szCs w:val="18"/>
          <w:color w:val="auto"/>
        </w:rPr>
        <w:t>As a result of the March 2024 Refinancing Transactions, as further described in Note 7, “Debt”, specifically upon the completion of the Private Exchange and Public Term Loan Exchange in March 2024, and the completion of the Public Note Exchange in April 2024, the company realized CODI for US tax purposes of $531.5 million and $80.5 million, respectively. We realized an additional $13.1 million CODI for US tax purposes from third quarter 2024 debt repurchase activity, for a total $625.1 million for the year ended December 31, 2024. Pursuant to IRC Section 108, an insolvent debtor may exclude CODI from taxable income to the extent of the debtor’s insolvency (liabilities greater than the fair value of its assets) but must reduce its tax attributes, subject to certain limitations and according to prescribed ordering rules, based on the amount of CODI excluded from taxable income. The company currently estimates that the level of its insolvency (as defined for US Tax purposes) exceeds the amount of CODI resulting from the March 2024 Refinancing Transactions, such that all resulting CODI will be excluded from the company’s taxable income.</w:t>
      </w:r>
    </w:p>
    <w:p>
      <w:pPr>
        <w:spacing w:after="0" w:line="219" w:lineRule="exact"/>
        <w:rPr>
          <w:sz w:val="20"/>
          <w:szCs w:val="20"/>
          <w:color w:val="auto"/>
        </w:rPr>
      </w:pPr>
    </w:p>
    <w:p>
      <w:pPr>
        <w:ind w:right="40" w:firstLine="486"/>
        <w:spacing w:after="0" w:line="258" w:lineRule="auto"/>
        <w:rPr>
          <w:sz w:val="20"/>
          <w:szCs w:val="20"/>
          <w:color w:val="auto"/>
        </w:rPr>
      </w:pPr>
      <w:r>
        <w:rPr>
          <w:rFonts w:ascii="Times New Roman" w:cs="Times New Roman" w:eastAsia="Times New Roman" w:hAnsi="Times New Roman"/>
          <w:sz w:val="18"/>
          <w:szCs w:val="18"/>
          <w:color w:val="auto"/>
        </w:rPr>
        <w:t>As of December 31, 2024, we have reduced various tax attributes, including $14.8 million of federal and certain state net operating loss deferred tax assets, $29.2 million of federal research and development credits, and $12.6 million of federal foreign tax credits. The process for determining the amount of tax attribute reduction is complex and the actual reduction to attributes does not occur until the first day of the company’s tax year subsequent to the date of the discharge event, or January 1, 2025. Therefore, the estimated impact of the tax attribute reduction from the March 2024 Refinancing Transactions is subject to change until the finalization of the company’s tax returns for the year ending December 31, 2024.</w:t>
      </w:r>
    </w:p>
    <w:p>
      <w:pPr>
        <w:spacing w:after="0" w:line="210" w:lineRule="exact"/>
        <w:rPr>
          <w:sz w:val="20"/>
          <w:szCs w:val="20"/>
          <w:color w:val="auto"/>
        </w:rPr>
      </w:pPr>
    </w:p>
    <w:p>
      <w:pPr>
        <w:ind w:right="240" w:firstLine="486"/>
        <w:spacing w:after="0" w:line="266" w:lineRule="auto"/>
        <w:rPr>
          <w:sz w:val="20"/>
          <w:szCs w:val="20"/>
          <w:color w:val="auto"/>
        </w:rPr>
      </w:pPr>
      <w:r>
        <w:rPr>
          <w:rFonts w:ascii="Times New Roman" w:cs="Times New Roman" w:eastAsia="Times New Roman" w:hAnsi="Times New Roman"/>
          <w:sz w:val="18"/>
          <w:szCs w:val="18"/>
          <w:color w:val="auto"/>
        </w:rPr>
        <w:t>We do not permanently reinvest our foreign earnings due to the debt service requirements of our capital structure. Due to historic, internal tax restructurings, we have effectively recognized any tax impact of the repatriation of foreign earnings. Thus, as of December 31, 2024, there is no deferred tax liability for undistributed foreign earnings.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Uncertain Tax Positions</w:t>
      </w:r>
    </w:p>
    <w:p>
      <w:pPr>
        <w:spacing w:after="0" w:line="256" w:lineRule="exact"/>
        <w:rPr>
          <w:sz w:val="20"/>
          <w:szCs w:val="20"/>
          <w:color w:val="auto"/>
        </w:rPr>
      </w:pPr>
    </w:p>
    <w:p>
      <w:pPr>
        <w:ind w:right="80" w:firstLine="486"/>
        <w:spacing w:after="0" w:line="258" w:lineRule="auto"/>
        <w:rPr>
          <w:sz w:val="20"/>
          <w:szCs w:val="20"/>
          <w:color w:val="auto"/>
        </w:rPr>
      </w:pPr>
      <w:r>
        <w:rPr>
          <w:rFonts w:ascii="Times New Roman" w:cs="Times New Roman" w:eastAsia="Times New Roman" w:hAnsi="Times New Roman"/>
          <w:sz w:val="18"/>
          <w:szCs w:val="18"/>
          <w:color w:val="auto"/>
        </w:rPr>
        <w:t>We file income tax returns in each jurisdiction in which we operate, both domestically and internationally. Due to the complexity involved with certain tax matters, we have considered all relevant facts and circumstances for the financial statement recognition, measurement, presentation and disclosure of uncertain tax positions taken or expected to be taken in income tax returns. We believe that there are no other jurisdictions in which the outcome of uncertain tax matters is likely to be material to our results of operations, financial position or cash flows. We further believe that we have made adequate provision for all income tax uncertainties.</w:t>
      </w:r>
    </w:p>
    <w:p>
      <w:pPr>
        <w:spacing w:after="0" w:line="210" w:lineRule="exact"/>
        <w:rPr>
          <w:sz w:val="20"/>
          <w:szCs w:val="20"/>
          <w:color w:val="auto"/>
        </w:rPr>
      </w:pPr>
    </w:p>
    <w:p>
      <w:pPr>
        <w:ind w:right="260" w:firstLine="486"/>
        <w:spacing w:after="0" w:line="282" w:lineRule="auto"/>
        <w:rPr>
          <w:sz w:val="20"/>
          <w:szCs w:val="20"/>
          <w:color w:val="auto"/>
        </w:rPr>
      </w:pPr>
      <w:r>
        <w:rPr>
          <w:rFonts w:ascii="Times New Roman" w:cs="Times New Roman" w:eastAsia="Times New Roman" w:hAnsi="Times New Roman"/>
          <w:sz w:val="18"/>
          <w:szCs w:val="18"/>
          <w:color w:val="auto"/>
        </w:rPr>
        <w:t>A rollforward of unrecognized tax benefits, excluding accrued penalties and interest, for the years ended December 31, 2022, 2023 and 2024 is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2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r>
      <w:tr>
        <w:trPr>
          <w:trHeight w:val="211"/>
        </w:trPr>
        <w:tc>
          <w:tcPr>
            <w:tcW w:w="6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1"/>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beginning of period</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57.0</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63.6</w:t>
            </w:r>
          </w:p>
        </w:tc>
      </w:tr>
      <w:tr>
        <w:trPr>
          <w:trHeight w:val="213"/>
        </w:trPr>
        <w:tc>
          <w:tcPr>
            <w:tcW w:w="6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Additions based on tax positions related to the current year</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w:t>
            </w:r>
          </w:p>
        </w:tc>
      </w:tr>
      <w:tr>
        <w:trPr>
          <w:trHeight w:val="219"/>
        </w:trPr>
        <w:tc>
          <w:tcPr>
            <w:tcW w:w="6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Additions for tax positions of prior years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r>
      <w:tr>
        <w:trPr>
          <w:trHeight w:val="213"/>
        </w:trPr>
        <w:tc>
          <w:tcPr>
            <w:tcW w:w="6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Reduction for statute expiration</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w:t>
            </w:r>
          </w:p>
        </w:tc>
      </w:tr>
      <w:tr>
        <w:trPr>
          <w:trHeight w:val="219"/>
        </w:trPr>
        <w:tc>
          <w:tcPr>
            <w:tcW w:w="6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Reductions for tax positions of prior years</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r>
      <w:tr>
        <w:trPr>
          <w:trHeight w:val="210"/>
        </w:trPr>
        <w:tc>
          <w:tcPr>
            <w:tcW w:w="6260" w:type="dxa"/>
            <w:vAlign w:val="bottom"/>
          </w:tcPr>
          <w:p>
            <w:pPr>
              <w:ind w:left="240"/>
              <w:spacing w:after="0" w:line="210" w:lineRule="exact"/>
              <w:rPr>
                <w:sz w:val="20"/>
                <w:szCs w:val="20"/>
                <w:color w:val="auto"/>
              </w:rPr>
            </w:pPr>
            <w:r>
              <w:rPr>
                <w:rFonts w:ascii="Times New Roman" w:cs="Times New Roman" w:eastAsia="Times New Roman" w:hAnsi="Times New Roman"/>
                <w:sz w:val="16"/>
                <w:szCs w:val="16"/>
                <w:color w:val="auto"/>
              </w:rPr>
              <w:t xml:space="preserve">Balance, end of period </w:t>
            </w:r>
            <w:r>
              <w:rPr>
                <w:rFonts w:ascii="Times New Roman" w:cs="Times New Roman" w:eastAsia="Times New Roman" w:hAnsi="Times New Roman"/>
                <w:sz w:val="21"/>
                <w:szCs w:val="21"/>
                <w:color w:val="auto"/>
                <w:vertAlign w:val="superscript"/>
              </w:rPr>
              <w:t>(1)</w:t>
            </w: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57.0</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63.6</w:t>
            </w: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64.9</w:t>
            </w:r>
          </w:p>
        </w:tc>
      </w:tr>
      <w:tr>
        <w:trPr>
          <w:trHeight w:val="20"/>
        </w:trPr>
        <w:tc>
          <w:tcPr>
            <w:tcW w:w="6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81" w:lineRule="exact"/>
        <w:rPr>
          <w:sz w:val="20"/>
          <w:szCs w:val="20"/>
          <w:color w:val="auto"/>
        </w:rPr>
      </w:pPr>
    </w:p>
    <w:p>
      <w:pPr>
        <w:ind w:left="400" w:hanging="392"/>
        <w:spacing w:after="0"/>
        <w:tabs>
          <w:tab w:leader="none" w:pos="40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Included within non-current liabilities in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- 143 -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320" w:firstLine="486"/>
        <w:spacing w:after="0" w:line="266" w:lineRule="auto"/>
        <w:rPr>
          <w:sz w:val="20"/>
          <w:szCs w:val="20"/>
          <w:color w:val="auto"/>
        </w:rPr>
      </w:pPr>
      <w:r>
        <w:rPr>
          <w:rFonts w:ascii="Times New Roman" w:cs="Times New Roman" w:eastAsia="Times New Roman" w:hAnsi="Times New Roman"/>
          <w:sz w:val="18"/>
          <w:szCs w:val="18"/>
          <w:color w:val="auto"/>
        </w:rPr>
        <w:t>Of the total amount of unrecognized tax benefits as of December 31, 2022, 2023 and 2024, $41.6 million, $47.0 million and $57.1 million, respectively, if recognized, would favorably impact our effective tax rate. We do not expect the amount of unrecognized tax benefits disclosed above to change significantly over the next 12 months.</w:t>
      </w:r>
    </w:p>
    <w:p>
      <w:pPr>
        <w:spacing w:after="0" w:line="203" w:lineRule="exact"/>
        <w:rPr>
          <w:sz w:val="20"/>
          <w:szCs w:val="20"/>
          <w:color w:val="auto"/>
        </w:rPr>
      </w:pPr>
    </w:p>
    <w:p>
      <w:pPr>
        <w:ind w:right="400" w:firstLine="486"/>
        <w:spacing w:after="0" w:line="266" w:lineRule="auto"/>
        <w:rPr>
          <w:sz w:val="20"/>
          <w:szCs w:val="20"/>
          <w:color w:val="auto"/>
        </w:rPr>
      </w:pPr>
      <w:r>
        <w:rPr>
          <w:rFonts w:ascii="Times New Roman" w:cs="Times New Roman" w:eastAsia="Times New Roman" w:hAnsi="Times New Roman"/>
          <w:sz w:val="18"/>
          <w:szCs w:val="18"/>
          <w:color w:val="auto"/>
        </w:rPr>
        <w:t>We recognize interest expense and penalties related to income tax matters within “Benefit for income taxes” on our Consolidated Statements of Comprehensive Loss. Accrued interest and penalties as of December 31, 2022, 2023 and 2024 were $4.4 million, $6.6 million and $8.5 million, respectively.</w:t>
      </w:r>
    </w:p>
    <w:p>
      <w:pPr>
        <w:spacing w:after="0" w:line="203"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We are subject to U.S. federal income tax and various state, local, and international income taxes in numerous jurisdictions. Our domestic and international tax liabilities are subject to the allocation of revenue and expenses in different jurisdictions and the timing of recognizing revenue and expenses. As such, our effective tax rate is impacted by the geographical distribution of income and mix of profits in the various jurisdictions. Additionally, the amount of income taxes paid is subject to our interpretation of applicable tax laws in the jurisdictions in which we file.</w:t>
      </w:r>
    </w:p>
    <w:p>
      <w:pPr>
        <w:spacing w:after="0" w:line="207" w:lineRule="exact"/>
        <w:rPr>
          <w:sz w:val="20"/>
          <w:szCs w:val="20"/>
          <w:color w:val="auto"/>
        </w:rPr>
      </w:pPr>
    </w:p>
    <w:p>
      <w:pPr>
        <w:ind w:right="40" w:firstLine="486"/>
        <w:spacing w:after="0" w:line="258" w:lineRule="auto"/>
        <w:rPr>
          <w:sz w:val="20"/>
          <w:szCs w:val="20"/>
          <w:color w:val="auto"/>
        </w:rPr>
      </w:pPr>
      <w:r>
        <w:rPr>
          <w:rFonts w:ascii="Times New Roman" w:cs="Times New Roman" w:eastAsia="Times New Roman" w:hAnsi="Times New Roman"/>
          <w:sz w:val="18"/>
          <w:szCs w:val="18"/>
          <w:color w:val="auto"/>
        </w:rPr>
        <w:t>We currently file income tax returns in the U.S. and all foreign jurisdictions in which we have entities, which are periodically under audit by federal, state, and foreign tax authorities. These audits can involve complex matters that may require an extended period of time for resolution. We remain subject to U.S. federal and state income tax examinations for the tax years 2018 through 2024 and in the foreign jurisdictions in which we operate for varying periods from 2007 through 2024. We currently have income tax examinations open in Texas for tax years 2014 through 2021 and New York City for 2017 through 2019.</w:t>
      </w:r>
    </w:p>
    <w:p>
      <w:pPr>
        <w:spacing w:after="0" w:line="210"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Although the outcome of open tax audits is uncertain, in management’s opinion, adequate provisions for income taxes have been made. If actual outcomes differ materially from these estimates, they could have a material impact on our financial condition and results of operations. Differences between actual results and assumptions or changes in assumptions in future periods are recorded in the period they become known. To the extent additional information becomes available prior to resolution, such accruals are adjusted to reflect probable outcomes.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- 144 -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Derivatives</w:t>
      </w:r>
    </w:p>
    <w:p>
      <w:pPr>
        <w:spacing w:after="0" w:line="256" w:lineRule="exact"/>
        <w:rPr>
          <w:sz w:val="20"/>
          <w:szCs w:val="20"/>
          <w:color w:val="auto"/>
        </w:rPr>
      </w:pPr>
    </w:p>
    <w:p>
      <w:pPr>
        <w:ind w:right="40" w:firstLine="531"/>
        <w:spacing w:after="0" w:line="254" w:lineRule="auto"/>
        <w:rPr>
          <w:sz w:val="20"/>
          <w:szCs w:val="20"/>
          <w:color w:val="auto"/>
        </w:rPr>
      </w:pPr>
      <w:r>
        <w:rPr>
          <w:rFonts w:ascii="Times New Roman" w:cs="Times New Roman" w:eastAsia="Times New Roman" w:hAnsi="Times New Roman"/>
          <w:sz w:val="18"/>
          <w:szCs w:val="18"/>
          <w:color w:val="auto"/>
        </w:rPr>
        <w:t>Prior to January 9, 2020, none of our floating-to-fixed interest rate swap agreements were designated as cash flow hedges of interest rate risk for accounting purposes, therefore, all changes in the fair value of the interest rate swap agreements were recorded to "Interest expense" in the Consolidated Statements of Comprehensive Loss. On January 9, 2020, we designated certain of our swaps as cash flow hedges. On the designation date, the cash flow hedges were in a $39.9 million liability position. The cash flow hedges were expected to be highly effective on the designation date and, on a quarterly basis, we performed retrospective and prospective regression assessments to determine whether the cash flow hedges continue to be highly effective. As long as the cash flow hedges are highly effective, changes in fair value are recorded to "Accumulated other comprehensive income" in the Consolidated Balance Sheets and reclassified to "Interest expense" in the period when the underlying transaction affects earnings. The income tax effects of cash flow hedges are released from "Accumulated other comprehensive income" in the period when the underlying transaction affects earnings. Any stranded income tax effects are released from "Accumulated other comprehensive income" into "Benefit for income taxes" under the portfolio approach.</w:t>
      </w:r>
    </w:p>
    <w:p>
      <w:pPr>
        <w:spacing w:after="0" w:line="215"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During the year ended December 31, 2021, we completed a series of transactions to modify our interest rate swap positions as follows: (i) All the interest rate swaps outstanding as of December 31, 2020, with the exception of the agreement that matured on February 3, 2021, were de-designated as cash flow hedges on January 31, 2021, (ii) on February 12, 2021, we entered into a $900.0 million receive-fixed interest rate swap which was designed to offset the terms of two December 2016 swaps, and (iii) on February 12, 2021, we terminated all December 2018 swaps and entered into a $1.35 billion pay-fixed interest rate swap, effectively blending the liability position of our existing interest rate swap agreements into the new swap and extending the term of our hedged position to February 2026.</w:t>
      </w:r>
    </w:p>
    <w:p>
      <w:pPr>
        <w:spacing w:after="0" w:line="214" w:lineRule="exact"/>
        <w:rPr>
          <w:sz w:val="20"/>
          <w:szCs w:val="20"/>
          <w:color w:val="auto"/>
        </w:rPr>
      </w:pPr>
    </w:p>
    <w:p>
      <w:pPr>
        <w:ind w:right="40" w:firstLine="486"/>
        <w:spacing w:after="0" w:line="266" w:lineRule="auto"/>
        <w:rPr>
          <w:sz w:val="20"/>
          <w:szCs w:val="20"/>
          <w:color w:val="auto"/>
        </w:rPr>
      </w:pPr>
      <w:r>
        <w:rPr>
          <w:rFonts w:ascii="Times New Roman" w:cs="Times New Roman" w:eastAsia="Times New Roman" w:hAnsi="Times New Roman"/>
          <w:sz w:val="18"/>
          <w:szCs w:val="18"/>
          <w:color w:val="auto"/>
        </w:rPr>
        <w:t>The amount remaining in “Accumulated other comprehensive income" for the de-designated December 2016 and December 2018 swaps at the de-designation date was approximately $51.6 million, and is being amortized as an increase to "Interest expense" over the effective period of the original swap agreements.</w:t>
      </w:r>
    </w:p>
    <w:p>
      <w:pPr>
        <w:spacing w:after="0" w:line="201"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 xml:space="preserve">The new receive-fixed interest rate swap qualifies as a hybrid instrument in accordance with ASC No.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consisting of a loan and an embedded derivative for which the fair value option has been elected. This $900.0 million swap remained undesignated to economically offset the undesignated December 2016 swaps. This new swap and the December 2016 swaps matured on February 3, 2022. Cash settlements related to this receive-fixed interest rate swap offset and are classified as operating activities in the Consolidated Statements of Cash Flows.</w:t>
      </w:r>
    </w:p>
    <w:p>
      <w:pPr>
        <w:spacing w:after="0" w:line="207" w:lineRule="exact"/>
        <w:rPr>
          <w:sz w:val="20"/>
          <w:szCs w:val="20"/>
          <w:color w:val="auto"/>
        </w:rPr>
      </w:pPr>
    </w:p>
    <w:p>
      <w:pPr>
        <w:ind w:right="20" w:firstLine="486"/>
        <w:spacing w:after="0" w:line="255" w:lineRule="auto"/>
        <w:rPr>
          <w:sz w:val="20"/>
          <w:szCs w:val="20"/>
          <w:color w:val="auto"/>
        </w:rPr>
      </w:pPr>
      <w:r>
        <w:rPr>
          <w:rFonts w:ascii="Times New Roman" w:cs="Times New Roman" w:eastAsia="Times New Roman" w:hAnsi="Times New Roman"/>
          <w:sz w:val="18"/>
          <w:szCs w:val="18"/>
          <w:color w:val="auto"/>
        </w:rPr>
        <w:t xml:space="preserve">The new pay-fixed interest rate swap also qualifies as a hybrid instrument in accordance with ASC No.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consisting of a loan and an embedded at-market derivative that was designated as a cash flow hedge. The loan is accounted for at amortized cost over the life of the swap while the embedded at-market derivative is accounted for at fair value. The $1.35 billion swap was originally indexed to three-month LIBOR and net settled on a quarterly basis with the counterparty for the difference between the fixed rate of 2.3820% and the variable rate based upon three-month LIBOR (subject to a floor of 0.75%) as applied to the notional amount of the swap. In connection with the transactions discussed above, no cash was exchanged between us and the counterparty. The liability of the terminated interest rate swaps as well as the inception value of the receive-fixed interest rate swap was blended into the new pay-fixed interest rate swap. The cash flows related to the portion treated as debt is classified as financing activities in the Consolidated Statements of Cash Flows while the portion treated as an at-market derivative is classified as operating activities.</w:t>
      </w:r>
    </w:p>
    <w:p>
      <w:pPr>
        <w:spacing w:after="0" w:line="214" w:lineRule="exact"/>
        <w:rPr>
          <w:sz w:val="20"/>
          <w:szCs w:val="20"/>
          <w:color w:val="auto"/>
        </w:rPr>
      </w:pPr>
    </w:p>
    <w:p>
      <w:pPr>
        <w:ind w:right="60" w:firstLine="486"/>
        <w:spacing w:after="0" w:line="258" w:lineRule="auto"/>
        <w:rPr>
          <w:sz w:val="20"/>
          <w:szCs w:val="20"/>
          <w:color w:val="auto"/>
        </w:rPr>
      </w:pPr>
      <w:r>
        <w:rPr>
          <w:rFonts w:ascii="Times New Roman" w:cs="Times New Roman" w:eastAsia="Times New Roman" w:hAnsi="Times New Roman"/>
          <w:sz w:val="18"/>
          <w:szCs w:val="18"/>
          <w:color w:val="auto"/>
        </w:rPr>
        <w:t>As discussed in Note 7, “Debt”, on April 26, 2023 we executed an amendment to our First Lien Credit Agreement, which governs borrowings under our Term Loan Facility. This amendment established Term SOFR as the benchmark rate for determining the applicable interest rate, replacing LIBOR. To continue to manage our exposure to interest rate risk associated with our Term Loan Facility, effective May 9, 2023, we amended our remaining swap agreement to change the index from three-month LIBOR (subject to a floor of 0.75%) to one-month Term SOFR (subject to a floor of 0.75%). The fixed rate also changed from 2.3820% to 2.34150% as a result of the swap agreement amendment.</w:t>
      </w:r>
    </w:p>
    <w:p>
      <w:pPr>
        <w:spacing w:after="0" w:line="210" w:lineRule="exact"/>
        <w:rPr>
          <w:sz w:val="20"/>
          <w:szCs w:val="20"/>
          <w:color w:val="auto"/>
        </w:rPr>
      </w:pPr>
    </w:p>
    <w:p>
      <w:pPr>
        <w:ind w:right="240" w:firstLine="486"/>
        <w:spacing w:after="0" w:line="282" w:lineRule="auto"/>
        <w:rPr>
          <w:sz w:val="20"/>
          <w:szCs w:val="20"/>
          <w:color w:val="auto"/>
        </w:rPr>
      </w:pPr>
      <w:r>
        <w:rPr>
          <w:rFonts w:ascii="Times New Roman" w:cs="Times New Roman" w:eastAsia="Times New Roman" w:hAnsi="Times New Roman"/>
          <w:sz w:val="18"/>
          <w:szCs w:val="18"/>
          <w:color w:val="auto"/>
        </w:rPr>
        <w:t>On a monthly basis, we net settle with the counterparty for the difference between the fixed rate of 2.34150% and the variable rate based upon the one-month Term SOFR (subject to a floor of 0.75%) as applied to the notional amount of the swap.</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- 145 -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00" w:firstLine="486"/>
        <w:spacing w:after="0" w:line="289" w:lineRule="auto"/>
        <w:rPr>
          <w:sz w:val="20"/>
          <w:szCs w:val="20"/>
          <w:color w:val="auto"/>
        </w:rPr>
      </w:pPr>
      <w:r>
        <w:rPr>
          <w:rFonts w:ascii="Times New Roman" w:cs="Times New Roman" w:eastAsia="Times New Roman" w:hAnsi="Times New Roman"/>
          <w:sz w:val="17"/>
          <w:szCs w:val="17"/>
          <w:color w:val="auto"/>
        </w:rPr>
        <w:t>In conjunction with the March 2024 Refinancing Transactions, as discussed in Note 7, “Debt”, we issued additional borrowings and used the proceeds to repay previously hedged borrowings under the Term Loan Facility. Given that the specific intent of the new borrowings was a replacement of the previously hedged borrowings and the economic characteristics were the same, we continue to apply hedge accounting on the replacement borrowings.</w:t>
      </w:r>
    </w:p>
    <w:p>
      <w:pPr>
        <w:spacing w:after="0" w:line="18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December 31, 2023 and 2024, the cash flow hedge was highly effective.</w:t>
      </w:r>
    </w:p>
    <w:p>
      <w:pPr>
        <w:spacing w:after="0" w:line="25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key terms of interest rate swaps are presented below:</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gridSpan w:val="3"/>
          </w:tcPr>
          <w:p>
            <w:pPr>
              <w:ind w:left="48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gridSpan w:val="3"/>
          </w:tcPr>
          <w:p>
            <w:pPr>
              <w:ind w:left="48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22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Effective Date</w:t>
            </w:r>
          </w:p>
        </w:tc>
        <w:tc>
          <w:tcPr>
            <w:tcW w:w="1300" w:type="dxa"/>
            <w:vAlign w:val="bottom"/>
            <w:gridSpan w:val="2"/>
          </w:tcPr>
          <w:p>
            <w:pPr>
              <w:jc w:val="center"/>
              <w:ind w:right="120"/>
              <w:spacing w:after="0" w:line="161" w:lineRule="exact"/>
              <w:rPr>
                <w:sz w:val="20"/>
                <w:szCs w:val="20"/>
                <w:color w:val="auto"/>
              </w:rPr>
            </w:pPr>
            <w:r>
              <w:rPr>
                <w:rFonts w:ascii="Times New Roman" w:cs="Times New Roman" w:eastAsia="Times New Roman" w:hAnsi="Times New Roman"/>
                <w:sz w:val="16"/>
                <w:szCs w:val="16"/>
                <w:b w:val="1"/>
                <w:bCs w:val="1"/>
                <w:color w:val="auto"/>
              </w:rPr>
              <w:t>Fixed Rate Paid</w:t>
            </w:r>
          </w:p>
        </w:tc>
        <w:tc>
          <w:tcPr>
            <w:tcW w:w="1580" w:type="dxa"/>
            <w:vAlign w:val="bottom"/>
            <w:gridSpan w:val="2"/>
          </w:tcPr>
          <w:p>
            <w:pPr>
              <w:jc w:val="right"/>
              <w:spacing w:after="0" w:line="161" w:lineRule="exact"/>
              <w:rPr>
                <w:sz w:val="20"/>
                <w:szCs w:val="20"/>
                <w:color w:val="auto"/>
              </w:rPr>
            </w:pPr>
            <w:r>
              <w:rPr>
                <w:rFonts w:ascii="Times New Roman" w:cs="Times New Roman" w:eastAsia="Times New Roman" w:hAnsi="Times New Roman"/>
                <w:sz w:val="16"/>
                <w:szCs w:val="16"/>
                <w:b w:val="1"/>
                <w:bCs w:val="1"/>
                <w:color w:val="auto"/>
              </w:rPr>
              <w:t>Notional Amount (in</w:t>
            </w:r>
          </w:p>
        </w:tc>
        <w:tc>
          <w:tcPr>
            <w:tcW w:w="100" w:type="dxa"/>
            <w:vAlign w:val="bottom"/>
          </w:tcPr>
          <w:p>
            <w:pPr>
              <w:spacing w:after="0"/>
              <w:rPr>
                <w:sz w:val="14"/>
                <w:szCs w:val="14"/>
                <w:color w:val="auto"/>
              </w:rPr>
            </w:pPr>
          </w:p>
        </w:tc>
        <w:tc>
          <w:tcPr>
            <w:tcW w:w="12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Status</w:t>
            </w:r>
          </w:p>
        </w:tc>
        <w:tc>
          <w:tcPr>
            <w:tcW w:w="1580" w:type="dxa"/>
            <w:vAlign w:val="bottom"/>
            <w:gridSpan w:val="2"/>
          </w:tcPr>
          <w:p>
            <w:pPr>
              <w:jc w:val="right"/>
              <w:spacing w:after="0" w:line="161" w:lineRule="exact"/>
              <w:rPr>
                <w:sz w:val="20"/>
                <w:szCs w:val="20"/>
                <w:color w:val="auto"/>
              </w:rPr>
            </w:pPr>
            <w:r>
              <w:rPr>
                <w:rFonts w:ascii="Times New Roman" w:cs="Times New Roman" w:eastAsia="Times New Roman" w:hAnsi="Times New Roman"/>
                <w:sz w:val="16"/>
                <w:szCs w:val="16"/>
                <w:b w:val="1"/>
                <w:bCs w:val="1"/>
                <w:color w:val="auto"/>
              </w:rPr>
              <w:t>Notional Amount (in</w:t>
            </w:r>
          </w:p>
        </w:tc>
        <w:tc>
          <w:tcPr>
            <w:tcW w:w="120" w:type="dxa"/>
            <w:vAlign w:val="bottom"/>
          </w:tcPr>
          <w:p>
            <w:pPr>
              <w:spacing w:after="0"/>
              <w:rPr>
                <w:sz w:val="14"/>
                <w:szCs w:val="14"/>
                <w:color w:val="auto"/>
              </w:rPr>
            </w:pPr>
          </w:p>
        </w:tc>
        <w:tc>
          <w:tcPr>
            <w:tcW w:w="12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Status</w:t>
            </w:r>
          </w:p>
        </w:tc>
        <w:tc>
          <w:tcPr>
            <w:tcW w:w="17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Maturity Date</w:t>
            </w:r>
          </w:p>
        </w:tc>
        <w:tc>
          <w:tcPr>
            <w:tcW w:w="0" w:type="dxa"/>
            <w:vAlign w:val="bottom"/>
          </w:tcPr>
          <w:p>
            <w:pPr>
              <w:spacing w:after="0"/>
              <w:rPr>
                <w:sz w:val="1"/>
                <w:szCs w:val="1"/>
                <w:color w:val="auto"/>
              </w:rPr>
            </w:pPr>
          </w:p>
        </w:tc>
      </w:tr>
      <w:tr>
        <w:trPr>
          <w:trHeight w:val="214"/>
        </w:trPr>
        <w:tc>
          <w:tcPr>
            <w:tcW w:w="2220" w:type="dxa"/>
            <w:vAlign w:val="bottom"/>
            <w:gridSpan w:val="2"/>
            <w:vMerge w:val="continue"/>
          </w:tcPr>
          <w:p>
            <w:pPr>
              <w:spacing w:after="0"/>
              <w:rPr>
                <w:sz w:val="18"/>
                <w:szCs w:val="18"/>
                <w:color w:val="auto"/>
              </w:rPr>
            </w:pP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(Received)</w:t>
            </w:r>
          </w:p>
        </w:tc>
        <w:tc>
          <w:tcPr>
            <w:tcW w:w="300" w:type="dxa"/>
            <w:vAlign w:val="bottom"/>
          </w:tcPr>
          <w:p>
            <w:pPr>
              <w:spacing w:after="0"/>
              <w:rPr>
                <w:sz w:val="18"/>
                <w:szCs w:val="18"/>
                <w:color w:val="auto"/>
              </w:rPr>
            </w:pPr>
          </w:p>
        </w:tc>
        <w:tc>
          <w:tcPr>
            <w:tcW w:w="128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millions)</w:t>
            </w:r>
          </w:p>
        </w:tc>
        <w:tc>
          <w:tcPr>
            <w:tcW w:w="10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millions)</w:t>
            </w:r>
          </w:p>
        </w:tc>
        <w:tc>
          <w:tcPr>
            <w:tcW w:w="12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1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6"/>
        </w:trPr>
        <w:tc>
          <w:tcPr>
            <w:tcW w:w="212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Borders>
              <w:top w:val="single" w:sz="8" w:color="auto"/>
            </w:tcBorders>
          </w:tcPr>
          <w:p>
            <w:pPr>
              <w:spacing w:after="0"/>
              <w:rPr>
                <w:sz w:val="3"/>
                <w:szCs w:val="3"/>
                <w:color w:val="auto"/>
              </w:rPr>
            </w:pPr>
          </w:p>
        </w:tc>
        <w:tc>
          <w:tcPr>
            <w:tcW w:w="128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Borders>
              <w:top w:val="single" w:sz="8" w:color="auto"/>
            </w:tcBorders>
          </w:tcPr>
          <w:p>
            <w:pPr>
              <w:spacing w:after="0"/>
              <w:rPr>
                <w:sz w:val="3"/>
                <w:szCs w:val="3"/>
                <w:color w:val="auto"/>
              </w:rPr>
            </w:pPr>
          </w:p>
        </w:tc>
        <w:tc>
          <w:tcPr>
            <w:tcW w:w="128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780" w:type="dxa"/>
            <w:vAlign w:val="bottom"/>
            <w:tcBorders>
              <w:top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222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Entered into December 2016:</w:t>
            </w:r>
          </w:p>
        </w:tc>
        <w:tc>
          <w:tcPr>
            <w:tcW w:w="118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2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February 3, 2017</w:t>
            </w: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1.9040%</w:t>
            </w:r>
          </w:p>
        </w:tc>
        <w:tc>
          <w:tcPr>
            <w:tcW w:w="120" w:type="dxa"/>
            <w:vAlign w:val="bottom"/>
          </w:tcPr>
          <w:p>
            <w:pPr>
              <w:spacing w:after="0"/>
              <w:rPr>
                <w:sz w:val="17"/>
                <w:szCs w:val="17"/>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Matured</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Matured</w:t>
            </w:r>
          </w:p>
        </w:tc>
        <w:tc>
          <w:tcPr>
            <w:tcW w:w="17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February 3, 2022</w:t>
            </w:r>
          </w:p>
        </w:tc>
        <w:tc>
          <w:tcPr>
            <w:tcW w:w="0" w:type="dxa"/>
            <w:vAlign w:val="bottom"/>
          </w:tcPr>
          <w:p>
            <w:pPr>
              <w:spacing w:after="0"/>
              <w:rPr>
                <w:sz w:val="1"/>
                <w:szCs w:val="1"/>
                <w:color w:val="auto"/>
              </w:rPr>
            </w:pPr>
          </w:p>
        </w:tc>
      </w:tr>
      <w:tr>
        <w:trPr>
          <w:trHeight w:val="219"/>
        </w:trPr>
        <w:tc>
          <w:tcPr>
            <w:tcW w:w="22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February 3, 2017</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1.9040%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Matured</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Matured</w:t>
            </w:r>
          </w:p>
        </w:tc>
        <w:tc>
          <w:tcPr>
            <w:tcW w:w="1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February 3, 2022</w:t>
            </w:r>
          </w:p>
        </w:tc>
        <w:tc>
          <w:tcPr>
            <w:tcW w:w="0" w:type="dxa"/>
            <w:vAlign w:val="bottom"/>
          </w:tcPr>
          <w:p>
            <w:pPr>
              <w:spacing w:after="0"/>
              <w:rPr>
                <w:sz w:val="1"/>
                <w:szCs w:val="1"/>
                <w:color w:val="auto"/>
              </w:rPr>
            </w:pPr>
          </w:p>
        </w:tc>
      </w:tr>
      <w:tr>
        <w:trPr>
          <w:trHeight w:val="148"/>
        </w:trPr>
        <w:tc>
          <w:tcPr>
            <w:tcW w:w="2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22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Entered into December 2018:</w:t>
            </w:r>
          </w:p>
        </w:tc>
        <w:tc>
          <w:tcPr>
            <w:tcW w:w="118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2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February 3, 2019</w:t>
            </w: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2.7490%</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Matured</w:t>
            </w:r>
          </w:p>
        </w:tc>
        <w:tc>
          <w:tcPr>
            <w:tcW w:w="3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Matured</w:t>
            </w:r>
          </w:p>
        </w:tc>
        <w:tc>
          <w:tcPr>
            <w:tcW w:w="17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November 3, 2023</w:t>
            </w:r>
          </w:p>
        </w:tc>
        <w:tc>
          <w:tcPr>
            <w:tcW w:w="0" w:type="dxa"/>
            <w:vAlign w:val="bottom"/>
          </w:tcPr>
          <w:p>
            <w:pPr>
              <w:spacing w:after="0"/>
              <w:rPr>
                <w:sz w:val="1"/>
                <w:szCs w:val="1"/>
                <w:color w:val="auto"/>
              </w:rPr>
            </w:pPr>
          </w:p>
        </w:tc>
      </w:tr>
      <w:tr>
        <w:trPr>
          <w:trHeight w:val="219"/>
        </w:trPr>
        <w:tc>
          <w:tcPr>
            <w:tcW w:w="22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February 3, 2020</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2.7350%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Matured</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Matured</w:t>
            </w:r>
          </w:p>
        </w:tc>
        <w:tc>
          <w:tcPr>
            <w:tcW w:w="1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November 3, 2023</w:t>
            </w:r>
          </w:p>
        </w:tc>
        <w:tc>
          <w:tcPr>
            <w:tcW w:w="0" w:type="dxa"/>
            <w:vAlign w:val="bottom"/>
          </w:tcPr>
          <w:p>
            <w:pPr>
              <w:spacing w:after="0"/>
              <w:rPr>
                <w:sz w:val="1"/>
                <w:szCs w:val="1"/>
                <w:color w:val="auto"/>
              </w:rPr>
            </w:pPr>
          </w:p>
        </w:tc>
      </w:tr>
      <w:tr>
        <w:trPr>
          <w:trHeight w:val="213"/>
        </w:trPr>
        <w:tc>
          <w:tcPr>
            <w:tcW w:w="22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February 3, 2021</w:t>
            </w: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2.7360%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Matured</w:t>
            </w: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Matured</w:t>
            </w:r>
          </w:p>
        </w:tc>
        <w:tc>
          <w:tcPr>
            <w:tcW w:w="17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November 3, 2023</w:t>
            </w:r>
          </w:p>
        </w:tc>
        <w:tc>
          <w:tcPr>
            <w:tcW w:w="0" w:type="dxa"/>
            <w:vAlign w:val="bottom"/>
          </w:tcPr>
          <w:p>
            <w:pPr>
              <w:spacing w:after="0"/>
              <w:rPr>
                <w:sz w:val="1"/>
                <w:szCs w:val="1"/>
                <w:color w:val="auto"/>
              </w:rPr>
            </w:pPr>
          </w:p>
        </w:tc>
      </w:tr>
      <w:tr>
        <w:trPr>
          <w:trHeight w:val="219"/>
        </w:trPr>
        <w:tc>
          <w:tcPr>
            <w:tcW w:w="22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February 3, 2022</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2.7800%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Matured</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Matured</w:t>
            </w:r>
          </w:p>
        </w:tc>
        <w:tc>
          <w:tcPr>
            <w:tcW w:w="1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November 3, 2023</w:t>
            </w:r>
          </w:p>
        </w:tc>
        <w:tc>
          <w:tcPr>
            <w:tcW w:w="0" w:type="dxa"/>
            <w:vAlign w:val="bottom"/>
          </w:tcPr>
          <w:p>
            <w:pPr>
              <w:spacing w:after="0"/>
              <w:rPr>
                <w:sz w:val="1"/>
                <w:szCs w:val="1"/>
                <w:color w:val="auto"/>
              </w:rPr>
            </w:pPr>
          </w:p>
        </w:tc>
      </w:tr>
      <w:tr>
        <w:trPr>
          <w:trHeight w:val="149"/>
        </w:trPr>
        <w:tc>
          <w:tcPr>
            <w:tcW w:w="2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22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Entered into February 2021:</w:t>
            </w:r>
          </w:p>
        </w:tc>
        <w:tc>
          <w:tcPr>
            <w:tcW w:w="118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2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February 3, 2021</w:t>
            </w: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(1.9040)%</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Matured</w:t>
            </w:r>
          </w:p>
        </w:tc>
        <w:tc>
          <w:tcPr>
            <w:tcW w:w="3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Matured</w:t>
            </w:r>
          </w:p>
        </w:tc>
        <w:tc>
          <w:tcPr>
            <w:tcW w:w="17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February 3, 2022</w:t>
            </w:r>
          </w:p>
        </w:tc>
        <w:tc>
          <w:tcPr>
            <w:tcW w:w="0" w:type="dxa"/>
            <w:vAlign w:val="bottom"/>
          </w:tcPr>
          <w:p>
            <w:pPr>
              <w:spacing w:after="0"/>
              <w:rPr>
                <w:sz w:val="1"/>
                <w:szCs w:val="1"/>
                <w:color w:val="auto"/>
              </w:rPr>
            </w:pPr>
          </w:p>
        </w:tc>
      </w:tr>
      <w:tr>
        <w:trPr>
          <w:trHeight w:val="219"/>
        </w:trPr>
        <w:tc>
          <w:tcPr>
            <w:tcW w:w="22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February 9, 2021</w:t>
            </w:r>
          </w:p>
        </w:tc>
        <w:tc>
          <w:tcPr>
            <w:tcW w:w="1180" w:type="dxa"/>
            <w:vAlign w:val="bottom"/>
            <w:shd w:val="clear" w:color="auto" w:fill="CCEEFF"/>
          </w:tcPr>
          <w:p>
            <w:pPr>
              <w:jc w:val="center"/>
              <w:spacing w:after="0" w:line="219" w:lineRule="exact"/>
              <w:rPr>
                <w:sz w:val="20"/>
                <w:szCs w:val="20"/>
                <w:color w:val="auto"/>
              </w:rPr>
            </w:pPr>
            <w:r>
              <w:rPr>
                <w:rFonts w:ascii="Times New Roman" w:cs="Times New Roman" w:eastAsia="Times New Roman" w:hAnsi="Times New Roman"/>
                <w:sz w:val="16"/>
                <w:szCs w:val="16"/>
                <w:color w:val="auto"/>
                <w:w w:val="95"/>
              </w:rPr>
              <w:t xml:space="preserve">2.34150% </w:t>
            </w:r>
            <w:r>
              <w:rPr>
                <w:rFonts w:ascii="Times New Roman" w:cs="Times New Roman" w:eastAsia="Times New Roman" w:hAnsi="Times New Roman"/>
                <w:sz w:val="21"/>
                <w:szCs w:val="21"/>
                <w:color w:val="auto"/>
                <w:w w:val="95"/>
                <w:vertAlign w:val="superscript"/>
              </w:rPr>
              <w:t>(1)</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1,350.0</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8"/>
              </w:rPr>
              <w:t>Active</w:t>
            </w:r>
          </w:p>
        </w:tc>
        <w:tc>
          <w:tcPr>
            <w:tcW w:w="3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1,350.0</w:t>
            </w: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Active</w:t>
            </w:r>
          </w:p>
        </w:tc>
        <w:tc>
          <w:tcPr>
            <w:tcW w:w="1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February 9, 2026</w:t>
            </w:r>
          </w:p>
        </w:tc>
        <w:tc>
          <w:tcPr>
            <w:tcW w:w="0" w:type="dxa"/>
            <w:vAlign w:val="bottom"/>
          </w:tcPr>
          <w:p>
            <w:pPr>
              <w:spacing w:after="0"/>
              <w:rPr>
                <w:sz w:val="1"/>
                <w:szCs w:val="1"/>
                <w:color w:val="auto"/>
              </w:rPr>
            </w:pPr>
          </w:p>
        </w:tc>
      </w:tr>
      <w:tr>
        <w:trPr>
          <w:trHeight w:val="210"/>
        </w:trPr>
        <w:tc>
          <w:tcPr>
            <w:tcW w:w="22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4"/>
              </w:rPr>
              <w:t>Total</w:t>
            </w: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1,350.0</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1,350.0</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400" w:hanging="392"/>
        <w:spacing w:after="0"/>
        <w:tabs>
          <w:tab w:leader="none" w:pos="400"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Fixed rate paid prior to the May 9, 2023 amendment was 2.3820%.</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Values of Derivatives on the Consolidated Balance Sheets</w:t>
      </w:r>
    </w:p>
    <w:p>
      <w:pPr>
        <w:spacing w:after="0" w:line="25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fair values of our derivatives and their location on the Consolidated Balance Sheets as of December 31, 2023 and 2024 were as follows:</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48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640" w:type="dxa"/>
            <w:vAlign w:val="bottom"/>
            <w:tcBorders>
              <w:bottom w:val="single" w:sz="8" w:color="auto"/>
            </w:tcBorders>
            <w:gridSpan w:val="4"/>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3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4"/>
          </w:tcPr>
          <w:p>
            <w:pPr>
              <w:jc w:val="right"/>
              <w:ind w:right="779"/>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0" w:type="dxa"/>
            <w:vAlign w:val="bottom"/>
          </w:tcPr>
          <w:p>
            <w:pPr>
              <w:spacing w:after="0"/>
              <w:rPr>
                <w:sz w:val="1"/>
                <w:szCs w:val="1"/>
                <w:color w:val="auto"/>
              </w:rPr>
            </w:pPr>
          </w:p>
        </w:tc>
      </w:tr>
      <w:tr>
        <w:trPr>
          <w:trHeight w:val="209"/>
        </w:trPr>
        <w:tc>
          <w:tcPr>
            <w:tcW w:w="2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26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40" w:type="dxa"/>
            <w:vAlign w:val="bottom"/>
          </w:tcPr>
          <w:p>
            <w:pPr>
              <w:spacing w:after="0"/>
              <w:rPr>
                <w:sz w:val="18"/>
                <w:szCs w:val="18"/>
                <w:color w:val="auto"/>
              </w:rPr>
            </w:pPr>
          </w:p>
        </w:tc>
        <w:tc>
          <w:tcPr>
            <w:tcW w:w="122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0" w:type="dxa"/>
            <w:vAlign w:val="bottom"/>
          </w:tcPr>
          <w:p>
            <w:pPr>
              <w:spacing w:after="0"/>
              <w:rPr>
                <w:sz w:val="1"/>
                <w:szCs w:val="1"/>
                <w:color w:val="auto"/>
              </w:rPr>
            </w:pPr>
          </w:p>
        </w:tc>
      </w:tr>
      <w:tr>
        <w:trPr>
          <w:trHeight w:val="146"/>
        </w:trPr>
        <w:tc>
          <w:tcPr>
            <w:tcW w:w="2480" w:type="dxa"/>
            <w:vAlign w:val="bottom"/>
          </w:tcPr>
          <w:p>
            <w:pPr>
              <w:ind w:left="20"/>
              <w:spacing w:after="0" w:line="146" w:lineRule="exact"/>
              <w:rPr>
                <w:sz w:val="20"/>
                <w:szCs w:val="20"/>
                <w:color w:val="auto"/>
              </w:rPr>
            </w:pPr>
            <w:r>
              <w:rPr>
                <w:rFonts w:ascii="Times New Roman" w:cs="Times New Roman" w:eastAsia="Times New Roman" w:hAnsi="Times New Roman"/>
                <w:sz w:val="16"/>
                <w:szCs w:val="16"/>
                <w:b w:val="1"/>
                <w:bCs w:val="1"/>
                <w:color w:val="auto"/>
              </w:rPr>
              <w:t>Derivatives designated as hedging</w:t>
            </w:r>
          </w:p>
        </w:tc>
        <w:tc>
          <w:tcPr>
            <w:tcW w:w="2640" w:type="dxa"/>
            <w:vAlign w:val="bottom"/>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Location</w:t>
            </w:r>
          </w:p>
        </w:tc>
        <w:tc>
          <w:tcPr>
            <w:tcW w:w="10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24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instruments</w:t>
            </w:r>
          </w:p>
        </w:tc>
        <w:tc>
          <w:tcPr>
            <w:tcW w:w="2640" w:type="dxa"/>
            <w:vAlign w:val="bottom"/>
            <w:vMerge w:val="continue"/>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rate swaps</w:t>
            </w:r>
          </w:p>
        </w:tc>
        <w:tc>
          <w:tcPr>
            <w:tcW w:w="2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 current assets</w:t>
            </w:r>
          </w:p>
        </w:tc>
        <w:tc>
          <w:tcPr>
            <w:tcW w:w="100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rate swaps</w:t>
            </w:r>
          </w:p>
        </w:tc>
        <w:tc>
          <w:tcPr>
            <w:tcW w:w="26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 non-current assets</w:t>
            </w:r>
          </w:p>
        </w:tc>
        <w:tc>
          <w:tcPr>
            <w:tcW w:w="10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36.8</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rate swaps</w:t>
            </w:r>
          </w:p>
        </w:tc>
        <w:tc>
          <w:tcPr>
            <w:tcW w:w="2640" w:type="dxa"/>
            <w:vAlign w:val="bottom"/>
            <w:shd w:val="clear" w:color="auto" w:fill="CCEEFF"/>
          </w:tcPr>
          <w:p>
            <w:pPr>
              <w:ind w:left="120"/>
              <w:spacing w:after="0" w:line="219" w:lineRule="exact"/>
              <w:rPr>
                <w:sz w:val="20"/>
                <w:szCs w:val="20"/>
                <w:color w:val="auto"/>
              </w:rPr>
            </w:pPr>
            <w:r>
              <w:rPr>
                <w:rFonts w:ascii="Times New Roman" w:cs="Times New Roman" w:eastAsia="Times New Roman" w:hAnsi="Times New Roman"/>
                <w:sz w:val="16"/>
                <w:szCs w:val="16"/>
                <w:color w:val="auto"/>
              </w:rPr>
              <w:t xml:space="preserve">Other current liabilities </w:t>
            </w:r>
            <w:r>
              <w:rPr>
                <w:rFonts w:ascii="Times New Roman" w:cs="Times New Roman" w:eastAsia="Times New Roman" w:hAnsi="Times New Roman"/>
                <w:sz w:val="21"/>
                <w:szCs w:val="21"/>
                <w:color w:val="auto"/>
                <w:vertAlign w:val="superscript"/>
              </w:rPr>
              <w:t>(1)</w:t>
            </w:r>
          </w:p>
        </w:tc>
        <w:tc>
          <w:tcPr>
            <w:tcW w:w="100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17.3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0" w:type="dxa"/>
            <w:vAlign w:val="bottom"/>
          </w:tcPr>
          <w:p>
            <w:pPr>
              <w:spacing w:after="0"/>
              <w:rPr>
                <w:sz w:val="1"/>
                <w:szCs w:val="1"/>
                <w:color w:val="auto"/>
              </w:rPr>
            </w:pPr>
          </w:p>
        </w:tc>
      </w:tr>
      <w:tr>
        <w:trPr>
          <w:trHeight w:val="216"/>
        </w:trPr>
        <w:tc>
          <w:tcPr>
            <w:tcW w:w="2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rate swaps</w:t>
            </w:r>
          </w:p>
        </w:tc>
        <w:tc>
          <w:tcPr>
            <w:tcW w:w="2640" w:type="dxa"/>
            <w:vAlign w:val="bottom"/>
          </w:tcPr>
          <w:p>
            <w:pPr>
              <w:ind w:left="120"/>
              <w:spacing w:after="0" w:line="216" w:lineRule="exact"/>
              <w:rPr>
                <w:sz w:val="20"/>
                <w:szCs w:val="20"/>
                <w:color w:val="auto"/>
              </w:rPr>
            </w:pPr>
            <w:r>
              <w:rPr>
                <w:rFonts w:ascii="Times New Roman" w:cs="Times New Roman" w:eastAsia="Times New Roman" w:hAnsi="Times New Roman"/>
                <w:sz w:val="16"/>
                <w:szCs w:val="16"/>
                <w:color w:val="auto"/>
              </w:rPr>
              <w:t xml:space="preserve">Other non-current liabilities </w:t>
            </w:r>
            <w:r>
              <w:rPr>
                <w:rFonts w:ascii="Times New Roman" w:cs="Times New Roman" w:eastAsia="Times New Roman" w:hAnsi="Times New Roman"/>
                <w:sz w:val="21"/>
                <w:szCs w:val="21"/>
                <w:color w:val="auto"/>
                <w:vertAlign w:val="superscript"/>
              </w:rPr>
              <w:t>(1)</w:t>
            </w:r>
          </w:p>
        </w:tc>
        <w:tc>
          <w:tcPr>
            <w:tcW w:w="100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20.3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0" w:type="dxa"/>
            <w:vAlign w:val="bottom"/>
          </w:tcPr>
          <w:p>
            <w:pPr>
              <w:spacing w:after="0"/>
              <w:rPr>
                <w:sz w:val="1"/>
                <w:szCs w:val="1"/>
                <w:color w:val="auto"/>
              </w:rPr>
            </w:pPr>
          </w:p>
        </w:tc>
      </w:tr>
      <w:tr>
        <w:trPr>
          <w:trHeight w:val="235"/>
        </w:trPr>
        <w:tc>
          <w:tcPr>
            <w:tcW w:w="248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2640" w:type="dxa"/>
            <w:vAlign w:val="bottom"/>
            <w:tcBorders>
              <w:top w:val="single" w:sz="8" w:color="CCEEFF"/>
              <w:bottom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37.6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w:t>
            </w:r>
          </w:p>
        </w:tc>
        <w:tc>
          <w:tcPr>
            <w:tcW w:w="0" w:type="dxa"/>
            <w:vAlign w:val="bottom"/>
          </w:tcPr>
          <w:p>
            <w:pPr>
              <w:spacing w:after="0"/>
              <w:rPr>
                <w:sz w:val="1"/>
                <w:szCs w:val="1"/>
                <w:color w:val="auto"/>
              </w:rPr>
            </w:pPr>
          </w:p>
        </w:tc>
      </w:tr>
      <w:tr>
        <w:trPr>
          <w:trHeight w:val="20"/>
        </w:trPr>
        <w:tc>
          <w:tcPr>
            <w:tcW w:w="2480" w:type="dxa"/>
            <w:vAlign w:val="bottom"/>
            <w:tcBorders>
              <w:top w:val="single" w:sz="8" w:color="CCEEFF"/>
            </w:tcBorders>
          </w:tcPr>
          <w:p>
            <w:pPr>
              <w:spacing w:after="0" w:line="20" w:lineRule="exact"/>
              <w:rPr>
                <w:sz w:val="1"/>
                <w:szCs w:val="1"/>
                <w:color w:val="auto"/>
              </w:rPr>
            </w:pPr>
          </w:p>
        </w:tc>
        <w:tc>
          <w:tcPr>
            <w:tcW w:w="26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6"/>
          <w:szCs w:val="16"/>
          <w:color w:val="auto"/>
        </w:rPr>
        <w:t>(1)</w:t>
        <w:tab/>
        <w:t>The entire balance is comprised of the financing component of the pay-fixed interest rate swap.</w:t>
      </w:r>
    </w:p>
    <w:p>
      <w:pPr>
        <w:spacing w:after="0" w:line="257" w:lineRule="exact"/>
        <w:rPr>
          <w:sz w:val="20"/>
          <w:szCs w:val="20"/>
          <w:color w:val="auto"/>
        </w:rPr>
      </w:pPr>
    </w:p>
    <w:p>
      <w:pPr>
        <w:ind w:right="280" w:firstLine="486"/>
        <w:spacing w:after="0" w:line="282" w:lineRule="auto"/>
        <w:rPr>
          <w:sz w:val="20"/>
          <w:szCs w:val="20"/>
          <w:color w:val="auto"/>
        </w:rPr>
      </w:pPr>
      <w:r>
        <w:rPr>
          <w:rFonts w:ascii="Times New Roman" w:cs="Times New Roman" w:eastAsia="Times New Roman" w:hAnsi="Times New Roman"/>
          <w:sz w:val="18"/>
          <w:szCs w:val="18"/>
          <w:color w:val="auto"/>
        </w:rPr>
        <w:t>For financial statement presentation purposes, we do not offset assets and liabilities under master netting arrangements and all amounts above are presented on a gross basis. The following table, however, is presented on a net asset and net liability basis: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- 146 -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80" w:type="dxa"/>
        <w:tblCellMar>
          <w:top w:w="0" w:type="dxa"/>
          <w:left w:w="0" w:type="dxa"/>
          <w:bottom w:w="0" w:type="dxa"/>
          <w:right w:w="0" w:type="dxa"/>
        </w:tblCellMar>
      </w:tblPr>
      <w:tr>
        <w:trPr>
          <w:trHeight w:val="215"/>
        </w:trPr>
        <w:tc>
          <w:tcPr>
            <w:tcW w:w="35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4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jc w:val="center"/>
              <w:ind w:right="200"/>
              <w:spacing w:after="0" w:line="158" w:lineRule="exact"/>
              <w:rPr>
                <w:sz w:val="20"/>
                <w:szCs w:val="20"/>
                <w:color w:val="auto"/>
              </w:rPr>
            </w:pPr>
            <w:r>
              <w:rPr>
                <w:rFonts w:ascii="Times New Roman" w:cs="Times New Roman" w:eastAsia="Times New Roman" w:hAnsi="Times New Roman"/>
                <w:sz w:val="16"/>
                <w:szCs w:val="16"/>
                <w:b w:val="1"/>
                <w:bCs w:val="1"/>
                <w:color w:val="auto"/>
                <w:w w:val="99"/>
              </w:rPr>
              <w:t>Gross</w:t>
            </w:r>
          </w:p>
        </w:tc>
        <w:tc>
          <w:tcPr>
            <w:tcW w:w="140" w:type="dxa"/>
            <w:vAlign w:val="bottom"/>
          </w:tcPr>
          <w:p>
            <w:pPr>
              <w:spacing w:after="0"/>
              <w:rPr>
                <w:sz w:val="13"/>
                <w:szCs w:val="13"/>
                <w:color w:val="auto"/>
              </w:rPr>
            </w:pPr>
          </w:p>
        </w:tc>
        <w:tc>
          <w:tcPr>
            <w:tcW w:w="130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6"/>
                <w:szCs w:val="16"/>
                <w:b w:val="1"/>
                <w:bCs w:val="1"/>
                <w:color w:val="auto"/>
              </w:rPr>
              <w:t>Effects of</w:t>
            </w:r>
          </w:p>
        </w:tc>
        <w:tc>
          <w:tcPr>
            <w:tcW w:w="4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6"/>
                <w:szCs w:val="16"/>
                <w:b w:val="1"/>
                <w:bCs w:val="1"/>
                <w:color w:val="auto"/>
                <w:w w:val="99"/>
              </w:rPr>
              <w:t>Gross</w:t>
            </w:r>
          </w:p>
        </w:tc>
        <w:tc>
          <w:tcPr>
            <w:tcW w:w="140" w:type="dxa"/>
            <w:vAlign w:val="bottom"/>
          </w:tcPr>
          <w:p>
            <w:pPr>
              <w:spacing w:after="0"/>
              <w:rPr>
                <w:sz w:val="13"/>
                <w:szCs w:val="13"/>
                <w:color w:val="auto"/>
              </w:rPr>
            </w:pPr>
          </w:p>
        </w:tc>
        <w:tc>
          <w:tcPr>
            <w:tcW w:w="128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6"/>
                <w:szCs w:val="16"/>
                <w:b w:val="1"/>
                <w:bCs w:val="1"/>
                <w:color w:val="auto"/>
              </w:rPr>
              <w:t>Effects of</w:t>
            </w: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6"/>
                <w:szCs w:val="16"/>
                <w:b w:val="1"/>
                <w:bCs w:val="1"/>
                <w:color w:val="auto"/>
              </w:rPr>
              <w:t>Amounts on</w:t>
            </w:r>
          </w:p>
        </w:tc>
        <w:tc>
          <w:tcPr>
            <w:tcW w:w="140" w:type="dxa"/>
            <w:vAlign w:val="bottom"/>
          </w:tcPr>
          <w:p>
            <w:pPr>
              <w:spacing w:after="0"/>
              <w:rPr>
                <w:sz w:val="14"/>
                <w:szCs w:val="14"/>
                <w:color w:val="auto"/>
              </w:rPr>
            </w:pPr>
          </w:p>
        </w:tc>
        <w:tc>
          <w:tcPr>
            <w:tcW w:w="130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w w:val="99"/>
              </w:rPr>
              <w:t>Counterparty</w:t>
            </w:r>
          </w:p>
        </w:tc>
        <w:tc>
          <w:tcPr>
            <w:tcW w:w="1180" w:type="dxa"/>
            <w:vAlign w:val="bottom"/>
            <w:gridSpan w:val="3"/>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Net Amounts</w:t>
            </w:r>
          </w:p>
        </w:tc>
        <w:tc>
          <w:tcPr>
            <w:tcW w:w="120" w:type="dxa"/>
            <w:vAlign w:val="bottom"/>
          </w:tcPr>
          <w:p>
            <w:pPr>
              <w:spacing w:after="0"/>
              <w:rPr>
                <w:sz w:val="14"/>
                <w:szCs w:val="14"/>
                <w:color w:val="auto"/>
              </w:rPr>
            </w:pPr>
          </w:p>
        </w:tc>
        <w:tc>
          <w:tcPr>
            <w:tcW w:w="108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Amounts on</w:t>
            </w:r>
          </w:p>
        </w:tc>
        <w:tc>
          <w:tcPr>
            <w:tcW w:w="140" w:type="dxa"/>
            <w:vAlign w:val="bottom"/>
          </w:tcPr>
          <w:p>
            <w:pPr>
              <w:spacing w:after="0"/>
              <w:rPr>
                <w:sz w:val="14"/>
                <w:szCs w:val="14"/>
                <w:color w:val="auto"/>
              </w:rPr>
            </w:pPr>
          </w:p>
        </w:tc>
        <w:tc>
          <w:tcPr>
            <w:tcW w:w="128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Counterparty</w:t>
            </w:r>
          </w:p>
        </w:tc>
        <w:tc>
          <w:tcPr>
            <w:tcW w:w="100" w:type="dxa"/>
            <w:vAlign w:val="bottom"/>
          </w:tcPr>
          <w:p>
            <w:pPr>
              <w:spacing w:after="0"/>
              <w:rPr>
                <w:sz w:val="14"/>
                <w:szCs w:val="14"/>
                <w:color w:val="auto"/>
              </w:rPr>
            </w:pPr>
          </w:p>
        </w:tc>
        <w:tc>
          <w:tcPr>
            <w:tcW w:w="104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Net Amounts</w:t>
            </w:r>
          </w:p>
        </w:tc>
        <w:tc>
          <w:tcPr>
            <w:tcW w:w="0" w:type="dxa"/>
            <w:vAlign w:val="bottom"/>
          </w:tcPr>
          <w:p>
            <w:pPr>
              <w:spacing w:after="0"/>
              <w:rPr>
                <w:sz w:val="1"/>
                <w:szCs w:val="1"/>
                <w:color w:val="auto"/>
              </w:rPr>
            </w:pPr>
          </w:p>
        </w:tc>
      </w:tr>
      <w:tr>
        <w:trPr>
          <w:trHeight w:val="212"/>
        </w:trPr>
        <w:tc>
          <w:tcPr>
            <w:tcW w:w="3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118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Balance Sheet</w:t>
            </w:r>
          </w:p>
        </w:tc>
        <w:tc>
          <w:tcPr>
            <w:tcW w:w="140" w:type="dxa"/>
            <w:vAlign w:val="bottom"/>
          </w:tcPr>
          <w:p>
            <w:pPr>
              <w:spacing w:after="0"/>
              <w:rPr>
                <w:sz w:val="18"/>
                <w:szCs w:val="18"/>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Netting</w:t>
            </w:r>
          </w:p>
        </w:tc>
        <w:tc>
          <w:tcPr>
            <w:tcW w:w="1180" w:type="dxa"/>
            <w:vAlign w:val="bottom"/>
            <w:gridSpan w:val="3"/>
            <w:vMerge w:val="continue"/>
          </w:tcPr>
          <w:p>
            <w:pPr>
              <w:spacing w:after="0"/>
              <w:rPr>
                <w:sz w:val="18"/>
                <w:szCs w:val="18"/>
                <w:color w:val="auto"/>
              </w:rPr>
            </w:pPr>
          </w:p>
        </w:tc>
        <w:tc>
          <w:tcPr>
            <w:tcW w:w="120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Balance Sheet</w:t>
            </w:r>
          </w:p>
        </w:tc>
        <w:tc>
          <w:tcPr>
            <w:tcW w:w="140" w:type="dxa"/>
            <w:vAlign w:val="bottom"/>
          </w:tcPr>
          <w:p>
            <w:pPr>
              <w:spacing w:after="0"/>
              <w:rPr>
                <w:sz w:val="18"/>
                <w:szCs w:val="18"/>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Netting</w:t>
            </w:r>
          </w:p>
        </w:tc>
        <w:tc>
          <w:tcPr>
            <w:tcW w:w="10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35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rate swaps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w:t>
            </w:r>
          </w:p>
        </w:tc>
        <w:tc>
          <w:tcPr>
            <w:tcW w:w="0" w:type="dxa"/>
            <w:vAlign w:val="bottom"/>
          </w:tcPr>
          <w:p>
            <w:pPr>
              <w:spacing w:after="0"/>
              <w:rPr>
                <w:sz w:val="1"/>
                <w:szCs w:val="1"/>
                <w:color w:val="auto"/>
              </w:rPr>
            </w:pPr>
          </w:p>
        </w:tc>
      </w:tr>
      <w:tr>
        <w:trPr>
          <w:trHeight w:val="94"/>
        </w:trPr>
        <w:tc>
          <w:tcPr>
            <w:tcW w:w="3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rate swaps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w:t>
            </w:r>
          </w:p>
        </w:tc>
        <w:tc>
          <w:tcPr>
            <w:tcW w:w="12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w:t>
            </w:r>
          </w:p>
        </w:tc>
        <w:tc>
          <w:tcPr>
            <w:tcW w:w="12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Effect of Derivatives on the Consolidated Statements of Comprehensive Loss</w:t>
      </w:r>
    </w:p>
    <w:p>
      <w:pPr>
        <w:spacing w:after="0" w:line="256" w:lineRule="exact"/>
        <w:rPr>
          <w:sz w:val="20"/>
          <w:szCs w:val="20"/>
          <w:color w:val="auto"/>
        </w:rPr>
      </w:pPr>
    </w:p>
    <w:p>
      <w:pPr>
        <w:ind w:right="380" w:firstLine="486"/>
        <w:spacing w:after="0" w:line="282" w:lineRule="auto"/>
        <w:rPr>
          <w:sz w:val="20"/>
          <w:szCs w:val="20"/>
          <w:color w:val="auto"/>
        </w:rPr>
      </w:pPr>
      <w:r>
        <w:rPr>
          <w:rFonts w:ascii="Times New Roman" w:cs="Times New Roman" w:eastAsia="Times New Roman" w:hAnsi="Times New Roman"/>
          <w:sz w:val="18"/>
          <w:szCs w:val="18"/>
          <w:color w:val="auto"/>
        </w:rPr>
        <w:t>The effect of our derivatives and their location on the Consolidated Statements of Comprehensive Loss for the years ended December 31, 2022, 2023 and 2024 was as follows: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68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r>
      <w:tr>
        <w:trPr>
          <w:trHeight w:val="209"/>
        </w:trPr>
        <w:tc>
          <w:tcPr>
            <w:tcW w:w="3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2540" w:type="dxa"/>
            <w:vAlign w:val="bottom"/>
          </w:tcPr>
          <w:p>
            <w:pPr>
              <w:spacing w:after="0"/>
              <w:rPr>
                <w:sz w:val="18"/>
                <w:szCs w:val="18"/>
                <w:color w:val="auto"/>
              </w:rPr>
            </w:pPr>
          </w:p>
        </w:tc>
        <w:tc>
          <w:tcPr>
            <w:tcW w:w="10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2022</w:t>
            </w:r>
          </w:p>
        </w:tc>
        <w:tc>
          <w:tcPr>
            <w:tcW w:w="5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97"/>
        </w:trPr>
        <w:tc>
          <w:tcPr>
            <w:tcW w:w="36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Derivatives not designated as hedging instruments</w:t>
            </w:r>
          </w:p>
        </w:tc>
        <w:tc>
          <w:tcPr>
            <w:tcW w:w="254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rPr>
              <w:t>Location</w:t>
            </w:r>
          </w:p>
        </w:tc>
        <w:tc>
          <w:tcPr>
            <w:tcW w:w="10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19"/>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rate swaps</w:t>
            </w:r>
          </w:p>
        </w:tc>
        <w:tc>
          <w:tcPr>
            <w:tcW w:w="25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Interest income (expense)</w:t>
            </w:r>
          </w:p>
        </w:tc>
        <w:tc>
          <w:tcPr>
            <w:tcW w:w="1060" w:type="dxa"/>
            <w:vAlign w:val="bottom"/>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w:t>
            </w:r>
          </w:p>
        </w:tc>
        <w:tc>
          <w:tcPr>
            <w:tcW w:w="4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95"/>
        </w:trPr>
        <w:tc>
          <w:tcPr>
            <w:tcW w:w="3680" w:type="dxa"/>
            <w:vAlign w:val="bottom"/>
          </w:tcPr>
          <w:p>
            <w:pPr>
              <w:spacing w:after="0"/>
              <w:rPr>
                <w:sz w:val="8"/>
                <w:szCs w:val="8"/>
                <w:color w:val="auto"/>
              </w:rPr>
            </w:pPr>
          </w:p>
        </w:tc>
        <w:tc>
          <w:tcPr>
            <w:tcW w:w="25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40" w:type="dxa"/>
            <w:vAlign w:val="bottom"/>
          </w:tcPr>
          <w:p>
            <w:pPr>
              <w:spacing w:after="0"/>
              <w:rPr>
                <w:sz w:val="8"/>
                <w:szCs w:val="8"/>
                <w:color w:val="auto"/>
              </w:rPr>
            </w:pPr>
          </w:p>
        </w:tc>
      </w:tr>
      <w:tr>
        <w:trPr>
          <w:trHeight w:val="216"/>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Derivatives designated as hedging instruments</w:t>
            </w:r>
          </w:p>
        </w:tc>
        <w:tc>
          <w:tcPr>
            <w:tcW w:w="25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b w:val="1"/>
                <w:bCs w:val="1"/>
                <w:color w:val="auto"/>
              </w:rPr>
              <w:t>Location</w:t>
            </w:r>
          </w:p>
        </w:tc>
        <w:tc>
          <w:tcPr>
            <w:tcW w:w="10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0"/>
        </w:trPr>
        <w:tc>
          <w:tcPr>
            <w:tcW w:w="3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rate swaps</w:t>
            </w:r>
          </w:p>
        </w:tc>
        <w:tc>
          <w:tcPr>
            <w:tcW w:w="25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Interest income (expense)</w:t>
            </w:r>
          </w:p>
        </w:tc>
        <w:tc>
          <w:tcPr>
            <w:tcW w:w="1060" w:type="dxa"/>
            <w:vAlign w:val="bottom"/>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4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55.5</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57.6</w:t>
            </w:r>
          </w:p>
        </w:tc>
      </w:tr>
    </w:tbl>
    <w:p>
      <w:pPr>
        <w:spacing w:after="0" w:line="325" w:lineRule="exact"/>
        <w:rPr>
          <w:sz w:val="20"/>
          <w:szCs w:val="20"/>
          <w:color w:val="auto"/>
        </w:rPr>
      </w:pPr>
    </w:p>
    <w:p>
      <w:pPr>
        <w:ind w:right="80" w:firstLine="486"/>
        <w:spacing w:after="0" w:line="261" w:lineRule="auto"/>
        <w:rPr>
          <w:sz w:val="20"/>
          <w:szCs w:val="20"/>
          <w:color w:val="auto"/>
        </w:rPr>
      </w:pPr>
      <w:r>
        <w:rPr>
          <w:rFonts w:ascii="Times New Roman" w:cs="Times New Roman" w:eastAsia="Times New Roman" w:hAnsi="Times New Roman"/>
          <w:sz w:val="18"/>
          <w:szCs w:val="18"/>
          <w:color w:val="auto"/>
        </w:rPr>
        <w:t>Interest expense was $208.5 million, $221.6 million and $98.0 million for the years ended December 31, 2022, 2023 and 2024, respectively. As of December 31, 2024, the amount of cash flow hedge gain included within "Accumulated other comprehensive income" that is expected to be reclassified as a reduction to "Interest expense" over the next 12 months is approximately $42.0 million. See Note 15, "Accumulated Other Comprehensive Income," for information regarding changes in fair value of our derivatives designated as hedging instruments.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Credit-risk-related Contingent Features</w:t>
      </w:r>
    </w:p>
    <w:p>
      <w:pPr>
        <w:spacing w:after="0" w:line="256" w:lineRule="exact"/>
        <w:rPr>
          <w:sz w:val="20"/>
          <w:szCs w:val="20"/>
          <w:color w:val="auto"/>
        </w:rPr>
      </w:pPr>
    </w:p>
    <w:p>
      <w:pPr>
        <w:jc w:val="both"/>
        <w:ind w:right="80" w:firstLine="486"/>
        <w:spacing w:after="0" w:line="266" w:lineRule="auto"/>
        <w:rPr>
          <w:sz w:val="20"/>
          <w:szCs w:val="20"/>
          <w:color w:val="auto"/>
        </w:rPr>
      </w:pPr>
      <w:r>
        <w:rPr>
          <w:rFonts w:ascii="Times New Roman" w:cs="Times New Roman" w:eastAsia="Times New Roman" w:hAnsi="Times New Roman"/>
          <w:sz w:val="18"/>
          <w:szCs w:val="18"/>
          <w:color w:val="auto"/>
        </w:rPr>
        <w:t>We have agreements with interest rate swap counterparties that contain a provision whereby if we default on any of our material indebtedness, then we could also be declared in default of our interest rate swap agreements. As of December 31, 2024, our outstanding interest rate swap agreement was in a net asset position.</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- 147 -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Accumulated Other Comprehensive Income</w:t>
      </w:r>
    </w:p>
    <w:p>
      <w:pPr>
        <w:spacing w:after="0" w:line="25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Accumulated other comprehensive income consisted of the following:</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Accumulated Foreign</w:t>
            </w:r>
          </w:p>
        </w:tc>
        <w:tc>
          <w:tcPr>
            <w:tcW w:w="22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Accumulated Gain (Loss) on</w:t>
            </w:r>
          </w:p>
        </w:tc>
        <w:tc>
          <w:tcPr>
            <w:tcW w:w="180" w:type="dxa"/>
            <w:vAlign w:val="bottom"/>
          </w:tcPr>
          <w:p>
            <w:pPr>
              <w:spacing w:after="0"/>
              <w:rPr>
                <w:sz w:val="16"/>
                <w:szCs w:val="16"/>
                <w:color w:val="auto"/>
              </w:rPr>
            </w:pPr>
          </w:p>
        </w:tc>
        <w:tc>
          <w:tcPr>
            <w:tcW w:w="1960" w:type="dxa"/>
            <w:vAlign w:val="bottom"/>
            <w:vMerge w:val="restart"/>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Accumulated Other</w:t>
            </w:r>
          </w:p>
        </w:tc>
        <w:tc>
          <w:tcPr>
            <w:tcW w:w="0" w:type="dxa"/>
            <w:vAlign w:val="bottom"/>
          </w:tcPr>
          <w:p>
            <w:pPr>
              <w:spacing w:after="0"/>
              <w:rPr>
                <w:sz w:val="1"/>
                <w:szCs w:val="1"/>
                <w:color w:val="auto"/>
              </w:rPr>
            </w:pPr>
          </w:p>
        </w:tc>
      </w:tr>
      <w:tr>
        <w:trPr>
          <w:trHeight w:val="162"/>
        </w:trPr>
        <w:tc>
          <w:tcPr>
            <w:tcW w:w="4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20" w:type="dxa"/>
            <w:vAlign w:val="bottom"/>
            <w:gridSpan w:val="2"/>
          </w:tcPr>
          <w:p>
            <w:pPr>
              <w:jc w:val="center"/>
              <w:ind w:right="320"/>
              <w:spacing w:after="0" w:line="162" w:lineRule="exact"/>
              <w:rPr>
                <w:sz w:val="20"/>
                <w:szCs w:val="20"/>
                <w:color w:val="auto"/>
              </w:rPr>
            </w:pPr>
            <w:r>
              <w:rPr>
                <w:rFonts w:ascii="Times New Roman" w:cs="Times New Roman" w:eastAsia="Times New Roman" w:hAnsi="Times New Roman"/>
                <w:sz w:val="16"/>
                <w:szCs w:val="16"/>
                <w:b w:val="1"/>
                <w:bCs w:val="1"/>
                <w:color w:val="auto"/>
              </w:rPr>
              <w:t>Currency Translation</w:t>
            </w:r>
          </w:p>
        </w:tc>
        <w:tc>
          <w:tcPr>
            <w:tcW w:w="222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1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4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200" w:type="dxa"/>
            <w:vAlign w:val="bottom"/>
          </w:tcPr>
          <w:p>
            <w:pPr>
              <w:spacing w:after="0"/>
              <w:rPr>
                <w:sz w:val="18"/>
                <w:szCs w:val="18"/>
                <w:color w:val="auto"/>
              </w:rPr>
            </w:pPr>
          </w:p>
        </w:tc>
        <w:tc>
          <w:tcPr>
            <w:tcW w:w="20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220" w:type="dxa"/>
            <w:vAlign w:val="bottom"/>
          </w:tcPr>
          <w:p>
            <w:pPr>
              <w:spacing w:after="0"/>
              <w:rPr>
                <w:sz w:val="18"/>
                <w:szCs w:val="18"/>
                <w:color w:val="auto"/>
              </w:rPr>
            </w:pPr>
          </w:p>
        </w:tc>
        <w:tc>
          <w:tcPr>
            <w:tcW w:w="200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Derivative Contracts</w:t>
            </w:r>
          </w:p>
        </w:tc>
        <w:tc>
          <w:tcPr>
            <w:tcW w:w="180" w:type="dxa"/>
            <w:vAlign w:val="bottom"/>
          </w:tcPr>
          <w:p>
            <w:pPr>
              <w:spacing w:after="0"/>
              <w:rPr>
                <w:sz w:val="18"/>
                <w:szCs w:val="18"/>
                <w:color w:val="auto"/>
              </w:rPr>
            </w:pPr>
          </w:p>
        </w:tc>
        <w:tc>
          <w:tcPr>
            <w:tcW w:w="196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Comprehensive Income</w:t>
            </w:r>
          </w:p>
        </w:tc>
        <w:tc>
          <w:tcPr>
            <w:tcW w:w="0" w:type="dxa"/>
            <w:vAlign w:val="bottom"/>
          </w:tcPr>
          <w:p>
            <w:pPr>
              <w:spacing w:after="0"/>
              <w:rPr>
                <w:sz w:val="1"/>
                <w:szCs w:val="1"/>
                <w:color w:val="auto"/>
              </w:rPr>
            </w:pPr>
          </w:p>
        </w:tc>
      </w:tr>
      <w:tr>
        <w:trPr>
          <w:trHeight w:val="211"/>
        </w:trPr>
        <w:tc>
          <w:tcPr>
            <w:tcW w:w="4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2021</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0" w:type="dxa"/>
            <w:vAlign w:val="bottom"/>
          </w:tcPr>
          <w:p>
            <w:pPr>
              <w:spacing w:after="0"/>
              <w:rPr>
                <w:sz w:val="1"/>
                <w:szCs w:val="1"/>
                <w:color w:val="auto"/>
              </w:rPr>
            </w:pPr>
          </w:p>
        </w:tc>
      </w:tr>
      <w:tr>
        <w:trPr>
          <w:trHeight w:val="162"/>
        </w:trPr>
        <w:tc>
          <w:tcPr>
            <w:tcW w:w="4660" w:type="dxa"/>
            <w:vAlign w:val="bottom"/>
          </w:tcPr>
          <w:p>
            <w:pPr>
              <w:ind w:left="260"/>
              <w:spacing w:after="0" w:line="162" w:lineRule="exact"/>
              <w:rPr>
                <w:sz w:val="20"/>
                <w:szCs w:val="20"/>
                <w:color w:val="auto"/>
              </w:rPr>
            </w:pPr>
            <w:r>
              <w:rPr>
                <w:rFonts w:ascii="Times New Roman" w:cs="Times New Roman" w:eastAsia="Times New Roman" w:hAnsi="Times New Roman"/>
                <w:sz w:val="16"/>
                <w:szCs w:val="16"/>
                <w:color w:val="auto"/>
              </w:rPr>
              <w:t>Foreign currency translation adjustments, net of tax benefit of $2.3</w:t>
            </w:r>
          </w:p>
        </w:tc>
        <w:tc>
          <w:tcPr>
            <w:tcW w:w="200" w:type="dxa"/>
            <w:vAlign w:val="bottom"/>
          </w:tcPr>
          <w:p>
            <w:pPr>
              <w:spacing w:after="0"/>
              <w:rPr>
                <w:sz w:val="14"/>
                <w:szCs w:val="14"/>
                <w:color w:val="auto"/>
              </w:rPr>
            </w:pPr>
          </w:p>
        </w:tc>
        <w:tc>
          <w:tcPr>
            <w:tcW w:w="1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(27.2)</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1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(27.2)</w:t>
            </w:r>
          </w:p>
        </w:tc>
        <w:tc>
          <w:tcPr>
            <w:tcW w:w="0" w:type="dxa"/>
            <w:vAlign w:val="bottom"/>
          </w:tcPr>
          <w:p>
            <w:pPr>
              <w:spacing w:after="0"/>
              <w:rPr>
                <w:sz w:val="1"/>
                <w:szCs w:val="1"/>
                <w:color w:val="auto"/>
              </w:rPr>
            </w:pPr>
          </w:p>
        </w:tc>
      </w:tr>
      <w:tr>
        <w:trPr>
          <w:trHeight w:val="213"/>
        </w:trPr>
        <w:tc>
          <w:tcPr>
            <w:tcW w:w="46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million</w:t>
            </w:r>
          </w:p>
        </w:tc>
        <w:tc>
          <w:tcPr>
            <w:tcW w:w="200" w:type="dxa"/>
            <w:vAlign w:val="bottom"/>
          </w:tcPr>
          <w:p>
            <w:pPr>
              <w:spacing w:after="0"/>
              <w:rPr>
                <w:sz w:val="18"/>
                <w:szCs w:val="18"/>
                <w:color w:val="auto"/>
              </w:rPr>
            </w:pPr>
          </w:p>
        </w:tc>
        <w:tc>
          <w:tcPr>
            <w:tcW w:w="1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4660" w:type="dxa"/>
            <w:vAlign w:val="bottom"/>
            <w:shd w:val="clear" w:color="auto" w:fill="CCEEFF"/>
          </w:tcPr>
          <w:p>
            <w:pPr>
              <w:ind w:left="260"/>
              <w:spacing w:after="0" w:line="165" w:lineRule="exact"/>
              <w:rPr>
                <w:sz w:val="20"/>
                <w:szCs w:val="20"/>
                <w:color w:val="auto"/>
              </w:rPr>
            </w:pPr>
            <w:r>
              <w:rPr>
                <w:rFonts w:ascii="Times New Roman" w:cs="Times New Roman" w:eastAsia="Times New Roman" w:hAnsi="Times New Roman"/>
                <w:sz w:val="16"/>
                <w:szCs w:val="16"/>
                <w:color w:val="auto"/>
              </w:rPr>
              <w:t>Unrealized gain on derivative contracts, net of tax expense of</w:t>
            </w:r>
          </w:p>
        </w:tc>
        <w:tc>
          <w:tcPr>
            <w:tcW w:w="200" w:type="dxa"/>
            <w:vAlign w:val="bottom"/>
            <w:shd w:val="clear" w:color="auto" w:fill="CCEEFF"/>
          </w:tcPr>
          <w:p>
            <w:pPr>
              <w:spacing w:after="0"/>
              <w:rPr>
                <w:sz w:val="14"/>
                <w:szCs w:val="14"/>
                <w:color w:val="auto"/>
              </w:rPr>
            </w:pPr>
          </w:p>
        </w:tc>
        <w:tc>
          <w:tcPr>
            <w:tcW w:w="20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1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86.9</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86.9</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$30.0 million</w:t>
            </w:r>
          </w:p>
        </w:tc>
        <w:tc>
          <w:tcPr>
            <w:tcW w:w="200" w:type="dxa"/>
            <w:vAlign w:val="bottom"/>
            <w:shd w:val="clear" w:color="auto" w:fill="CCEEFF"/>
          </w:tcPr>
          <w:p>
            <w:pPr>
              <w:spacing w:after="0"/>
              <w:rPr>
                <w:sz w:val="18"/>
                <w:szCs w:val="18"/>
                <w:color w:val="auto"/>
              </w:rPr>
            </w:pPr>
          </w:p>
        </w:tc>
        <w:tc>
          <w:tcPr>
            <w:tcW w:w="202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660" w:type="dxa"/>
            <w:vAlign w:val="bottom"/>
          </w:tcPr>
          <w:p>
            <w:pPr>
              <w:ind w:left="260"/>
              <w:spacing w:after="0" w:line="162" w:lineRule="exact"/>
              <w:rPr>
                <w:sz w:val="20"/>
                <w:szCs w:val="20"/>
                <w:color w:val="auto"/>
              </w:rPr>
            </w:pPr>
            <w:r>
              <w:rPr>
                <w:rFonts w:ascii="Times New Roman" w:cs="Times New Roman" w:eastAsia="Times New Roman" w:hAnsi="Times New Roman"/>
                <w:sz w:val="16"/>
                <w:szCs w:val="16"/>
                <w:color w:val="auto"/>
              </w:rPr>
              <w:t>Amount reclassified from Accumulated comprehensive income</w:t>
            </w:r>
          </w:p>
        </w:tc>
        <w:tc>
          <w:tcPr>
            <w:tcW w:w="200" w:type="dxa"/>
            <w:vAlign w:val="bottom"/>
          </w:tcPr>
          <w:p>
            <w:pPr>
              <w:spacing w:after="0"/>
              <w:rPr>
                <w:sz w:val="14"/>
                <w:szCs w:val="14"/>
                <w:color w:val="auto"/>
              </w:rPr>
            </w:pPr>
          </w:p>
        </w:tc>
        <w:tc>
          <w:tcPr>
            <w:tcW w:w="20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4"/>
                <w:szCs w:val="14"/>
                <w:color w:val="auto"/>
              </w:rPr>
            </w:pPr>
          </w:p>
        </w:tc>
        <w:tc>
          <w:tcPr>
            <w:tcW w:w="1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0" w:type="dxa"/>
            <w:vAlign w:val="bottom"/>
          </w:tcPr>
          <w:p>
            <w:pPr>
              <w:spacing w:after="0"/>
              <w:rPr>
                <w:sz w:val="1"/>
                <w:szCs w:val="1"/>
                <w:color w:val="auto"/>
              </w:rPr>
            </w:pPr>
          </w:p>
        </w:tc>
      </w:tr>
      <w:tr>
        <w:trPr>
          <w:trHeight w:val="216"/>
        </w:trPr>
        <w:tc>
          <w:tcPr>
            <w:tcW w:w="4660" w:type="dxa"/>
            <w:vAlign w:val="bottom"/>
          </w:tcPr>
          <w:p>
            <w:pPr>
              <w:ind w:left="260"/>
              <w:spacing w:after="0" w:line="216" w:lineRule="exact"/>
              <w:rPr>
                <w:sz w:val="20"/>
                <w:szCs w:val="20"/>
                <w:color w:val="auto"/>
              </w:rPr>
            </w:pPr>
            <w:r>
              <w:rPr>
                <w:rFonts w:ascii="Times New Roman" w:cs="Times New Roman" w:eastAsia="Times New Roman" w:hAnsi="Times New Roman"/>
                <w:sz w:val="16"/>
                <w:szCs w:val="16"/>
                <w:color w:val="auto"/>
              </w:rPr>
              <w:t xml:space="preserve">(loss) into earnings, net of tax benefit of $1.6 million </w:t>
            </w:r>
            <w:r>
              <w:rPr>
                <w:rFonts w:ascii="Times New Roman" w:cs="Times New Roman" w:eastAsia="Times New Roman" w:hAnsi="Times New Roman"/>
                <w:sz w:val="21"/>
                <w:szCs w:val="21"/>
                <w:color w:val="auto"/>
                <w:vertAlign w:val="superscript"/>
              </w:rPr>
              <w:t>(1)</w:t>
            </w:r>
          </w:p>
        </w:tc>
        <w:tc>
          <w:tcPr>
            <w:tcW w:w="200" w:type="dxa"/>
            <w:vAlign w:val="bottom"/>
          </w:tcPr>
          <w:p>
            <w:pPr>
              <w:spacing w:after="0"/>
              <w:rPr>
                <w:sz w:val="18"/>
                <w:szCs w:val="18"/>
                <w:color w:val="auto"/>
              </w:rPr>
            </w:pPr>
          </w:p>
        </w:tc>
        <w:tc>
          <w:tcPr>
            <w:tcW w:w="20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2022</w:t>
            </w: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71.4</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bottom w:val="single" w:sz="8" w:color="CCEEFF"/>
            </w:tcBorders>
            <w:vMerge w:val="restart"/>
          </w:tcPr>
          <w:p>
            <w:pPr>
              <w:ind w:left="260"/>
              <w:spacing w:after="0" w:line="149" w:lineRule="exact"/>
              <w:rPr>
                <w:sz w:val="20"/>
                <w:szCs w:val="20"/>
                <w:color w:val="auto"/>
              </w:rPr>
            </w:pPr>
            <w:r>
              <w:rPr>
                <w:rFonts w:ascii="Times New Roman" w:cs="Times New Roman" w:eastAsia="Times New Roman" w:hAnsi="Times New Roman"/>
                <w:sz w:val="16"/>
                <w:szCs w:val="16"/>
                <w:color w:val="auto"/>
              </w:rPr>
              <w:t>Foreign currency translation adjustments, net of tax expense of</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466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9"/>
                <w:szCs w:val="9"/>
                <w:color w:val="auto"/>
              </w:rPr>
            </w:pPr>
          </w:p>
        </w:tc>
        <w:tc>
          <w:tcPr>
            <w:tcW w:w="1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0" w:type="dxa"/>
            <w:vAlign w:val="bottom"/>
          </w:tcPr>
          <w:p>
            <w:pPr>
              <w:spacing w:after="0"/>
              <w:rPr>
                <w:sz w:val="1"/>
                <w:szCs w:val="1"/>
                <w:color w:val="auto"/>
              </w:rPr>
            </w:pPr>
          </w:p>
        </w:tc>
      </w:tr>
      <w:tr>
        <w:trPr>
          <w:trHeight w:val="213"/>
        </w:trPr>
        <w:tc>
          <w:tcPr>
            <w:tcW w:w="46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$1.0 million</w:t>
            </w:r>
          </w:p>
        </w:tc>
        <w:tc>
          <w:tcPr>
            <w:tcW w:w="200" w:type="dxa"/>
            <w:vAlign w:val="bottom"/>
          </w:tcPr>
          <w:p>
            <w:pPr>
              <w:spacing w:after="0"/>
              <w:rPr>
                <w:sz w:val="18"/>
                <w:szCs w:val="18"/>
                <w:color w:val="auto"/>
              </w:rPr>
            </w:pPr>
          </w:p>
        </w:tc>
        <w:tc>
          <w:tcPr>
            <w:tcW w:w="1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4660" w:type="dxa"/>
            <w:vAlign w:val="bottom"/>
            <w:shd w:val="clear" w:color="auto" w:fill="CCEEFF"/>
          </w:tcPr>
          <w:p>
            <w:pPr>
              <w:ind w:left="260"/>
              <w:spacing w:after="0" w:line="165" w:lineRule="exact"/>
              <w:rPr>
                <w:sz w:val="20"/>
                <w:szCs w:val="20"/>
                <w:color w:val="auto"/>
              </w:rPr>
            </w:pPr>
            <w:r>
              <w:rPr>
                <w:rFonts w:ascii="Times New Roman" w:cs="Times New Roman" w:eastAsia="Times New Roman" w:hAnsi="Times New Roman"/>
                <w:sz w:val="16"/>
                <w:szCs w:val="16"/>
                <w:color w:val="auto"/>
              </w:rPr>
              <w:t>Unrealized gain on derivative contracts, net of tax expense of $3.8</w:t>
            </w:r>
          </w:p>
        </w:tc>
        <w:tc>
          <w:tcPr>
            <w:tcW w:w="200" w:type="dxa"/>
            <w:vAlign w:val="bottom"/>
            <w:shd w:val="clear" w:color="auto" w:fill="CCEEFF"/>
          </w:tcPr>
          <w:p>
            <w:pPr>
              <w:spacing w:after="0"/>
              <w:rPr>
                <w:sz w:val="14"/>
                <w:szCs w:val="14"/>
                <w:color w:val="auto"/>
              </w:rPr>
            </w:pPr>
          </w:p>
        </w:tc>
        <w:tc>
          <w:tcPr>
            <w:tcW w:w="20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1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million</w:t>
            </w:r>
          </w:p>
        </w:tc>
        <w:tc>
          <w:tcPr>
            <w:tcW w:w="200" w:type="dxa"/>
            <w:vAlign w:val="bottom"/>
            <w:shd w:val="clear" w:color="auto" w:fill="CCEEFF"/>
          </w:tcPr>
          <w:p>
            <w:pPr>
              <w:spacing w:after="0"/>
              <w:rPr>
                <w:sz w:val="18"/>
                <w:szCs w:val="18"/>
                <w:color w:val="auto"/>
              </w:rPr>
            </w:pPr>
          </w:p>
        </w:tc>
        <w:tc>
          <w:tcPr>
            <w:tcW w:w="202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660" w:type="dxa"/>
            <w:vAlign w:val="bottom"/>
          </w:tcPr>
          <w:p>
            <w:pPr>
              <w:ind w:left="260"/>
              <w:spacing w:after="0" w:line="162" w:lineRule="exact"/>
              <w:rPr>
                <w:sz w:val="20"/>
                <w:szCs w:val="20"/>
                <w:color w:val="auto"/>
              </w:rPr>
            </w:pPr>
            <w:r>
              <w:rPr>
                <w:rFonts w:ascii="Times New Roman" w:cs="Times New Roman" w:eastAsia="Times New Roman" w:hAnsi="Times New Roman"/>
                <w:sz w:val="16"/>
                <w:szCs w:val="16"/>
                <w:color w:val="auto"/>
              </w:rPr>
              <w:t>Amount reclassified from Accumulated comprehensive income</w:t>
            </w:r>
          </w:p>
        </w:tc>
        <w:tc>
          <w:tcPr>
            <w:tcW w:w="200" w:type="dxa"/>
            <w:vAlign w:val="bottom"/>
          </w:tcPr>
          <w:p>
            <w:pPr>
              <w:spacing w:after="0"/>
              <w:rPr>
                <w:sz w:val="14"/>
                <w:szCs w:val="14"/>
                <w:color w:val="auto"/>
              </w:rPr>
            </w:pPr>
          </w:p>
        </w:tc>
        <w:tc>
          <w:tcPr>
            <w:tcW w:w="20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4"/>
                <w:szCs w:val="14"/>
                <w:color w:val="auto"/>
              </w:rPr>
            </w:pPr>
          </w:p>
        </w:tc>
        <w:tc>
          <w:tcPr>
            <w:tcW w:w="1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(29.9)</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(29.9)</w:t>
            </w:r>
          </w:p>
        </w:tc>
        <w:tc>
          <w:tcPr>
            <w:tcW w:w="0" w:type="dxa"/>
            <w:vAlign w:val="bottom"/>
          </w:tcPr>
          <w:p>
            <w:pPr>
              <w:spacing w:after="0"/>
              <w:rPr>
                <w:sz w:val="1"/>
                <w:szCs w:val="1"/>
                <w:color w:val="auto"/>
              </w:rPr>
            </w:pPr>
          </w:p>
        </w:tc>
      </w:tr>
      <w:tr>
        <w:trPr>
          <w:trHeight w:val="216"/>
        </w:trPr>
        <w:tc>
          <w:tcPr>
            <w:tcW w:w="4660" w:type="dxa"/>
            <w:vAlign w:val="bottom"/>
          </w:tcPr>
          <w:p>
            <w:pPr>
              <w:ind w:left="260"/>
              <w:spacing w:after="0" w:line="216" w:lineRule="exact"/>
              <w:rPr>
                <w:sz w:val="20"/>
                <w:szCs w:val="20"/>
                <w:color w:val="auto"/>
              </w:rPr>
            </w:pPr>
            <w:r>
              <w:rPr>
                <w:rFonts w:ascii="Times New Roman" w:cs="Times New Roman" w:eastAsia="Times New Roman" w:hAnsi="Times New Roman"/>
                <w:sz w:val="16"/>
                <w:szCs w:val="16"/>
                <w:color w:val="auto"/>
              </w:rPr>
              <w:t xml:space="preserve">(loss) into earnings, net of tax expense of $10.3 million </w:t>
            </w:r>
            <w:r>
              <w:rPr>
                <w:rFonts w:ascii="Times New Roman" w:cs="Times New Roman" w:eastAsia="Times New Roman" w:hAnsi="Times New Roman"/>
                <w:sz w:val="21"/>
                <w:szCs w:val="21"/>
                <w:color w:val="auto"/>
                <w:vertAlign w:val="superscript"/>
              </w:rPr>
              <w:t>(2)</w:t>
            </w:r>
          </w:p>
        </w:tc>
        <w:tc>
          <w:tcPr>
            <w:tcW w:w="200" w:type="dxa"/>
            <w:vAlign w:val="bottom"/>
          </w:tcPr>
          <w:p>
            <w:pPr>
              <w:spacing w:after="0"/>
              <w:rPr>
                <w:sz w:val="18"/>
                <w:szCs w:val="18"/>
                <w:color w:val="auto"/>
              </w:rPr>
            </w:pPr>
          </w:p>
        </w:tc>
        <w:tc>
          <w:tcPr>
            <w:tcW w:w="20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2023</w:t>
            </w: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60.3</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bottom w:val="single" w:sz="8" w:color="CCEEFF"/>
            </w:tcBorders>
            <w:vMerge w:val="restart"/>
          </w:tcPr>
          <w:p>
            <w:pPr>
              <w:ind w:left="260"/>
              <w:spacing w:after="0" w:line="149" w:lineRule="exact"/>
              <w:rPr>
                <w:sz w:val="20"/>
                <w:szCs w:val="20"/>
                <w:color w:val="auto"/>
              </w:rPr>
            </w:pPr>
            <w:r>
              <w:rPr>
                <w:rFonts w:ascii="Times New Roman" w:cs="Times New Roman" w:eastAsia="Times New Roman" w:hAnsi="Times New Roman"/>
                <w:sz w:val="16"/>
                <w:szCs w:val="16"/>
                <w:color w:val="auto"/>
              </w:rPr>
              <w:t>Foreign currency translation adjustments, net of tax benefit of $0.3</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466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9"/>
                <w:szCs w:val="9"/>
                <w:color w:val="auto"/>
              </w:rPr>
            </w:pPr>
          </w:p>
        </w:tc>
        <w:tc>
          <w:tcPr>
            <w:tcW w:w="1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0" w:type="dxa"/>
            <w:vAlign w:val="bottom"/>
          </w:tcPr>
          <w:p>
            <w:pPr>
              <w:spacing w:after="0"/>
              <w:rPr>
                <w:sz w:val="1"/>
                <w:szCs w:val="1"/>
                <w:color w:val="auto"/>
              </w:rPr>
            </w:pPr>
          </w:p>
        </w:tc>
      </w:tr>
      <w:tr>
        <w:trPr>
          <w:trHeight w:val="213"/>
        </w:trPr>
        <w:tc>
          <w:tcPr>
            <w:tcW w:w="46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million</w:t>
            </w:r>
          </w:p>
        </w:tc>
        <w:tc>
          <w:tcPr>
            <w:tcW w:w="200" w:type="dxa"/>
            <w:vAlign w:val="bottom"/>
          </w:tcPr>
          <w:p>
            <w:pPr>
              <w:spacing w:after="0"/>
              <w:rPr>
                <w:sz w:val="18"/>
                <w:szCs w:val="18"/>
                <w:color w:val="auto"/>
              </w:rPr>
            </w:pPr>
          </w:p>
        </w:tc>
        <w:tc>
          <w:tcPr>
            <w:tcW w:w="1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4660" w:type="dxa"/>
            <w:vAlign w:val="bottom"/>
            <w:shd w:val="clear" w:color="auto" w:fill="CCEEFF"/>
          </w:tcPr>
          <w:p>
            <w:pPr>
              <w:ind w:left="260"/>
              <w:spacing w:after="0" w:line="165" w:lineRule="exact"/>
              <w:rPr>
                <w:sz w:val="20"/>
                <w:szCs w:val="20"/>
                <w:color w:val="auto"/>
              </w:rPr>
            </w:pPr>
            <w:r>
              <w:rPr>
                <w:rFonts w:ascii="Times New Roman" w:cs="Times New Roman" w:eastAsia="Times New Roman" w:hAnsi="Times New Roman"/>
                <w:sz w:val="16"/>
                <w:szCs w:val="16"/>
                <w:color w:val="auto"/>
              </w:rPr>
              <w:t>Unrealized gain on derivative contracts, net of tax expense of $4.9</w:t>
            </w:r>
          </w:p>
        </w:tc>
        <w:tc>
          <w:tcPr>
            <w:tcW w:w="200" w:type="dxa"/>
            <w:vAlign w:val="bottom"/>
            <w:shd w:val="clear" w:color="auto" w:fill="CCEEFF"/>
          </w:tcPr>
          <w:p>
            <w:pPr>
              <w:spacing w:after="0"/>
              <w:rPr>
                <w:sz w:val="14"/>
                <w:szCs w:val="14"/>
                <w:color w:val="auto"/>
              </w:rPr>
            </w:pPr>
          </w:p>
        </w:tc>
        <w:tc>
          <w:tcPr>
            <w:tcW w:w="20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1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million</w:t>
            </w:r>
          </w:p>
        </w:tc>
        <w:tc>
          <w:tcPr>
            <w:tcW w:w="200" w:type="dxa"/>
            <w:vAlign w:val="bottom"/>
            <w:shd w:val="clear" w:color="auto" w:fill="CCEEFF"/>
          </w:tcPr>
          <w:p>
            <w:pPr>
              <w:spacing w:after="0"/>
              <w:rPr>
                <w:sz w:val="18"/>
                <w:szCs w:val="18"/>
                <w:color w:val="auto"/>
              </w:rPr>
            </w:pPr>
          </w:p>
        </w:tc>
        <w:tc>
          <w:tcPr>
            <w:tcW w:w="202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660" w:type="dxa"/>
            <w:vAlign w:val="bottom"/>
          </w:tcPr>
          <w:p>
            <w:pPr>
              <w:ind w:left="260"/>
              <w:spacing w:after="0" w:line="162" w:lineRule="exact"/>
              <w:rPr>
                <w:sz w:val="20"/>
                <w:szCs w:val="20"/>
                <w:color w:val="auto"/>
              </w:rPr>
            </w:pPr>
            <w:r>
              <w:rPr>
                <w:rFonts w:ascii="Times New Roman" w:cs="Times New Roman" w:eastAsia="Times New Roman" w:hAnsi="Times New Roman"/>
                <w:sz w:val="16"/>
                <w:szCs w:val="16"/>
                <w:color w:val="auto"/>
              </w:rPr>
              <w:t>Amount reclassified from Accumulated comprehensive income</w:t>
            </w:r>
          </w:p>
        </w:tc>
        <w:tc>
          <w:tcPr>
            <w:tcW w:w="200" w:type="dxa"/>
            <w:vAlign w:val="bottom"/>
          </w:tcPr>
          <w:p>
            <w:pPr>
              <w:spacing w:after="0"/>
              <w:rPr>
                <w:sz w:val="14"/>
                <w:szCs w:val="14"/>
                <w:color w:val="auto"/>
              </w:rPr>
            </w:pPr>
          </w:p>
        </w:tc>
        <w:tc>
          <w:tcPr>
            <w:tcW w:w="20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4"/>
                <w:szCs w:val="14"/>
                <w:color w:val="auto"/>
              </w:rPr>
            </w:pPr>
          </w:p>
        </w:tc>
        <w:tc>
          <w:tcPr>
            <w:tcW w:w="1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(43.1)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(43.1)</w:t>
            </w:r>
          </w:p>
        </w:tc>
        <w:tc>
          <w:tcPr>
            <w:tcW w:w="0" w:type="dxa"/>
            <w:vAlign w:val="bottom"/>
          </w:tcPr>
          <w:p>
            <w:pPr>
              <w:spacing w:after="0"/>
              <w:rPr>
                <w:sz w:val="1"/>
                <w:szCs w:val="1"/>
                <w:color w:val="auto"/>
              </w:rPr>
            </w:pPr>
          </w:p>
        </w:tc>
      </w:tr>
      <w:tr>
        <w:trPr>
          <w:trHeight w:val="216"/>
        </w:trPr>
        <w:tc>
          <w:tcPr>
            <w:tcW w:w="4660" w:type="dxa"/>
            <w:vAlign w:val="bottom"/>
          </w:tcPr>
          <w:p>
            <w:pPr>
              <w:ind w:left="260"/>
              <w:spacing w:after="0" w:line="216" w:lineRule="exact"/>
              <w:rPr>
                <w:sz w:val="20"/>
                <w:szCs w:val="20"/>
                <w:color w:val="auto"/>
              </w:rPr>
            </w:pPr>
            <w:r>
              <w:rPr>
                <w:rFonts w:ascii="Times New Roman" w:cs="Times New Roman" w:eastAsia="Times New Roman" w:hAnsi="Times New Roman"/>
                <w:sz w:val="16"/>
                <w:szCs w:val="16"/>
                <w:color w:val="auto"/>
              </w:rPr>
              <w:t xml:space="preserve">(loss) into earnings, net of tax expense of $14.5 million </w:t>
            </w:r>
            <w:r>
              <w:rPr>
                <w:rFonts w:ascii="Times New Roman" w:cs="Times New Roman" w:eastAsia="Times New Roman" w:hAnsi="Times New Roman"/>
                <w:sz w:val="21"/>
                <w:szCs w:val="21"/>
                <w:color w:val="auto"/>
                <w:vertAlign w:val="superscript"/>
              </w:rPr>
              <w:t>(3)</w:t>
            </w:r>
          </w:p>
        </w:tc>
        <w:tc>
          <w:tcPr>
            <w:tcW w:w="200" w:type="dxa"/>
            <w:vAlign w:val="bottom"/>
          </w:tcPr>
          <w:p>
            <w:pPr>
              <w:spacing w:after="0"/>
              <w:rPr>
                <w:sz w:val="18"/>
                <w:szCs w:val="18"/>
                <w:color w:val="auto"/>
              </w:rPr>
            </w:pPr>
          </w:p>
        </w:tc>
        <w:tc>
          <w:tcPr>
            <w:tcW w:w="20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2024</w:t>
            </w: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1" w:lineRule="exact"/>
        <w:rPr>
          <w:sz w:val="20"/>
          <w:szCs w:val="20"/>
          <w:color w:val="auto"/>
        </w:rPr>
      </w:pPr>
    </w:p>
    <w:p>
      <w:pPr>
        <w:ind w:left="500" w:right="160" w:hanging="492"/>
        <w:spacing w:after="0" w:line="258" w:lineRule="auto"/>
        <w:tabs>
          <w:tab w:leader="none" w:pos="365"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amortization of off-market swap value and accumulated loss at hedge de-designation of $18.5 million for the year ended December 31, 2022, partially offset by a reduction to interest expense recognized of $12.1 million.</w:t>
      </w:r>
    </w:p>
    <w:p>
      <w:pPr>
        <w:ind w:left="500" w:right="240" w:hanging="492"/>
        <w:spacing w:after="0" w:line="255" w:lineRule="auto"/>
        <w:tabs>
          <w:tab w:leader="none" w:pos="365"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a reduction to interest expense recognized of $55.6 million related to the cash flow hedge gain for the year ended December 31, 2023, partially offset by an increase to interest expense for the amortization of off-market swap value and accumulated loss at hedge de-designation of $15.5 million.</w:t>
      </w:r>
    </w:p>
    <w:p>
      <w:pPr>
        <w:ind w:left="360" w:hanging="352"/>
        <w:spacing w:after="0"/>
        <w:tabs>
          <w:tab w:leader="none" w:pos="36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a reduction to interest expense recognized of $57.7 million related to the cash flow hedge gain for the year ended December 31, 2024.</w:t>
      </w:r>
    </w:p>
    <w:p>
      <w:pPr>
        <w:spacing w:after="0" w:line="200" w:lineRule="exact"/>
        <w:rPr>
          <w:rFonts w:ascii="Times New Roman" w:cs="Times New Roman" w:eastAsia="Times New Roman" w:hAnsi="Times New Roman"/>
          <w:sz w:val="16"/>
          <w:szCs w:val="16"/>
          <w:color w:val="auto"/>
        </w:rPr>
      </w:pPr>
    </w:p>
    <w:p>
      <w:pPr>
        <w:spacing w:after="0" w:line="390" w:lineRule="exact"/>
        <w:rPr>
          <w:rFonts w:ascii="Times New Roman" w:cs="Times New Roman" w:eastAsia="Times New Roman" w:hAnsi="Times New Roman"/>
          <w:sz w:val="16"/>
          <w:szCs w:val="16"/>
          <w:color w:val="auto"/>
        </w:rPr>
      </w:pPr>
    </w:p>
    <w:p>
      <w:pPr>
        <w:ind w:left="5480" w:hanging="96"/>
        <w:spacing w:after="0"/>
        <w:tabs>
          <w:tab w:leader="none" w:pos="548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Segment Reporting</w:t>
      </w:r>
    </w:p>
    <w:p>
      <w:pPr>
        <w:spacing w:after="0" w:line="256" w:lineRule="exact"/>
        <w:rPr>
          <w:sz w:val="20"/>
          <w:szCs w:val="20"/>
          <w:color w:val="auto"/>
        </w:rPr>
      </w:pPr>
    </w:p>
    <w:p>
      <w:pPr>
        <w:ind w:right="40" w:firstLine="486"/>
        <w:spacing w:after="0" w:line="254" w:lineRule="auto"/>
        <w:rPr>
          <w:sz w:val="20"/>
          <w:szCs w:val="20"/>
          <w:color w:val="auto"/>
        </w:rPr>
      </w:pPr>
      <w:r>
        <w:rPr>
          <w:rFonts w:ascii="Times New Roman" w:cs="Times New Roman" w:eastAsia="Times New Roman" w:hAnsi="Times New Roman"/>
          <w:sz w:val="18"/>
          <w:szCs w:val="18"/>
          <w:color w:val="auto"/>
        </w:rPr>
        <w:t>Effective on January 1, 2023, we reorganized around a two-business unit operating model, Public Cloud and Private Cloud. This two-business unit operating model allows for each segment to be managed separately based on the different service offerings and respective operational and marketing strategies, ensuring increased focus, delivery, and service quality for our customers. We have changed our segment reporting to reflect this reorganization under two operating segments, which correspond directly to our reportable segments: Public Cloud, a services-centric, capital-light model providing value-added cloud solutions through managed services, Elastic Engineering and professional services offerings for customer environments hosted on the AWS, Microsoft Azure and Google Cloud public cloud platforms; and Private Cloud, a technology-forward, capital-intensive model providing managed service offerings for customer environments hosted in one of our data centers as well as in those owned by customers or by third parties such as colocation providers. Private Cloud also includes our legacy OpenStack Public Cloud business that we ceased to actively market to customers in 2017.</w:t>
      </w:r>
    </w:p>
    <w:p>
      <w:pPr>
        <w:spacing w:after="0" w:line="219" w:lineRule="exact"/>
        <w:rPr>
          <w:sz w:val="20"/>
          <w:szCs w:val="20"/>
          <w:color w:val="auto"/>
        </w:rPr>
      </w:pPr>
    </w:p>
    <w:p>
      <w:pPr>
        <w:ind w:right="100" w:firstLine="486"/>
        <w:spacing w:after="0" w:line="282" w:lineRule="auto"/>
        <w:rPr>
          <w:sz w:val="20"/>
          <w:szCs w:val="20"/>
          <w:color w:val="auto"/>
        </w:rPr>
      </w:pPr>
      <w:r>
        <w:rPr>
          <w:rFonts w:ascii="Times New Roman" w:cs="Times New Roman" w:eastAsia="Times New Roman" w:hAnsi="Times New Roman"/>
          <w:sz w:val="18"/>
          <w:szCs w:val="18"/>
          <w:color w:val="auto"/>
        </w:rPr>
        <w:t>Our prior Multicloud Services segment has been separated into its public and private cloud components and the offerings previously reported in our Apps &amp; Cross Platform segment have been reassigned to either the Public Cloud or Private Cloud segment based on the nature of the offering.</w:t>
      </w:r>
    </w:p>
    <w:p>
      <w:pPr>
        <w:spacing w:after="0" w:line="189"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Our segments are based upon a number of factors, including, the basis for our budgets and forecasts, organizational and management structure and the financial information regularly provided to our Chief Operating Decision Maker (“CODM”), who we have determined to be our Chief Executive Officer. The CODM is responsible for making key operating and strategic decisions to assess performance for each segment. We assess financial performance of our segments on the basis of revenue and segment operating profit. The CODM utilizes both revenue and segment operating profit or loss before interest and income taxes to allocate resources and assesses performance of each segment by comparing actual revenue and operating profit or loss results, respectively, to historical results and previously forecasted financial information. Segment operating profit includes expenses directly attributable to running the respective segments' business. This excludes any corporate overhead expenses. We have centralized corporate functions that provide services to the segments in areas such as accounting, information technology, marketing, legal and human resources. Corporate function costs that are not allocated to the segments are included in the row labeled "Corporate functions" in the table below.</w:t>
      </w:r>
    </w:p>
    <w:p>
      <w:pPr>
        <w:spacing w:after="0" w:line="215"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During the first quarter of 2024, we identified that an immaterial amount of revenue for a certain Private Cloud product offering was incorrectly reported in the Public Cloud segment in historical periods. Revenue by segment has been corrected in the table below by reducing Public Cloud revenue by $2.3 million and increasing Private Cloud revenue by $2.3 million for the year ended December 31, 2022 and reducing Public Cloud revenue by $4.7 million and increasing Private Cloud revenue by $4.7 million for the year ended December 31, 2023.</w:t>
      </w:r>
    </w:p>
    <w:p>
      <w:pPr>
        <w:spacing w:after="0" w:line="207"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Beginning in the fourth quarter of 2024, we have updated the presentation of our segment operating profit to no longer exclude certain cash compensation paid to employees who remain employed with Rackspace which were previously included in “special bonuses and other compensation expenses” and “restructuring and transformation expenses” line items of our reconciliation below. Additionally, we have removed “special bonuses and other compensation expenses” line item and the remaining adjustments are now presented within “restructuring and transformation expenses” line item. All prior periods have been recasted to reflect current period presentation.</w:t>
      </w:r>
    </w:p>
    <w:p>
      <w:pPr>
        <w:spacing w:after="0" w:line="210" w:lineRule="exact"/>
        <w:rPr>
          <w:sz w:val="20"/>
          <w:szCs w:val="20"/>
          <w:color w:val="auto"/>
        </w:rPr>
      </w:pPr>
    </w:p>
    <w:p>
      <w:pPr>
        <w:ind w:right="60" w:firstLine="486"/>
        <w:spacing w:after="0" w:line="266" w:lineRule="auto"/>
        <w:rPr>
          <w:sz w:val="20"/>
          <w:szCs w:val="20"/>
          <w:color w:val="auto"/>
        </w:rPr>
      </w:pPr>
      <w:r>
        <w:rPr>
          <w:rFonts w:ascii="Times New Roman" w:cs="Times New Roman" w:eastAsia="Times New Roman" w:hAnsi="Times New Roman"/>
          <w:sz w:val="18"/>
          <w:szCs w:val="18"/>
          <w:color w:val="auto"/>
        </w:rPr>
        <w:t>In connection with this presentation change, we also updated segment operating profit included in the financial information provided to our CODM. Certain cash compensation paid to employees who remain employed with Rackspace is now included in the Public Cloud and Private Cloud segment operating profit performance measure.</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- 149 -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40" w:firstLine="486"/>
        <w:spacing w:after="0" w:line="282" w:lineRule="auto"/>
        <w:rPr>
          <w:sz w:val="20"/>
          <w:szCs w:val="20"/>
          <w:color w:val="auto"/>
        </w:rPr>
      </w:pPr>
      <w:r>
        <w:rPr>
          <w:rFonts w:ascii="Times New Roman" w:cs="Times New Roman" w:eastAsia="Times New Roman" w:hAnsi="Times New Roman"/>
          <w:sz w:val="18"/>
          <w:szCs w:val="18"/>
          <w:color w:val="auto"/>
        </w:rPr>
        <w:t>The table below presents revenue and segment operating profit by reportable segment and a reconciliation of consolidated segment operating profit to consolidated loss before income taxes for the years ended December 31, 2022, 2023 and 2024.</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2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6"/>
                <w:szCs w:val="16"/>
                <w:b w:val="1"/>
                <w:bCs w:val="1"/>
                <w:color w:val="auto"/>
                <w:w w:val="99"/>
              </w:rPr>
              <w:t>Year Ended December 31,</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198"/>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Public Cloud</w:t>
            </w: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Revenue</w:t>
            </w: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1,738.5</w:t>
            </w:r>
          </w:p>
        </w:tc>
        <w:tc>
          <w:tcPr>
            <w:tcW w:w="48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1,742.7</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1,682.6</w:t>
            </w:r>
          </w:p>
        </w:tc>
        <w:tc>
          <w:tcPr>
            <w:tcW w:w="0" w:type="dxa"/>
            <w:vAlign w:val="bottom"/>
          </w:tcPr>
          <w:p>
            <w:pPr>
              <w:spacing w:after="0"/>
              <w:rPr>
                <w:sz w:val="1"/>
                <w:szCs w:val="1"/>
                <w:color w:val="auto"/>
              </w:rPr>
            </w:pPr>
          </w:p>
        </w:tc>
      </w:tr>
      <w:tr>
        <w:trPr>
          <w:trHeight w:val="219"/>
        </w:trPr>
        <w:tc>
          <w:tcPr>
            <w:tcW w:w="6240" w:type="dxa"/>
            <w:vAlign w:val="bottom"/>
            <w:shd w:val="clear" w:color="auto" w:fill="CCEEFF"/>
          </w:tcPr>
          <w:p>
            <w:pPr>
              <w:ind w:left="140"/>
              <w:spacing w:after="0" w:line="219" w:lineRule="exact"/>
              <w:rPr>
                <w:sz w:val="20"/>
                <w:szCs w:val="20"/>
                <w:color w:val="auto"/>
              </w:rPr>
            </w:pPr>
            <w:r>
              <w:rPr>
                <w:rFonts w:ascii="Times New Roman" w:cs="Times New Roman" w:eastAsia="Times New Roman" w:hAnsi="Times New Roman"/>
                <w:sz w:val="16"/>
                <w:szCs w:val="16"/>
                <w:color w:val="auto"/>
              </w:rPr>
              <w:t xml:space="preserve">Third party infrastructure </w:t>
            </w:r>
            <w:r>
              <w:rPr>
                <w:rFonts w:ascii="Times New Roman" w:cs="Times New Roman" w:eastAsia="Times New Roman" w:hAnsi="Times New Roman"/>
                <w:sz w:val="21"/>
                <w:szCs w:val="21"/>
                <w:color w:val="auto"/>
                <w:vertAlign w:val="superscript"/>
              </w:rPr>
              <w:t>(1)</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(1,257.9)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(1,320.7)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(1,325.1)</w:t>
            </w:r>
          </w:p>
        </w:tc>
        <w:tc>
          <w:tcPr>
            <w:tcW w:w="0" w:type="dxa"/>
            <w:vAlign w:val="bottom"/>
          </w:tcPr>
          <w:p>
            <w:pPr>
              <w:spacing w:after="0"/>
              <w:rPr>
                <w:sz w:val="1"/>
                <w:szCs w:val="1"/>
                <w:color w:val="auto"/>
              </w:rPr>
            </w:pPr>
          </w:p>
        </w:tc>
      </w:tr>
      <w:tr>
        <w:trPr>
          <w:trHeight w:val="216"/>
        </w:trPr>
        <w:tc>
          <w:tcPr>
            <w:tcW w:w="6240" w:type="dxa"/>
            <w:vAlign w:val="bottom"/>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Other cost of revenue </w:t>
            </w:r>
            <w:r>
              <w:rPr>
                <w:rFonts w:ascii="Times New Roman" w:cs="Times New Roman" w:eastAsia="Times New Roman" w:hAnsi="Times New Roman"/>
                <w:sz w:val="21"/>
                <w:szCs w:val="21"/>
                <w:color w:val="auto"/>
                <w:vertAlign w:val="superscript"/>
              </w:rPr>
              <w:t>(2)</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(202.6)</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Other segment items </w:t>
            </w:r>
            <w:r>
              <w:rPr>
                <w:rFonts w:ascii="Times New Roman" w:cs="Times New Roman" w:eastAsia="Times New Roman" w:hAnsi="Times New Roman"/>
                <w:sz w:val="21"/>
                <w:szCs w:val="21"/>
                <w:color w:val="auto"/>
                <w:vertAlign w:val="superscript"/>
              </w:rPr>
              <w:t>(3)</w:t>
            </w: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(134.2)</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(111.6)</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(110.7)</w:t>
            </w:r>
          </w:p>
        </w:tc>
        <w:tc>
          <w:tcPr>
            <w:tcW w:w="0" w:type="dxa"/>
            <w:vAlign w:val="bottom"/>
          </w:tcPr>
          <w:p>
            <w:pPr>
              <w:spacing w:after="0"/>
              <w:rPr>
                <w:sz w:val="1"/>
                <w:szCs w:val="1"/>
                <w:color w:val="auto"/>
              </w:rPr>
            </w:pPr>
          </w:p>
        </w:tc>
      </w:tr>
      <w:tr>
        <w:trPr>
          <w:trHeight w:val="207"/>
        </w:trPr>
        <w:tc>
          <w:tcPr>
            <w:tcW w:w="624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6"/>
                <w:szCs w:val="16"/>
                <w:color w:val="auto"/>
              </w:rPr>
              <w:t>Segment operating profit</w:t>
            </w: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120.7</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81.8</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44.2</w:t>
            </w:r>
          </w:p>
        </w:tc>
        <w:tc>
          <w:tcPr>
            <w:tcW w:w="0" w:type="dxa"/>
            <w:vAlign w:val="bottom"/>
          </w:tcPr>
          <w:p>
            <w:pPr>
              <w:spacing w:after="0"/>
              <w:rPr>
                <w:sz w:val="1"/>
                <w:szCs w:val="1"/>
                <w:color w:val="auto"/>
              </w:rPr>
            </w:pPr>
          </w:p>
        </w:tc>
      </w:tr>
      <w:tr>
        <w:trPr>
          <w:trHeight w:val="199"/>
        </w:trPr>
        <w:tc>
          <w:tcPr>
            <w:tcW w:w="62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624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Private Cloud</w:t>
            </w: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Revenue</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1,383.8</w:t>
            </w:r>
          </w:p>
        </w:tc>
        <w:tc>
          <w:tcPr>
            <w:tcW w:w="480" w:type="dxa"/>
            <w:vAlign w:val="bottom"/>
            <w:gridSpan w:val="2"/>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1,214.4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1,054.5</w:t>
            </w:r>
          </w:p>
        </w:tc>
        <w:tc>
          <w:tcPr>
            <w:tcW w:w="0" w:type="dxa"/>
            <w:vAlign w:val="bottom"/>
          </w:tcPr>
          <w:p>
            <w:pPr>
              <w:spacing w:after="0"/>
              <w:rPr>
                <w:sz w:val="1"/>
                <w:szCs w:val="1"/>
                <w:color w:val="auto"/>
              </w:rPr>
            </w:pPr>
          </w:p>
        </w:tc>
      </w:tr>
      <w:tr>
        <w:trPr>
          <w:trHeight w:val="213"/>
        </w:trPr>
        <w:tc>
          <w:tcPr>
            <w:tcW w:w="6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Cost of revenue</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(758.6)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(749.1)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(646.8)</w:t>
            </w:r>
          </w:p>
        </w:tc>
        <w:tc>
          <w:tcPr>
            <w:tcW w:w="0" w:type="dxa"/>
            <w:vAlign w:val="bottom"/>
          </w:tcPr>
          <w:p>
            <w:pPr>
              <w:spacing w:after="0"/>
              <w:rPr>
                <w:sz w:val="1"/>
                <w:szCs w:val="1"/>
                <w:color w:val="auto"/>
              </w:rPr>
            </w:pPr>
          </w:p>
        </w:tc>
      </w:tr>
      <w:tr>
        <w:trPr>
          <w:trHeight w:val="219"/>
        </w:trPr>
        <w:tc>
          <w:tcPr>
            <w:tcW w:w="6240" w:type="dxa"/>
            <w:vAlign w:val="bottom"/>
            <w:shd w:val="clear" w:color="auto" w:fill="CCEEFF"/>
          </w:tcPr>
          <w:p>
            <w:pPr>
              <w:ind w:left="140"/>
              <w:spacing w:after="0" w:line="219" w:lineRule="exact"/>
              <w:rPr>
                <w:sz w:val="20"/>
                <w:szCs w:val="20"/>
                <w:color w:val="auto"/>
              </w:rPr>
            </w:pPr>
            <w:r>
              <w:rPr>
                <w:rFonts w:ascii="Times New Roman" w:cs="Times New Roman" w:eastAsia="Times New Roman" w:hAnsi="Times New Roman"/>
                <w:sz w:val="16"/>
                <w:szCs w:val="16"/>
                <w:color w:val="auto"/>
              </w:rPr>
              <w:t xml:space="preserve">Other segment items </w:t>
            </w:r>
            <w:r>
              <w:rPr>
                <w:rFonts w:ascii="Times New Roman" w:cs="Times New Roman" w:eastAsia="Times New Roman" w:hAnsi="Times New Roman"/>
                <w:sz w:val="21"/>
                <w:szCs w:val="21"/>
                <w:color w:val="auto"/>
                <w:vertAlign w:val="superscript"/>
              </w:rPr>
              <w:t>(3)</w:t>
            </w: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(113.3)</w:t>
            </w:r>
          </w:p>
        </w:tc>
        <w:tc>
          <w:tcPr>
            <w:tcW w:w="0" w:type="dxa"/>
            <w:vAlign w:val="bottom"/>
          </w:tcPr>
          <w:p>
            <w:pPr>
              <w:spacing w:after="0"/>
              <w:rPr>
                <w:sz w:val="1"/>
                <w:szCs w:val="1"/>
                <w:color w:val="auto"/>
              </w:rPr>
            </w:pPr>
          </w:p>
        </w:tc>
      </w:tr>
      <w:tr>
        <w:trPr>
          <w:trHeight w:val="207"/>
        </w:trPr>
        <w:tc>
          <w:tcPr>
            <w:tcW w:w="624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6"/>
                <w:szCs w:val="16"/>
                <w:color w:val="auto"/>
              </w:rPr>
              <w:t>Segment operating profit</w:t>
            </w: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496.2</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343.0</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294.4</w:t>
            </w:r>
          </w:p>
        </w:tc>
        <w:tc>
          <w:tcPr>
            <w:tcW w:w="0" w:type="dxa"/>
            <w:vAlign w:val="bottom"/>
          </w:tcPr>
          <w:p>
            <w:pPr>
              <w:spacing w:after="0"/>
              <w:rPr>
                <w:sz w:val="1"/>
                <w:szCs w:val="1"/>
                <w:color w:val="auto"/>
              </w:rPr>
            </w:pPr>
          </w:p>
        </w:tc>
      </w:tr>
      <w:tr>
        <w:trPr>
          <w:trHeight w:val="199"/>
        </w:trPr>
        <w:tc>
          <w:tcPr>
            <w:tcW w:w="62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624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Total Consolidated</w:t>
            </w: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Revenue</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3,122.3</w:t>
            </w:r>
          </w:p>
        </w:tc>
        <w:tc>
          <w:tcPr>
            <w:tcW w:w="480" w:type="dxa"/>
            <w:vAlign w:val="bottom"/>
            <w:gridSpan w:val="2"/>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2,957.1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2,737.1</w:t>
            </w:r>
          </w:p>
        </w:tc>
        <w:tc>
          <w:tcPr>
            <w:tcW w:w="0" w:type="dxa"/>
            <w:vAlign w:val="bottom"/>
          </w:tcPr>
          <w:p>
            <w:pPr>
              <w:spacing w:after="0"/>
              <w:rPr>
                <w:sz w:val="1"/>
                <w:szCs w:val="1"/>
                <w:color w:val="auto"/>
              </w:rPr>
            </w:pPr>
          </w:p>
        </w:tc>
      </w:tr>
      <w:tr>
        <w:trPr>
          <w:trHeight w:val="213"/>
        </w:trPr>
        <w:tc>
          <w:tcPr>
            <w:tcW w:w="6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Segment operating profit</w:t>
            </w: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616.9</w:t>
            </w:r>
          </w:p>
        </w:tc>
        <w:tc>
          <w:tcPr>
            <w:tcW w:w="48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424.8</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338.6</w:t>
            </w:r>
          </w:p>
        </w:tc>
        <w:tc>
          <w:tcPr>
            <w:tcW w:w="0" w:type="dxa"/>
            <w:vAlign w:val="bottom"/>
          </w:tcPr>
          <w:p>
            <w:pPr>
              <w:spacing w:after="0"/>
              <w:rPr>
                <w:sz w:val="1"/>
                <w:szCs w:val="1"/>
                <w:color w:val="auto"/>
              </w:rPr>
            </w:pPr>
          </w:p>
        </w:tc>
      </w:tr>
      <w:tr>
        <w:trPr>
          <w:trHeight w:val="219"/>
        </w:trPr>
        <w:tc>
          <w:tcPr>
            <w:tcW w:w="62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2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Corporate functions</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(233.0)</w:t>
            </w:r>
          </w:p>
        </w:tc>
        <w:tc>
          <w:tcPr>
            <w:tcW w:w="0" w:type="dxa"/>
            <w:vAlign w:val="bottom"/>
          </w:tcPr>
          <w:p>
            <w:pPr>
              <w:spacing w:after="0"/>
              <w:rPr>
                <w:sz w:val="1"/>
                <w:szCs w:val="1"/>
                <w:color w:val="auto"/>
              </w:rPr>
            </w:pPr>
          </w:p>
        </w:tc>
      </w:tr>
      <w:tr>
        <w:trPr>
          <w:trHeight w:val="219"/>
        </w:trPr>
        <w:tc>
          <w:tcPr>
            <w:tcW w:w="62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(63.4)</w:t>
            </w:r>
          </w:p>
        </w:tc>
        <w:tc>
          <w:tcPr>
            <w:tcW w:w="0" w:type="dxa"/>
            <w:vAlign w:val="bottom"/>
          </w:tcPr>
          <w:p>
            <w:pPr>
              <w:spacing w:after="0"/>
              <w:rPr>
                <w:sz w:val="1"/>
                <w:szCs w:val="1"/>
                <w:color w:val="auto"/>
              </w:rPr>
            </w:pPr>
          </w:p>
        </w:tc>
      </w:tr>
      <w:tr>
        <w:trPr>
          <w:trHeight w:val="216"/>
        </w:trPr>
        <w:tc>
          <w:tcPr>
            <w:tcW w:w="6240" w:type="dxa"/>
            <w:vAlign w:val="bottom"/>
          </w:tcPr>
          <w:p>
            <w:pPr>
              <w:ind w:left="260"/>
              <w:spacing w:after="0" w:line="216" w:lineRule="exact"/>
              <w:rPr>
                <w:sz w:val="20"/>
                <w:szCs w:val="20"/>
                <w:color w:val="auto"/>
              </w:rPr>
            </w:pPr>
            <w:r>
              <w:rPr>
                <w:rFonts w:ascii="Times New Roman" w:cs="Times New Roman" w:eastAsia="Times New Roman" w:hAnsi="Times New Roman"/>
                <w:sz w:val="16"/>
                <w:szCs w:val="16"/>
                <w:color w:val="auto"/>
              </w:rPr>
              <w:t xml:space="preserve">Transaction related adjustments, net </w:t>
            </w:r>
            <w:r>
              <w:rPr>
                <w:rFonts w:ascii="Times New Roman" w:cs="Times New Roman" w:eastAsia="Times New Roman" w:hAnsi="Times New Roman"/>
                <w:sz w:val="21"/>
                <w:szCs w:val="21"/>
                <w:color w:val="auto"/>
                <w:vertAlign w:val="superscript"/>
              </w:rPr>
              <w:t>(4)</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260"/>
              <w:spacing w:after="0" w:line="216" w:lineRule="exact"/>
              <w:rPr>
                <w:sz w:val="20"/>
                <w:szCs w:val="20"/>
                <w:color w:val="auto"/>
              </w:rPr>
            </w:pPr>
            <w:r>
              <w:rPr>
                <w:rFonts w:ascii="Times New Roman" w:cs="Times New Roman" w:eastAsia="Times New Roman" w:hAnsi="Times New Roman"/>
                <w:sz w:val="16"/>
                <w:szCs w:val="16"/>
                <w:color w:val="auto"/>
              </w:rPr>
              <w:t xml:space="preserve">Restructuring and transformation expenses </w:t>
            </w:r>
            <w:r>
              <w:rPr>
                <w:rFonts w:ascii="Times New Roman" w:cs="Times New Roman" w:eastAsia="Times New Roman" w:hAnsi="Times New Roman"/>
                <w:sz w:val="21"/>
                <w:szCs w:val="21"/>
                <w:color w:val="auto"/>
                <w:vertAlign w:val="superscript"/>
              </w:rPr>
              <w:t>(5)</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(58.5)</w:t>
            </w:r>
          </w:p>
        </w:tc>
        <w:tc>
          <w:tcPr>
            <w:tcW w:w="0" w:type="dxa"/>
            <w:vAlign w:val="bottom"/>
          </w:tcPr>
          <w:p>
            <w:pPr>
              <w:spacing w:after="0"/>
              <w:rPr>
                <w:sz w:val="1"/>
                <w:szCs w:val="1"/>
                <w:color w:val="auto"/>
              </w:rPr>
            </w:pPr>
          </w:p>
        </w:tc>
      </w:tr>
      <w:tr>
        <w:trPr>
          <w:trHeight w:val="162"/>
        </w:trPr>
        <w:tc>
          <w:tcPr>
            <w:tcW w:w="6240" w:type="dxa"/>
            <w:vAlign w:val="bottom"/>
          </w:tcPr>
          <w:p>
            <w:pPr>
              <w:ind w:left="260"/>
              <w:spacing w:after="0" w:line="162" w:lineRule="exact"/>
              <w:rPr>
                <w:sz w:val="20"/>
                <w:szCs w:val="20"/>
                <w:color w:val="auto"/>
              </w:rPr>
            </w:pPr>
            <w:r>
              <w:rPr>
                <w:rFonts w:ascii="Times New Roman" w:cs="Times New Roman" w:eastAsia="Times New Roman" w:hAnsi="Times New Roman"/>
                <w:sz w:val="16"/>
                <w:szCs w:val="16"/>
                <w:color w:val="auto"/>
              </w:rPr>
              <w:t>Hosted Exchange incident expenses, net of proceeds received or expected to be received</w:t>
            </w:r>
          </w:p>
        </w:tc>
        <w:tc>
          <w:tcPr>
            <w:tcW w:w="38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13"/>
        </w:trPr>
        <w:tc>
          <w:tcPr>
            <w:tcW w:w="62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under our insurance coverage</w:t>
            </w:r>
          </w:p>
        </w:tc>
        <w:tc>
          <w:tcPr>
            <w:tcW w:w="38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240" w:type="dxa"/>
            <w:vAlign w:val="bottom"/>
            <w:shd w:val="clear" w:color="auto" w:fill="CCEEFF"/>
          </w:tcPr>
          <w:p>
            <w:pPr>
              <w:ind w:left="260"/>
              <w:spacing w:after="0" w:line="219" w:lineRule="exact"/>
              <w:rPr>
                <w:sz w:val="20"/>
                <w:szCs w:val="20"/>
                <w:color w:val="auto"/>
              </w:rPr>
            </w:pPr>
            <w:r>
              <w:rPr>
                <w:rFonts w:ascii="Times New Roman" w:cs="Times New Roman" w:eastAsia="Times New Roman" w:hAnsi="Times New Roman"/>
                <w:sz w:val="16"/>
                <w:szCs w:val="16"/>
                <w:color w:val="auto"/>
              </w:rPr>
              <w:t xml:space="preserve">Amortization of intangible assets </w:t>
            </w:r>
            <w:r>
              <w:rPr>
                <w:rFonts w:ascii="Times New Roman" w:cs="Times New Roman" w:eastAsia="Times New Roman" w:hAnsi="Times New Roman"/>
                <w:sz w:val="21"/>
                <w:szCs w:val="21"/>
                <w:color w:val="auto"/>
                <w:vertAlign w:val="superscript"/>
              </w:rPr>
              <w:t>(6)</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(154.1)</w:t>
            </w:r>
          </w:p>
        </w:tc>
        <w:tc>
          <w:tcPr>
            <w:tcW w:w="0" w:type="dxa"/>
            <w:vAlign w:val="bottom"/>
          </w:tcPr>
          <w:p>
            <w:pPr>
              <w:spacing w:after="0"/>
              <w:rPr>
                <w:sz w:val="1"/>
                <w:szCs w:val="1"/>
                <w:color w:val="auto"/>
              </w:rPr>
            </w:pPr>
          </w:p>
        </w:tc>
      </w:tr>
      <w:tr>
        <w:trPr>
          <w:trHeight w:val="213"/>
        </w:trPr>
        <w:tc>
          <w:tcPr>
            <w:tcW w:w="62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Impairment of goodwill</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(534.5)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(708.8)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(714.9)</w:t>
            </w:r>
          </w:p>
        </w:tc>
        <w:tc>
          <w:tcPr>
            <w:tcW w:w="0" w:type="dxa"/>
            <w:vAlign w:val="bottom"/>
          </w:tcPr>
          <w:p>
            <w:pPr>
              <w:spacing w:after="0"/>
              <w:rPr>
                <w:sz w:val="1"/>
                <w:szCs w:val="1"/>
                <w:color w:val="auto"/>
              </w:rPr>
            </w:pPr>
          </w:p>
        </w:tc>
      </w:tr>
      <w:tr>
        <w:trPr>
          <w:trHeight w:val="219"/>
        </w:trPr>
        <w:tc>
          <w:tcPr>
            <w:tcW w:w="6240" w:type="dxa"/>
            <w:vAlign w:val="bottom"/>
            <w:shd w:val="clear" w:color="auto" w:fill="CCEEFF"/>
          </w:tcPr>
          <w:p>
            <w:pPr>
              <w:ind w:left="260"/>
              <w:spacing w:after="0" w:line="219" w:lineRule="exact"/>
              <w:rPr>
                <w:sz w:val="20"/>
                <w:szCs w:val="20"/>
                <w:color w:val="auto"/>
              </w:rPr>
            </w:pPr>
            <w:r>
              <w:rPr>
                <w:rFonts w:ascii="Times New Roman" w:cs="Times New Roman" w:eastAsia="Times New Roman" w:hAnsi="Times New Roman"/>
                <w:sz w:val="16"/>
                <w:szCs w:val="16"/>
                <w:color w:val="auto"/>
              </w:rPr>
              <w:t xml:space="preserve">UK office closure </w:t>
            </w:r>
            <w:r>
              <w:rPr>
                <w:rFonts w:ascii="Times New Roman" w:cs="Times New Roman" w:eastAsia="Times New Roman" w:hAnsi="Times New Roman"/>
                <w:sz w:val="21"/>
                <w:szCs w:val="21"/>
                <w:color w:val="auto"/>
                <w:vertAlign w:val="superscript"/>
              </w:rPr>
              <w:t>(7)</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62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Impairment of assets, net</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0" w:type="dxa"/>
            <w:vAlign w:val="bottom"/>
          </w:tcPr>
          <w:p>
            <w:pPr>
              <w:spacing w:after="0"/>
              <w:rPr>
                <w:sz w:val="1"/>
                <w:szCs w:val="1"/>
                <w:color w:val="auto"/>
              </w:rPr>
            </w:pPr>
          </w:p>
        </w:tc>
      </w:tr>
      <w:tr>
        <w:trPr>
          <w:trHeight w:val="219"/>
        </w:trPr>
        <w:tc>
          <w:tcPr>
            <w:tcW w:w="62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Interest expense</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(98.0)</w:t>
            </w:r>
          </w:p>
        </w:tc>
        <w:tc>
          <w:tcPr>
            <w:tcW w:w="0" w:type="dxa"/>
            <w:vAlign w:val="bottom"/>
          </w:tcPr>
          <w:p>
            <w:pPr>
              <w:spacing w:after="0"/>
              <w:rPr>
                <w:sz w:val="1"/>
                <w:szCs w:val="1"/>
                <w:color w:val="auto"/>
              </w:rPr>
            </w:pPr>
          </w:p>
        </w:tc>
      </w:tr>
      <w:tr>
        <w:trPr>
          <w:trHeight w:val="213"/>
        </w:trPr>
        <w:tc>
          <w:tcPr>
            <w:tcW w:w="62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Gain (loss) on investments, net</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19"/>
        </w:trPr>
        <w:tc>
          <w:tcPr>
            <w:tcW w:w="62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Gain on debt extinguishment, net of debt modification costs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147.2</w:t>
            </w:r>
          </w:p>
        </w:tc>
        <w:tc>
          <w:tcPr>
            <w:tcW w:w="0" w:type="dxa"/>
            <w:vAlign w:val="bottom"/>
          </w:tcPr>
          <w:p>
            <w:pPr>
              <w:spacing w:after="0"/>
              <w:rPr>
                <w:sz w:val="1"/>
                <w:szCs w:val="1"/>
                <w:color w:val="auto"/>
              </w:rPr>
            </w:pPr>
          </w:p>
        </w:tc>
      </w:tr>
      <w:tr>
        <w:trPr>
          <w:trHeight w:val="213"/>
        </w:trPr>
        <w:tc>
          <w:tcPr>
            <w:tcW w:w="624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6"/>
                <w:szCs w:val="16"/>
                <w:color w:val="auto"/>
              </w:rPr>
              <w:t>Other expense, net</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(21.7)</w:t>
            </w:r>
          </w:p>
        </w:tc>
        <w:tc>
          <w:tcPr>
            <w:tcW w:w="0" w:type="dxa"/>
            <w:vAlign w:val="bottom"/>
          </w:tcPr>
          <w:p>
            <w:pPr>
              <w:spacing w:after="0"/>
              <w:rPr>
                <w:sz w:val="1"/>
                <w:szCs w:val="1"/>
                <w:color w:val="auto"/>
              </w:rPr>
            </w:pPr>
          </w:p>
        </w:tc>
      </w:tr>
      <w:tr>
        <w:trPr>
          <w:trHeight w:val="237"/>
        </w:trPr>
        <w:tc>
          <w:tcPr>
            <w:tcW w:w="62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consolidated loss before income taxes</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(897.7)</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(854.4)</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(881.5)</w:t>
            </w:r>
          </w:p>
        </w:tc>
        <w:tc>
          <w:tcPr>
            <w:tcW w:w="0" w:type="dxa"/>
            <w:vAlign w:val="bottom"/>
          </w:tcPr>
          <w:p>
            <w:pPr>
              <w:spacing w:after="0"/>
              <w:rPr>
                <w:sz w:val="1"/>
                <w:szCs w:val="1"/>
                <w:color w:val="auto"/>
              </w:rPr>
            </w:pP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8" w:lineRule="exact"/>
        <w:rPr>
          <w:sz w:val="20"/>
          <w:szCs w:val="20"/>
          <w:color w:val="auto"/>
        </w:rPr>
      </w:pPr>
    </w:p>
    <w:p>
      <w:pPr>
        <w:ind w:left="460" w:hanging="331"/>
        <w:spacing w:after="0"/>
        <w:tabs>
          <w:tab w:leader="none" w:pos="460"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usage charges from public cloud infrastructure providers.</w:t>
      </w:r>
    </w:p>
    <w:p>
      <w:pPr>
        <w:spacing w:after="0" w:line="59" w:lineRule="exact"/>
        <w:rPr>
          <w:rFonts w:ascii="Times New Roman" w:cs="Times New Roman" w:eastAsia="Times New Roman" w:hAnsi="Times New Roman"/>
          <w:sz w:val="16"/>
          <w:szCs w:val="16"/>
          <w:color w:val="auto"/>
        </w:rPr>
      </w:pPr>
    </w:p>
    <w:p>
      <w:pPr>
        <w:ind w:left="460" w:hanging="331"/>
        <w:spacing w:after="0"/>
        <w:tabs>
          <w:tab w:leader="none" w:pos="460"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cost of revenue excludes third party infrastructure expenses and is comprised of certain license costs, labor, and other designated expenses.</w:t>
      </w:r>
    </w:p>
    <w:p>
      <w:pPr>
        <w:spacing w:after="0" w:line="59" w:lineRule="exact"/>
        <w:rPr>
          <w:rFonts w:ascii="Times New Roman" w:cs="Times New Roman" w:eastAsia="Times New Roman" w:hAnsi="Times New Roman"/>
          <w:sz w:val="16"/>
          <w:szCs w:val="16"/>
          <w:color w:val="auto"/>
        </w:rPr>
      </w:pPr>
    </w:p>
    <w:p>
      <w:pPr>
        <w:ind w:left="460" w:right="580" w:hanging="331"/>
        <w:spacing w:after="0" w:line="280" w:lineRule="auto"/>
        <w:tabs>
          <w:tab w:leader="none" w:pos="460"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segment items for each segment include directly allocable research and development expenses, sales and marketing expenses, and certain other general and administrative expenses.</w:t>
      </w:r>
    </w:p>
    <w:p>
      <w:pPr>
        <w:spacing w:after="0" w:line="2" w:lineRule="exact"/>
        <w:rPr>
          <w:rFonts w:ascii="Times New Roman" w:cs="Times New Roman" w:eastAsia="Times New Roman" w:hAnsi="Times New Roman"/>
          <w:sz w:val="16"/>
          <w:szCs w:val="16"/>
          <w:color w:val="auto"/>
        </w:rPr>
      </w:pPr>
    </w:p>
    <w:p>
      <w:pPr>
        <w:ind w:left="460" w:right="580" w:hanging="331"/>
        <w:spacing w:after="0" w:line="263" w:lineRule="auto"/>
        <w:tabs>
          <w:tab w:leader="none" w:pos="460"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legal, professional, accounting and other advisory fees related to acquisitions, certain one-time compliance costs related to being a public company, integration costs of acquired businesses, purchase accounting adjustments, and exploratory acquisition and divestiture costs and expenses related to financing activities.</w:t>
      </w:r>
    </w:p>
    <w:p>
      <w:pPr>
        <w:spacing w:after="0" w:line="2" w:lineRule="exact"/>
        <w:rPr>
          <w:rFonts w:ascii="Times New Roman" w:cs="Times New Roman" w:eastAsia="Times New Roman" w:hAnsi="Times New Roman"/>
          <w:sz w:val="16"/>
          <w:szCs w:val="16"/>
          <w:color w:val="auto"/>
        </w:rPr>
      </w:pPr>
    </w:p>
    <w:p>
      <w:pPr>
        <w:ind w:left="460" w:right="540" w:hanging="331"/>
        <w:spacing w:after="0" w:line="255" w:lineRule="auto"/>
        <w:tabs>
          <w:tab w:leader="none" w:pos="460"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consulting and advisory fees related to business transformation and optimization activities, as well as associated severance, certain facility closure costs, and lease termination expenses. Also includes payroll taxes associated with the exercise of stock options and vesting of restricted stock. The year ended December 31, 2022 includes charges of $5.2 million related to the July 2021 Restructuring Plan which are not accounted for as exit and disposal costs under ASC 420, including one-time offshore build out costs. In addition, the year ended December 31, 2024 includes a $9.0 million MEIA early termination fee associated with the sale of our corporate headquarters in March 2024.</w:t>
      </w:r>
    </w:p>
    <w:p>
      <w:pPr>
        <w:spacing w:after="0" w:line="8" w:lineRule="exact"/>
        <w:rPr>
          <w:rFonts w:ascii="Times New Roman" w:cs="Times New Roman" w:eastAsia="Times New Roman" w:hAnsi="Times New Roman"/>
          <w:sz w:val="16"/>
          <w:szCs w:val="16"/>
          <w:color w:val="auto"/>
        </w:rPr>
      </w:pPr>
    </w:p>
    <w:p>
      <w:pPr>
        <w:ind w:left="460" w:hanging="331"/>
        <w:spacing w:after="0"/>
        <w:tabs>
          <w:tab w:leader="none" w:pos="460"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of our intangible assets are attributable to acquisitions, including the Rackspace Acquisition in 2016.</w:t>
      </w:r>
    </w:p>
    <w:p>
      <w:pPr>
        <w:spacing w:after="0" w:line="59" w:lineRule="exact"/>
        <w:rPr>
          <w:rFonts w:ascii="Times New Roman" w:cs="Times New Roman" w:eastAsia="Times New Roman" w:hAnsi="Times New Roman"/>
          <w:sz w:val="16"/>
          <w:szCs w:val="16"/>
          <w:color w:val="auto"/>
        </w:rPr>
      </w:pPr>
    </w:p>
    <w:p>
      <w:pPr>
        <w:ind w:left="460" w:hanging="331"/>
        <w:spacing w:after="0"/>
        <w:tabs>
          <w:tab w:leader="none" w:pos="460"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Expense recognized related to the closure of a UK office that we exited in the second quarter of 2023 prior to the lease end date.</w:t>
      </w: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372" w:lineRule="exact"/>
        <w:rPr>
          <w:rFonts w:ascii="Times New Roman" w:cs="Times New Roman" w:eastAsia="Times New Roman" w:hAnsi="Times New Roman"/>
          <w:sz w:val="16"/>
          <w:szCs w:val="16"/>
          <w:color w:val="auto"/>
        </w:rPr>
      </w:pPr>
    </w:p>
    <w:p>
      <w:pPr>
        <w:ind w:left="5480" w:hanging="96"/>
        <w:spacing w:after="0"/>
        <w:tabs>
          <w:tab w:leader="none" w:pos="548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table below presents depreciation expense included in segment operating profit above for the years ended December 31, 2022, 2023 and 2024.</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9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6"/>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180" w:type="dxa"/>
            <w:vAlign w:val="bottom"/>
            <w:tcBorders>
              <w:bottom w:val="single" w:sz="8" w:color="auto"/>
            </w:tcBorders>
          </w:tcPr>
          <w:p>
            <w:pPr>
              <w:spacing w:after="0"/>
              <w:rPr>
                <w:sz w:val="18"/>
                <w:szCs w:val="18"/>
                <w:color w:val="auto"/>
              </w:rPr>
            </w:pPr>
          </w:p>
        </w:tc>
      </w:tr>
      <w:tr>
        <w:trPr>
          <w:trHeight w:val="211"/>
        </w:trPr>
        <w:tc>
          <w:tcPr>
            <w:tcW w:w="5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1"/>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Public Cloud</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r>
      <w:tr>
        <w:trPr>
          <w:trHeight w:val="213"/>
        </w:trPr>
        <w:tc>
          <w:tcPr>
            <w:tcW w:w="5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Private Cloud</w:t>
            </w: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170.2</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115.1</w:t>
            </w:r>
          </w:p>
        </w:tc>
      </w:tr>
      <w:tr>
        <w:trPr>
          <w:trHeight w:val="219"/>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Corporate functions</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w:t>
            </w: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w:t>
            </w:r>
          </w:p>
        </w:tc>
      </w:tr>
      <w:tr>
        <w:trPr>
          <w:trHeight w:val="210"/>
        </w:trPr>
        <w:tc>
          <w:tcPr>
            <w:tcW w:w="59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depreciation expense</w:t>
            </w: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220.9</w:t>
            </w:r>
          </w:p>
        </w:tc>
        <w:tc>
          <w:tcPr>
            <w:tcW w:w="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208.7</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141.3</w:t>
            </w:r>
          </w:p>
        </w:tc>
      </w:tr>
      <w:tr>
        <w:trPr>
          <w:trHeight w:val="20"/>
        </w:trPr>
        <w:tc>
          <w:tcPr>
            <w:tcW w:w="59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280" w:firstLine="486"/>
        <w:spacing w:after="0" w:line="282" w:lineRule="auto"/>
        <w:rPr>
          <w:sz w:val="20"/>
          <w:szCs w:val="20"/>
          <w:color w:val="auto"/>
        </w:rPr>
      </w:pPr>
      <w:r>
        <w:rPr>
          <w:rFonts w:ascii="Times New Roman" w:cs="Times New Roman" w:eastAsia="Times New Roman" w:hAnsi="Times New Roman"/>
          <w:sz w:val="18"/>
          <w:szCs w:val="18"/>
          <w:color w:val="auto"/>
        </w:rPr>
        <w:t>Management does not use total assets by segment to evaluate segment performance or allocate resources. As such, total assets by segment are not disclosed.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Geographic Information</w:t>
      </w:r>
    </w:p>
    <w:p>
      <w:pPr>
        <w:spacing w:after="0" w:line="256" w:lineRule="exact"/>
        <w:rPr>
          <w:sz w:val="20"/>
          <w:szCs w:val="20"/>
          <w:color w:val="auto"/>
        </w:rPr>
      </w:pPr>
    </w:p>
    <w:p>
      <w:pPr>
        <w:ind w:right="220" w:firstLine="486"/>
        <w:spacing w:after="0" w:line="282" w:lineRule="auto"/>
        <w:rPr>
          <w:sz w:val="20"/>
          <w:szCs w:val="20"/>
          <w:color w:val="auto"/>
        </w:rPr>
      </w:pPr>
      <w:r>
        <w:rPr>
          <w:rFonts w:ascii="Times New Roman" w:cs="Times New Roman" w:eastAsia="Times New Roman" w:hAnsi="Times New Roman"/>
          <w:sz w:val="18"/>
          <w:szCs w:val="18"/>
          <w:color w:val="auto"/>
        </w:rPr>
        <w:t>The tables below present revenue by geographic region and by country for the years ended December 31, 2022, 2023 and 2024. Revenue amounts are based upon the location of the support function servicing the customer.</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2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6"/>
          </w:tcPr>
          <w:p>
            <w:pPr>
              <w:ind w:left="40"/>
              <w:spacing w:after="0"/>
              <w:rPr>
                <w:sz w:val="20"/>
                <w:szCs w:val="20"/>
                <w:color w:val="auto"/>
              </w:rPr>
            </w:pPr>
            <w:r>
              <w:rPr>
                <w:rFonts w:ascii="Times New Roman" w:cs="Times New Roman" w:eastAsia="Times New Roman" w:hAnsi="Times New Roman"/>
                <w:sz w:val="16"/>
                <w:szCs w:val="16"/>
                <w:b w:val="1"/>
                <w:bCs w:val="1"/>
                <w:color w:val="auto"/>
                <w:w w:val="99"/>
              </w:rPr>
              <w:t>Year Ended December 31,</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r>
      <w:tr>
        <w:trPr>
          <w:trHeight w:val="211"/>
        </w:trPr>
        <w:tc>
          <w:tcPr>
            <w:tcW w:w="6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2022</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1"/>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Americas</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2,341.7</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2,181.4</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1,990.4</w:t>
            </w:r>
          </w:p>
        </w:tc>
      </w:tr>
      <w:tr>
        <w:trPr>
          <w:trHeight w:val="213"/>
        </w:trPr>
        <w:tc>
          <w:tcPr>
            <w:tcW w:w="6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EMEA</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626.6</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620.0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620.0</w:t>
            </w:r>
          </w:p>
        </w:tc>
      </w:tr>
      <w:tr>
        <w:trPr>
          <w:trHeight w:val="219"/>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APJ</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154.0</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155.7</w:t>
            </w: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126.7</w:t>
            </w:r>
          </w:p>
        </w:tc>
      </w:tr>
      <w:tr>
        <w:trPr>
          <w:trHeight w:val="209"/>
        </w:trPr>
        <w:tc>
          <w:tcPr>
            <w:tcW w:w="6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revenue</w:t>
            </w: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3,122.3</w:t>
            </w:r>
          </w:p>
        </w:tc>
        <w:tc>
          <w:tcPr>
            <w:tcW w:w="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2,957.1</w:t>
            </w: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2,737.1</w:t>
            </w:r>
          </w:p>
        </w:tc>
      </w:tr>
      <w:tr>
        <w:trPr>
          <w:trHeight w:val="21"/>
        </w:trPr>
        <w:tc>
          <w:tcPr>
            <w:tcW w:w="6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2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6"/>
          </w:tcPr>
          <w:p>
            <w:pPr>
              <w:ind w:left="40"/>
              <w:spacing w:after="0"/>
              <w:rPr>
                <w:sz w:val="20"/>
                <w:szCs w:val="20"/>
                <w:color w:val="auto"/>
              </w:rPr>
            </w:pPr>
            <w:r>
              <w:rPr>
                <w:rFonts w:ascii="Times New Roman" w:cs="Times New Roman" w:eastAsia="Times New Roman" w:hAnsi="Times New Roman"/>
                <w:sz w:val="16"/>
                <w:szCs w:val="16"/>
                <w:b w:val="1"/>
                <w:bCs w:val="1"/>
                <w:color w:val="auto"/>
                <w:w w:val="99"/>
              </w:rPr>
              <w:t>Year Ended December 31,</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r>
      <w:tr>
        <w:trPr>
          <w:trHeight w:val="211"/>
        </w:trPr>
        <w:tc>
          <w:tcPr>
            <w:tcW w:w="6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2022</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1"/>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2,209.2</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2,035.6</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1,847.7</w:t>
            </w:r>
          </w:p>
        </w:tc>
      </w:tr>
      <w:tr>
        <w:trPr>
          <w:trHeight w:val="213"/>
        </w:trPr>
        <w:tc>
          <w:tcPr>
            <w:tcW w:w="6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United Kingdom</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521.6</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484.5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468.0</w:t>
            </w:r>
          </w:p>
        </w:tc>
      </w:tr>
      <w:tr>
        <w:trPr>
          <w:trHeight w:val="219"/>
        </w:trPr>
        <w:tc>
          <w:tcPr>
            <w:tcW w:w="628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 xml:space="preserve">Other foreign countries </w:t>
            </w:r>
            <w:r>
              <w:rPr>
                <w:rFonts w:ascii="Times New Roman" w:cs="Times New Roman" w:eastAsia="Times New Roman" w:hAnsi="Times New Roman"/>
                <w:sz w:val="21"/>
                <w:szCs w:val="21"/>
                <w:color w:val="auto"/>
                <w:vertAlign w:val="superscript"/>
              </w:rPr>
              <w:t>(1)</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391.5</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437.0</w:t>
            </w: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421.4</w:t>
            </w:r>
          </w:p>
        </w:tc>
      </w:tr>
      <w:tr>
        <w:trPr>
          <w:trHeight w:val="210"/>
        </w:trPr>
        <w:tc>
          <w:tcPr>
            <w:tcW w:w="6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revenue</w:t>
            </w: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3,122.3</w:t>
            </w:r>
          </w:p>
        </w:tc>
        <w:tc>
          <w:tcPr>
            <w:tcW w:w="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2,957.1</w:t>
            </w: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2,737.1</w:t>
            </w:r>
          </w:p>
        </w:tc>
      </w:tr>
      <w:tr>
        <w:trPr>
          <w:trHeight w:val="20"/>
        </w:trPr>
        <w:tc>
          <w:tcPr>
            <w:tcW w:w="6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81" w:lineRule="exact"/>
        <w:rPr>
          <w:sz w:val="20"/>
          <w:szCs w:val="20"/>
          <w:color w:val="auto"/>
        </w:rPr>
      </w:pPr>
    </w:p>
    <w:p>
      <w:pPr>
        <w:ind w:left="360" w:hanging="352"/>
        <w:spacing w:after="0"/>
        <w:tabs>
          <w:tab w:leader="none" w:pos="360"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other foreign country had revenue that exceeded 10% of total consolidated revenue for the years ended December 31, 2022, 2023 and 2024.</w:t>
      </w:r>
    </w:p>
    <w:p>
      <w:pPr>
        <w:spacing w:after="0" w:line="243" w:lineRule="exact"/>
        <w:rPr>
          <w:rFonts w:ascii="Times New Roman" w:cs="Times New Roman" w:eastAsia="Times New Roman" w:hAnsi="Times New Roman"/>
          <w:sz w:val="16"/>
          <w:szCs w:val="16"/>
          <w:color w:val="auto"/>
        </w:rPr>
      </w:pPr>
    </w:p>
    <w:p>
      <w:pPr>
        <w:ind w:left="5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table below presents property, equipment and software, net by country, based on the physical location of the assets: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20" w:type="dxa"/>
            <w:vAlign w:val="bottom"/>
          </w:tcPr>
          <w:p>
            <w:pPr>
              <w:spacing w:after="0"/>
              <w:rPr>
                <w:sz w:val="16"/>
                <w:szCs w:val="16"/>
                <w:color w:val="auto"/>
              </w:rPr>
            </w:pPr>
          </w:p>
        </w:tc>
        <w:tc>
          <w:tcPr>
            <w:tcW w:w="14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20" w:type="dxa"/>
            <w:vAlign w:val="bottom"/>
          </w:tcPr>
          <w:p>
            <w:pPr>
              <w:spacing w:after="0"/>
              <w:rPr>
                <w:sz w:val="16"/>
                <w:szCs w:val="16"/>
                <w:color w:val="auto"/>
              </w:rPr>
            </w:pPr>
          </w:p>
        </w:tc>
        <w:tc>
          <w:tcPr>
            <w:tcW w:w="138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4"/>
        </w:trPr>
        <w:tc>
          <w:tcPr>
            <w:tcW w:w="6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1"/>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478.4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480.8</w:t>
            </w:r>
          </w:p>
        </w:tc>
      </w:tr>
      <w:tr>
        <w:trPr>
          <w:trHeight w:val="213"/>
        </w:trPr>
        <w:tc>
          <w:tcPr>
            <w:tcW w:w="6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United Kingdom</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100.3</w:t>
            </w:r>
          </w:p>
        </w:tc>
      </w:tr>
      <w:tr>
        <w:trPr>
          <w:trHeight w:val="219"/>
        </w:trPr>
        <w:tc>
          <w:tcPr>
            <w:tcW w:w="628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 xml:space="preserve">Other foreign countries </w:t>
            </w:r>
            <w:r>
              <w:rPr>
                <w:rFonts w:ascii="Times New Roman" w:cs="Times New Roman" w:eastAsia="Times New Roman" w:hAnsi="Times New Roman"/>
                <w:sz w:val="21"/>
                <w:szCs w:val="21"/>
                <w:color w:val="auto"/>
                <w:vertAlign w:val="superscript"/>
              </w:rPr>
              <w:t>(1)</w:t>
            </w:r>
          </w:p>
        </w:tc>
        <w:tc>
          <w:tcPr>
            <w:tcW w:w="2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w:t>
            </w:r>
          </w:p>
        </w:tc>
      </w:tr>
      <w:tr>
        <w:trPr>
          <w:trHeight w:val="209"/>
        </w:trPr>
        <w:tc>
          <w:tcPr>
            <w:tcW w:w="6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property, equipment and software, net</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628.3</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608.8</w:t>
            </w: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601.0</w:t>
            </w:r>
          </w:p>
        </w:tc>
      </w:tr>
      <w:tr>
        <w:trPr>
          <w:trHeight w:val="21"/>
        </w:trPr>
        <w:tc>
          <w:tcPr>
            <w:tcW w:w="6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81" w:lineRule="exact"/>
        <w:rPr>
          <w:sz w:val="20"/>
          <w:szCs w:val="20"/>
          <w:color w:val="auto"/>
        </w:rPr>
      </w:pPr>
    </w:p>
    <w:p>
      <w:pPr>
        <w:ind w:left="360" w:hanging="352"/>
        <w:spacing w:after="0"/>
        <w:tabs>
          <w:tab w:leader="none" w:pos="360"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other foreign country had property, equipment and software, net that exceeded 10% of total consolidated property, equipment and software, net.</w:t>
      </w: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37" w:lineRule="exact"/>
        <w:rPr>
          <w:rFonts w:ascii="Times New Roman" w:cs="Times New Roman" w:eastAsia="Times New Roman" w:hAnsi="Times New Roman"/>
          <w:sz w:val="16"/>
          <w:szCs w:val="16"/>
          <w:color w:val="auto"/>
        </w:rPr>
      </w:pPr>
    </w:p>
    <w:p>
      <w:pPr>
        <w:ind w:left="5480" w:hanging="96"/>
        <w:spacing w:after="0"/>
        <w:tabs>
          <w:tab w:leader="none" w:pos="548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Condensed Financial Information of Registrant (Parent Company Only)</w:t>
      </w:r>
    </w:p>
    <w:p>
      <w:pPr>
        <w:spacing w:after="0" w:line="252"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RACKSPACE TECHNOLOGY, INC. (Parent Company Only)</w:t>
      </w:r>
    </w:p>
    <w:p>
      <w:pPr>
        <w:spacing w:after="0" w:line="31"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CONDENSED BALANCE SHEETS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80" w:type="dxa"/>
            <w:vAlign w:val="bottom"/>
          </w:tcPr>
          <w:p>
            <w:pPr>
              <w:spacing w:after="0"/>
              <w:rPr>
                <w:sz w:val="16"/>
                <w:szCs w:val="16"/>
                <w:color w:val="auto"/>
              </w:rPr>
            </w:pPr>
          </w:p>
        </w:tc>
        <w:tc>
          <w:tcPr>
            <w:tcW w:w="128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2"/>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millions, except per share data)</w:t>
            </w: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197"/>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Investment in subsidiaries of Parent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(154.5)</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(1,004.2)</w:t>
            </w:r>
          </w:p>
        </w:tc>
        <w:tc>
          <w:tcPr>
            <w:tcW w:w="0" w:type="dxa"/>
            <w:vAlign w:val="bottom"/>
          </w:tcPr>
          <w:p>
            <w:pPr>
              <w:spacing w:after="0"/>
              <w:rPr>
                <w:sz w:val="1"/>
                <w:szCs w:val="1"/>
                <w:color w:val="auto"/>
              </w:rPr>
            </w:pPr>
          </w:p>
        </w:tc>
      </w:tr>
      <w:tr>
        <w:trPr>
          <w:trHeight w:val="212"/>
        </w:trPr>
        <w:tc>
          <w:tcPr>
            <w:tcW w:w="82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Total assets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(154.5)</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(1,004.2)</w:t>
            </w:r>
          </w:p>
        </w:tc>
        <w:tc>
          <w:tcPr>
            <w:tcW w:w="0" w:type="dxa"/>
            <w:vAlign w:val="bottom"/>
          </w:tcPr>
          <w:p>
            <w:pPr>
              <w:spacing w:after="0"/>
              <w:rPr>
                <w:sz w:val="1"/>
                <w:szCs w:val="1"/>
                <w:color w:val="auto"/>
              </w:rPr>
            </w:pPr>
          </w:p>
        </w:tc>
      </w:tr>
      <w:tr>
        <w:trPr>
          <w:trHeight w:val="20"/>
        </w:trPr>
        <w:tc>
          <w:tcPr>
            <w:tcW w:w="82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DEFICIT</w:t>
            </w:r>
          </w:p>
        </w:tc>
        <w:tc>
          <w:tcPr>
            <w:tcW w:w="1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82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Stockholders' deficit:</w:t>
            </w: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Preferred stock, $0.01 par value per share: 5.0 shares authorized; no shares issued or outstanding</w:t>
            </w:r>
          </w:p>
        </w:tc>
        <w:tc>
          <w:tcPr>
            <w:tcW w:w="1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2"/>
        </w:trPr>
        <w:tc>
          <w:tcPr>
            <w:tcW w:w="8220" w:type="dxa"/>
            <w:vAlign w:val="bottom"/>
          </w:tcPr>
          <w:p>
            <w:pPr>
              <w:ind w:left="220"/>
              <w:spacing w:after="0" w:line="162" w:lineRule="exact"/>
              <w:rPr>
                <w:sz w:val="20"/>
                <w:szCs w:val="20"/>
                <w:color w:val="auto"/>
              </w:rPr>
            </w:pPr>
            <w:r>
              <w:rPr>
                <w:rFonts w:ascii="Times New Roman" w:cs="Times New Roman" w:eastAsia="Times New Roman" w:hAnsi="Times New Roman"/>
                <w:sz w:val="16"/>
                <w:szCs w:val="16"/>
                <w:color w:val="auto"/>
              </w:rPr>
              <w:t>Common stock, $0.01 par value per share: 1,495.0 shares authorized; 220.5 and 232.2 shares issued; 217.4 and 229.1</w:t>
            </w:r>
          </w:p>
        </w:tc>
        <w:tc>
          <w:tcPr>
            <w:tcW w:w="180" w:type="dxa"/>
            <w:vAlign w:val="bottom"/>
          </w:tcPr>
          <w:p>
            <w:pPr>
              <w:spacing w:after="0"/>
              <w:rPr>
                <w:sz w:val="14"/>
                <w:szCs w:val="14"/>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0" w:type="dxa"/>
            <w:vAlign w:val="bottom"/>
          </w:tcPr>
          <w:p>
            <w:pPr>
              <w:spacing w:after="0"/>
              <w:rPr>
                <w:sz w:val="1"/>
                <w:szCs w:val="1"/>
                <w:color w:val="auto"/>
              </w:rPr>
            </w:pPr>
          </w:p>
        </w:tc>
      </w:tr>
      <w:tr>
        <w:trPr>
          <w:trHeight w:val="213"/>
        </w:trPr>
        <w:tc>
          <w:tcPr>
            <w:tcW w:w="82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shares outstanding, respectively</w:t>
            </w:r>
          </w:p>
        </w:tc>
        <w:tc>
          <w:tcPr>
            <w:tcW w:w="18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2,638.2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2,682.8</w:t>
            </w:r>
          </w:p>
        </w:tc>
        <w:tc>
          <w:tcPr>
            <w:tcW w:w="0" w:type="dxa"/>
            <w:vAlign w:val="bottom"/>
          </w:tcPr>
          <w:p>
            <w:pPr>
              <w:spacing w:after="0"/>
              <w:rPr>
                <w:sz w:val="1"/>
                <w:szCs w:val="1"/>
                <w:color w:val="auto"/>
              </w:rPr>
            </w:pPr>
          </w:p>
        </w:tc>
      </w:tr>
      <w:tr>
        <w:trPr>
          <w:trHeight w:val="213"/>
        </w:trPr>
        <w:tc>
          <w:tcPr>
            <w:tcW w:w="82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Accumulated other comprehensive income</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Accumulated deficit</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(2,824.2)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(3,682.4)</w:t>
            </w:r>
          </w:p>
        </w:tc>
        <w:tc>
          <w:tcPr>
            <w:tcW w:w="0" w:type="dxa"/>
            <w:vAlign w:val="bottom"/>
          </w:tcPr>
          <w:p>
            <w:pPr>
              <w:spacing w:after="0"/>
              <w:rPr>
                <w:sz w:val="1"/>
                <w:szCs w:val="1"/>
                <w:color w:val="auto"/>
              </w:rPr>
            </w:pPr>
          </w:p>
        </w:tc>
      </w:tr>
      <w:tr>
        <w:trPr>
          <w:trHeight w:val="213"/>
        </w:trPr>
        <w:tc>
          <w:tcPr>
            <w:tcW w:w="82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Treasury stock, at cost; 3.1 shares held</w:t>
            </w: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(31.0)</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(31.0)</w:t>
            </w:r>
          </w:p>
        </w:tc>
        <w:tc>
          <w:tcPr>
            <w:tcW w:w="0" w:type="dxa"/>
            <w:vAlign w:val="bottom"/>
          </w:tcPr>
          <w:p>
            <w:pPr>
              <w:spacing w:after="0"/>
              <w:rPr>
                <w:sz w:val="1"/>
                <w:szCs w:val="1"/>
                <w:color w:val="auto"/>
              </w:rPr>
            </w:pPr>
          </w:p>
        </w:tc>
      </w:tr>
      <w:tr>
        <w:trPr>
          <w:trHeight w:val="209"/>
        </w:trPr>
        <w:tc>
          <w:tcPr>
            <w:tcW w:w="82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stockholders' deficit</w:t>
            </w:r>
          </w:p>
        </w:tc>
        <w:tc>
          <w:tcPr>
            <w:tcW w:w="1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(154.5)</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(1,004.2)</w:t>
            </w:r>
          </w:p>
        </w:tc>
        <w:tc>
          <w:tcPr>
            <w:tcW w:w="0" w:type="dxa"/>
            <w:vAlign w:val="bottom"/>
          </w:tcPr>
          <w:p>
            <w:pPr>
              <w:spacing w:after="0"/>
              <w:rPr>
                <w:sz w:val="1"/>
                <w:szCs w:val="1"/>
                <w:color w:val="auto"/>
              </w:rPr>
            </w:pPr>
          </w:p>
        </w:tc>
      </w:tr>
      <w:tr>
        <w:trPr>
          <w:trHeight w:val="212"/>
        </w:trPr>
        <w:tc>
          <w:tcPr>
            <w:tcW w:w="822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Total liabilities and stockholders' deficit</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(154.5)</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(1,004.2)</w:t>
            </w:r>
          </w:p>
        </w:tc>
        <w:tc>
          <w:tcPr>
            <w:tcW w:w="0" w:type="dxa"/>
            <w:vAlign w:val="bottom"/>
          </w:tcPr>
          <w:p>
            <w:pPr>
              <w:spacing w:after="0"/>
              <w:rPr>
                <w:sz w:val="1"/>
                <w:szCs w:val="1"/>
                <w:color w:val="auto"/>
              </w:rPr>
            </w:pPr>
          </w:p>
        </w:tc>
      </w:tr>
      <w:tr>
        <w:trPr>
          <w:trHeight w:val="21"/>
        </w:trPr>
        <w:tc>
          <w:tcPr>
            <w:tcW w:w="8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The accompanying note is an integral part of these condensed financial statements.</w:t>
      </w:r>
    </w:p>
    <w:p>
      <w:pPr>
        <w:spacing w:after="0" w:line="248"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RACKSPACE TECHNOLOGY, INC. (Parent Company Only)</w:t>
      </w:r>
    </w:p>
    <w:p>
      <w:pPr>
        <w:spacing w:after="0" w:line="31"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b w:val="1"/>
          <w:bCs w:val="1"/>
          <w:color w:val="auto"/>
        </w:rPr>
        <w:t>CONDENSED STATEMENTS OF COMPREHENSIVE LOSS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2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6"/>
                <w:szCs w:val="16"/>
                <w:b w:val="1"/>
                <w:bCs w:val="1"/>
                <w:color w:val="auto"/>
                <w:w w:val="99"/>
              </w:rPr>
              <w:t>Year Ended December 31,</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r>
      <w:tr>
        <w:trPr>
          <w:trHeight w:val="211"/>
        </w:trPr>
        <w:tc>
          <w:tcPr>
            <w:tcW w:w="6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 millions, except per share data)</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1"/>
        </w:trPr>
        <w:tc>
          <w:tcPr>
            <w:tcW w:w="6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Equity in net losses in Parent's subsidiaries</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(804.8)</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(837.8)</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(858.2)</w:t>
            </w:r>
          </w:p>
        </w:tc>
      </w:tr>
      <w:tr>
        <w:trPr>
          <w:trHeight w:val="210"/>
        </w:trPr>
        <w:tc>
          <w:tcPr>
            <w:tcW w:w="62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Net loss and total comprehensive loss</w:t>
            </w: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(804.8)</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(837.8)</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(858.2)</w:t>
            </w:r>
          </w:p>
        </w:tc>
      </w:tr>
      <w:tr>
        <w:trPr>
          <w:trHeight w:val="20"/>
        </w:trPr>
        <w:tc>
          <w:tcPr>
            <w:tcW w:w="62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83"/>
        </w:trPr>
        <w:tc>
          <w:tcPr>
            <w:tcW w:w="6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loss per share</w:t>
            </w: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216"/>
        </w:trPr>
        <w:tc>
          <w:tcPr>
            <w:tcW w:w="62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Basic and diluted</w:t>
            </w: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(3.81)</w:t>
            </w:r>
          </w:p>
        </w:tc>
        <w:tc>
          <w:tcPr>
            <w:tcW w:w="48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(3.89)</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(3.82)</w:t>
            </w:r>
          </w:p>
        </w:tc>
      </w:tr>
      <w:tr>
        <w:trPr>
          <w:trHeight w:val="20"/>
        </w:trPr>
        <w:tc>
          <w:tcPr>
            <w:tcW w:w="624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183"/>
        </w:trPr>
        <w:tc>
          <w:tcPr>
            <w:tcW w:w="6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Weighted average number of shares outstanding:</w:t>
            </w: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216"/>
        </w:trPr>
        <w:tc>
          <w:tcPr>
            <w:tcW w:w="62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Basic and diluted</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211.2</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215.3</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224.8</w:t>
            </w:r>
          </w:p>
        </w:tc>
      </w:tr>
      <w:tr>
        <w:trPr>
          <w:trHeight w:val="20"/>
        </w:trPr>
        <w:tc>
          <w:tcPr>
            <w:tcW w:w="6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color w:val="auto"/>
        </w:rPr>
        <w:t>The accompanying note is an integral part of these condensed financial statements.</w:t>
      </w:r>
    </w:p>
    <w:p>
      <w:pPr>
        <w:spacing w:after="0" w:line="252" w:lineRule="exact"/>
        <w:rPr>
          <w:sz w:val="20"/>
          <w:szCs w:val="20"/>
          <w:color w:val="auto"/>
        </w:rPr>
      </w:pPr>
    </w:p>
    <w:p>
      <w:pPr>
        <w:ind w:right="260" w:firstLine="486"/>
        <w:spacing w:after="0" w:line="282" w:lineRule="auto"/>
        <w:rPr>
          <w:sz w:val="20"/>
          <w:szCs w:val="20"/>
          <w:color w:val="auto"/>
        </w:rPr>
      </w:pPr>
      <w:r>
        <w:rPr>
          <w:rFonts w:ascii="Times New Roman" w:cs="Times New Roman" w:eastAsia="Times New Roman" w:hAnsi="Times New Roman"/>
          <w:sz w:val="18"/>
          <w:szCs w:val="18"/>
          <w:color w:val="auto"/>
        </w:rPr>
        <w:t>A condensed statement of cash flows has not been presented as Rackspace Technology did not have any cash as of, or at any point in time during, the years ended December 31, 2022, 2023 and 2024.</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 TO CONDENSED FINANCIAL STATEMENTS OF REGISTRANT (Parent Company Only)</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254" w:lineRule="exact"/>
        <w:rPr>
          <w:sz w:val="20"/>
          <w:szCs w:val="20"/>
          <w:color w:val="auto"/>
        </w:rPr>
      </w:pPr>
    </w:p>
    <w:p>
      <w:pPr>
        <w:ind w:right="40" w:firstLine="486"/>
        <w:spacing w:after="0" w:line="258" w:lineRule="auto"/>
        <w:rPr>
          <w:sz w:val="20"/>
          <w:szCs w:val="20"/>
          <w:color w:val="auto"/>
        </w:rPr>
      </w:pPr>
      <w:r>
        <w:rPr>
          <w:rFonts w:ascii="Times New Roman" w:cs="Times New Roman" w:eastAsia="Times New Roman" w:hAnsi="Times New Roman"/>
          <w:sz w:val="18"/>
          <w:szCs w:val="18"/>
          <w:color w:val="auto"/>
        </w:rPr>
        <w:t>These condensed parent company-only financial statements have been prepared in accordance with Rule 12-04, Schedule I of Regulation S-X, as the restricted net assets of the subsidiaries of Rackspace Technology, Inc. (“Parent”) (as defined in Rule 4-08(e)(3) of Regulation S-X) exceed 25% of the consolidated net assets of the Parent. The ability of Parent’s operating subsidiaries to pay dividends may be restricted due to the terms of the subsidiaries’ New First Lien Credit Agreement, First Lien Credit Agreement and the Indentures, as described in Note 7, “Debt” to the audited consolidated financial statements.</w:t>
      </w:r>
    </w:p>
    <w:p>
      <w:pPr>
        <w:spacing w:after="0" w:line="210"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These condensed parent company financial statements have been prepared using the same accounting principles and policies described in the notes to the consolidated financial statements, with the only exception being that the parent company accounts for its subsidiaries using the equity method. These condensed financial statements should be read in conjunction with the audited consolidated financial statements and related notes thereto included elsewhere in this report.</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- 152 -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ITEM 9 – CHANGES IN AND DISAGREEMENTS WITH ACCOUNTANTS ON ACCOUNTING AND FINANCIAL DISCLOSURE</w:t>
      </w:r>
    </w:p>
    <w:p>
      <w:pPr>
        <w:spacing w:after="0" w:line="25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ITEM 9A – CONTROLS AND PROCEDURES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56" w:lineRule="exact"/>
        <w:rPr>
          <w:sz w:val="20"/>
          <w:szCs w:val="20"/>
          <w:color w:val="auto"/>
        </w:rPr>
      </w:pPr>
    </w:p>
    <w:p>
      <w:pPr>
        <w:ind w:right="120" w:firstLine="486"/>
        <w:spacing w:after="0" w:line="255" w:lineRule="auto"/>
        <w:rPr>
          <w:sz w:val="20"/>
          <w:szCs w:val="20"/>
          <w:color w:val="auto"/>
        </w:rPr>
      </w:pPr>
      <w:r>
        <w:rPr>
          <w:rFonts w:ascii="Times New Roman" w:cs="Times New Roman" w:eastAsia="Times New Roman" w:hAnsi="Times New Roman"/>
          <w:sz w:val="18"/>
          <w:szCs w:val="18"/>
          <w:color w:val="auto"/>
        </w:rPr>
        <w:t>Under the supervision and with the participation of our senior management, including our Chief Executive Officer and Chief Financial Officer, we conducted an evaluation of the effectiveness of the design and operation of our disclosure controls and procedures, as defined in Rules 13a-15(e) and 15d-15(e) under the Exchange Act, as of the end of the period covered by this Annual Report. Based on this evaluation, our Chief Executive Officer and Chief Financial Officer concluded as of December 31, 2024 that our disclosure controls and procedures were effective such that the information relating to the company, including our consolidated subsidiaries, required to be disclosed in the reports we file or submit under the Exchange Act (i) is recorded, processed, summarized and reported within the time periods specified in SEC rules and forms, and (ii) is accumulated and communicated to our management, including our Chief Executive Officer and Chief Financial Officer, as appropriate to allow timely decisions regarding required disclosure.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Report on Internal Control over Financial Reporting</w:t>
      </w:r>
    </w:p>
    <w:p>
      <w:pPr>
        <w:spacing w:after="0" w:line="256"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Rules 13a-15(f) and 15d-15(f) under the Exchange Act). Internal control over financial reporting is a process designed to provide reasonable assurance regarding the reliability of financial reporting and the preparation of financial statements for external purposes in accordance with generally accepted accounting principles. Management conducted an assessment of the effectiveness of our internal control over financial reporting based on the criteria set forth in Internal Control —Integrated Framework (2013 framework) issued by the Committee of Sponsoring Organizations of the Treadway Commission. Based on the assessment, management has concluded that our internal control over financial reporting was effective as of December 31, 2024.</w:t>
      </w:r>
    </w:p>
    <w:p>
      <w:pPr>
        <w:spacing w:after="0" w:line="214" w:lineRule="exact"/>
        <w:rPr>
          <w:sz w:val="20"/>
          <w:szCs w:val="20"/>
          <w:color w:val="auto"/>
        </w:rPr>
      </w:pPr>
    </w:p>
    <w:p>
      <w:pPr>
        <w:ind w:right="40" w:firstLine="486"/>
        <w:spacing w:after="0" w:line="282" w:lineRule="auto"/>
        <w:rPr>
          <w:sz w:val="20"/>
          <w:szCs w:val="20"/>
          <w:color w:val="auto"/>
        </w:rPr>
      </w:pPr>
      <w:r>
        <w:rPr>
          <w:rFonts w:ascii="Times New Roman" w:cs="Times New Roman" w:eastAsia="Times New Roman" w:hAnsi="Times New Roman"/>
          <w:sz w:val="18"/>
          <w:szCs w:val="18"/>
          <w:color w:val="auto"/>
        </w:rPr>
        <w:t>Our independent registered public accounting firm, PricewaterhouseCoopers LLP, has audited the effectiveness of our internal control over financial reporting as of December 31, 2024, as stated in their report which appears in Part II, Item 8 of this Annual Report.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56" w:lineRule="exact"/>
        <w:rPr>
          <w:sz w:val="20"/>
          <w:szCs w:val="20"/>
          <w:color w:val="auto"/>
        </w:rPr>
      </w:pPr>
    </w:p>
    <w:p>
      <w:pPr>
        <w:ind w:right="540" w:firstLine="486"/>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three months ended December 31, 2024 that have materially affected, or are reasonably likely to materially affect, our internal control over financial reporting.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Inherent Limitations of Internal Controls</w:t>
      </w:r>
    </w:p>
    <w:p>
      <w:pPr>
        <w:spacing w:after="0" w:line="256" w:lineRule="exact"/>
        <w:rPr>
          <w:sz w:val="20"/>
          <w:szCs w:val="20"/>
          <w:color w:val="auto"/>
        </w:rPr>
      </w:pPr>
    </w:p>
    <w:p>
      <w:pPr>
        <w:ind w:right="20" w:firstLine="486"/>
        <w:spacing w:after="0" w:line="253"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does not expect that our disclosure controls and procedures or our internal controls will prevent all error and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- 153 -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ITEM 9B – OTHER INFORMATION</w:t>
      </w:r>
    </w:p>
    <w:p>
      <w:pPr>
        <w:spacing w:after="0" w:line="25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Rule 10b5-1 Trading Arrangements</w:t>
      </w:r>
    </w:p>
    <w:p>
      <w:pPr>
        <w:spacing w:after="0" w:line="256"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During the fiscal quarter ended December 31, 2024, none of the company’s directors or officers (as defined in Rule 16a-1(f) of the Exchange Act) adopted, modified or terminated a "Rule 10b5-1 trading arrangement" or a "non-Rule 10b5-1 trading arrangement" (as each term is defined in Item 408 of Regulation S-K).</w:t>
      </w:r>
    </w:p>
    <w:p>
      <w:pPr>
        <w:spacing w:after="0" w:line="199"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b w:val="1"/>
          <w:bCs w:val="1"/>
          <w:color w:val="auto"/>
        </w:rPr>
        <w:t>ITEM 9C – DISCLOSURE REGARDING FOREIGN JURISDICTIONS THAT PREVENT INSPECTIONS</w:t>
      </w:r>
    </w:p>
    <w:p>
      <w:pPr>
        <w:spacing w:after="0" w:line="25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- 154 -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21" w:right="47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5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ITEM 10 – DIRECTORS, EXECUTIVE OFFICERS AND CORPORATE GOVERNANCE</w:t>
      </w:r>
    </w:p>
    <w:p>
      <w:pPr>
        <w:spacing w:after="0" w:line="256" w:lineRule="exact"/>
        <w:rPr>
          <w:sz w:val="20"/>
          <w:szCs w:val="20"/>
          <w:color w:val="auto"/>
        </w:rPr>
      </w:pPr>
    </w:p>
    <w:p>
      <w:pPr>
        <w:ind w:right="400" w:firstLine="486"/>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Rackspace Technology’s Proxy Statement for its 2025 Annual Meeting of Stockholders to be filed with the SEC within 120 days after the end of the fiscal year ended December 31, 2024.</w:t>
      </w:r>
    </w:p>
    <w:p>
      <w:pPr>
        <w:spacing w:after="0" w:line="189" w:lineRule="exact"/>
        <w:rPr>
          <w:sz w:val="20"/>
          <w:szCs w:val="20"/>
          <w:color w:val="auto"/>
        </w:rPr>
      </w:pPr>
    </w:p>
    <w:p>
      <w:pPr>
        <w:ind w:right="520" w:firstLine="486"/>
        <w:spacing w:after="0" w:line="261" w:lineRule="auto"/>
        <w:rPr>
          <w:sz w:val="20"/>
          <w:szCs w:val="20"/>
          <w:color w:val="auto"/>
        </w:rPr>
      </w:pPr>
      <w:r>
        <w:rPr>
          <w:rFonts w:ascii="Times New Roman" w:cs="Times New Roman" w:eastAsia="Times New Roman" w:hAnsi="Times New Roman"/>
          <w:sz w:val="18"/>
          <w:szCs w:val="18"/>
          <w:color w:val="auto"/>
        </w:rPr>
        <w:t>We have adopted the Rackspace Technology, Inc. Code of Conduct and Business Ethics (the “Code of Conduct”) that applies to all of our employees, officers and directors, including, without limitation, our Chief Executive Officer, Chief Financial Officer, and other finance organization employees. The Code of Conduct, as well as any waiver of a provision of the Code of Conduct granted to any senior officer or director or material amendment to the Code of Conduct, if any, may be found on our website at ir.rackspace.com under "Corporate Governance."</w:t>
      </w:r>
    </w:p>
    <w:p>
      <w:pPr>
        <w:spacing w:after="0" w:line="207"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We have adopted the Rackspace Technology, Inc. Securities Trading Policy which governs, among other things, the purchase, sale and/or other dispositions of our securities by our directors, officers and employees that we believe is reasonably designed to promote compliance with insider trading laws, rules and regulations, and the exchange listing standards applicable to us. A copy of this policy is filed as Exhibit 19.1 to this Annual Report on Form 10-K.</w:t>
      </w: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ITEM 11 – EXECUTIVE COMPENSATION</w:t>
      </w:r>
    </w:p>
    <w:p>
      <w:pPr>
        <w:spacing w:after="0" w:line="256" w:lineRule="exact"/>
        <w:rPr>
          <w:sz w:val="20"/>
          <w:szCs w:val="20"/>
          <w:color w:val="auto"/>
        </w:rPr>
      </w:pPr>
    </w:p>
    <w:p>
      <w:pPr>
        <w:ind w:right="400" w:firstLine="486"/>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Rackspace Technology’s Proxy Statement for its 2025 Annual Meeting of Stockholders to be filed with the SEC within 120 days after the end of the fiscal year ended December 31, 2024.</w:t>
      </w:r>
    </w:p>
    <w:p>
      <w:pPr>
        <w:spacing w:after="0" w:line="185" w:lineRule="exact"/>
        <w:rPr>
          <w:sz w:val="20"/>
          <w:szCs w:val="20"/>
          <w:color w:val="auto"/>
        </w:rPr>
      </w:pPr>
    </w:p>
    <w:p>
      <w:pPr>
        <w:jc w:val="center"/>
        <w:ind w:left="360" w:right="200"/>
        <w:spacing w:after="0" w:line="286" w:lineRule="auto"/>
        <w:rPr>
          <w:sz w:val="20"/>
          <w:szCs w:val="20"/>
          <w:color w:val="auto"/>
        </w:rPr>
      </w:pPr>
      <w:r>
        <w:rPr>
          <w:rFonts w:ascii="Times New Roman" w:cs="Times New Roman" w:eastAsia="Times New Roman" w:hAnsi="Times New Roman"/>
          <w:sz w:val="18"/>
          <w:szCs w:val="18"/>
          <w:b w:val="1"/>
          <w:bCs w:val="1"/>
          <w:color w:val="auto"/>
        </w:rPr>
        <w:t>ITEM 12 – SECURITY OWNERSHIP OF CERTAIN BENEFICIAL OWNERS AND MANAGEMENT AND RELATED STOCKHOLDER MATTERS</w:t>
      </w:r>
    </w:p>
    <w:p>
      <w:pPr>
        <w:spacing w:after="0" w:line="186" w:lineRule="exact"/>
        <w:rPr>
          <w:sz w:val="20"/>
          <w:szCs w:val="20"/>
          <w:color w:val="auto"/>
        </w:rPr>
      </w:pPr>
    </w:p>
    <w:p>
      <w:pPr>
        <w:ind w:right="400" w:firstLine="486"/>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Rackspace Technology’s Proxy Statement for its 2025 Annual Meeting of Stockholders to be filed with the SEC within 120 days after the end of the fiscal year ended December 31, 2024.</w:t>
      </w:r>
    </w:p>
    <w:p>
      <w:pPr>
        <w:spacing w:after="0" w:line="18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ITEM 13 – CERTAIN RELATIONSHIPS AND RELATED TRANSACTIONS, AND DIRECTOR INDEPENDENCE</w:t>
      </w:r>
    </w:p>
    <w:p>
      <w:pPr>
        <w:spacing w:after="0" w:line="256" w:lineRule="exact"/>
        <w:rPr>
          <w:sz w:val="20"/>
          <w:szCs w:val="20"/>
          <w:color w:val="auto"/>
        </w:rPr>
      </w:pPr>
    </w:p>
    <w:p>
      <w:pPr>
        <w:ind w:right="400" w:firstLine="486"/>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Rackspace Technology’s Proxy Statement for its 2025 Annual Meeting of Stockholders to be filed with the SEC within 120 days after the end of the fiscal year ended December 31, 2024.</w:t>
      </w:r>
    </w:p>
    <w:p>
      <w:pPr>
        <w:spacing w:after="0" w:line="18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ITEM 14 – PRINCIPAL ACCOUNTANT FEES AND SERVICES</w:t>
      </w:r>
    </w:p>
    <w:p>
      <w:pPr>
        <w:spacing w:after="0" w:line="256" w:lineRule="exact"/>
        <w:rPr>
          <w:sz w:val="20"/>
          <w:szCs w:val="20"/>
          <w:color w:val="auto"/>
        </w:rPr>
      </w:pPr>
    </w:p>
    <w:p>
      <w:pPr>
        <w:ind w:right="400" w:firstLine="486"/>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Rackspace Technology’s Proxy Statement for its 2025 Annual Meeting of Stockholders to be filed with the SEC within 120 days after the end of the fiscal year ended December 31, 2024.</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- 155 -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50"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ITEM 15 – EXHIBITS AND FINANCIAL STATEMENT SCHEDULES</w:t>
      </w:r>
    </w:p>
    <w:p>
      <w:pPr>
        <w:spacing w:after="0" w:line="256" w:lineRule="exact"/>
        <w:rPr>
          <w:sz w:val="20"/>
          <w:szCs w:val="20"/>
          <w:color w:val="auto"/>
        </w:rPr>
      </w:pPr>
    </w:p>
    <w:p>
      <w:pPr>
        <w:ind w:left="260" w:hanging="252"/>
        <w:spacing w:after="0"/>
        <w:tabs>
          <w:tab w:leader="none" w:pos="2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documents are filed as part of this Annual Report:</w:t>
      </w:r>
    </w:p>
    <w:p>
      <w:pPr>
        <w:spacing w:after="0" w:line="252"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Consolidated Financial Statements</w:t>
      </w:r>
    </w:p>
    <w:p>
      <w:pPr>
        <w:spacing w:after="0" w:line="25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filed as part of this report are listed on the Index to Consolidated Financial Statements in Item 8 of this Annual Report.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Financial Statement Schedules</w:t>
      </w:r>
    </w:p>
    <w:p>
      <w:pPr>
        <w:spacing w:after="0" w:line="25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All schedules have been omitted because they are not required or the required information is shown in the consolidated financial statements or notes thereto.</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 Exhibits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the accompanying Index to Exhibits, which is incorporated by reference.</w:t>
      </w:r>
    </w:p>
    <w:p>
      <w:pPr>
        <w:spacing w:after="0" w:line="24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ITEM 16 – 10-K SUMMARY</w:t>
      </w:r>
    </w:p>
    <w:p>
      <w:pPr>
        <w:spacing w:after="0" w:line="25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- 156 -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0"/>
          </w:cols>
          <w:pgMar w:left="320" w:top="121" w:right="839" w:bottom="1440" w:gutter="0" w:footer="0" w:header="0"/>
        </w:sectPr>
      </w:pPr>
    </w:p>
    <w:bookmarkStart w:id="156" w:name="page157"/>
    <w:bookmarkEnd w:id="156"/>
    <w:tbl>
      <w:tblPr>
        <w:tblLayout w:type="fixed"/>
        <w:tblInd w:w="0" w:type="dxa"/>
        <w:tblCellMar>
          <w:top w:w="0" w:type="dxa"/>
          <w:left w:w="0" w:type="dxa"/>
          <w:bottom w:w="0" w:type="dxa"/>
          <w:right w:w="0" w:type="dxa"/>
        </w:tblCellMar>
      </w:tblPr>
      <w:tr>
        <w:trPr>
          <w:trHeight w:val="207"/>
        </w:trPr>
        <w:tc>
          <w:tcPr>
            <w:tcW w:w="15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830"/>
        </w:trPr>
        <w:tc>
          <w:tcPr>
            <w:tcW w:w="140" w:type="dxa"/>
            <w:vAlign w:val="bottom"/>
            <w:tcBorders>
              <w:top w:val="single" w:sz="8" w:color="0000FF"/>
            </w:tcBorders>
          </w:tcPr>
          <w:p>
            <w:pPr>
              <w:spacing w:after="0"/>
              <w:rPr>
                <w:sz w:val="24"/>
                <w:szCs w:val="24"/>
                <w:color w:val="auto"/>
              </w:rPr>
            </w:pPr>
          </w:p>
        </w:tc>
        <w:tc>
          <w:tcPr>
            <w:tcW w:w="1140" w:type="dxa"/>
            <w:vAlign w:val="bottom"/>
            <w:tcBorders>
              <w:top w:val="single" w:sz="8" w:color="0000FF"/>
            </w:tcBorders>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740" w:type="dxa"/>
            <w:vAlign w:val="bottom"/>
            <w:gridSpan w:val="28"/>
          </w:tcPr>
          <w:p>
            <w:pPr>
              <w:ind w:left="360"/>
              <w:spacing w:after="0"/>
              <w:rPr>
                <w:sz w:val="20"/>
                <w:szCs w:val="20"/>
                <w:color w:val="auto"/>
              </w:rPr>
            </w:pPr>
            <w:r>
              <w:rPr>
                <w:rFonts w:ascii="Times New Roman" w:cs="Times New Roman" w:eastAsia="Times New Roman" w:hAnsi="Times New Roman"/>
                <w:sz w:val="18"/>
                <w:szCs w:val="18"/>
                <w:b w:val="1"/>
                <w:bCs w:val="1"/>
                <w:color w:val="auto"/>
              </w:rPr>
              <w:t>INDEX TO EXHIBITS</w:t>
            </w:r>
          </w:p>
        </w:tc>
      </w:tr>
      <w:tr>
        <w:trPr>
          <w:trHeight w:val="500"/>
        </w:trPr>
        <w:tc>
          <w:tcPr>
            <w:tcW w:w="140" w:type="dxa"/>
            <w:vAlign w:val="bottom"/>
          </w:tcPr>
          <w:p>
            <w:pPr>
              <w:spacing w:after="0"/>
              <w:rPr>
                <w:sz w:val="24"/>
                <w:szCs w:val="24"/>
                <w:color w:val="auto"/>
              </w:rPr>
            </w:pPr>
          </w:p>
        </w:tc>
        <w:tc>
          <w:tcPr>
            <w:tcW w:w="13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gridSpan w:val="26"/>
          </w:tcPr>
          <w:p>
            <w:pPr>
              <w:ind w:left="100"/>
              <w:spacing w:after="0"/>
              <w:rPr>
                <w:sz w:val="20"/>
                <w:szCs w:val="20"/>
                <w:color w:val="auto"/>
              </w:rPr>
            </w:pPr>
            <w:r>
              <w:rPr>
                <w:rFonts w:ascii="Times New Roman" w:cs="Times New Roman" w:eastAsia="Times New Roman" w:hAnsi="Times New Roman"/>
                <w:sz w:val="18"/>
                <w:szCs w:val="18"/>
                <w:b w:val="1"/>
                <w:bCs w:val="1"/>
                <w:color w:val="auto"/>
              </w:rPr>
              <w:t>Exhibit Description</w:t>
            </w:r>
          </w:p>
        </w:tc>
      </w:tr>
      <w:tr>
        <w:trPr>
          <w:trHeight w:val="196"/>
        </w:trPr>
        <w:tc>
          <w:tcPr>
            <w:tcW w:w="1280" w:type="dxa"/>
            <w:vAlign w:val="bottom"/>
            <w:gridSpan w:val="2"/>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3.1</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520" w:type="dxa"/>
            <w:vAlign w:val="bottom"/>
            <w:gridSpan w:val="33"/>
          </w:tcPr>
          <w:p>
            <w:pPr>
              <w:spacing w:after="0" w:line="196" w:lineRule="exact"/>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Second Amended and Restated Certificate of Incorporation of Rackspace Technology, Inc. (incorporated by reference from Exhibit</w:t>
              </w:r>
            </w:hyperlink>
          </w:p>
        </w:tc>
      </w:tr>
      <w:tr>
        <w:trPr>
          <w:trHeight w:val="183"/>
        </w:trPr>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180" w:type="dxa"/>
            <w:vAlign w:val="bottom"/>
            <w:tcBorders>
              <w:top w:val="single" w:sz="8" w:color="0000FF"/>
              <w:bottom w:val="single" w:sz="8" w:color="0000FF"/>
            </w:tcBorders>
            <w:gridSpan w:val="11"/>
          </w:tcPr>
          <w:p>
            <w:pPr>
              <w:spacing w:after="0" w:line="182" w:lineRule="exact"/>
              <w:rPr>
                <w:rFonts w:ascii="Times New Roman" w:cs="Times New Roman" w:eastAsia="Times New Roman" w:hAnsi="Times New Roman"/>
                <w:sz w:val="18"/>
                <w:szCs w:val="18"/>
                <w:color w:val="0000FF"/>
                <w:w w:val="99"/>
              </w:rPr>
            </w:pPr>
            <w:hyperlink r:id="rId170">
              <w:r>
                <w:rPr>
                  <w:rFonts w:ascii="Times New Roman" w:cs="Times New Roman" w:eastAsia="Times New Roman" w:hAnsi="Times New Roman"/>
                  <w:sz w:val="18"/>
                  <w:szCs w:val="18"/>
                  <w:color w:val="0000FF"/>
                  <w:w w:val="99"/>
                </w:rPr>
                <w:t>3.</w:t>
              </w:r>
              <w:r>
                <w:rPr>
                  <w:rFonts w:ascii="Times New Roman" w:cs="Times New Roman" w:eastAsia="Times New Roman" w:hAnsi="Times New Roman"/>
                  <w:sz w:val="18"/>
                  <w:szCs w:val="18"/>
                  <w:u w:val="single" w:color="auto"/>
                  <w:color w:val="0000FF"/>
                  <w:w w:val="99"/>
                </w:rPr>
                <w:t>1</w:t>
              </w:r>
              <w:r>
                <w:rPr>
                  <w:rFonts w:ascii="Times New Roman" w:cs="Times New Roman" w:eastAsia="Times New Roman" w:hAnsi="Times New Roman"/>
                  <w:sz w:val="18"/>
                  <w:szCs w:val="18"/>
                  <w:color w:val="0000FF"/>
                  <w:w w:val="99"/>
                </w:rPr>
                <w:t xml:space="preserve"> to Rackspace Technology, Inc.’s Form S-8, filed on August 5, 2020)</w:t>
              </w:r>
            </w:hyperlink>
          </w:p>
        </w:tc>
        <w:tc>
          <w:tcPr>
            <w:tcW w:w="4280" w:type="dxa"/>
            <w:vAlign w:val="bottom"/>
            <w:tcBorders>
              <w:top w:val="single" w:sz="8" w:color="0000FF"/>
            </w:tcBorders>
            <w:gridSpan w:val="20"/>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50"/>
        </w:trPr>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520" w:type="dxa"/>
            <w:vAlign w:val="bottom"/>
            <w:gridSpan w:val="33"/>
          </w:tcPr>
          <w:p>
            <w:pPr>
              <w:spacing w:after="0"/>
              <w:rPr>
                <w:rFonts w:ascii="Times New Roman" w:cs="Times New Roman" w:eastAsia="Times New Roman" w:hAnsi="Times New Roman"/>
                <w:sz w:val="18"/>
                <w:szCs w:val="18"/>
                <w:color w:val="0000FF"/>
              </w:rPr>
            </w:pPr>
            <w:hyperlink r:id="rId171">
              <w:r>
                <w:rPr>
                  <w:rFonts w:ascii="Times New Roman" w:cs="Times New Roman" w:eastAsia="Times New Roman" w:hAnsi="Times New Roman"/>
                  <w:sz w:val="18"/>
                  <w:szCs w:val="18"/>
                  <w:color w:val="0000FF"/>
                </w:rPr>
                <w:t>Second Amended and Restated Bylaws of Rackspace Technology, Inc. (incorporated by reference from Exhibit 3.2 to Rackspace</w:t>
              </w:r>
            </w:hyperlink>
          </w:p>
        </w:tc>
      </w:tr>
      <w:tr>
        <w:trPr>
          <w:trHeight w:val="183"/>
        </w:trPr>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80" w:type="dxa"/>
            <w:vAlign w:val="bottom"/>
            <w:tcBorders>
              <w:top w:val="single" w:sz="8" w:color="0000FF"/>
            </w:tcBorders>
            <w:gridSpan w:val="22"/>
          </w:tcPr>
          <w:p>
            <w:pPr>
              <w:spacing w:after="0" w:line="182" w:lineRule="exact"/>
              <w:rPr>
                <w:rFonts w:ascii="Times New Roman" w:cs="Times New Roman" w:eastAsia="Times New Roman" w:hAnsi="Times New Roman"/>
                <w:sz w:val="18"/>
                <w:szCs w:val="18"/>
                <w:color w:val="0000FF"/>
              </w:rPr>
            </w:pPr>
            <w:hyperlink r:id="rId171">
              <w:r>
                <w:rPr>
                  <w:rFonts w:ascii="Times New Roman" w:cs="Times New Roman" w:eastAsia="Times New Roman" w:hAnsi="Times New Roman"/>
                  <w:sz w:val="18"/>
                  <w:szCs w:val="18"/>
                  <w:color w:val="0000FF"/>
                </w:rPr>
                <w:t>Technology, Inc.’s Form S-8, filed on August 5, 2020)</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0"/>
        </w:trPr>
        <w:tc>
          <w:tcPr>
            <w:tcW w:w="12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520" w:type="dxa"/>
            <w:vAlign w:val="bottom"/>
            <w:gridSpan w:val="33"/>
          </w:tcPr>
          <w:p>
            <w:pPr>
              <w:spacing w:after="0"/>
              <w:rPr>
                <w:rFonts w:ascii="Times New Roman" w:cs="Times New Roman" w:eastAsia="Times New Roman" w:hAnsi="Times New Roman"/>
                <w:sz w:val="18"/>
                <w:szCs w:val="18"/>
                <w:color w:val="0000FF"/>
              </w:rPr>
            </w:pPr>
            <w:hyperlink r:id="rId172">
              <w:r>
                <w:rPr>
                  <w:rFonts w:ascii="Times New Roman" w:cs="Times New Roman" w:eastAsia="Times New Roman" w:hAnsi="Times New Roman"/>
                  <w:sz w:val="18"/>
                  <w:szCs w:val="18"/>
                  <w:color w:val="0000FF"/>
                </w:rPr>
                <w:t>Indenture, dated as of December 1, 2020, among Rackspace Technology Global, Inc., the subsidiary guarantors named therein and</w:t>
              </w:r>
            </w:hyperlink>
          </w:p>
        </w:tc>
      </w:tr>
      <w:tr>
        <w:trPr>
          <w:trHeight w:val="183"/>
        </w:trPr>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20" w:type="dxa"/>
            <w:vAlign w:val="bottom"/>
            <w:tcBorders>
              <w:top w:val="single" w:sz="8" w:color="0000FF"/>
              <w:bottom w:val="single" w:sz="8" w:color="0000FF"/>
            </w:tcBorders>
            <w:gridSpan w:val="19"/>
          </w:tcPr>
          <w:p>
            <w:pPr>
              <w:spacing w:after="0" w:line="182" w:lineRule="exact"/>
              <w:rPr>
                <w:rFonts w:ascii="Times New Roman" w:cs="Times New Roman" w:eastAsia="Times New Roman" w:hAnsi="Times New Roman"/>
                <w:sz w:val="18"/>
                <w:szCs w:val="18"/>
                <w:color w:val="0000FF"/>
                <w:w w:val="99"/>
              </w:rPr>
            </w:pPr>
            <w:hyperlink r:id="rId172">
              <w:r>
                <w:rPr>
                  <w:rFonts w:ascii="Times New Roman" w:cs="Times New Roman" w:eastAsia="Times New Roman" w:hAnsi="Times New Roman"/>
                  <w:sz w:val="18"/>
                  <w:szCs w:val="18"/>
                  <w:color w:val="0000FF"/>
                  <w:w w:val="99"/>
                </w:rPr>
                <w:t>Wells Fargo Bank, National Association, as trustee (incorporated by reference from Exhibit 4.1 to Rackspace Technology, Inc.’s</w:t>
              </w:r>
            </w:hyperlink>
          </w:p>
        </w:tc>
        <w:tc>
          <w:tcPr>
            <w:tcW w:w="200" w:type="dxa"/>
            <w:vAlign w:val="bottom"/>
            <w:tcBorders>
              <w:top w:val="single" w:sz="8" w:color="0000FF"/>
            </w:tcBorders>
            <w:gridSpan w:val="10"/>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96"/>
        </w:trPr>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520" w:type="dxa"/>
            <w:vAlign w:val="bottom"/>
            <w:gridSpan w:val="33"/>
          </w:tcPr>
          <w:p>
            <w:pPr>
              <w:spacing w:after="0" w:line="196" w:lineRule="exact"/>
              <w:rPr>
                <w:rFonts w:ascii="Times New Roman" w:cs="Times New Roman" w:eastAsia="Times New Roman" w:hAnsi="Times New Roman"/>
                <w:sz w:val="18"/>
                <w:szCs w:val="18"/>
                <w:color w:val="0000FF"/>
              </w:rPr>
            </w:pPr>
            <w:hyperlink r:id="rId172">
              <w:r>
                <w:rPr>
                  <w:rFonts w:ascii="Times New Roman" w:cs="Times New Roman" w:eastAsia="Times New Roman" w:hAnsi="Times New Roman"/>
                  <w:sz w:val="18"/>
                  <w:szCs w:val="18"/>
                  <w:color w:val="0000FF"/>
                </w:rPr>
                <w:t>Form 8-K, filed on December 1, 2020)</w:t>
              </w:r>
            </w:hyperlink>
          </w:p>
        </w:tc>
      </w:tr>
      <w:tr>
        <w:trPr>
          <w:trHeight w:val="20"/>
        </w:trPr>
        <w:tc>
          <w:tcPr>
            <w:tcW w:w="12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6"/>
        </w:trPr>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520" w:type="dxa"/>
            <w:vAlign w:val="bottom"/>
            <w:gridSpan w:val="33"/>
          </w:tcPr>
          <w:p>
            <w:pPr>
              <w:spacing w:after="0"/>
              <w:rPr>
                <w:rFonts w:ascii="Times New Roman" w:cs="Times New Roman" w:eastAsia="Times New Roman" w:hAnsi="Times New Roman"/>
                <w:sz w:val="18"/>
                <w:szCs w:val="18"/>
                <w:color w:val="0000FF"/>
              </w:rPr>
            </w:pPr>
            <w:hyperlink r:id="rId173">
              <w:r>
                <w:rPr>
                  <w:rFonts w:ascii="Times New Roman" w:cs="Times New Roman" w:eastAsia="Times New Roman" w:hAnsi="Times New Roman"/>
                  <w:sz w:val="18"/>
                  <w:szCs w:val="18"/>
                  <w:color w:val="0000FF"/>
                </w:rPr>
                <w:t>Description of Capital Stock (incorporated by reference from Exhibit 4.2 to Rackspace Technology, Inc.’s Form 10-K for the year</w:t>
              </w:r>
            </w:hyperlink>
          </w:p>
        </w:tc>
      </w:tr>
      <w:tr>
        <w:trPr>
          <w:trHeight w:val="183"/>
        </w:trPr>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360" w:type="dxa"/>
            <w:vAlign w:val="bottom"/>
            <w:tcBorders>
              <w:top w:val="single" w:sz="8" w:color="0000FF"/>
            </w:tcBorders>
            <w:gridSpan w:val="26"/>
          </w:tcPr>
          <w:p>
            <w:pPr>
              <w:spacing w:after="0" w:line="182" w:lineRule="exact"/>
              <w:rPr>
                <w:rFonts w:ascii="Times New Roman" w:cs="Times New Roman" w:eastAsia="Times New Roman" w:hAnsi="Times New Roman"/>
                <w:sz w:val="18"/>
                <w:szCs w:val="18"/>
                <w:color w:val="0000FF"/>
              </w:rPr>
            </w:pPr>
            <w:hyperlink r:id="rId173">
              <w:r>
                <w:rPr>
                  <w:rFonts w:ascii="Times New Roman" w:cs="Times New Roman" w:eastAsia="Times New Roman" w:hAnsi="Times New Roman"/>
                  <w:sz w:val="18"/>
                  <w:szCs w:val="18"/>
                  <w:color w:val="0000FF"/>
                </w:rPr>
                <w:t>ended December 31, 2020)</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0"/>
        </w:trPr>
        <w:tc>
          <w:tcPr>
            <w:tcW w:w="12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4.3</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520" w:type="dxa"/>
            <w:vAlign w:val="bottom"/>
            <w:gridSpan w:val="33"/>
          </w:tcPr>
          <w:p>
            <w:pPr>
              <w:spacing w:after="0"/>
              <w:rPr>
                <w:rFonts w:ascii="Times New Roman" w:cs="Times New Roman" w:eastAsia="Times New Roman" w:hAnsi="Times New Roman"/>
                <w:sz w:val="18"/>
                <w:szCs w:val="18"/>
                <w:color w:val="0000FF"/>
              </w:rPr>
            </w:pPr>
            <w:hyperlink r:id="rId174">
              <w:r>
                <w:rPr>
                  <w:rFonts w:ascii="Times New Roman" w:cs="Times New Roman" w:eastAsia="Times New Roman" w:hAnsi="Times New Roman"/>
                  <w:sz w:val="18"/>
                  <w:szCs w:val="18"/>
                  <w:color w:val="0000FF"/>
                </w:rPr>
                <w:t>Indenture, dated as of February 9, 2021, among Rackspace Technology Global, Inc., the subsidiary guarantors party thereto from</w:t>
              </w:r>
            </w:hyperlink>
          </w:p>
        </w:tc>
      </w:tr>
      <w:tr>
        <w:trPr>
          <w:trHeight w:val="183"/>
        </w:trPr>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80" w:type="dxa"/>
            <w:vAlign w:val="bottom"/>
            <w:tcBorders>
              <w:top w:val="single" w:sz="8" w:color="0000FF"/>
              <w:bottom w:val="single" w:sz="8" w:color="0000FF"/>
            </w:tcBorders>
            <w:gridSpan w:val="17"/>
          </w:tcPr>
          <w:p>
            <w:pPr>
              <w:spacing w:after="0" w:line="182" w:lineRule="exact"/>
              <w:rPr>
                <w:rFonts w:ascii="Times New Roman" w:cs="Times New Roman" w:eastAsia="Times New Roman" w:hAnsi="Times New Roman"/>
                <w:sz w:val="18"/>
                <w:szCs w:val="18"/>
                <w:color w:val="0000FF"/>
                <w:w w:val="99"/>
              </w:rPr>
            </w:pPr>
            <w:hyperlink r:id="rId174">
              <w:r>
                <w:rPr>
                  <w:rFonts w:ascii="Times New Roman" w:cs="Times New Roman" w:eastAsia="Times New Roman" w:hAnsi="Times New Roman"/>
                  <w:sz w:val="18"/>
                  <w:szCs w:val="18"/>
                  <w:color w:val="0000FF"/>
                  <w:w w:val="99"/>
                </w:rPr>
                <w:t>time to time and Wells Fargo Bank, National Association, as trustee (incorporated by reference from Exhibit 4.1 to Rackspace</w:t>
              </w:r>
            </w:hyperlink>
          </w:p>
        </w:tc>
        <w:tc>
          <w:tcPr>
            <w:tcW w:w="220" w:type="dxa"/>
            <w:vAlign w:val="bottom"/>
            <w:tcBorders>
              <w:top w:val="single" w:sz="8" w:color="0000FF"/>
            </w:tcBorders>
            <w:gridSpan w:val="6"/>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96"/>
        </w:trPr>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520" w:type="dxa"/>
            <w:vAlign w:val="bottom"/>
            <w:gridSpan w:val="33"/>
          </w:tcPr>
          <w:p>
            <w:pPr>
              <w:spacing w:after="0" w:line="196" w:lineRule="exact"/>
              <w:rPr>
                <w:rFonts w:ascii="Times New Roman" w:cs="Times New Roman" w:eastAsia="Times New Roman" w:hAnsi="Times New Roman"/>
                <w:sz w:val="18"/>
                <w:szCs w:val="18"/>
                <w:color w:val="0000FF"/>
              </w:rPr>
            </w:pPr>
            <w:hyperlink r:id="rId174">
              <w:r>
                <w:rPr>
                  <w:rFonts w:ascii="Times New Roman" w:cs="Times New Roman" w:eastAsia="Times New Roman" w:hAnsi="Times New Roman"/>
                  <w:sz w:val="18"/>
                  <w:szCs w:val="18"/>
                  <w:color w:val="0000FF"/>
                </w:rPr>
                <w:t>Technology, Inc.'s Form 8-K, filed on February 9, 2021)</w:t>
              </w:r>
            </w:hyperlink>
          </w:p>
        </w:tc>
      </w:tr>
      <w:tr>
        <w:trPr>
          <w:trHeight w:val="20"/>
        </w:trPr>
        <w:tc>
          <w:tcPr>
            <w:tcW w:w="12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6"/>
        </w:trPr>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4.4</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520" w:type="dxa"/>
            <w:vAlign w:val="bottom"/>
            <w:gridSpan w:val="33"/>
          </w:tcPr>
          <w:p>
            <w:pPr>
              <w:spacing w:after="0"/>
              <w:rPr>
                <w:rFonts w:ascii="Times New Roman" w:cs="Times New Roman" w:eastAsia="Times New Roman" w:hAnsi="Times New Roman"/>
                <w:sz w:val="18"/>
                <w:szCs w:val="18"/>
                <w:color w:val="0000FF"/>
              </w:rPr>
            </w:pPr>
            <w:hyperlink r:id="rId175">
              <w:r>
                <w:rPr>
                  <w:rFonts w:ascii="Times New Roman" w:cs="Times New Roman" w:eastAsia="Times New Roman" w:hAnsi="Times New Roman"/>
                  <w:sz w:val="18"/>
                  <w:szCs w:val="18"/>
                  <w:color w:val="0000FF"/>
                </w:rPr>
                <w:t>Indenture, dated March 12, 2024, among Rackspace Finance, LLC, the guarantors party thereto from time to time and</w:t>
              </w:r>
            </w:hyperlink>
          </w:p>
        </w:tc>
      </w:tr>
      <w:tr>
        <w:trPr>
          <w:trHeight w:val="183"/>
        </w:trPr>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80" w:type="dxa"/>
            <w:vAlign w:val="bottom"/>
            <w:tcBorders>
              <w:top w:val="single" w:sz="8" w:color="0000FF"/>
              <w:bottom w:val="single" w:sz="8" w:color="0000FF"/>
            </w:tcBorders>
            <w:gridSpan w:val="13"/>
          </w:tcPr>
          <w:p>
            <w:pPr>
              <w:spacing w:after="0" w:line="182" w:lineRule="exact"/>
              <w:rPr>
                <w:rFonts w:ascii="Times New Roman" w:cs="Times New Roman" w:eastAsia="Times New Roman" w:hAnsi="Times New Roman"/>
                <w:sz w:val="18"/>
                <w:szCs w:val="18"/>
                <w:color w:val="0000FF"/>
                <w:w w:val="98"/>
              </w:rPr>
            </w:pPr>
            <w:hyperlink r:id="rId175">
              <w:r>
                <w:rPr>
                  <w:rFonts w:ascii="Times New Roman" w:cs="Times New Roman" w:eastAsia="Times New Roman" w:hAnsi="Times New Roman"/>
                  <w:sz w:val="18"/>
                  <w:szCs w:val="18"/>
                  <w:color w:val="0000FF"/>
                  <w:w w:val="98"/>
                </w:rPr>
                <w:t>Computershare Trust Company, N.A., as trustee (incorporated by reference from Exhibit 4.1 to Rackspace Technology,</w:t>
              </w:r>
            </w:hyperlink>
          </w:p>
        </w:tc>
        <w:tc>
          <w:tcPr>
            <w:tcW w:w="1000" w:type="dxa"/>
            <w:vAlign w:val="bottom"/>
            <w:tcBorders>
              <w:bottom w:val="single" w:sz="8" w:color="0000FF"/>
            </w:tcBorders>
            <w:gridSpan w:val="19"/>
          </w:tcPr>
          <w:p>
            <w:pPr>
              <w:ind w:left="140"/>
              <w:spacing w:after="0" w:line="182" w:lineRule="exact"/>
              <w:rPr>
                <w:rFonts w:ascii="Times New Roman" w:cs="Times New Roman" w:eastAsia="Times New Roman" w:hAnsi="Times New Roman"/>
                <w:sz w:val="18"/>
                <w:szCs w:val="18"/>
                <w:color w:val="0000FF"/>
                <w:w w:val="99"/>
              </w:rPr>
            </w:pPr>
            <w:hyperlink r:id="rId175">
              <w:r>
                <w:rPr>
                  <w:rFonts w:ascii="Times New Roman" w:cs="Times New Roman" w:eastAsia="Times New Roman" w:hAnsi="Times New Roman"/>
                  <w:sz w:val="18"/>
                  <w:szCs w:val="18"/>
                  <w:color w:val="0000FF"/>
                  <w:w w:val="99"/>
                </w:rPr>
                <w:t>Inc.’s Form</w:t>
              </w:r>
            </w:hyperlink>
          </w:p>
        </w:tc>
        <w:tc>
          <w:tcPr>
            <w:tcW w:w="40" w:type="dxa"/>
            <w:vAlign w:val="bottom"/>
          </w:tcPr>
          <w:p>
            <w:pPr>
              <w:spacing w:after="0"/>
              <w:rPr>
                <w:sz w:val="15"/>
                <w:szCs w:val="15"/>
                <w:color w:val="auto"/>
              </w:rPr>
            </w:pPr>
          </w:p>
        </w:tc>
      </w:tr>
      <w:tr>
        <w:trPr>
          <w:trHeight w:val="196"/>
        </w:trPr>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520" w:type="dxa"/>
            <w:vAlign w:val="bottom"/>
            <w:gridSpan w:val="33"/>
          </w:tcPr>
          <w:p>
            <w:pPr>
              <w:spacing w:after="0" w:line="196" w:lineRule="exact"/>
              <w:rPr>
                <w:rFonts w:ascii="Times New Roman" w:cs="Times New Roman" w:eastAsia="Times New Roman" w:hAnsi="Times New Roman"/>
                <w:sz w:val="18"/>
                <w:szCs w:val="18"/>
                <w:color w:val="0000FF"/>
              </w:rPr>
            </w:pPr>
            <w:hyperlink r:id="rId175">
              <w:r>
                <w:rPr>
                  <w:rFonts w:ascii="Times New Roman" w:cs="Times New Roman" w:eastAsia="Times New Roman" w:hAnsi="Times New Roman"/>
                  <w:sz w:val="18"/>
                  <w:szCs w:val="18"/>
                  <w:color w:val="0000FF"/>
                </w:rPr>
                <w:t>8-K filed on March 12, 2024)</w:t>
              </w:r>
            </w:hyperlink>
          </w:p>
        </w:tc>
      </w:tr>
      <w:tr>
        <w:trPr>
          <w:trHeight w:val="20"/>
        </w:trPr>
        <w:tc>
          <w:tcPr>
            <w:tcW w:w="12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6"/>
        </w:trPr>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520" w:type="dxa"/>
            <w:vAlign w:val="bottom"/>
            <w:gridSpan w:val="33"/>
          </w:tcPr>
          <w:p>
            <w:pPr>
              <w:spacing w:after="0"/>
              <w:rPr>
                <w:rFonts w:ascii="Times New Roman" w:cs="Times New Roman" w:eastAsia="Times New Roman" w:hAnsi="Times New Roman"/>
                <w:sz w:val="18"/>
                <w:szCs w:val="18"/>
                <w:color w:val="0000FF"/>
              </w:rPr>
            </w:pPr>
            <w:hyperlink r:id="rId176">
              <w:r>
                <w:rPr>
                  <w:rFonts w:ascii="Times New Roman" w:cs="Times New Roman" w:eastAsia="Times New Roman" w:hAnsi="Times New Roman"/>
                  <w:sz w:val="18"/>
                  <w:szCs w:val="18"/>
                  <w:color w:val="0000FF"/>
                </w:rPr>
                <w:t>First Lien Credit Agreement, dated as of November 3, 2016, among Inception Parent, Inc., Inception Merger Sub, Inc., the lenders</w:t>
              </w:r>
            </w:hyperlink>
          </w:p>
        </w:tc>
      </w:tr>
      <w:tr>
        <w:trPr>
          <w:trHeight w:val="183"/>
        </w:trPr>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340" w:type="dxa"/>
            <w:vAlign w:val="bottom"/>
            <w:tcBorders>
              <w:top w:val="single" w:sz="8" w:color="0000FF"/>
              <w:bottom w:val="single" w:sz="8" w:color="0000FF"/>
            </w:tcBorders>
            <w:gridSpan w:val="25"/>
          </w:tcPr>
          <w:p>
            <w:pPr>
              <w:spacing w:after="0" w:line="182" w:lineRule="exact"/>
              <w:rPr>
                <w:rFonts w:ascii="Times New Roman" w:cs="Times New Roman" w:eastAsia="Times New Roman" w:hAnsi="Times New Roman"/>
                <w:sz w:val="18"/>
                <w:szCs w:val="18"/>
                <w:color w:val="0000FF"/>
                <w:w w:val="99"/>
              </w:rPr>
            </w:pPr>
            <w:hyperlink r:id="rId176">
              <w:r>
                <w:rPr>
                  <w:rFonts w:ascii="Times New Roman" w:cs="Times New Roman" w:eastAsia="Times New Roman" w:hAnsi="Times New Roman"/>
                  <w:sz w:val="18"/>
                  <w:szCs w:val="18"/>
                  <w:color w:val="0000FF"/>
                  <w:w w:val="99"/>
                </w:rPr>
                <w:t>party thereto, and Citibank, N.A., as administrative agent (incorporated by reference from Exhibit 10.1 to Rackspace Technology,</w:t>
              </w:r>
            </w:hyperlink>
          </w:p>
        </w:tc>
        <w:tc>
          <w:tcPr>
            <w:tcW w:w="60" w:type="dxa"/>
            <w:vAlign w:val="bottom"/>
            <w:tcBorders>
              <w:top w:val="single" w:sz="8" w:color="0000FF"/>
            </w:tcBorders>
            <w:gridSpan w:val="3"/>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96"/>
        </w:trPr>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720" w:type="dxa"/>
            <w:vAlign w:val="bottom"/>
            <w:tcBorders>
              <w:bottom w:val="single" w:sz="8" w:color="0000FF"/>
            </w:tcBorders>
            <w:gridSpan w:val="9"/>
          </w:tcPr>
          <w:p>
            <w:pPr>
              <w:spacing w:after="0" w:line="196" w:lineRule="exact"/>
              <w:rPr>
                <w:rFonts w:ascii="Times New Roman" w:cs="Times New Roman" w:eastAsia="Times New Roman" w:hAnsi="Times New Roman"/>
                <w:sz w:val="18"/>
                <w:szCs w:val="18"/>
                <w:color w:val="0000FF"/>
                <w:w w:val="99"/>
              </w:rPr>
            </w:pPr>
            <w:hyperlink r:id="rId176">
              <w:r>
                <w:rPr>
                  <w:rFonts w:ascii="Times New Roman" w:cs="Times New Roman" w:eastAsia="Times New Roman" w:hAnsi="Times New Roman"/>
                  <w:sz w:val="18"/>
                  <w:szCs w:val="18"/>
                  <w:color w:val="0000FF"/>
                  <w:w w:val="99"/>
                </w:rPr>
                <w:t>Inc.’s Registration Statement on Form S-1 filed on July 10, 2020)</w:t>
              </w:r>
            </w:hyperlink>
          </w:p>
        </w:tc>
        <w:tc>
          <w:tcPr>
            <w:tcW w:w="4800" w:type="dxa"/>
            <w:vAlign w:val="bottom"/>
            <w:gridSpan w:val="24"/>
          </w:tcPr>
          <w:p>
            <w:pPr>
              <w:spacing w:after="0"/>
              <w:rPr>
                <w:sz w:val="17"/>
                <w:szCs w:val="17"/>
                <w:color w:val="auto"/>
              </w:rPr>
            </w:pPr>
          </w:p>
        </w:tc>
      </w:tr>
      <w:tr>
        <w:trPr>
          <w:trHeight w:val="236"/>
        </w:trPr>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4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w w:val="99"/>
              </w:rPr>
            </w:pPr>
            <w:hyperlink r:id="rId177">
              <w:r>
                <w:rPr>
                  <w:rFonts w:ascii="Times New Roman" w:cs="Times New Roman" w:eastAsia="Times New Roman" w:hAnsi="Times New Roman"/>
                  <w:sz w:val="18"/>
                  <w:szCs w:val="18"/>
                  <w:color w:val="0000FF"/>
                  <w:w w:val="99"/>
                </w:rPr>
                <w:t>Joinder to First Lien Credit Agreement, dated as of November 3, 2016, by Rackspace Technology Global, Inc. (f.k.a. Rackspace</w:t>
              </w:r>
            </w:hyperlink>
          </w:p>
        </w:tc>
        <w:tc>
          <w:tcPr>
            <w:tcW w:w="280" w:type="dxa"/>
            <w:vAlign w:val="bottom"/>
            <w:gridSpan w:val="13"/>
          </w:tcPr>
          <w:p>
            <w:pPr>
              <w:spacing w:after="0"/>
              <w:rPr>
                <w:sz w:val="20"/>
                <w:szCs w:val="20"/>
                <w:color w:val="auto"/>
              </w:rPr>
            </w:pPr>
          </w:p>
        </w:tc>
      </w:tr>
      <w:tr>
        <w:trPr>
          <w:trHeight w:val="183"/>
        </w:trPr>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320" w:type="dxa"/>
            <w:vAlign w:val="bottom"/>
            <w:tcBorders>
              <w:bottom w:val="single" w:sz="8" w:color="0000FF"/>
            </w:tcBorders>
            <w:gridSpan w:val="24"/>
          </w:tcPr>
          <w:p>
            <w:pPr>
              <w:spacing w:after="0" w:line="182" w:lineRule="exact"/>
              <w:rPr>
                <w:rFonts w:ascii="Times New Roman" w:cs="Times New Roman" w:eastAsia="Times New Roman" w:hAnsi="Times New Roman"/>
                <w:sz w:val="18"/>
                <w:szCs w:val="18"/>
                <w:color w:val="0000FF"/>
                <w:w w:val="99"/>
              </w:rPr>
            </w:pPr>
            <w:hyperlink r:id="rId177">
              <w:r>
                <w:rPr>
                  <w:rFonts w:ascii="Times New Roman" w:cs="Times New Roman" w:eastAsia="Times New Roman" w:hAnsi="Times New Roman"/>
                  <w:sz w:val="18"/>
                  <w:szCs w:val="18"/>
                  <w:color w:val="0000FF"/>
                  <w:w w:val="99"/>
                </w:rPr>
                <w:t>Hosting, Inc.) (incorporated by reference from Exhibit 10.2 to Rackspace Technology, Inc.’s Registration Statement on Form S-1</w:t>
              </w:r>
            </w:hyperlink>
          </w:p>
        </w:tc>
        <w:tc>
          <w:tcPr>
            <w:tcW w:w="200" w:type="dxa"/>
            <w:vAlign w:val="bottom"/>
            <w:gridSpan w:val="9"/>
          </w:tcPr>
          <w:p>
            <w:pPr>
              <w:spacing w:after="0"/>
              <w:rPr>
                <w:sz w:val="15"/>
                <w:szCs w:val="15"/>
                <w:color w:val="auto"/>
              </w:rPr>
            </w:pPr>
          </w:p>
        </w:tc>
      </w:tr>
      <w:tr>
        <w:trPr>
          <w:trHeight w:val="196"/>
        </w:trPr>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40" w:type="dxa"/>
            <w:vAlign w:val="bottom"/>
            <w:tcBorders>
              <w:bottom w:val="single" w:sz="8" w:color="0000FF"/>
            </w:tcBorders>
          </w:tcPr>
          <w:p>
            <w:pPr>
              <w:spacing w:after="0" w:line="196" w:lineRule="exact"/>
              <w:rPr>
                <w:rFonts w:ascii="Times New Roman" w:cs="Times New Roman" w:eastAsia="Times New Roman" w:hAnsi="Times New Roman"/>
                <w:sz w:val="18"/>
                <w:szCs w:val="18"/>
                <w:color w:val="0000FF"/>
                <w:w w:val="99"/>
              </w:rPr>
            </w:pPr>
            <w:hyperlink r:id="rId177">
              <w:r>
                <w:rPr>
                  <w:rFonts w:ascii="Times New Roman" w:cs="Times New Roman" w:eastAsia="Times New Roman" w:hAnsi="Times New Roman"/>
                  <w:sz w:val="18"/>
                  <w:szCs w:val="18"/>
                  <w:color w:val="0000FF"/>
                  <w:w w:val="99"/>
                </w:rPr>
                <w:t>filed on July 10, 2020)</w:t>
              </w:r>
            </w:hyperlink>
          </w:p>
        </w:tc>
        <w:tc>
          <w:tcPr>
            <w:tcW w:w="7880" w:type="dxa"/>
            <w:vAlign w:val="bottom"/>
            <w:gridSpan w:val="32"/>
          </w:tcPr>
          <w:p>
            <w:pPr>
              <w:spacing w:after="0"/>
              <w:rPr>
                <w:sz w:val="17"/>
                <w:szCs w:val="17"/>
                <w:color w:val="auto"/>
              </w:rPr>
            </w:pPr>
          </w:p>
        </w:tc>
      </w:tr>
      <w:tr>
        <w:trPr>
          <w:trHeight w:val="237"/>
        </w:trPr>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2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w w:val="99"/>
              </w:rPr>
            </w:pPr>
            <w:hyperlink r:id="rId178">
              <w:r>
                <w:rPr>
                  <w:rFonts w:ascii="Times New Roman" w:cs="Times New Roman" w:eastAsia="Times New Roman" w:hAnsi="Times New Roman"/>
                  <w:sz w:val="18"/>
                  <w:szCs w:val="18"/>
                  <w:color w:val="0000FF"/>
                  <w:w w:val="99"/>
                </w:rPr>
                <w:t>Incremental Assumption and Amendment Agreement, dated as of December 20, 2016, among Inception Parent, Inc., Rackspace</w:t>
              </w:r>
            </w:hyperlink>
          </w:p>
        </w:tc>
        <w:tc>
          <w:tcPr>
            <w:tcW w:w="300" w:type="dxa"/>
            <w:vAlign w:val="bottom"/>
            <w:gridSpan w:val="14"/>
          </w:tcPr>
          <w:p>
            <w:pPr>
              <w:spacing w:after="0"/>
              <w:rPr>
                <w:sz w:val="20"/>
                <w:szCs w:val="20"/>
                <w:color w:val="auto"/>
              </w:rPr>
            </w:pPr>
          </w:p>
        </w:tc>
      </w:tr>
      <w:tr>
        <w:trPr>
          <w:trHeight w:val="182"/>
        </w:trPr>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380" w:type="dxa"/>
            <w:vAlign w:val="bottom"/>
            <w:tcBorders>
              <w:bottom w:val="single" w:sz="8" w:color="0000FF"/>
            </w:tcBorders>
            <w:gridSpan w:val="27"/>
          </w:tcPr>
          <w:p>
            <w:pPr>
              <w:spacing w:after="0" w:line="182" w:lineRule="exact"/>
              <w:rPr>
                <w:rFonts w:ascii="Times New Roman" w:cs="Times New Roman" w:eastAsia="Times New Roman" w:hAnsi="Times New Roman"/>
                <w:sz w:val="18"/>
                <w:szCs w:val="18"/>
                <w:color w:val="0000FF"/>
                <w:w w:val="99"/>
              </w:rPr>
            </w:pPr>
            <w:hyperlink r:id="rId178">
              <w:r>
                <w:rPr>
                  <w:rFonts w:ascii="Times New Roman" w:cs="Times New Roman" w:eastAsia="Times New Roman" w:hAnsi="Times New Roman"/>
                  <w:sz w:val="18"/>
                  <w:szCs w:val="18"/>
                  <w:color w:val="0000FF"/>
                  <w:w w:val="99"/>
                </w:rPr>
                <w:t>Technology Global, Inc. (f.k.a. Rackspace Hosting, Inc.), the subsidiary loan parties, the lenders party thereto, and Citibank, N.A.,</w:t>
              </w:r>
            </w:hyperlink>
          </w:p>
        </w:tc>
        <w:tc>
          <w:tcPr>
            <w:tcW w:w="140" w:type="dxa"/>
            <w:vAlign w:val="bottom"/>
            <w:gridSpan w:val="6"/>
          </w:tcPr>
          <w:p>
            <w:pPr>
              <w:spacing w:after="0"/>
              <w:rPr>
                <w:sz w:val="15"/>
                <w:szCs w:val="15"/>
                <w:color w:val="auto"/>
              </w:rPr>
            </w:pPr>
          </w:p>
        </w:tc>
      </w:tr>
      <w:tr>
        <w:trPr>
          <w:trHeight w:val="196"/>
        </w:trPr>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520" w:type="dxa"/>
            <w:vAlign w:val="bottom"/>
            <w:gridSpan w:val="33"/>
          </w:tcPr>
          <w:p>
            <w:pPr>
              <w:spacing w:after="0" w:line="196" w:lineRule="exact"/>
              <w:rPr>
                <w:rFonts w:ascii="Times New Roman" w:cs="Times New Roman" w:eastAsia="Times New Roman" w:hAnsi="Times New Roman"/>
                <w:sz w:val="18"/>
                <w:szCs w:val="18"/>
                <w:color w:val="0000FF"/>
              </w:rPr>
            </w:pPr>
            <w:hyperlink r:id="rId178">
              <w:r>
                <w:rPr>
                  <w:rFonts w:ascii="Times New Roman" w:cs="Times New Roman" w:eastAsia="Times New Roman" w:hAnsi="Times New Roman"/>
                  <w:sz w:val="18"/>
                  <w:szCs w:val="18"/>
                  <w:color w:val="0000FF"/>
                </w:rPr>
                <w:t>as administrative agent (incorporated by reference from Exhibit 10.3 to Rackspace Technology, Inc.’s Registration Statement on</w:t>
              </w:r>
            </w:hyperlink>
          </w:p>
        </w:tc>
      </w:tr>
      <w:tr>
        <w:trPr>
          <w:trHeight w:val="183"/>
        </w:trPr>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20" w:type="dxa"/>
            <w:vAlign w:val="bottom"/>
            <w:tcBorders>
              <w:top w:val="single" w:sz="8" w:color="0000FF"/>
            </w:tcBorders>
            <w:gridSpan w:val="19"/>
          </w:tcPr>
          <w:p>
            <w:pPr>
              <w:spacing w:after="0" w:line="182" w:lineRule="exact"/>
              <w:rPr>
                <w:rFonts w:ascii="Times New Roman" w:cs="Times New Roman" w:eastAsia="Times New Roman" w:hAnsi="Times New Roman"/>
                <w:sz w:val="18"/>
                <w:szCs w:val="18"/>
                <w:color w:val="0000FF"/>
              </w:rPr>
            </w:pPr>
            <w:hyperlink r:id="rId178">
              <w:r>
                <w:rPr>
                  <w:rFonts w:ascii="Times New Roman" w:cs="Times New Roman" w:eastAsia="Times New Roman" w:hAnsi="Times New Roman"/>
                  <w:sz w:val="18"/>
                  <w:szCs w:val="18"/>
                  <w:color w:val="0000FF"/>
                </w:rPr>
                <w:t>Form S-1 filed on July 10, 2020)</w:t>
              </w:r>
            </w:hyperlink>
          </w:p>
        </w:tc>
        <w:tc>
          <w:tcPr>
            <w:tcW w:w="40" w:type="dxa"/>
            <w:vAlign w:val="bottom"/>
            <w:gridSpan w:val="2"/>
          </w:tcPr>
          <w:p>
            <w:pPr>
              <w:spacing w:after="0"/>
              <w:rPr>
                <w:sz w:val="15"/>
                <w:szCs w:val="15"/>
                <w:color w:val="auto"/>
              </w:rPr>
            </w:pPr>
          </w:p>
        </w:tc>
        <w:tc>
          <w:tcPr>
            <w:tcW w:w="60" w:type="dxa"/>
            <w:vAlign w:val="bottom"/>
            <w:gridSpan w:val="3"/>
          </w:tcPr>
          <w:p>
            <w:pPr>
              <w:spacing w:after="0"/>
              <w:rPr>
                <w:sz w:val="15"/>
                <w:szCs w:val="15"/>
                <w:color w:val="auto"/>
              </w:rPr>
            </w:pPr>
          </w:p>
        </w:tc>
        <w:tc>
          <w:tcPr>
            <w:tcW w:w="60" w:type="dxa"/>
            <w:vAlign w:val="bottom"/>
            <w:gridSpan w:val="3"/>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0"/>
        </w:trPr>
        <w:tc>
          <w:tcPr>
            <w:tcW w:w="12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60" w:type="dxa"/>
            <w:vAlign w:val="bottom"/>
            <w:gridSpan w:val="4"/>
            <w:shd w:val="clear" w:color="auto" w:fill="0000FF"/>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6"/>
        </w:trPr>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6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w w:val="99"/>
              </w:rPr>
            </w:pPr>
            <w:hyperlink r:id="rId179">
              <w:r>
                <w:rPr>
                  <w:rFonts w:ascii="Times New Roman" w:cs="Times New Roman" w:eastAsia="Times New Roman" w:hAnsi="Times New Roman"/>
                  <w:sz w:val="18"/>
                  <w:szCs w:val="18"/>
                  <w:color w:val="0000FF"/>
                  <w:w w:val="99"/>
                </w:rPr>
                <w:t>Incremental Assumption and Amendment Agreement No. 2, dated as of June 21, 2017, among Inception Parent, Inc., Rackspace</w:t>
              </w:r>
            </w:hyperlink>
          </w:p>
        </w:tc>
        <w:tc>
          <w:tcPr>
            <w:tcW w:w="260" w:type="dxa"/>
            <w:vAlign w:val="bottom"/>
            <w:gridSpan w:val="12"/>
          </w:tcPr>
          <w:p>
            <w:pPr>
              <w:spacing w:after="0"/>
              <w:rPr>
                <w:sz w:val="20"/>
                <w:szCs w:val="20"/>
                <w:color w:val="auto"/>
              </w:rPr>
            </w:pPr>
          </w:p>
        </w:tc>
      </w:tr>
      <w:tr>
        <w:trPr>
          <w:trHeight w:val="183"/>
        </w:trPr>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380" w:type="dxa"/>
            <w:vAlign w:val="bottom"/>
            <w:tcBorders>
              <w:bottom w:val="single" w:sz="8" w:color="0000FF"/>
            </w:tcBorders>
            <w:gridSpan w:val="27"/>
          </w:tcPr>
          <w:p>
            <w:pPr>
              <w:spacing w:after="0" w:line="182" w:lineRule="exact"/>
              <w:rPr>
                <w:rFonts w:ascii="Times New Roman" w:cs="Times New Roman" w:eastAsia="Times New Roman" w:hAnsi="Times New Roman"/>
                <w:sz w:val="18"/>
                <w:szCs w:val="18"/>
                <w:color w:val="0000FF"/>
                <w:w w:val="99"/>
              </w:rPr>
            </w:pPr>
            <w:hyperlink r:id="rId179">
              <w:r>
                <w:rPr>
                  <w:rFonts w:ascii="Times New Roman" w:cs="Times New Roman" w:eastAsia="Times New Roman" w:hAnsi="Times New Roman"/>
                  <w:sz w:val="18"/>
                  <w:szCs w:val="18"/>
                  <w:color w:val="0000FF"/>
                  <w:w w:val="99"/>
                </w:rPr>
                <w:t>Technology Global, Inc. (f.k.a. Rackspace Hosting, Inc.), the subsidiary loan parties, the lenders party thereto, and Citibank, N.A.,</w:t>
              </w:r>
            </w:hyperlink>
          </w:p>
        </w:tc>
        <w:tc>
          <w:tcPr>
            <w:tcW w:w="140" w:type="dxa"/>
            <w:vAlign w:val="bottom"/>
            <w:gridSpan w:val="6"/>
          </w:tcPr>
          <w:p>
            <w:pPr>
              <w:spacing w:after="0"/>
              <w:rPr>
                <w:sz w:val="15"/>
                <w:szCs w:val="15"/>
                <w:color w:val="auto"/>
              </w:rPr>
            </w:pPr>
          </w:p>
        </w:tc>
      </w:tr>
      <w:tr>
        <w:trPr>
          <w:trHeight w:val="196"/>
        </w:trPr>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520" w:type="dxa"/>
            <w:vAlign w:val="bottom"/>
            <w:gridSpan w:val="33"/>
          </w:tcPr>
          <w:p>
            <w:pPr>
              <w:spacing w:after="0" w:line="196" w:lineRule="exact"/>
              <w:rPr>
                <w:rFonts w:ascii="Times New Roman" w:cs="Times New Roman" w:eastAsia="Times New Roman" w:hAnsi="Times New Roman"/>
                <w:sz w:val="18"/>
                <w:szCs w:val="18"/>
                <w:color w:val="0000FF"/>
              </w:rPr>
            </w:pPr>
            <w:hyperlink r:id="rId179">
              <w:r>
                <w:rPr>
                  <w:rFonts w:ascii="Times New Roman" w:cs="Times New Roman" w:eastAsia="Times New Roman" w:hAnsi="Times New Roman"/>
                  <w:sz w:val="18"/>
                  <w:szCs w:val="18"/>
                  <w:color w:val="0000FF"/>
                </w:rPr>
                <w:t>as administrative agent (incorporated by reference from Exhibit 10.4 to Rackspace Technology, Inc.’s Registration Statement on</w:t>
              </w:r>
            </w:hyperlink>
          </w:p>
        </w:tc>
      </w:tr>
      <w:tr>
        <w:trPr>
          <w:trHeight w:val="183"/>
        </w:trPr>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20" w:type="dxa"/>
            <w:vAlign w:val="bottom"/>
            <w:tcBorders>
              <w:top w:val="single" w:sz="8" w:color="0000FF"/>
            </w:tcBorders>
            <w:gridSpan w:val="19"/>
          </w:tcPr>
          <w:p>
            <w:pPr>
              <w:spacing w:after="0" w:line="182" w:lineRule="exact"/>
              <w:rPr>
                <w:rFonts w:ascii="Times New Roman" w:cs="Times New Roman" w:eastAsia="Times New Roman" w:hAnsi="Times New Roman"/>
                <w:sz w:val="18"/>
                <w:szCs w:val="18"/>
                <w:color w:val="0000FF"/>
              </w:rPr>
            </w:pPr>
            <w:hyperlink r:id="rId179">
              <w:r>
                <w:rPr>
                  <w:rFonts w:ascii="Times New Roman" w:cs="Times New Roman" w:eastAsia="Times New Roman" w:hAnsi="Times New Roman"/>
                  <w:sz w:val="18"/>
                  <w:szCs w:val="18"/>
                  <w:color w:val="0000FF"/>
                </w:rPr>
                <w:t>Form S-1 filed on July 10, 2020)</w:t>
              </w:r>
            </w:hyperlink>
          </w:p>
        </w:tc>
        <w:tc>
          <w:tcPr>
            <w:tcW w:w="100" w:type="dxa"/>
            <w:vAlign w:val="bottom"/>
            <w:gridSpan w:val="5"/>
          </w:tcPr>
          <w:p>
            <w:pPr>
              <w:spacing w:after="0"/>
              <w:rPr>
                <w:sz w:val="15"/>
                <w:szCs w:val="15"/>
                <w:color w:val="auto"/>
              </w:rPr>
            </w:pPr>
          </w:p>
        </w:tc>
        <w:tc>
          <w:tcPr>
            <w:tcW w:w="60" w:type="dxa"/>
            <w:vAlign w:val="bottom"/>
            <w:gridSpan w:val="3"/>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0"/>
        </w:trPr>
        <w:tc>
          <w:tcPr>
            <w:tcW w:w="12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60" w:type="dxa"/>
            <w:vAlign w:val="bottom"/>
            <w:gridSpan w:val="4"/>
            <w:shd w:val="clear" w:color="auto" w:fill="0000FF"/>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6"/>
        </w:trPr>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10.5</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520" w:type="dxa"/>
            <w:vAlign w:val="bottom"/>
            <w:gridSpan w:val="33"/>
          </w:tcPr>
          <w:p>
            <w:pPr>
              <w:spacing w:after="0"/>
              <w:rPr>
                <w:rFonts w:ascii="Times New Roman" w:cs="Times New Roman" w:eastAsia="Times New Roman" w:hAnsi="Times New Roman"/>
                <w:sz w:val="18"/>
                <w:szCs w:val="18"/>
                <w:color w:val="0000FF"/>
              </w:rPr>
            </w:pPr>
            <w:hyperlink r:id="rId180">
              <w:r>
                <w:rPr>
                  <w:rFonts w:ascii="Times New Roman" w:cs="Times New Roman" w:eastAsia="Times New Roman" w:hAnsi="Times New Roman"/>
                  <w:sz w:val="18"/>
                  <w:szCs w:val="18"/>
                  <w:color w:val="0000FF"/>
                </w:rPr>
                <w:t>Incremental Assumption and Amendment Agreement No. 3, dated as of November 15, 2017, among Inception Parent, Inc.,</w:t>
              </w:r>
            </w:hyperlink>
          </w:p>
        </w:tc>
      </w:tr>
      <w:tr>
        <w:trPr>
          <w:trHeight w:val="20"/>
        </w:trPr>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360" w:type="dxa"/>
            <w:vAlign w:val="bottom"/>
            <w:gridSpan w:val="6"/>
            <w:shd w:val="clear" w:color="auto" w:fill="0000FF"/>
          </w:tcPr>
          <w:p>
            <w:pPr>
              <w:spacing w:after="0" w:line="20" w:lineRule="exact"/>
              <w:rPr>
                <w:sz w:val="1"/>
                <w:szCs w:val="1"/>
                <w:color w:val="auto"/>
              </w:rPr>
            </w:pPr>
          </w:p>
        </w:tc>
        <w:tc>
          <w:tcPr>
            <w:tcW w:w="1520" w:type="dxa"/>
            <w:vAlign w:val="bottom"/>
            <w:gridSpan w:val="4"/>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264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3"/>
        </w:trPr>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40" w:type="dxa"/>
            <w:vAlign w:val="bottom"/>
            <w:tcBorders>
              <w:bottom w:val="single" w:sz="8" w:color="0000FF"/>
            </w:tcBorders>
            <w:gridSpan w:val="15"/>
          </w:tcPr>
          <w:p>
            <w:pPr>
              <w:spacing w:after="0" w:line="182" w:lineRule="exact"/>
              <w:rPr>
                <w:rFonts w:ascii="Times New Roman" w:cs="Times New Roman" w:eastAsia="Times New Roman" w:hAnsi="Times New Roman"/>
                <w:sz w:val="18"/>
                <w:szCs w:val="18"/>
                <w:color w:val="0000FF"/>
                <w:w w:val="99"/>
              </w:rPr>
            </w:pPr>
            <w:hyperlink r:id="rId180">
              <w:r>
                <w:rPr>
                  <w:rFonts w:ascii="Times New Roman" w:cs="Times New Roman" w:eastAsia="Times New Roman" w:hAnsi="Times New Roman"/>
                  <w:sz w:val="18"/>
                  <w:szCs w:val="18"/>
                  <w:color w:val="0000FF"/>
                  <w:w w:val="99"/>
                </w:rPr>
                <w:t>Rackspace Technology Global, Inc. (f.k.a. Rackspace Hosting, Inc.), the subsidiary loan parties, the lenders party thereto, and</w:t>
              </w:r>
            </w:hyperlink>
          </w:p>
        </w:tc>
        <w:tc>
          <w:tcPr>
            <w:tcW w:w="480" w:type="dxa"/>
            <w:vAlign w:val="bottom"/>
            <w:gridSpan w:val="18"/>
          </w:tcPr>
          <w:p>
            <w:pPr>
              <w:spacing w:after="0"/>
              <w:rPr>
                <w:sz w:val="15"/>
                <w:szCs w:val="15"/>
                <w:color w:val="auto"/>
              </w:rPr>
            </w:pPr>
          </w:p>
        </w:tc>
      </w:tr>
      <w:tr>
        <w:trPr>
          <w:trHeight w:val="196"/>
        </w:trPr>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520" w:type="dxa"/>
            <w:vAlign w:val="bottom"/>
            <w:gridSpan w:val="33"/>
          </w:tcPr>
          <w:p>
            <w:pPr>
              <w:spacing w:after="0" w:line="196" w:lineRule="exact"/>
              <w:rPr>
                <w:rFonts w:ascii="Times New Roman" w:cs="Times New Roman" w:eastAsia="Times New Roman" w:hAnsi="Times New Roman"/>
                <w:sz w:val="18"/>
                <w:szCs w:val="18"/>
                <w:color w:val="0000FF"/>
              </w:rPr>
            </w:pPr>
            <w:hyperlink r:id="rId180">
              <w:r>
                <w:rPr>
                  <w:rFonts w:ascii="Times New Roman" w:cs="Times New Roman" w:eastAsia="Times New Roman" w:hAnsi="Times New Roman"/>
                  <w:sz w:val="18"/>
                  <w:szCs w:val="18"/>
                  <w:color w:val="0000FF"/>
                </w:rPr>
                <w:t>Citibank, N.A., as administrative agent (incorporated by reference from Exhibit 10.5 to Rackspace Technology, Inc.’s Registration</w:t>
              </w:r>
            </w:hyperlink>
          </w:p>
        </w:tc>
      </w:tr>
      <w:tr>
        <w:trPr>
          <w:trHeight w:val="182"/>
        </w:trPr>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360" w:type="dxa"/>
            <w:vAlign w:val="bottom"/>
            <w:tcBorders>
              <w:top w:val="single" w:sz="8" w:color="0000FF"/>
              <w:bottom w:val="single" w:sz="8" w:color="0000FF"/>
            </w:tcBorders>
            <w:gridSpan w:val="6"/>
          </w:tcPr>
          <w:p>
            <w:pPr>
              <w:spacing w:after="0" w:line="182" w:lineRule="exact"/>
              <w:rPr>
                <w:rFonts w:ascii="Times New Roman" w:cs="Times New Roman" w:eastAsia="Times New Roman" w:hAnsi="Times New Roman"/>
                <w:sz w:val="18"/>
                <w:szCs w:val="18"/>
                <w:color w:val="0000FF"/>
                <w:w w:val="99"/>
              </w:rPr>
            </w:pPr>
            <w:hyperlink r:id="rId180">
              <w:r>
                <w:rPr>
                  <w:rFonts w:ascii="Times New Roman" w:cs="Times New Roman" w:eastAsia="Times New Roman" w:hAnsi="Times New Roman"/>
                  <w:sz w:val="18"/>
                  <w:szCs w:val="18"/>
                  <w:color w:val="0000FF"/>
                  <w:w w:val="99"/>
                </w:rPr>
                <w:t>Statement on Form S-1 filed on July 10, 2020)</w:t>
              </w:r>
            </w:hyperlink>
          </w:p>
        </w:tc>
        <w:tc>
          <w:tcPr>
            <w:tcW w:w="6020" w:type="dxa"/>
            <w:vAlign w:val="bottom"/>
            <w:tcBorders>
              <w:top w:val="single" w:sz="8" w:color="0000FF"/>
            </w:tcBorders>
            <w:gridSpan w:val="21"/>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37"/>
        </w:trPr>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10.6</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520" w:type="dxa"/>
            <w:vAlign w:val="bottom"/>
            <w:gridSpan w:val="33"/>
          </w:tcPr>
          <w:p>
            <w:pPr>
              <w:spacing w:after="0"/>
              <w:rPr>
                <w:rFonts w:ascii="Times New Roman" w:cs="Times New Roman" w:eastAsia="Times New Roman" w:hAnsi="Times New Roman"/>
                <w:sz w:val="18"/>
                <w:szCs w:val="18"/>
                <w:color w:val="0000FF"/>
              </w:rPr>
            </w:pPr>
            <w:hyperlink r:id="rId181">
              <w:r>
                <w:rPr>
                  <w:rFonts w:ascii="Times New Roman" w:cs="Times New Roman" w:eastAsia="Times New Roman" w:hAnsi="Times New Roman"/>
                  <w:sz w:val="18"/>
                  <w:szCs w:val="18"/>
                  <w:color w:val="0000FF"/>
                </w:rPr>
                <w:t>Incremental Assumption Agreement No. 4, dated as of July 20, 2020, among Inception Parent, Inc., Rackspace Technology Global</w:t>
              </w:r>
            </w:hyperlink>
          </w:p>
        </w:tc>
      </w:tr>
      <w:tr>
        <w:trPr>
          <w:trHeight w:val="183"/>
        </w:trPr>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0" w:type="dxa"/>
            <w:vAlign w:val="bottom"/>
            <w:tcBorders>
              <w:top w:val="single" w:sz="8" w:color="0000FF"/>
              <w:bottom w:val="single" w:sz="8" w:color="0000FF"/>
            </w:tcBorders>
            <w:gridSpan w:val="18"/>
          </w:tcPr>
          <w:p>
            <w:pPr>
              <w:spacing w:after="0" w:line="182" w:lineRule="exact"/>
              <w:rPr>
                <w:rFonts w:ascii="Times New Roman" w:cs="Times New Roman" w:eastAsia="Times New Roman" w:hAnsi="Times New Roman"/>
                <w:sz w:val="18"/>
                <w:szCs w:val="18"/>
                <w:color w:val="0000FF"/>
                <w:w w:val="99"/>
              </w:rPr>
            </w:pPr>
            <w:hyperlink r:id="rId181">
              <w:r>
                <w:rPr>
                  <w:rFonts w:ascii="Times New Roman" w:cs="Times New Roman" w:eastAsia="Times New Roman" w:hAnsi="Times New Roman"/>
                  <w:sz w:val="18"/>
                  <w:szCs w:val="18"/>
                  <w:color w:val="0000FF"/>
                  <w:w w:val="99"/>
                </w:rPr>
                <w:t>Inc., the subsidiary loan parties, the lenders party thereto and Citibank, N.A., as administrative agent (incorporated by reference</w:t>
              </w:r>
            </w:hyperlink>
          </w:p>
        </w:tc>
        <w:tc>
          <w:tcPr>
            <w:tcW w:w="240" w:type="dxa"/>
            <w:vAlign w:val="bottom"/>
            <w:tcBorders>
              <w:top w:val="single" w:sz="8" w:color="0000FF"/>
            </w:tcBorders>
            <w:gridSpan w:val="1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96"/>
        </w:trPr>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20" w:type="dxa"/>
            <w:vAlign w:val="bottom"/>
            <w:tcBorders>
              <w:bottom w:val="single" w:sz="8" w:color="0000FF"/>
            </w:tcBorders>
            <w:gridSpan w:val="12"/>
          </w:tcPr>
          <w:p>
            <w:pPr>
              <w:spacing w:after="0" w:line="196" w:lineRule="exact"/>
              <w:rPr>
                <w:rFonts w:ascii="Times New Roman" w:cs="Times New Roman" w:eastAsia="Times New Roman" w:hAnsi="Times New Roman"/>
                <w:sz w:val="18"/>
                <w:szCs w:val="18"/>
                <w:color w:val="0000FF"/>
                <w:w w:val="99"/>
              </w:rPr>
            </w:pPr>
            <w:hyperlink r:id="rId181">
              <w:r>
                <w:rPr>
                  <w:rFonts w:ascii="Times New Roman" w:cs="Times New Roman" w:eastAsia="Times New Roman" w:hAnsi="Times New Roman"/>
                  <w:sz w:val="18"/>
                  <w:szCs w:val="18"/>
                  <w:color w:val="0000FF"/>
                  <w:w w:val="99"/>
                </w:rPr>
                <w:t>from Exhibit 10.4 to Rackspace Technology, Inc.’s Form 8-K filed on August 7, 2020)</w:t>
              </w:r>
            </w:hyperlink>
          </w:p>
        </w:tc>
        <w:tc>
          <w:tcPr>
            <w:tcW w:w="3300" w:type="dxa"/>
            <w:vAlign w:val="bottom"/>
            <w:gridSpan w:val="21"/>
          </w:tcPr>
          <w:p>
            <w:pPr>
              <w:spacing w:after="0"/>
              <w:rPr>
                <w:sz w:val="17"/>
                <w:szCs w:val="17"/>
                <w:color w:val="auto"/>
              </w:rPr>
            </w:pPr>
          </w:p>
        </w:tc>
      </w:tr>
      <w:tr>
        <w:trPr>
          <w:trHeight w:val="237"/>
        </w:trPr>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10.7</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520" w:type="dxa"/>
            <w:vAlign w:val="bottom"/>
            <w:gridSpan w:val="33"/>
          </w:tcPr>
          <w:p>
            <w:pPr>
              <w:spacing w:after="0"/>
              <w:rPr>
                <w:rFonts w:ascii="Times New Roman" w:cs="Times New Roman" w:eastAsia="Times New Roman" w:hAnsi="Times New Roman"/>
                <w:sz w:val="18"/>
                <w:szCs w:val="18"/>
                <w:color w:val="0000FF"/>
                <w:w w:val="99"/>
              </w:rPr>
            </w:pPr>
            <w:hyperlink r:id="rId182">
              <w:r>
                <w:rPr>
                  <w:rFonts w:ascii="Times New Roman" w:cs="Times New Roman" w:eastAsia="Times New Roman" w:hAnsi="Times New Roman"/>
                  <w:sz w:val="18"/>
                  <w:szCs w:val="18"/>
                  <w:color w:val="0000FF"/>
                  <w:w w:val="99"/>
                </w:rPr>
                <w:t>Incremental Assumption Agreement No. 5, dated as of February 9, 2021, among Rackspace Technology Global, Inc., the subsidiary</w:t>
              </w:r>
            </w:hyperlink>
          </w:p>
        </w:tc>
      </w:tr>
      <w:tr>
        <w:trPr>
          <w:trHeight w:val="183"/>
        </w:trPr>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320" w:type="dxa"/>
            <w:vAlign w:val="bottom"/>
            <w:tcBorders>
              <w:top w:val="single" w:sz="8" w:color="0000FF"/>
              <w:bottom w:val="single" w:sz="8" w:color="0000FF"/>
            </w:tcBorders>
            <w:gridSpan w:val="24"/>
          </w:tcPr>
          <w:p>
            <w:pPr>
              <w:spacing w:after="0" w:line="182" w:lineRule="exact"/>
              <w:rPr>
                <w:rFonts w:ascii="Times New Roman" w:cs="Times New Roman" w:eastAsia="Times New Roman" w:hAnsi="Times New Roman"/>
                <w:sz w:val="18"/>
                <w:szCs w:val="18"/>
                <w:color w:val="0000FF"/>
              </w:rPr>
            </w:pPr>
            <w:hyperlink r:id="rId182">
              <w:r>
                <w:rPr>
                  <w:rFonts w:ascii="Times New Roman" w:cs="Times New Roman" w:eastAsia="Times New Roman" w:hAnsi="Times New Roman"/>
                  <w:sz w:val="18"/>
                  <w:szCs w:val="18"/>
                  <w:color w:val="0000FF"/>
                </w:rPr>
                <w:t>loan parties, the lenders party thereto and Citibank, N.A., as administrative agent (incorporated by reference from Exhibit 10.1 to</w:t>
              </w:r>
            </w:hyperlink>
          </w:p>
        </w:tc>
        <w:tc>
          <w:tcPr>
            <w:tcW w:w="160" w:type="dxa"/>
            <w:vAlign w:val="bottom"/>
            <w:tcBorders>
              <w:top w:val="single" w:sz="8" w:color="0000FF"/>
            </w:tcBorders>
            <w:gridSpan w:val="8"/>
          </w:tcPr>
          <w:p>
            <w:pPr>
              <w:spacing w:after="0"/>
              <w:rPr>
                <w:sz w:val="15"/>
                <w:szCs w:val="15"/>
                <w:color w:val="auto"/>
              </w:rPr>
            </w:pPr>
          </w:p>
        </w:tc>
        <w:tc>
          <w:tcPr>
            <w:tcW w:w="40" w:type="dxa"/>
            <w:vAlign w:val="bottom"/>
          </w:tcPr>
          <w:p>
            <w:pPr>
              <w:spacing w:after="0"/>
              <w:rPr>
                <w:sz w:val="15"/>
                <w:szCs w:val="15"/>
                <w:color w:val="auto"/>
              </w:rPr>
            </w:pPr>
          </w:p>
        </w:tc>
      </w:tr>
      <w:tr>
        <w:trPr>
          <w:trHeight w:val="196"/>
        </w:trPr>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80" w:type="dxa"/>
            <w:vAlign w:val="bottom"/>
            <w:tcBorders>
              <w:bottom w:val="single" w:sz="8" w:color="0000FF"/>
            </w:tcBorders>
            <w:gridSpan w:val="10"/>
          </w:tcPr>
          <w:p>
            <w:pPr>
              <w:spacing w:after="0" w:line="196" w:lineRule="exact"/>
              <w:rPr>
                <w:rFonts w:ascii="Times New Roman" w:cs="Times New Roman" w:eastAsia="Times New Roman" w:hAnsi="Times New Roman"/>
                <w:sz w:val="18"/>
                <w:szCs w:val="18"/>
                <w:color w:val="0000FF"/>
                <w:w w:val="98"/>
              </w:rPr>
            </w:pPr>
            <w:hyperlink r:id="rId182">
              <w:r>
                <w:rPr>
                  <w:rFonts w:ascii="Times New Roman" w:cs="Times New Roman" w:eastAsia="Times New Roman" w:hAnsi="Times New Roman"/>
                  <w:sz w:val="18"/>
                  <w:szCs w:val="18"/>
                  <w:color w:val="0000FF"/>
                  <w:w w:val="98"/>
                </w:rPr>
                <w:t>Rackspace Technology, Inc.’s Form 8-K, filed on February 9, 2021)</w:t>
              </w:r>
            </w:hyperlink>
          </w:p>
        </w:tc>
        <w:tc>
          <w:tcPr>
            <w:tcW w:w="4640" w:type="dxa"/>
            <w:vAlign w:val="bottom"/>
            <w:gridSpan w:val="23"/>
          </w:tcPr>
          <w:p>
            <w:pPr>
              <w:spacing w:after="0"/>
              <w:rPr>
                <w:sz w:val="17"/>
                <w:szCs w:val="17"/>
                <w:color w:val="auto"/>
              </w:rPr>
            </w:pPr>
          </w:p>
        </w:tc>
      </w:tr>
      <w:tr>
        <w:trPr>
          <w:trHeight w:val="237"/>
        </w:trPr>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10.8</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520" w:type="dxa"/>
            <w:vAlign w:val="bottom"/>
            <w:gridSpan w:val="33"/>
          </w:tcPr>
          <w:p>
            <w:pPr>
              <w:spacing w:after="0"/>
              <w:rPr>
                <w:rFonts w:ascii="Times New Roman" w:cs="Times New Roman" w:eastAsia="Times New Roman" w:hAnsi="Times New Roman"/>
                <w:sz w:val="18"/>
                <w:szCs w:val="18"/>
                <w:color w:val="0000FF"/>
              </w:rPr>
            </w:pPr>
            <w:hyperlink r:id="rId183">
              <w:r>
                <w:rPr>
                  <w:rFonts w:ascii="Times New Roman" w:cs="Times New Roman" w:eastAsia="Times New Roman" w:hAnsi="Times New Roman"/>
                  <w:sz w:val="18"/>
                  <w:szCs w:val="18"/>
                  <w:color w:val="0000FF"/>
                </w:rPr>
                <w:t>First Lien Credit Agreement, dated March 12, 2024, among Rackspace Finance Holdings, LLC, Rackspace Finance, LLC, the</w:t>
              </w:r>
            </w:hyperlink>
          </w:p>
        </w:tc>
      </w:tr>
      <w:tr>
        <w:trPr>
          <w:trHeight w:val="20"/>
        </w:trPr>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60" w:type="dxa"/>
            <w:vAlign w:val="bottom"/>
            <w:gridSpan w:val="16"/>
            <w:shd w:val="clear" w:color="auto" w:fill="0000FF"/>
          </w:tcPr>
          <w:p>
            <w:pPr>
              <w:spacing w:after="0" w:line="20" w:lineRule="exact"/>
              <w:rPr>
                <w:sz w:val="1"/>
                <w:szCs w:val="1"/>
                <w:color w:val="auto"/>
              </w:rPr>
            </w:pPr>
          </w:p>
        </w:tc>
        <w:tc>
          <w:tcPr>
            <w:tcW w:w="400" w:type="dxa"/>
            <w:vAlign w:val="bottom"/>
            <w:gridSpan w:val="1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83"/>
        </w:trPr>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80" w:type="dxa"/>
            <w:vAlign w:val="bottom"/>
            <w:tcBorders>
              <w:bottom w:val="single" w:sz="8" w:color="0000FF"/>
            </w:tcBorders>
            <w:gridSpan w:val="32"/>
          </w:tcPr>
          <w:p>
            <w:pPr>
              <w:spacing w:after="0" w:line="182" w:lineRule="exact"/>
              <w:rPr>
                <w:rFonts w:ascii="Times New Roman" w:cs="Times New Roman" w:eastAsia="Times New Roman" w:hAnsi="Times New Roman"/>
                <w:sz w:val="18"/>
                <w:szCs w:val="18"/>
                <w:color w:val="0000FF"/>
                <w:w w:val="99"/>
              </w:rPr>
            </w:pPr>
            <w:hyperlink r:id="rId183">
              <w:r>
                <w:rPr>
                  <w:rFonts w:ascii="Times New Roman" w:cs="Times New Roman" w:eastAsia="Times New Roman" w:hAnsi="Times New Roman"/>
                  <w:sz w:val="18"/>
                  <w:szCs w:val="18"/>
                  <w:color w:val="0000FF"/>
                  <w:w w:val="99"/>
                </w:rPr>
                <w:t>lenders and issuing banks party thereto and Citibank, N.A., as administrative agent and Citibank, N.A., acting through its agency &amp;</w:t>
              </w:r>
            </w:hyperlink>
          </w:p>
        </w:tc>
        <w:tc>
          <w:tcPr>
            <w:tcW w:w="40" w:type="dxa"/>
            <w:vAlign w:val="bottom"/>
          </w:tcPr>
          <w:p>
            <w:pPr>
              <w:spacing w:after="0"/>
              <w:rPr>
                <w:sz w:val="15"/>
                <w:szCs w:val="15"/>
                <w:color w:val="auto"/>
              </w:rPr>
            </w:pPr>
          </w:p>
        </w:tc>
      </w:tr>
    </w:tbl>
    <w:p>
      <w:pPr>
        <w:spacing w:after="0" w:line="9" w:lineRule="exact"/>
        <w:rPr>
          <w:sz w:val="20"/>
          <w:szCs w:val="20"/>
          <w:color w:val="auto"/>
        </w:rPr>
      </w:pPr>
    </w:p>
    <w:p>
      <w:pPr>
        <w:ind w:left="1580" w:right="100"/>
        <w:spacing w:after="0" w:line="266" w:lineRule="auto"/>
        <w:rPr>
          <w:rFonts w:ascii="Times New Roman" w:cs="Times New Roman" w:eastAsia="Times New Roman" w:hAnsi="Times New Roman"/>
          <w:sz w:val="18"/>
          <w:szCs w:val="18"/>
          <w:u w:val="single" w:color="auto"/>
          <w:color w:val="0000FF"/>
        </w:rPr>
      </w:pPr>
      <w:hyperlink r:id="rId183">
        <w:r>
          <w:rPr>
            <w:rFonts w:ascii="Times New Roman" w:cs="Times New Roman" w:eastAsia="Times New Roman" w:hAnsi="Times New Roman"/>
            <w:sz w:val="18"/>
            <w:szCs w:val="18"/>
            <w:u w:val="single" w:color="auto"/>
            <w:color w:val="0000FF"/>
          </w:rPr>
          <w:t>trust business, as collateral agent (incorporated by reference from Exhibit 10.1 to Rackspace Technology, Inc.’s Form 8-K, filed on</w:t>
        </w:r>
      </w:hyperlink>
      <w:r>
        <w:rPr>
          <w:rFonts w:ascii="Times New Roman" w:cs="Times New Roman" w:eastAsia="Times New Roman" w:hAnsi="Times New Roman"/>
          <w:sz w:val="18"/>
          <w:szCs w:val="18"/>
          <w:u w:val="single" w:color="auto"/>
          <w:color w:val="0000FF"/>
        </w:rPr>
        <w:t xml:space="preserve"> </w:t>
      </w:r>
      <w:hyperlink r:id="rId183">
        <w:r>
          <w:rPr>
            <w:rFonts w:ascii="Times New Roman" w:cs="Times New Roman" w:eastAsia="Times New Roman" w:hAnsi="Times New Roman"/>
            <w:sz w:val="18"/>
            <w:szCs w:val="18"/>
            <w:u w:val="single" w:color="auto"/>
            <w:color w:val="0000FF"/>
          </w:rPr>
          <w:t>March 12, 2024)</w:t>
        </w:r>
      </w:hyperlink>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- 157 -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08" w:right="479" w:bottom="1440" w:gutter="0" w:footer="0" w:header="0"/>
        </w:sectPr>
      </w:pPr>
    </w:p>
    <w:bookmarkStart w:id="157" w:name="page158"/>
    <w:bookmarkEnd w:id="157"/>
    <w:tbl>
      <w:tblPr>
        <w:tblLayout w:type="fixed"/>
        <w:tblInd w:w="0" w:type="dxa"/>
        <w:tblCellMar>
          <w:top w:w="0" w:type="dxa"/>
          <w:left w:w="0" w:type="dxa"/>
          <w:bottom w:w="0" w:type="dxa"/>
          <w:right w:w="0" w:type="dxa"/>
        </w:tblCellMar>
      </w:tblPr>
      <w:tr>
        <w:trPr>
          <w:trHeight w:val="207"/>
        </w:trPr>
        <w:tc>
          <w:tcPr>
            <w:tcW w:w="158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4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844"/>
        </w:trPr>
        <w:tc>
          <w:tcPr>
            <w:tcW w:w="960" w:type="dxa"/>
            <w:vAlign w:val="bottom"/>
            <w:tcBorders>
              <w:top w:val="single" w:sz="8" w:color="0000FF"/>
            </w:tcBorders>
          </w:tcPr>
          <w:p>
            <w:pPr>
              <w:jc w:val="center"/>
              <w:ind w:left="190"/>
              <w:spacing w:after="0"/>
              <w:rPr>
                <w:sz w:val="20"/>
                <w:szCs w:val="20"/>
                <w:color w:val="auto"/>
              </w:rPr>
            </w:pPr>
            <w:r>
              <w:rPr>
                <w:rFonts w:ascii="Times New Roman" w:cs="Times New Roman" w:eastAsia="Times New Roman" w:hAnsi="Times New Roman"/>
                <w:sz w:val="18"/>
                <w:szCs w:val="18"/>
                <w:color w:val="auto"/>
              </w:rPr>
              <w:t>10.9</w:t>
            </w:r>
          </w:p>
        </w:tc>
        <w:tc>
          <w:tcPr>
            <w:tcW w:w="320" w:type="dxa"/>
            <w:vAlign w:val="bottom"/>
            <w:tcBorders>
              <w:top w:val="single" w:sz="8" w:color="0000FF"/>
            </w:tcBorders>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4"/>
                <w:szCs w:val="24"/>
                <w:color w:val="auto"/>
              </w:rPr>
            </w:pPr>
          </w:p>
        </w:tc>
        <w:tc>
          <w:tcPr>
            <w:tcW w:w="9660" w:type="dxa"/>
            <w:vAlign w:val="bottom"/>
            <w:gridSpan w:val="36"/>
          </w:tcPr>
          <w:p>
            <w:pPr>
              <w:spacing w:after="0"/>
              <w:rPr>
                <w:sz w:val="20"/>
                <w:szCs w:val="20"/>
                <w:color w:val="auto"/>
              </w:rPr>
            </w:pPr>
            <w:r>
              <w:rPr>
                <w:rFonts w:ascii="Times New Roman" w:cs="Times New Roman" w:eastAsia="Times New Roman" w:hAnsi="Times New Roman"/>
                <w:sz w:val="18"/>
                <w:szCs w:val="18"/>
                <w:color w:val="0000FF"/>
              </w:rPr>
              <w:t>Successor Agent Appointment and Agency Transfer Agreement, dated as of November 15, 2024, among Rackspace Technology</w:t>
            </w:r>
          </w:p>
        </w:tc>
      </w:tr>
      <w:tr>
        <w:trPr>
          <w:trHeight w:val="183"/>
        </w:trPr>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40" w:type="dxa"/>
            <w:vAlign w:val="bottom"/>
            <w:tcBorders>
              <w:top w:val="single" w:sz="8" w:color="0000FF"/>
              <w:bottom w:val="single" w:sz="8" w:color="0000FF"/>
            </w:tcBorders>
            <w:gridSpan w:val="24"/>
          </w:tcPr>
          <w:p>
            <w:pPr>
              <w:spacing w:after="0" w:line="182" w:lineRule="exact"/>
              <w:rPr>
                <w:sz w:val="20"/>
                <w:szCs w:val="20"/>
                <w:color w:val="auto"/>
              </w:rPr>
            </w:pPr>
            <w:r>
              <w:rPr>
                <w:rFonts w:ascii="Times New Roman" w:cs="Times New Roman" w:eastAsia="Times New Roman" w:hAnsi="Times New Roman"/>
                <w:sz w:val="18"/>
                <w:szCs w:val="18"/>
                <w:color w:val="0000FF"/>
                <w:w w:val="99"/>
              </w:rPr>
              <w:t>Global, Inc., the subsidiary loan parties party thereto, the lenders party thereto, Citibank, N.A., as the predecessor administrative</w:t>
            </w:r>
          </w:p>
        </w:tc>
        <w:tc>
          <w:tcPr>
            <w:tcW w:w="20" w:type="dxa"/>
            <w:vAlign w:val="bottom"/>
            <w:tcBorders>
              <w:bottom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196"/>
        </w:trPr>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60" w:type="dxa"/>
            <w:vAlign w:val="bottom"/>
            <w:gridSpan w:val="36"/>
          </w:tcPr>
          <w:p>
            <w:pPr>
              <w:spacing w:after="0" w:line="196" w:lineRule="exact"/>
              <w:rPr>
                <w:sz w:val="20"/>
                <w:szCs w:val="20"/>
                <w:color w:val="auto"/>
              </w:rPr>
            </w:pPr>
            <w:r>
              <w:rPr>
                <w:rFonts w:ascii="Times New Roman" w:cs="Times New Roman" w:eastAsia="Times New Roman" w:hAnsi="Times New Roman"/>
                <w:sz w:val="18"/>
                <w:szCs w:val="18"/>
                <w:color w:val="0000FF"/>
              </w:rPr>
              <w:t>agent, Citibank, N.A., acting through its agency &amp; trust business, as the predecessor collateral agent, and Wilmington Trust,</w:t>
            </w:r>
          </w:p>
        </w:tc>
      </w:tr>
      <w:tr>
        <w:trPr>
          <w:trHeight w:val="183"/>
        </w:trPr>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920" w:type="dxa"/>
            <w:vAlign w:val="bottom"/>
            <w:tcBorders>
              <w:top w:val="single" w:sz="8" w:color="0000FF"/>
            </w:tcBorders>
            <w:gridSpan w:val="16"/>
          </w:tcPr>
          <w:p>
            <w:pPr>
              <w:spacing w:after="0" w:line="182" w:lineRule="exact"/>
              <w:rPr>
                <w:sz w:val="20"/>
                <w:szCs w:val="20"/>
                <w:color w:val="auto"/>
              </w:rPr>
            </w:pPr>
            <w:r>
              <w:rPr>
                <w:rFonts w:ascii="Times New Roman" w:cs="Times New Roman" w:eastAsia="Times New Roman" w:hAnsi="Times New Roman"/>
                <w:sz w:val="18"/>
                <w:szCs w:val="18"/>
                <w:color w:val="0000FF"/>
              </w:rPr>
              <w:t>National Association, as the successor administrative agent and as the successor collateral agent</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20"/>
        </w:trPr>
        <w:tc>
          <w:tcPr>
            <w:tcW w:w="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7"/>
        </w:trPr>
        <w:tc>
          <w:tcPr>
            <w:tcW w:w="96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8"/>
              </w:rPr>
              <w:t>10.10</w:t>
            </w: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60" w:type="dxa"/>
            <w:vAlign w:val="bottom"/>
            <w:gridSpan w:val="36"/>
          </w:tcPr>
          <w:p>
            <w:pPr>
              <w:spacing w:after="0"/>
              <w:rPr>
                <w:rFonts w:ascii="Times New Roman" w:cs="Times New Roman" w:eastAsia="Times New Roman" w:hAnsi="Times New Roman"/>
                <w:sz w:val="18"/>
                <w:szCs w:val="18"/>
                <w:color w:val="0000FF"/>
              </w:rPr>
            </w:pPr>
            <w:hyperlink r:id="rId185">
              <w:r>
                <w:rPr>
                  <w:rFonts w:ascii="Times New Roman" w:cs="Times New Roman" w:eastAsia="Times New Roman" w:hAnsi="Times New Roman"/>
                  <w:sz w:val="18"/>
                  <w:szCs w:val="18"/>
                  <w:color w:val="0000FF"/>
                </w:rPr>
                <w:t>Incremental Assumption and Amendment Agreement No. 1, dated March 12, 2024, among Rackspace Finance Holdings, LLC,</w:t>
              </w:r>
            </w:hyperlink>
          </w:p>
        </w:tc>
      </w:tr>
      <w:tr>
        <w:trPr>
          <w:trHeight w:val="183"/>
        </w:trPr>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160" w:type="dxa"/>
            <w:vAlign w:val="bottom"/>
            <w:tcBorders>
              <w:top w:val="single" w:sz="8" w:color="0000FF"/>
              <w:bottom w:val="single" w:sz="8" w:color="0000FF"/>
            </w:tcBorders>
            <w:gridSpan w:val="22"/>
          </w:tcPr>
          <w:p>
            <w:pPr>
              <w:spacing w:after="0" w:line="182" w:lineRule="exact"/>
              <w:rPr>
                <w:rFonts w:ascii="Times New Roman" w:cs="Times New Roman" w:eastAsia="Times New Roman" w:hAnsi="Times New Roman"/>
                <w:sz w:val="18"/>
                <w:szCs w:val="18"/>
                <w:color w:val="0000FF"/>
                <w:w w:val="98"/>
              </w:rPr>
            </w:pPr>
            <w:hyperlink r:id="rId185">
              <w:r>
                <w:rPr>
                  <w:rFonts w:ascii="Times New Roman" w:cs="Times New Roman" w:eastAsia="Times New Roman" w:hAnsi="Times New Roman"/>
                  <w:sz w:val="18"/>
                  <w:szCs w:val="18"/>
                  <w:color w:val="0000FF"/>
                  <w:w w:val="98"/>
                </w:rPr>
                <w:t>Rackspace Finance, LLC, the subsidiary loan parties party thereto, the lenders party thereto and Citibank, N.A., as administrative</w:t>
              </w:r>
            </w:hyperlink>
          </w:p>
        </w:tc>
        <w:tc>
          <w:tcPr>
            <w:tcW w:w="20" w:type="dxa"/>
            <w:vAlign w:val="bottom"/>
            <w:tcBorders>
              <w:bottom w:val="single" w:sz="8" w:color="0000FF"/>
            </w:tcBorders>
          </w:tcPr>
          <w:p>
            <w:pPr>
              <w:spacing w:after="0"/>
              <w:rPr>
                <w:sz w:val="15"/>
                <w:szCs w:val="15"/>
                <w:color w:val="auto"/>
              </w:rPr>
            </w:pPr>
          </w:p>
        </w:tc>
        <w:tc>
          <w:tcPr>
            <w:tcW w:w="80" w:type="dxa"/>
            <w:vAlign w:val="bottom"/>
            <w:tcBorders>
              <w:bottom w:val="single" w:sz="8" w:color="0000FF"/>
            </w:tcBorders>
            <w:gridSpan w:val="2"/>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196"/>
        </w:trPr>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60" w:type="dxa"/>
            <w:vAlign w:val="bottom"/>
            <w:gridSpan w:val="36"/>
          </w:tcPr>
          <w:p>
            <w:pPr>
              <w:spacing w:after="0" w:line="196" w:lineRule="exact"/>
              <w:rPr>
                <w:rFonts w:ascii="Times New Roman" w:cs="Times New Roman" w:eastAsia="Times New Roman" w:hAnsi="Times New Roman"/>
                <w:sz w:val="18"/>
                <w:szCs w:val="18"/>
                <w:color w:val="0000FF"/>
              </w:rPr>
            </w:pPr>
            <w:hyperlink r:id="rId185">
              <w:r>
                <w:rPr>
                  <w:rFonts w:ascii="Times New Roman" w:cs="Times New Roman" w:eastAsia="Times New Roman" w:hAnsi="Times New Roman"/>
                  <w:sz w:val="18"/>
                  <w:szCs w:val="18"/>
                  <w:color w:val="0000FF"/>
                </w:rPr>
                <w:t>agent (incorporated by reference from Exhibit 10.2 to Rackspace Technology, Inc.’s Form 8-K filed on March 12, 2024)</w:t>
              </w:r>
            </w:hyperlink>
          </w:p>
        </w:tc>
      </w:tr>
      <w:tr>
        <w:trPr>
          <w:trHeight w:val="20"/>
        </w:trPr>
        <w:tc>
          <w:tcPr>
            <w:tcW w:w="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6"/>
        </w:trPr>
        <w:tc>
          <w:tcPr>
            <w:tcW w:w="96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8"/>
              </w:rPr>
              <w:t>10.11</w:t>
            </w: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60" w:type="dxa"/>
            <w:vAlign w:val="bottom"/>
            <w:gridSpan w:val="36"/>
          </w:tcPr>
          <w:p>
            <w:pPr>
              <w:spacing w:after="0"/>
              <w:rPr>
                <w:rFonts w:ascii="Times New Roman" w:cs="Times New Roman" w:eastAsia="Times New Roman" w:hAnsi="Times New Roman"/>
                <w:sz w:val="18"/>
                <w:szCs w:val="18"/>
                <w:color w:val="0000FF"/>
              </w:rPr>
            </w:pPr>
            <w:hyperlink r:id="rId186">
              <w:r>
                <w:rPr>
                  <w:rFonts w:ascii="Times New Roman" w:cs="Times New Roman" w:eastAsia="Times New Roman" w:hAnsi="Times New Roman"/>
                  <w:sz w:val="18"/>
                  <w:szCs w:val="18"/>
                  <w:color w:val="0000FF"/>
                </w:rPr>
                <w:t>Amended and Restated Investor Rights Agreement, dated as of August 4, 2020, among Rackspace Technology, Inc., Searchlight</w:t>
              </w:r>
            </w:hyperlink>
          </w:p>
        </w:tc>
      </w:tr>
      <w:tr>
        <w:trPr>
          <w:trHeight w:val="20"/>
        </w:trPr>
        <w:tc>
          <w:tcPr>
            <w:tcW w:w="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83"/>
        </w:trPr>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340" w:type="dxa"/>
            <w:vAlign w:val="bottom"/>
            <w:tcBorders>
              <w:bottom w:val="single" w:sz="8" w:color="0000FF"/>
            </w:tcBorders>
            <w:gridSpan w:val="29"/>
          </w:tcPr>
          <w:p>
            <w:pPr>
              <w:spacing w:after="0" w:line="182" w:lineRule="exact"/>
              <w:rPr>
                <w:rFonts w:ascii="Times New Roman" w:cs="Times New Roman" w:eastAsia="Times New Roman" w:hAnsi="Times New Roman"/>
                <w:sz w:val="18"/>
                <w:szCs w:val="18"/>
                <w:color w:val="0000FF"/>
                <w:w w:val="98"/>
              </w:rPr>
            </w:pPr>
            <w:hyperlink r:id="rId186">
              <w:r>
                <w:rPr>
                  <w:rFonts w:ascii="Times New Roman" w:cs="Times New Roman" w:eastAsia="Times New Roman" w:hAnsi="Times New Roman"/>
                  <w:sz w:val="18"/>
                  <w:szCs w:val="18"/>
                  <w:color w:val="0000FF"/>
                  <w:w w:val="98"/>
                </w:rPr>
                <w:t>Capital II, L.P., Searchlight Capital II PV, L.P. and AP VIII Inception Holdings, L.P. (incorporated by reference from Exhibit 10.2</w:t>
              </w:r>
            </w:hyperlink>
          </w:p>
        </w:tc>
        <w:tc>
          <w:tcPr>
            <w:tcW w:w="320" w:type="dxa"/>
            <w:vAlign w:val="bottom"/>
            <w:gridSpan w:val="7"/>
          </w:tcPr>
          <w:p>
            <w:pPr>
              <w:spacing w:after="0"/>
              <w:rPr>
                <w:sz w:val="15"/>
                <w:szCs w:val="15"/>
                <w:color w:val="auto"/>
              </w:rPr>
            </w:pPr>
          </w:p>
        </w:tc>
      </w:tr>
      <w:tr>
        <w:trPr>
          <w:trHeight w:val="196"/>
        </w:trPr>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60" w:type="dxa"/>
            <w:vAlign w:val="bottom"/>
            <w:gridSpan w:val="36"/>
          </w:tcPr>
          <w:p>
            <w:pPr>
              <w:spacing w:after="0" w:line="196" w:lineRule="exact"/>
              <w:rPr>
                <w:rFonts w:ascii="Times New Roman" w:cs="Times New Roman" w:eastAsia="Times New Roman" w:hAnsi="Times New Roman"/>
                <w:sz w:val="18"/>
                <w:szCs w:val="18"/>
                <w:color w:val="0000FF"/>
              </w:rPr>
            </w:pPr>
            <w:hyperlink r:id="rId186">
              <w:r>
                <w:rPr>
                  <w:rFonts w:ascii="Times New Roman" w:cs="Times New Roman" w:eastAsia="Times New Roman" w:hAnsi="Times New Roman"/>
                  <w:sz w:val="18"/>
                  <w:szCs w:val="18"/>
                  <w:color w:val="0000FF"/>
                </w:rPr>
                <w:t>to Rackspace Technology, Inc.’s Form 8-K filed on August 7, 2020)</w:t>
              </w:r>
            </w:hyperlink>
          </w:p>
        </w:tc>
      </w:tr>
      <w:tr>
        <w:trPr>
          <w:trHeight w:val="20"/>
        </w:trPr>
        <w:tc>
          <w:tcPr>
            <w:tcW w:w="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6"/>
        </w:trPr>
        <w:tc>
          <w:tcPr>
            <w:tcW w:w="96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8"/>
              </w:rPr>
              <w:t>10.12</w:t>
            </w: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60" w:type="dxa"/>
            <w:vAlign w:val="bottom"/>
            <w:gridSpan w:val="36"/>
          </w:tcPr>
          <w:p>
            <w:pPr>
              <w:spacing w:after="0"/>
              <w:rPr>
                <w:rFonts w:ascii="Times New Roman" w:cs="Times New Roman" w:eastAsia="Times New Roman" w:hAnsi="Times New Roman"/>
                <w:sz w:val="18"/>
                <w:szCs w:val="18"/>
                <w:color w:val="0000FF"/>
              </w:rPr>
            </w:pPr>
            <w:hyperlink r:id="rId187">
              <w:r>
                <w:rPr>
                  <w:rFonts w:ascii="Times New Roman" w:cs="Times New Roman" w:eastAsia="Times New Roman" w:hAnsi="Times New Roman"/>
                  <w:sz w:val="18"/>
                  <w:szCs w:val="18"/>
                  <w:color w:val="0000FF"/>
                </w:rPr>
                <w:t>Amended and Restated Investor Rights Agreement, dated as of August 4, 2020, among Rackspace Technology, Inc., DPH 123,</w:t>
              </w:r>
            </w:hyperlink>
          </w:p>
        </w:tc>
      </w:tr>
      <w:tr>
        <w:trPr>
          <w:trHeight w:val="183"/>
        </w:trPr>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140" w:type="dxa"/>
            <w:vAlign w:val="bottom"/>
            <w:tcBorders>
              <w:top w:val="single" w:sz="8" w:color="0000FF"/>
              <w:bottom w:val="single" w:sz="8" w:color="0000FF"/>
            </w:tcBorders>
            <w:gridSpan w:val="21"/>
          </w:tcPr>
          <w:p>
            <w:pPr>
              <w:spacing w:after="0" w:line="182" w:lineRule="exact"/>
              <w:rPr>
                <w:rFonts w:ascii="Times New Roman" w:cs="Times New Roman" w:eastAsia="Times New Roman" w:hAnsi="Times New Roman"/>
                <w:sz w:val="18"/>
                <w:szCs w:val="18"/>
                <w:color w:val="0000FF"/>
                <w:w w:val="99"/>
              </w:rPr>
            </w:pPr>
            <w:hyperlink r:id="rId187">
              <w:r>
                <w:rPr>
                  <w:rFonts w:ascii="Times New Roman" w:cs="Times New Roman" w:eastAsia="Times New Roman" w:hAnsi="Times New Roman"/>
                  <w:sz w:val="18"/>
                  <w:szCs w:val="18"/>
                  <w:color w:val="0000FF"/>
                  <w:w w:val="99"/>
                </w:rPr>
                <w:t>LLC, ACE Investment Holdings, LLC, AP VIII Inception Holdings, L.P. and solely for purposes of Section 4.1 thereof, ABRY</w:t>
              </w:r>
            </w:hyperlink>
          </w:p>
        </w:tc>
        <w:tc>
          <w:tcPr>
            <w:tcW w:w="20" w:type="dxa"/>
            <w:vAlign w:val="bottom"/>
            <w:tcBorders>
              <w:bottom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196"/>
        </w:trPr>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500" w:type="dxa"/>
            <w:vAlign w:val="bottom"/>
            <w:tcBorders>
              <w:bottom w:val="single" w:sz="8" w:color="0000FF"/>
            </w:tcBorders>
            <w:gridSpan w:val="35"/>
          </w:tcPr>
          <w:p>
            <w:pPr>
              <w:spacing w:after="0" w:line="196" w:lineRule="exact"/>
              <w:rPr>
                <w:rFonts w:ascii="Times New Roman" w:cs="Times New Roman" w:eastAsia="Times New Roman" w:hAnsi="Times New Roman"/>
                <w:sz w:val="18"/>
                <w:szCs w:val="18"/>
                <w:color w:val="0000FF"/>
                <w:w w:val="99"/>
              </w:rPr>
            </w:pPr>
            <w:hyperlink r:id="rId187">
              <w:r>
                <w:rPr>
                  <w:rFonts w:ascii="Times New Roman" w:cs="Times New Roman" w:eastAsia="Times New Roman" w:hAnsi="Times New Roman"/>
                  <w:sz w:val="18"/>
                  <w:szCs w:val="18"/>
                  <w:color w:val="0000FF"/>
                  <w:w w:val="99"/>
                </w:rPr>
                <w:t>Partners VIII, L.P. (incorporated by reference from Exhibit 10.3 to Rackspace Technology Inc.’s Form 8-K filed on August 7, 2020)</w:t>
              </w:r>
            </w:hyperlink>
          </w:p>
        </w:tc>
        <w:tc>
          <w:tcPr>
            <w:tcW w:w="160" w:type="dxa"/>
            <w:vAlign w:val="bottom"/>
          </w:tcPr>
          <w:p>
            <w:pPr>
              <w:spacing w:after="0"/>
              <w:rPr>
                <w:sz w:val="17"/>
                <w:szCs w:val="17"/>
                <w:color w:val="auto"/>
              </w:rPr>
            </w:pPr>
          </w:p>
        </w:tc>
      </w:tr>
      <w:tr>
        <w:trPr>
          <w:trHeight w:val="236"/>
        </w:trPr>
        <w:tc>
          <w:tcPr>
            <w:tcW w:w="96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8"/>
              </w:rPr>
              <w:t>10.13</w:t>
            </w: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60" w:type="dxa"/>
            <w:vAlign w:val="bottom"/>
            <w:gridSpan w:val="36"/>
          </w:tcPr>
          <w:p>
            <w:pPr>
              <w:spacing w:after="0"/>
              <w:rPr>
                <w:rFonts w:ascii="Times New Roman" w:cs="Times New Roman" w:eastAsia="Times New Roman" w:hAnsi="Times New Roman"/>
                <w:sz w:val="18"/>
                <w:szCs w:val="18"/>
                <w:color w:val="0000FF"/>
              </w:rPr>
            </w:pPr>
            <w:hyperlink r:id="rId188">
              <w:r>
                <w:rPr>
                  <w:rFonts w:ascii="Times New Roman" w:cs="Times New Roman" w:eastAsia="Times New Roman" w:hAnsi="Times New Roman"/>
                  <w:sz w:val="18"/>
                  <w:szCs w:val="18"/>
                  <w:color w:val="0000FF"/>
                </w:rPr>
                <w:t>Amendment to Amended and Restated Investor Rights Agreement, dated as of December 7, 2020, between Rackspace Technology,</w:t>
              </w:r>
            </w:hyperlink>
          </w:p>
        </w:tc>
      </w:tr>
      <w:tr>
        <w:trPr>
          <w:trHeight w:val="183"/>
        </w:trPr>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80" w:type="dxa"/>
            <w:vAlign w:val="bottom"/>
            <w:tcBorders>
              <w:top w:val="single" w:sz="8" w:color="0000FF"/>
            </w:tcBorders>
            <w:gridSpan w:val="34"/>
          </w:tcPr>
          <w:p>
            <w:pPr>
              <w:spacing w:after="0" w:line="182" w:lineRule="exact"/>
              <w:rPr>
                <w:rFonts w:ascii="Times New Roman" w:cs="Times New Roman" w:eastAsia="Times New Roman" w:hAnsi="Times New Roman"/>
                <w:sz w:val="18"/>
                <w:szCs w:val="18"/>
                <w:color w:val="0000FF"/>
              </w:rPr>
            </w:pPr>
            <w:hyperlink r:id="rId188">
              <w:r>
                <w:rPr>
                  <w:rFonts w:ascii="Times New Roman" w:cs="Times New Roman" w:eastAsia="Times New Roman" w:hAnsi="Times New Roman"/>
                  <w:sz w:val="18"/>
                  <w:szCs w:val="18"/>
                  <w:color w:val="0000FF"/>
                </w:rPr>
                <w:t>Inc., AP VIII Inception Holdings, L.P. and Searchlight (incorporated by reference from Exhibit 10.9 to Rackspace Technology,</w:t>
              </w:r>
            </w:hyperlink>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196"/>
        </w:trPr>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120" w:type="dxa"/>
            <w:vAlign w:val="bottom"/>
            <w:tcBorders>
              <w:top w:val="single" w:sz="8" w:color="0000FF"/>
              <w:bottom w:val="single" w:sz="8" w:color="0000FF"/>
            </w:tcBorders>
            <w:gridSpan w:val="5"/>
          </w:tcPr>
          <w:p>
            <w:pPr>
              <w:spacing w:after="0" w:line="196" w:lineRule="exact"/>
              <w:rPr>
                <w:rFonts w:ascii="Times New Roman" w:cs="Times New Roman" w:eastAsia="Times New Roman" w:hAnsi="Times New Roman"/>
                <w:sz w:val="18"/>
                <w:szCs w:val="18"/>
                <w:color w:val="0000FF"/>
                <w:w w:val="99"/>
              </w:rPr>
            </w:pPr>
            <w:hyperlink r:id="rId188">
              <w:r>
                <w:rPr>
                  <w:rFonts w:ascii="Times New Roman" w:cs="Times New Roman" w:eastAsia="Times New Roman" w:hAnsi="Times New Roman"/>
                  <w:sz w:val="18"/>
                  <w:szCs w:val="18"/>
                  <w:color w:val="0000FF"/>
                  <w:w w:val="99"/>
                </w:rPr>
                <w:t>Inc.’s Form 10-K for the year ended December 31, 2020)</w:t>
              </w:r>
            </w:hyperlink>
          </w:p>
        </w:tc>
        <w:tc>
          <w:tcPr>
            <w:tcW w:w="5000" w:type="dxa"/>
            <w:vAlign w:val="bottom"/>
            <w:tcBorders>
              <w:top w:val="single" w:sz="8" w:color="0000FF"/>
            </w:tcBorders>
            <w:gridSpan w:val="15"/>
          </w:tcPr>
          <w:p>
            <w:pPr>
              <w:spacing w:after="0"/>
              <w:rPr>
                <w:sz w:val="17"/>
                <w:szCs w:val="17"/>
                <w:color w:val="auto"/>
              </w:rPr>
            </w:pPr>
          </w:p>
        </w:tc>
        <w:tc>
          <w:tcPr>
            <w:tcW w:w="540" w:type="dxa"/>
            <w:vAlign w:val="bottom"/>
            <w:gridSpan w:val="16"/>
          </w:tcPr>
          <w:p>
            <w:pPr>
              <w:spacing w:after="0"/>
              <w:rPr>
                <w:sz w:val="17"/>
                <w:szCs w:val="17"/>
                <w:color w:val="auto"/>
              </w:rPr>
            </w:pPr>
          </w:p>
        </w:tc>
      </w:tr>
      <w:tr>
        <w:trPr>
          <w:trHeight w:val="236"/>
        </w:trPr>
        <w:tc>
          <w:tcPr>
            <w:tcW w:w="96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8"/>
              </w:rPr>
              <w:t>10.14</w:t>
            </w: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60" w:type="dxa"/>
            <w:vAlign w:val="bottom"/>
            <w:gridSpan w:val="36"/>
          </w:tcPr>
          <w:p>
            <w:pPr>
              <w:spacing w:after="0"/>
              <w:rPr>
                <w:rFonts w:ascii="Times New Roman" w:cs="Times New Roman" w:eastAsia="Times New Roman" w:hAnsi="Times New Roman"/>
                <w:sz w:val="18"/>
                <w:szCs w:val="18"/>
                <w:color w:val="0000FF"/>
              </w:rPr>
            </w:pPr>
            <w:hyperlink r:id="rId189">
              <w:r>
                <w:rPr>
                  <w:rFonts w:ascii="Times New Roman" w:cs="Times New Roman" w:eastAsia="Times New Roman" w:hAnsi="Times New Roman"/>
                  <w:sz w:val="18"/>
                  <w:szCs w:val="18"/>
                  <w:color w:val="0000FF"/>
                </w:rPr>
                <w:t>Amendment to Amended and Restated Investor Rights Agreement, dated as of December 7, 2020, between Rackspace Technology,</w:t>
              </w:r>
            </w:hyperlink>
          </w:p>
        </w:tc>
      </w:tr>
      <w:tr>
        <w:trPr>
          <w:trHeight w:val="183"/>
        </w:trPr>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80" w:type="dxa"/>
            <w:vAlign w:val="bottom"/>
            <w:tcBorders>
              <w:top w:val="single" w:sz="8" w:color="0000FF"/>
            </w:tcBorders>
            <w:gridSpan w:val="34"/>
          </w:tcPr>
          <w:p>
            <w:pPr>
              <w:spacing w:after="0" w:line="182" w:lineRule="exact"/>
              <w:rPr>
                <w:rFonts w:ascii="Times New Roman" w:cs="Times New Roman" w:eastAsia="Times New Roman" w:hAnsi="Times New Roman"/>
                <w:sz w:val="18"/>
                <w:szCs w:val="18"/>
                <w:color w:val="0000FF"/>
              </w:rPr>
            </w:pPr>
            <w:hyperlink r:id="rId189">
              <w:r>
                <w:rPr>
                  <w:rFonts w:ascii="Times New Roman" w:cs="Times New Roman" w:eastAsia="Times New Roman" w:hAnsi="Times New Roman"/>
                  <w:sz w:val="18"/>
                  <w:szCs w:val="18"/>
                  <w:color w:val="0000FF"/>
                </w:rPr>
                <w:t>Inc., AP VIII Inception Holdings, L.P. and ABRY (incorporated by reference from Exhibit 10.10 to Rackspace Technology, Inc.’s</w:t>
              </w:r>
            </w:hyperlink>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196"/>
        </w:trPr>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80" w:type="dxa"/>
            <w:vAlign w:val="bottom"/>
            <w:tcBorders>
              <w:top w:val="single" w:sz="8" w:color="0000FF"/>
              <w:bottom w:val="single" w:sz="8" w:color="0000FF"/>
            </w:tcBorders>
            <w:gridSpan w:val="4"/>
          </w:tcPr>
          <w:p>
            <w:pPr>
              <w:spacing w:after="0" w:line="196" w:lineRule="exact"/>
              <w:rPr>
                <w:rFonts w:ascii="Times New Roman" w:cs="Times New Roman" w:eastAsia="Times New Roman" w:hAnsi="Times New Roman"/>
                <w:sz w:val="18"/>
                <w:szCs w:val="18"/>
                <w:color w:val="0000FF"/>
                <w:w w:val="99"/>
              </w:rPr>
            </w:pPr>
            <w:hyperlink r:id="rId189">
              <w:r>
                <w:rPr>
                  <w:rFonts w:ascii="Times New Roman" w:cs="Times New Roman" w:eastAsia="Times New Roman" w:hAnsi="Times New Roman"/>
                  <w:sz w:val="18"/>
                  <w:szCs w:val="18"/>
                  <w:color w:val="0000FF"/>
                  <w:w w:val="99"/>
                </w:rPr>
                <w:t>Form 10-K for the year ended December 31, 2020)</w:t>
              </w:r>
            </w:hyperlink>
          </w:p>
        </w:tc>
        <w:tc>
          <w:tcPr>
            <w:tcW w:w="5640" w:type="dxa"/>
            <w:vAlign w:val="bottom"/>
            <w:tcBorders>
              <w:top w:val="single" w:sz="8" w:color="0000FF"/>
            </w:tcBorders>
            <w:gridSpan w:val="24"/>
          </w:tcPr>
          <w:p>
            <w:pPr>
              <w:spacing w:after="0"/>
              <w:rPr>
                <w:sz w:val="17"/>
                <w:szCs w:val="17"/>
                <w:color w:val="auto"/>
              </w:rPr>
            </w:pPr>
          </w:p>
        </w:tc>
        <w:tc>
          <w:tcPr>
            <w:tcW w:w="340" w:type="dxa"/>
            <w:vAlign w:val="bottom"/>
            <w:gridSpan w:val="8"/>
          </w:tcPr>
          <w:p>
            <w:pPr>
              <w:spacing w:after="0"/>
              <w:rPr>
                <w:sz w:val="17"/>
                <w:szCs w:val="17"/>
                <w:color w:val="auto"/>
              </w:rPr>
            </w:pPr>
          </w:p>
        </w:tc>
      </w:tr>
      <w:tr>
        <w:trPr>
          <w:trHeight w:val="236"/>
        </w:trPr>
        <w:tc>
          <w:tcPr>
            <w:tcW w:w="96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8"/>
              </w:rPr>
              <w:t>10.15</w:t>
            </w: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60" w:type="dxa"/>
            <w:vAlign w:val="bottom"/>
            <w:gridSpan w:val="36"/>
          </w:tcPr>
          <w:p>
            <w:pPr>
              <w:spacing w:after="0"/>
              <w:rPr>
                <w:rFonts w:ascii="Times New Roman" w:cs="Times New Roman" w:eastAsia="Times New Roman" w:hAnsi="Times New Roman"/>
                <w:sz w:val="18"/>
                <w:szCs w:val="18"/>
                <w:color w:val="0000FF"/>
              </w:rPr>
            </w:pPr>
            <w:hyperlink r:id="rId190">
              <w:r>
                <w:rPr>
                  <w:rFonts w:ascii="Times New Roman" w:cs="Times New Roman" w:eastAsia="Times New Roman" w:hAnsi="Times New Roman"/>
                  <w:sz w:val="18"/>
                  <w:szCs w:val="18"/>
                  <w:color w:val="0000FF"/>
                </w:rPr>
                <w:t>Registration Rights Agreement, dated as of August 4, 2020, among Rackspace Technology, Inc. and the Holders party thereto</w:t>
              </w:r>
            </w:hyperlink>
          </w:p>
        </w:tc>
      </w:tr>
      <w:tr>
        <w:trPr>
          <w:trHeight w:val="183"/>
        </w:trPr>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40" w:type="dxa"/>
            <w:vAlign w:val="bottom"/>
            <w:tcBorders>
              <w:top w:val="single" w:sz="8" w:color="0000FF"/>
            </w:tcBorders>
            <w:gridSpan w:val="19"/>
          </w:tcPr>
          <w:p>
            <w:pPr>
              <w:spacing w:after="0" w:line="182" w:lineRule="exact"/>
              <w:rPr>
                <w:rFonts w:ascii="Times New Roman" w:cs="Times New Roman" w:eastAsia="Times New Roman" w:hAnsi="Times New Roman"/>
                <w:sz w:val="18"/>
                <w:szCs w:val="18"/>
                <w:color w:val="0000FF"/>
              </w:rPr>
            </w:pPr>
            <w:hyperlink r:id="rId190">
              <w:r>
                <w:rPr>
                  <w:rFonts w:ascii="Times New Roman" w:cs="Times New Roman" w:eastAsia="Times New Roman" w:hAnsi="Times New Roman"/>
                  <w:sz w:val="18"/>
                  <w:szCs w:val="18"/>
                  <w:color w:val="0000FF"/>
                </w:rPr>
                <w:t>(incorporated by reference from Exhibit 10.1 to Rackspace Technology, Inc.’s Form 8-K filed on August 7, 2020)</w:t>
              </w:r>
            </w:hyperlink>
          </w:p>
        </w:tc>
        <w:tc>
          <w:tcPr>
            <w:tcW w:w="140" w:type="dxa"/>
            <w:vAlign w:val="bottom"/>
            <w:gridSpan w:val="4"/>
          </w:tcPr>
          <w:p>
            <w:pPr>
              <w:spacing w:after="0"/>
              <w:rPr>
                <w:sz w:val="15"/>
                <w:szCs w:val="15"/>
                <w:color w:val="auto"/>
              </w:rPr>
            </w:pPr>
          </w:p>
        </w:tc>
        <w:tc>
          <w:tcPr>
            <w:tcW w:w="8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20"/>
        </w:trPr>
        <w:tc>
          <w:tcPr>
            <w:tcW w:w="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40" w:type="dxa"/>
            <w:vAlign w:val="bottom"/>
            <w:gridSpan w:val="4"/>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96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8"/>
              </w:rPr>
              <w:t>10.16</w:t>
            </w: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60" w:type="dxa"/>
            <w:vAlign w:val="bottom"/>
            <w:gridSpan w:val="36"/>
          </w:tcPr>
          <w:p>
            <w:pPr>
              <w:spacing w:after="0"/>
              <w:rPr>
                <w:rFonts w:ascii="Times New Roman" w:cs="Times New Roman" w:eastAsia="Times New Roman" w:hAnsi="Times New Roman"/>
                <w:sz w:val="18"/>
                <w:szCs w:val="18"/>
                <w:color w:val="0000FF"/>
              </w:rPr>
            </w:pPr>
            <w:hyperlink r:id="rId191">
              <w:r>
                <w:rPr>
                  <w:rFonts w:ascii="Times New Roman" w:cs="Times New Roman" w:eastAsia="Times New Roman" w:hAnsi="Times New Roman"/>
                  <w:sz w:val="18"/>
                  <w:szCs w:val="18"/>
                  <w:color w:val="0000FF"/>
                </w:rPr>
                <w:t>Agreement and Plan of Merger, dated as of September 6, 2017, among Rackspace Technology, Inc. (f.k.a. Inception Topco, Inc.),</w:t>
              </w:r>
            </w:hyperlink>
          </w:p>
        </w:tc>
      </w:tr>
      <w:tr>
        <w:trPr>
          <w:trHeight w:val="183"/>
        </w:trPr>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80" w:type="dxa"/>
            <w:vAlign w:val="bottom"/>
            <w:tcBorders>
              <w:top w:val="single" w:sz="8" w:color="0000FF"/>
              <w:bottom w:val="single" w:sz="8" w:color="0000FF"/>
            </w:tcBorders>
            <w:gridSpan w:val="26"/>
          </w:tcPr>
          <w:p>
            <w:pPr>
              <w:spacing w:after="0" w:line="182" w:lineRule="exact"/>
              <w:rPr>
                <w:rFonts w:ascii="Times New Roman" w:cs="Times New Roman" w:eastAsia="Times New Roman" w:hAnsi="Times New Roman"/>
                <w:sz w:val="18"/>
                <w:szCs w:val="18"/>
                <w:color w:val="0000FF"/>
                <w:w w:val="99"/>
              </w:rPr>
            </w:pPr>
            <w:hyperlink r:id="rId191">
              <w:r>
                <w:rPr>
                  <w:rFonts w:ascii="Times New Roman" w:cs="Times New Roman" w:eastAsia="Times New Roman" w:hAnsi="Times New Roman"/>
                  <w:sz w:val="18"/>
                  <w:szCs w:val="18"/>
                  <w:color w:val="0000FF"/>
                  <w:w w:val="99"/>
                </w:rPr>
                <w:t>Drake Merger Sub I, Inc., Drake Merger Sub II, LLC, Inception Intermediate, Inc., Inception Parent, Inc., Rackspace Technology</w:t>
              </w:r>
            </w:hyperlink>
          </w:p>
        </w:tc>
        <w:tc>
          <w:tcPr>
            <w:tcW w:w="20" w:type="dxa"/>
            <w:vAlign w:val="bottom"/>
            <w:tcBorders>
              <w:bottom w:val="single" w:sz="8" w:color="0000FF"/>
            </w:tcBorders>
          </w:tcPr>
          <w:p>
            <w:pPr>
              <w:spacing w:after="0"/>
              <w:rPr>
                <w:sz w:val="15"/>
                <w:szCs w:val="15"/>
                <w:color w:val="auto"/>
              </w:rPr>
            </w:pPr>
          </w:p>
        </w:tc>
        <w:tc>
          <w:tcPr>
            <w:tcW w:w="10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196"/>
        </w:trPr>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60" w:type="dxa"/>
            <w:vAlign w:val="bottom"/>
            <w:gridSpan w:val="36"/>
          </w:tcPr>
          <w:p>
            <w:pPr>
              <w:spacing w:after="0" w:line="196" w:lineRule="exact"/>
              <w:rPr>
                <w:rFonts w:ascii="Times New Roman" w:cs="Times New Roman" w:eastAsia="Times New Roman" w:hAnsi="Times New Roman"/>
                <w:sz w:val="18"/>
                <w:szCs w:val="18"/>
                <w:color w:val="0000FF"/>
              </w:rPr>
            </w:pPr>
            <w:hyperlink r:id="rId191">
              <w:r>
                <w:rPr>
                  <w:rFonts w:ascii="Times New Roman" w:cs="Times New Roman" w:eastAsia="Times New Roman" w:hAnsi="Times New Roman"/>
                  <w:sz w:val="18"/>
                  <w:szCs w:val="18"/>
                  <w:color w:val="0000FF"/>
                </w:rPr>
                <w:t>Global, Inc. (f.k.a. Rackspace Hosting, Inc.), Datapipe Holdings, LLC, Datapipe Parent, Inc. and the key stockholders party thereto</w:t>
              </w:r>
            </w:hyperlink>
          </w:p>
        </w:tc>
      </w:tr>
      <w:tr>
        <w:trPr>
          <w:trHeight w:val="183"/>
        </w:trPr>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60" w:type="dxa"/>
            <w:vAlign w:val="bottom"/>
            <w:tcBorders>
              <w:top w:val="single" w:sz="8" w:color="0000FF"/>
              <w:bottom w:val="single" w:sz="8" w:color="0000FF"/>
            </w:tcBorders>
            <w:gridSpan w:val="33"/>
          </w:tcPr>
          <w:p>
            <w:pPr>
              <w:spacing w:after="0" w:line="182" w:lineRule="exact"/>
              <w:rPr>
                <w:rFonts w:ascii="Times New Roman" w:cs="Times New Roman" w:eastAsia="Times New Roman" w:hAnsi="Times New Roman"/>
                <w:sz w:val="18"/>
                <w:szCs w:val="18"/>
                <w:color w:val="0000FF"/>
                <w:w w:val="99"/>
              </w:rPr>
            </w:pPr>
            <w:hyperlink r:id="rId191">
              <w:r>
                <w:rPr>
                  <w:rFonts w:ascii="Times New Roman" w:cs="Times New Roman" w:eastAsia="Times New Roman" w:hAnsi="Times New Roman"/>
                  <w:sz w:val="18"/>
                  <w:szCs w:val="18"/>
                  <w:color w:val="0000FF"/>
                  <w:w w:val="99"/>
                </w:rPr>
                <w:t>(incorporated by reference from Exhibit 10.9 to Rackspace Technology, Inc.’s Registration Statement on Form S-1 filed on July 10,</w:t>
              </w:r>
            </w:hyperlink>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160" w:type="dxa"/>
            <w:vAlign w:val="bottom"/>
          </w:tcPr>
          <w:p>
            <w:pPr>
              <w:spacing w:after="0"/>
              <w:rPr>
                <w:sz w:val="15"/>
                <w:szCs w:val="15"/>
                <w:color w:val="auto"/>
              </w:rPr>
            </w:pPr>
          </w:p>
        </w:tc>
      </w:tr>
      <w:tr>
        <w:trPr>
          <w:trHeight w:val="183"/>
        </w:trPr>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Borders>
              <w:bottom w:val="single" w:sz="8" w:color="0000FF"/>
            </w:tcBorders>
          </w:tcPr>
          <w:p>
            <w:pPr>
              <w:spacing w:after="0" w:line="182" w:lineRule="exact"/>
              <w:rPr>
                <w:rFonts w:ascii="Times New Roman" w:cs="Times New Roman" w:eastAsia="Times New Roman" w:hAnsi="Times New Roman"/>
                <w:sz w:val="18"/>
                <w:szCs w:val="18"/>
                <w:color w:val="0000FF"/>
                <w:w w:val="95"/>
              </w:rPr>
            </w:pPr>
            <w:hyperlink r:id="rId191">
              <w:r>
                <w:rPr>
                  <w:rFonts w:ascii="Times New Roman" w:cs="Times New Roman" w:eastAsia="Times New Roman" w:hAnsi="Times New Roman"/>
                  <w:sz w:val="18"/>
                  <w:szCs w:val="18"/>
                  <w:color w:val="0000FF"/>
                  <w:w w:val="95"/>
                </w:rPr>
                <w:t>2020)</w:t>
              </w:r>
            </w:hyperlink>
          </w:p>
        </w:tc>
        <w:tc>
          <w:tcPr>
            <w:tcW w:w="2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250"/>
        </w:trPr>
        <w:tc>
          <w:tcPr>
            <w:tcW w:w="96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8"/>
              </w:rPr>
              <w:t>10.17</w:t>
            </w: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60" w:type="dxa"/>
            <w:vAlign w:val="bottom"/>
            <w:gridSpan w:val="36"/>
          </w:tcPr>
          <w:p>
            <w:pPr>
              <w:spacing w:after="0"/>
              <w:rPr>
                <w:rFonts w:ascii="Times New Roman" w:cs="Times New Roman" w:eastAsia="Times New Roman" w:hAnsi="Times New Roman"/>
                <w:sz w:val="18"/>
                <w:szCs w:val="18"/>
                <w:color w:val="0000FF"/>
              </w:rPr>
            </w:pPr>
            <w:hyperlink r:id="rId192">
              <w:r>
                <w:rPr>
                  <w:rFonts w:ascii="Times New Roman" w:cs="Times New Roman" w:eastAsia="Times New Roman" w:hAnsi="Times New Roman"/>
                  <w:sz w:val="18"/>
                  <w:szCs w:val="18"/>
                  <w:color w:val="0000FF"/>
                </w:rPr>
                <w:t>Receivables Purchase Agreement, dated September 29, 2023, by and among Rackspace Receivables II LLC, the persons from time</w:t>
              </w:r>
            </w:hyperlink>
          </w:p>
        </w:tc>
      </w:tr>
      <w:tr>
        <w:trPr>
          <w:trHeight w:val="183"/>
        </w:trPr>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960" w:type="dxa"/>
            <w:vAlign w:val="bottom"/>
            <w:tcBorders>
              <w:top w:val="single" w:sz="8" w:color="0000FF"/>
              <w:bottom w:val="single" w:sz="8" w:color="0000FF"/>
            </w:tcBorders>
            <w:gridSpan w:val="17"/>
          </w:tcPr>
          <w:p>
            <w:pPr>
              <w:spacing w:after="0" w:line="182" w:lineRule="exact"/>
              <w:rPr>
                <w:rFonts w:ascii="Times New Roman" w:cs="Times New Roman" w:eastAsia="Times New Roman" w:hAnsi="Times New Roman"/>
                <w:sz w:val="18"/>
                <w:szCs w:val="18"/>
                <w:color w:val="0000FF"/>
                <w:w w:val="99"/>
              </w:rPr>
            </w:pPr>
            <w:hyperlink r:id="rId192">
              <w:r>
                <w:rPr>
                  <w:rFonts w:ascii="Times New Roman" w:cs="Times New Roman" w:eastAsia="Times New Roman" w:hAnsi="Times New Roman"/>
                  <w:sz w:val="18"/>
                  <w:szCs w:val="18"/>
                  <w:color w:val="0000FF"/>
                  <w:w w:val="99"/>
                </w:rPr>
                <w:t>to time party thereto, PNC Bank, National Association, Rackspace US, Inc. and PNC Capital Markets LLC (incorporated by</w:t>
              </w:r>
            </w:hyperlink>
          </w:p>
        </w:tc>
        <w:tc>
          <w:tcPr>
            <w:tcW w:w="480" w:type="dxa"/>
            <w:vAlign w:val="bottom"/>
            <w:tcBorders>
              <w:top w:val="single" w:sz="8" w:color="0000FF"/>
            </w:tcBorders>
            <w:gridSpan w:val="15"/>
          </w:tcPr>
          <w:p>
            <w:pPr>
              <w:spacing w:after="0"/>
              <w:rPr>
                <w:sz w:val="15"/>
                <w:szCs w:val="15"/>
                <w:color w:val="auto"/>
              </w:rPr>
            </w:pPr>
          </w:p>
        </w:tc>
        <w:tc>
          <w:tcPr>
            <w:tcW w:w="60" w:type="dxa"/>
            <w:vAlign w:val="bottom"/>
            <w:gridSpan w:val="3"/>
          </w:tcPr>
          <w:p>
            <w:pPr>
              <w:spacing w:after="0"/>
              <w:rPr>
                <w:sz w:val="15"/>
                <w:szCs w:val="15"/>
                <w:color w:val="auto"/>
              </w:rPr>
            </w:pPr>
          </w:p>
        </w:tc>
        <w:tc>
          <w:tcPr>
            <w:tcW w:w="160" w:type="dxa"/>
            <w:vAlign w:val="bottom"/>
          </w:tcPr>
          <w:p>
            <w:pPr>
              <w:spacing w:after="0"/>
              <w:rPr>
                <w:sz w:val="15"/>
                <w:szCs w:val="15"/>
                <w:color w:val="auto"/>
              </w:rPr>
            </w:pPr>
          </w:p>
        </w:tc>
      </w:tr>
      <w:tr>
        <w:trPr>
          <w:trHeight w:val="196"/>
        </w:trPr>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40" w:type="dxa"/>
            <w:vAlign w:val="bottom"/>
            <w:tcBorders>
              <w:bottom w:val="single" w:sz="8" w:color="0000FF"/>
            </w:tcBorders>
            <w:gridSpan w:val="10"/>
          </w:tcPr>
          <w:p>
            <w:pPr>
              <w:spacing w:after="0" w:line="196" w:lineRule="exact"/>
              <w:rPr>
                <w:rFonts w:ascii="Times New Roman" w:cs="Times New Roman" w:eastAsia="Times New Roman" w:hAnsi="Times New Roman"/>
                <w:sz w:val="18"/>
                <w:szCs w:val="18"/>
                <w:color w:val="0000FF"/>
                <w:w w:val="99"/>
              </w:rPr>
            </w:pPr>
            <w:hyperlink r:id="rId192">
              <w:r>
                <w:rPr>
                  <w:rFonts w:ascii="Times New Roman" w:cs="Times New Roman" w:eastAsia="Times New Roman" w:hAnsi="Times New Roman"/>
                  <w:sz w:val="18"/>
                  <w:szCs w:val="18"/>
                  <w:color w:val="0000FF"/>
                  <w:w w:val="99"/>
                </w:rPr>
                <w:t>reference from Exhibit 10.1 to Rackspace Technology, Inc.’s Form 8-K, filed on October 4, 2023)</w:t>
              </w:r>
            </w:hyperlink>
          </w:p>
        </w:tc>
        <w:tc>
          <w:tcPr>
            <w:tcW w:w="2620" w:type="dxa"/>
            <w:vAlign w:val="bottom"/>
            <w:gridSpan w:val="26"/>
          </w:tcPr>
          <w:p>
            <w:pPr>
              <w:spacing w:after="0"/>
              <w:rPr>
                <w:sz w:val="17"/>
                <w:szCs w:val="17"/>
                <w:color w:val="auto"/>
              </w:rPr>
            </w:pPr>
          </w:p>
        </w:tc>
      </w:tr>
      <w:tr>
        <w:trPr>
          <w:trHeight w:val="237"/>
        </w:trPr>
        <w:tc>
          <w:tcPr>
            <w:tcW w:w="96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8"/>
              </w:rPr>
              <w:t>10.18</w:t>
            </w: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60" w:type="dxa"/>
            <w:vAlign w:val="bottom"/>
            <w:gridSpan w:val="36"/>
          </w:tcPr>
          <w:p>
            <w:pPr>
              <w:spacing w:after="0"/>
              <w:rPr>
                <w:rFonts w:ascii="Times New Roman" w:cs="Times New Roman" w:eastAsia="Times New Roman" w:hAnsi="Times New Roman"/>
                <w:sz w:val="18"/>
                <w:szCs w:val="18"/>
                <w:color w:val="0000FF"/>
              </w:rPr>
            </w:pPr>
            <w:hyperlink r:id="rId193">
              <w:r>
                <w:rPr>
                  <w:rFonts w:ascii="Times New Roman" w:cs="Times New Roman" w:eastAsia="Times New Roman" w:hAnsi="Times New Roman"/>
                  <w:sz w:val="18"/>
                  <w:szCs w:val="18"/>
                  <w:color w:val="0000FF"/>
                </w:rPr>
                <w:t>Receivables Purchase Agreement, dated as of September 29, 2023, by and among Rackspace Receivables II LLC, Rackspace</w:t>
              </w:r>
            </w:hyperlink>
          </w:p>
        </w:tc>
      </w:tr>
      <w:tr>
        <w:trPr>
          <w:trHeight w:val="183"/>
        </w:trPr>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20" w:type="dxa"/>
            <w:vAlign w:val="bottom"/>
            <w:tcBorders>
              <w:top w:val="single" w:sz="8" w:color="0000FF"/>
            </w:tcBorders>
            <w:gridSpan w:val="18"/>
          </w:tcPr>
          <w:p>
            <w:pPr>
              <w:spacing w:after="0" w:line="182" w:lineRule="exact"/>
              <w:rPr>
                <w:rFonts w:ascii="Times New Roman" w:cs="Times New Roman" w:eastAsia="Times New Roman" w:hAnsi="Times New Roman"/>
                <w:sz w:val="18"/>
                <w:szCs w:val="18"/>
                <w:color w:val="0000FF"/>
              </w:rPr>
            </w:pPr>
            <w:hyperlink r:id="rId193">
              <w:r>
                <w:rPr>
                  <w:rFonts w:ascii="Times New Roman" w:cs="Times New Roman" w:eastAsia="Times New Roman" w:hAnsi="Times New Roman"/>
                  <w:sz w:val="18"/>
                  <w:szCs w:val="18"/>
                  <w:color w:val="0000FF"/>
                </w:rPr>
                <w:t>Receivables Canada Limited, the persons from time to time party thereto as purchasers, PNC Bank, National Association,</w:t>
              </w:r>
            </w:hyperlink>
          </w:p>
        </w:tc>
        <w:tc>
          <w:tcPr>
            <w:tcW w:w="160" w:type="dxa"/>
            <w:vAlign w:val="bottom"/>
            <w:gridSpan w:val="5"/>
          </w:tcPr>
          <w:p>
            <w:pPr>
              <w:spacing w:after="0"/>
              <w:rPr>
                <w:sz w:val="15"/>
                <w:szCs w:val="15"/>
                <w:color w:val="auto"/>
              </w:rPr>
            </w:pPr>
          </w:p>
        </w:tc>
        <w:tc>
          <w:tcPr>
            <w:tcW w:w="80" w:type="dxa"/>
            <w:vAlign w:val="bottom"/>
            <w:gridSpan w:val="2"/>
          </w:tcPr>
          <w:p>
            <w:pPr>
              <w:spacing w:after="0"/>
              <w:rPr>
                <w:sz w:val="15"/>
                <w:szCs w:val="15"/>
                <w:color w:val="auto"/>
              </w:rPr>
            </w:pPr>
          </w:p>
        </w:tc>
        <w:tc>
          <w:tcPr>
            <w:tcW w:w="140" w:type="dxa"/>
            <w:vAlign w:val="bottom"/>
            <w:gridSpan w:val="5"/>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4"/>
          </w:tcPr>
          <w:p>
            <w:pPr>
              <w:spacing w:after="0"/>
              <w:rPr>
                <w:sz w:val="15"/>
                <w:szCs w:val="15"/>
                <w:color w:val="auto"/>
              </w:rPr>
            </w:pPr>
          </w:p>
        </w:tc>
        <w:tc>
          <w:tcPr>
            <w:tcW w:w="160" w:type="dxa"/>
            <w:vAlign w:val="bottom"/>
          </w:tcPr>
          <w:p>
            <w:pPr>
              <w:spacing w:after="0"/>
              <w:rPr>
                <w:sz w:val="15"/>
                <w:szCs w:val="15"/>
                <w:color w:val="auto"/>
              </w:rPr>
            </w:pPr>
          </w:p>
        </w:tc>
      </w:tr>
      <w:tr>
        <w:trPr>
          <w:trHeight w:val="20"/>
        </w:trPr>
        <w:tc>
          <w:tcPr>
            <w:tcW w:w="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40" w:type="dxa"/>
            <w:vAlign w:val="bottom"/>
            <w:gridSpan w:val="4"/>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440" w:type="dxa"/>
            <w:vAlign w:val="bottom"/>
            <w:gridSpan w:val="3"/>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60" w:type="dxa"/>
            <w:vAlign w:val="bottom"/>
            <w:gridSpan w:val="36"/>
          </w:tcPr>
          <w:p>
            <w:pPr>
              <w:spacing w:after="0" w:line="196" w:lineRule="exact"/>
              <w:rPr>
                <w:rFonts w:ascii="Times New Roman" w:cs="Times New Roman" w:eastAsia="Times New Roman" w:hAnsi="Times New Roman"/>
                <w:sz w:val="18"/>
                <w:szCs w:val="18"/>
                <w:color w:val="0000FF"/>
              </w:rPr>
            </w:pPr>
            <w:hyperlink r:id="rId193">
              <w:r>
                <w:rPr>
                  <w:rFonts w:ascii="Times New Roman" w:cs="Times New Roman" w:eastAsia="Times New Roman" w:hAnsi="Times New Roman"/>
                  <w:sz w:val="18"/>
                  <w:szCs w:val="18"/>
                  <w:color w:val="0000FF"/>
                </w:rPr>
                <w:t>Rackspace US, Inc., Rackspace International GmbH, Rackspace Limited and Onica Technologies Canada Inc. and PNC Capital</w:t>
              </w:r>
            </w:hyperlink>
          </w:p>
        </w:tc>
      </w:tr>
      <w:tr>
        <w:trPr>
          <w:trHeight w:val="20"/>
        </w:trPr>
        <w:tc>
          <w:tcPr>
            <w:tcW w:w="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40" w:type="dxa"/>
            <w:vAlign w:val="bottom"/>
            <w:gridSpan w:val="4"/>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440" w:type="dxa"/>
            <w:vAlign w:val="bottom"/>
            <w:gridSpan w:val="3"/>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220" w:type="dxa"/>
            <w:vAlign w:val="bottom"/>
            <w:gridSpan w:val="6"/>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3"/>
        </w:trPr>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60" w:type="dxa"/>
            <w:vAlign w:val="bottom"/>
            <w:gridSpan w:val="36"/>
          </w:tcPr>
          <w:p>
            <w:pPr>
              <w:spacing w:after="0" w:line="182" w:lineRule="exact"/>
              <w:rPr>
                <w:rFonts w:ascii="Times New Roman" w:cs="Times New Roman" w:eastAsia="Times New Roman" w:hAnsi="Times New Roman"/>
                <w:sz w:val="18"/>
                <w:szCs w:val="18"/>
                <w:color w:val="0000FF"/>
              </w:rPr>
            </w:pPr>
            <w:hyperlink r:id="rId193">
              <w:r>
                <w:rPr>
                  <w:rFonts w:ascii="Times New Roman" w:cs="Times New Roman" w:eastAsia="Times New Roman" w:hAnsi="Times New Roman"/>
                  <w:sz w:val="18"/>
                  <w:szCs w:val="18"/>
                  <w:color w:val="0000FF"/>
                </w:rPr>
                <w:t>Markets LLC as structuring agent (incorporated by reference from Exhibit 10.17 to Rackspace Technology, Inc.’s Form 10-K for</w:t>
              </w:r>
            </w:hyperlink>
          </w:p>
        </w:tc>
      </w:tr>
      <w:tr>
        <w:trPr>
          <w:trHeight w:val="163"/>
        </w:trPr>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80" w:type="dxa"/>
            <w:vAlign w:val="bottom"/>
            <w:tcBorders>
              <w:top w:val="single" w:sz="8" w:color="0000FF"/>
              <w:bottom w:val="single" w:sz="8" w:color="0000FF"/>
            </w:tcBorders>
            <w:gridSpan w:val="2"/>
          </w:tcPr>
          <w:p>
            <w:pPr>
              <w:spacing w:after="0" w:line="163" w:lineRule="exact"/>
              <w:rPr>
                <w:rFonts w:ascii="Times New Roman" w:cs="Times New Roman" w:eastAsia="Times New Roman" w:hAnsi="Times New Roman"/>
                <w:sz w:val="18"/>
                <w:szCs w:val="18"/>
                <w:color w:val="0000FF"/>
                <w:w w:val="95"/>
              </w:rPr>
            </w:pPr>
            <w:hyperlink r:id="rId193">
              <w:r>
                <w:rPr>
                  <w:rFonts w:ascii="Times New Roman" w:cs="Times New Roman" w:eastAsia="Times New Roman" w:hAnsi="Times New Roman"/>
                  <w:sz w:val="18"/>
                  <w:szCs w:val="18"/>
                  <w:color w:val="0000FF"/>
                  <w:w w:val="95"/>
                </w:rPr>
                <w:t>the year ended December 31, 2023)</w:t>
              </w:r>
            </w:hyperlink>
          </w:p>
        </w:tc>
        <w:tc>
          <w:tcPr>
            <w:tcW w:w="80" w:type="dxa"/>
            <w:vAlign w:val="bottom"/>
            <w:tcBorders>
              <w:top w:val="single" w:sz="8" w:color="0000FF"/>
              <w:bottom w:val="single" w:sz="8" w:color="0000FF"/>
            </w:tcBorders>
          </w:tcPr>
          <w:p>
            <w:pPr>
              <w:spacing w:after="0"/>
              <w:rPr>
                <w:sz w:val="14"/>
                <w:szCs w:val="14"/>
                <w:color w:val="auto"/>
              </w:rPr>
            </w:pPr>
          </w:p>
        </w:tc>
        <w:tc>
          <w:tcPr>
            <w:tcW w:w="1120" w:type="dxa"/>
            <w:vAlign w:val="bottom"/>
            <w:tcBorders>
              <w:top w:val="single" w:sz="8" w:color="0000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760" w:type="dxa"/>
            <w:vAlign w:val="bottom"/>
            <w:tcBorders>
              <w:top w:val="single" w:sz="8" w:color="0000FF"/>
            </w:tcBorders>
          </w:tcPr>
          <w:p>
            <w:pPr>
              <w:spacing w:after="0"/>
              <w:rPr>
                <w:sz w:val="14"/>
                <w:szCs w:val="14"/>
                <w:color w:val="auto"/>
              </w:rPr>
            </w:pPr>
          </w:p>
        </w:tc>
        <w:tc>
          <w:tcPr>
            <w:tcW w:w="92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88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112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250"/>
        </w:trPr>
        <w:tc>
          <w:tcPr>
            <w:tcW w:w="96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8"/>
              </w:rPr>
              <w:t>10.19</w:t>
            </w:r>
          </w:p>
        </w:tc>
        <w:tc>
          <w:tcPr>
            <w:tcW w:w="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660" w:type="dxa"/>
            <w:vAlign w:val="bottom"/>
            <w:gridSpan w:val="36"/>
          </w:tcPr>
          <w:p>
            <w:pPr>
              <w:spacing w:after="0"/>
              <w:rPr>
                <w:rFonts w:ascii="Times New Roman" w:cs="Times New Roman" w:eastAsia="Times New Roman" w:hAnsi="Times New Roman"/>
                <w:sz w:val="18"/>
                <w:szCs w:val="18"/>
                <w:color w:val="0000FF"/>
              </w:rPr>
            </w:pPr>
            <w:hyperlink r:id="rId194">
              <w:r>
                <w:rPr>
                  <w:rFonts w:ascii="Times New Roman" w:cs="Times New Roman" w:eastAsia="Times New Roman" w:hAnsi="Times New Roman"/>
                  <w:sz w:val="18"/>
                  <w:szCs w:val="18"/>
                  <w:color w:val="0000FF"/>
                </w:rPr>
                <w:t>Employment Agreement between the Company and Amar Maletira, dated October 16, 2020 (incorporated by reference from</w:t>
              </w:r>
            </w:hyperlink>
          </w:p>
        </w:tc>
      </w:tr>
      <w:tr>
        <w:trPr>
          <w:trHeight w:val="183"/>
        </w:trPr>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20" w:type="dxa"/>
            <w:vAlign w:val="bottom"/>
            <w:tcBorders>
              <w:top w:val="single" w:sz="8" w:color="0000FF"/>
              <w:bottom w:val="single" w:sz="8" w:color="0000FF"/>
            </w:tcBorders>
            <w:gridSpan w:val="8"/>
          </w:tcPr>
          <w:p>
            <w:pPr>
              <w:spacing w:after="0" w:line="182" w:lineRule="exact"/>
              <w:rPr>
                <w:rFonts w:ascii="Times New Roman" w:cs="Times New Roman" w:eastAsia="Times New Roman" w:hAnsi="Times New Roman"/>
                <w:sz w:val="18"/>
                <w:szCs w:val="18"/>
                <w:color w:val="0000FF"/>
                <w:w w:val="99"/>
              </w:rPr>
            </w:pPr>
            <w:hyperlink r:id="rId194">
              <w:r>
                <w:rPr>
                  <w:rFonts w:ascii="Times New Roman" w:cs="Times New Roman" w:eastAsia="Times New Roman" w:hAnsi="Times New Roman"/>
                  <w:sz w:val="18"/>
                  <w:szCs w:val="18"/>
                  <w:color w:val="0000FF"/>
                  <w:w w:val="99"/>
                </w:rPr>
                <w:t>Exhibit 10.1 to Rackspace Technology, Inc.’s Form 8-K, filed on October 21, 2020)</w:t>
              </w:r>
            </w:hyperlink>
          </w:p>
        </w:tc>
        <w:tc>
          <w:tcPr>
            <w:tcW w:w="2940" w:type="dxa"/>
            <w:vAlign w:val="bottom"/>
            <w:tcBorders>
              <w:top w:val="single" w:sz="8" w:color="0000FF"/>
            </w:tcBorders>
            <w:gridSpan w:val="9"/>
          </w:tcPr>
          <w:p>
            <w:pPr>
              <w:spacing w:after="0"/>
              <w:rPr>
                <w:sz w:val="15"/>
                <w:szCs w:val="15"/>
                <w:color w:val="auto"/>
              </w:rPr>
            </w:pPr>
          </w:p>
        </w:tc>
        <w:tc>
          <w:tcPr>
            <w:tcW w:w="440" w:type="dxa"/>
            <w:vAlign w:val="bottom"/>
            <w:gridSpan w:val="13"/>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4"/>
          </w:tcPr>
          <w:p>
            <w:pPr>
              <w:spacing w:after="0"/>
              <w:rPr>
                <w:sz w:val="15"/>
                <w:szCs w:val="15"/>
                <w:color w:val="auto"/>
              </w:rPr>
            </w:pPr>
          </w:p>
        </w:tc>
        <w:tc>
          <w:tcPr>
            <w:tcW w:w="160" w:type="dxa"/>
            <w:vAlign w:val="bottom"/>
          </w:tcPr>
          <w:p>
            <w:pPr>
              <w:spacing w:after="0"/>
              <w:rPr>
                <w:sz w:val="15"/>
                <w:szCs w:val="15"/>
                <w:color w:val="auto"/>
              </w:rPr>
            </w:pPr>
          </w:p>
        </w:tc>
      </w:tr>
      <w:tr>
        <w:trPr>
          <w:trHeight w:val="250"/>
        </w:trPr>
        <w:tc>
          <w:tcPr>
            <w:tcW w:w="96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8"/>
              </w:rPr>
              <w:t>10.20</w:t>
            </w:r>
          </w:p>
        </w:tc>
        <w:tc>
          <w:tcPr>
            <w:tcW w:w="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420" w:type="dxa"/>
            <w:vAlign w:val="bottom"/>
            <w:tcBorders>
              <w:bottom w:val="single" w:sz="8" w:color="0000FF"/>
            </w:tcBorders>
            <w:gridSpan w:val="31"/>
          </w:tcPr>
          <w:p>
            <w:pPr>
              <w:spacing w:after="0"/>
              <w:rPr>
                <w:rFonts w:ascii="Times New Roman" w:cs="Times New Roman" w:eastAsia="Times New Roman" w:hAnsi="Times New Roman"/>
                <w:sz w:val="18"/>
                <w:szCs w:val="18"/>
                <w:color w:val="0000FF"/>
                <w:w w:val="99"/>
              </w:rPr>
            </w:pPr>
            <w:hyperlink r:id="rId195">
              <w:r>
                <w:rPr>
                  <w:rFonts w:ascii="Times New Roman" w:cs="Times New Roman" w:eastAsia="Times New Roman" w:hAnsi="Times New Roman"/>
                  <w:sz w:val="18"/>
                  <w:szCs w:val="18"/>
                  <w:color w:val="0000FF"/>
                  <w:w w:val="99"/>
                </w:rPr>
                <w:t>Amended and Restated Employment Agreement between Rackspace Technology, Inc. and Amar Maletira, effective September 27,</w:t>
              </w:r>
            </w:hyperlink>
          </w:p>
        </w:tc>
        <w:tc>
          <w:tcPr>
            <w:tcW w:w="240" w:type="dxa"/>
            <w:vAlign w:val="bottom"/>
            <w:gridSpan w:val="5"/>
          </w:tcPr>
          <w:p>
            <w:pPr>
              <w:spacing w:after="0"/>
              <w:rPr>
                <w:sz w:val="21"/>
                <w:szCs w:val="21"/>
                <w:color w:val="auto"/>
              </w:rPr>
            </w:pPr>
          </w:p>
        </w:tc>
      </w:tr>
      <w:tr>
        <w:trPr>
          <w:trHeight w:val="183"/>
        </w:trPr>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60" w:type="dxa"/>
            <w:vAlign w:val="bottom"/>
            <w:gridSpan w:val="36"/>
          </w:tcPr>
          <w:p>
            <w:pPr>
              <w:spacing w:after="0" w:line="182" w:lineRule="exact"/>
              <w:rPr>
                <w:rFonts w:ascii="Times New Roman" w:cs="Times New Roman" w:eastAsia="Times New Roman" w:hAnsi="Times New Roman"/>
                <w:sz w:val="18"/>
                <w:szCs w:val="18"/>
                <w:color w:val="0000FF"/>
              </w:rPr>
            </w:pPr>
            <w:hyperlink r:id="rId195">
              <w:r>
                <w:rPr>
                  <w:rFonts w:ascii="Times New Roman" w:cs="Times New Roman" w:eastAsia="Times New Roman" w:hAnsi="Times New Roman"/>
                  <w:sz w:val="18"/>
                  <w:szCs w:val="18"/>
                  <w:color w:val="0000FF"/>
                </w:rPr>
                <w:t>2022 (incorporated by reference from Exhibit 10.1 to Rackspace Technology, Inc.'s Form 10-Q for the quarter ended September 30,</w:t>
              </w:r>
            </w:hyperlink>
          </w:p>
        </w:tc>
      </w:tr>
      <w:tr>
        <w:trPr>
          <w:trHeight w:val="196"/>
        </w:trPr>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Borders>
              <w:top w:val="single" w:sz="8" w:color="0000FF"/>
              <w:bottom w:val="single" w:sz="8" w:color="0000FF"/>
            </w:tcBorders>
          </w:tcPr>
          <w:p>
            <w:pPr>
              <w:spacing w:after="0" w:line="196" w:lineRule="exact"/>
              <w:rPr>
                <w:rFonts w:ascii="Times New Roman" w:cs="Times New Roman" w:eastAsia="Times New Roman" w:hAnsi="Times New Roman"/>
                <w:sz w:val="18"/>
                <w:szCs w:val="18"/>
                <w:color w:val="0000FF"/>
                <w:w w:val="95"/>
              </w:rPr>
            </w:pPr>
            <w:hyperlink r:id="rId195">
              <w:r>
                <w:rPr>
                  <w:rFonts w:ascii="Times New Roman" w:cs="Times New Roman" w:eastAsia="Times New Roman" w:hAnsi="Times New Roman"/>
                  <w:sz w:val="18"/>
                  <w:szCs w:val="18"/>
                  <w:color w:val="0000FF"/>
                  <w:w w:val="95"/>
                </w:rPr>
                <w:t>2022)</w:t>
              </w:r>
            </w:hyperlink>
          </w:p>
        </w:tc>
        <w:tc>
          <w:tcPr>
            <w:tcW w:w="206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120" w:type="dxa"/>
            <w:vAlign w:val="bottom"/>
            <w:tcBorders>
              <w:top w:val="single" w:sz="8" w:color="0000FF"/>
            </w:tcBorders>
          </w:tcPr>
          <w:p>
            <w:pPr>
              <w:spacing w:after="0"/>
              <w:rPr>
                <w:sz w:val="17"/>
                <w:szCs w:val="17"/>
                <w:color w:val="auto"/>
              </w:rPr>
            </w:pPr>
          </w:p>
        </w:tc>
        <w:tc>
          <w:tcPr>
            <w:tcW w:w="440" w:type="dxa"/>
            <w:vAlign w:val="bottom"/>
            <w:tcBorders>
              <w:top w:val="single" w:sz="8" w:color="0000FF"/>
            </w:tcBorders>
          </w:tcPr>
          <w:p>
            <w:pPr>
              <w:spacing w:after="0"/>
              <w:rPr>
                <w:sz w:val="17"/>
                <w:szCs w:val="17"/>
                <w:color w:val="auto"/>
              </w:rPr>
            </w:pPr>
          </w:p>
        </w:tc>
        <w:tc>
          <w:tcPr>
            <w:tcW w:w="760" w:type="dxa"/>
            <w:vAlign w:val="bottom"/>
            <w:tcBorders>
              <w:top w:val="single" w:sz="8" w:color="0000FF"/>
            </w:tcBorders>
          </w:tcPr>
          <w:p>
            <w:pPr>
              <w:spacing w:after="0"/>
              <w:rPr>
                <w:sz w:val="17"/>
                <w:szCs w:val="17"/>
                <w:color w:val="auto"/>
              </w:rPr>
            </w:pPr>
          </w:p>
        </w:tc>
        <w:tc>
          <w:tcPr>
            <w:tcW w:w="92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88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112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60" w:type="dxa"/>
            <w:vAlign w:val="bottom"/>
          </w:tcPr>
          <w:p>
            <w:pPr>
              <w:spacing w:after="0"/>
              <w:rPr>
                <w:sz w:val="17"/>
                <w:szCs w:val="17"/>
                <w:color w:val="auto"/>
              </w:rPr>
            </w:pPr>
          </w:p>
        </w:tc>
      </w:tr>
      <w:tr>
        <w:trPr>
          <w:trHeight w:val="237"/>
        </w:trPr>
        <w:tc>
          <w:tcPr>
            <w:tcW w:w="96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8"/>
              </w:rPr>
              <w:t>10.21</w:t>
            </w:r>
          </w:p>
        </w:tc>
        <w:tc>
          <w:tcPr>
            <w:tcW w:w="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660" w:type="dxa"/>
            <w:vAlign w:val="bottom"/>
            <w:gridSpan w:val="36"/>
          </w:tcPr>
          <w:p>
            <w:pPr>
              <w:spacing w:after="0"/>
              <w:rPr>
                <w:rFonts w:ascii="Times New Roman" w:cs="Times New Roman" w:eastAsia="Times New Roman" w:hAnsi="Times New Roman"/>
                <w:sz w:val="18"/>
                <w:szCs w:val="18"/>
                <w:color w:val="0000FF"/>
              </w:rPr>
            </w:pPr>
            <w:hyperlink r:id="rId196">
              <w:r>
                <w:rPr>
                  <w:rFonts w:ascii="Times New Roman" w:cs="Times New Roman" w:eastAsia="Times New Roman" w:hAnsi="Times New Roman"/>
                  <w:sz w:val="18"/>
                  <w:szCs w:val="18"/>
                  <w:color w:val="0000FF"/>
                </w:rPr>
                <w:t>Amended and Restated Employment Agreement between Rackspace US, Inc. and Mark Marino, effective January 12, 2024</w:t>
              </w:r>
            </w:hyperlink>
          </w:p>
        </w:tc>
      </w:tr>
      <w:tr>
        <w:trPr>
          <w:trHeight w:val="183"/>
        </w:trPr>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900" w:type="dxa"/>
            <w:vAlign w:val="bottom"/>
            <w:tcBorders>
              <w:top w:val="single" w:sz="8" w:color="0000FF"/>
            </w:tcBorders>
            <w:gridSpan w:val="15"/>
          </w:tcPr>
          <w:p>
            <w:pPr>
              <w:spacing w:after="0" w:line="182" w:lineRule="exact"/>
              <w:rPr>
                <w:rFonts w:ascii="Times New Roman" w:cs="Times New Roman" w:eastAsia="Times New Roman" w:hAnsi="Times New Roman"/>
                <w:sz w:val="18"/>
                <w:szCs w:val="18"/>
                <w:color w:val="0000FF"/>
              </w:rPr>
            </w:pPr>
            <w:hyperlink r:id="rId196">
              <w:r>
                <w:rPr>
                  <w:rFonts w:ascii="Times New Roman" w:cs="Times New Roman" w:eastAsia="Times New Roman" w:hAnsi="Times New Roman"/>
                  <w:sz w:val="18"/>
                  <w:szCs w:val="18"/>
                  <w:color w:val="0000FF"/>
                </w:rPr>
                <w:t>(incorporated by reference from Exhibit 10.1 to Rackspace Technology, Inc.’s Form 8-K, filed on January 12, 2024)</w:t>
              </w:r>
            </w:hyperlink>
          </w:p>
        </w:tc>
        <w:tc>
          <w:tcPr>
            <w:tcW w:w="500" w:type="dxa"/>
            <w:vAlign w:val="bottom"/>
            <w:gridSpan w:val="15"/>
          </w:tcPr>
          <w:p>
            <w:pPr>
              <w:spacing w:after="0"/>
              <w:rPr>
                <w:sz w:val="15"/>
                <w:szCs w:val="15"/>
                <w:color w:val="auto"/>
              </w:rPr>
            </w:pPr>
          </w:p>
        </w:tc>
        <w:tc>
          <w:tcPr>
            <w:tcW w:w="260" w:type="dxa"/>
            <w:vAlign w:val="bottom"/>
            <w:gridSpan w:val="6"/>
          </w:tcPr>
          <w:p>
            <w:pPr>
              <w:spacing w:after="0"/>
              <w:rPr>
                <w:sz w:val="15"/>
                <w:szCs w:val="15"/>
                <w:color w:val="auto"/>
              </w:rPr>
            </w:pPr>
          </w:p>
        </w:tc>
      </w:tr>
      <w:tr>
        <w:trPr>
          <w:trHeight w:val="20"/>
        </w:trPr>
        <w:tc>
          <w:tcPr>
            <w:tcW w:w="9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5800" w:type="dxa"/>
            <w:vAlign w:val="bottom"/>
            <w:gridSpan w:val="7"/>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1440" w:type="dxa"/>
            <w:vAlign w:val="bottom"/>
            <w:gridSpan w:val="3"/>
            <w:shd w:val="clear" w:color="auto" w:fill="0000FF"/>
          </w:tcPr>
          <w:p>
            <w:pPr>
              <w:spacing w:after="0" w:line="20" w:lineRule="exact"/>
              <w:rPr>
                <w:sz w:val="1"/>
                <w:szCs w:val="1"/>
                <w:color w:val="auto"/>
              </w:rPr>
            </w:pPr>
          </w:p>
        </w:tc>
        <w:tc>
          <w:tcPr>
            <w:tcW w:w="1060" w:type="dxa"/>
            <w:vAlign w:val="bottom"/>
            <w:gridSpan w:val="18"/>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r>
      <w:tr>
        <w:trPr>
          <w:trHeight w:val="250"/>
        </w:trPr>
        <w:tc>
          <w:tcPr>
            <w:tcW w:w="96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8"/>
              </w:rPr>
              <w:t>10.22</w:t>
            </w:r>
          </w:p>
        </w:tc>
        <w:tc>
          <w:tcPr>
            <w:tcW w:w="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660" w:type="dxa"/>
            <w:vAlign w:val="bottom"/>
            <w:gridSpan w:val="36"/>
          </w:tcPr>
          <w:p>
            <w:pPr>
              <w:spacing w:after="0"/>
              <w:rPr>
                <w:rFonts w:ascii="Times New Roman" w:cs="Times New Roman" w:eastAsia="Times New Roman" w:hAnsi="Times New Roman"/>
                <w:sz w:val="18"/>
                <w:szCs w:val="18"/>
                <w:color w:val="0000FF"/>
              </w:rPr>
            </w:pPr>
            <w:hyperlink r:id="rId197">
              <w:r>
                <w:rPr>
                  <w:rFonts w:ascii="Times New Roman" w:cs="Times New Roman" w:eastAsia="Times New Roman" w:hAnsi="Times New Roman"/>
                  <w:sz w:val="18"/>
                  <w:szCs w:val="18"/>
                  <w:color w:val="0000FF"/>
                </w:rPr>
                <w:t>Employment Agreement between Rackspace US, Inc. and Brian Lillie, effective January 16, 2023 (incorporated by reference from</w:t>
              </w:r>
            </w:hyperlink>
          </w:p>
        </w:tc>
      </w:tr>
      <w:tr>
        <w:trPr>
          <w:trHeight w:val="183"/>
        </w:trPr>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0" w:type="dxa"/>
            <w:vAlign w:val="bottom"/>
            <w:tcBorders>
              <w:top w:val="single" w:sz="8" w:color="0000FF"/>
            </w:tcBorders>
            <w:gridSpan w:val="30"/>
          </w:tcPr>
          <w:p>
            <w:pPr>
              <w:spacing w:after="0" w:line="182" w:lineRule="exact"/>
              <w:rPr>
                <w:rFonts w:ascii="Times New Roman" w:cs="Times New Roman" w:eastAsia="Times New Roman" w:hAnsi="Times New Roman"/>
                <w:sz w:val="18"/>
                <w:szCs w:val="18"/>
                <w:color w:val="0000FF"/>
              </w:rPr>
            </w:pPr>
            <w:hyperlink r:id="rId197">
              <w:r>
                <w:rPr>
                  <w:rFonts w:ascii="Times New Roman" w:cs="Times New Roman" w:eastAsia="Times New Roman" w:hAnsi="Times New Roman"/>
                  <w:sz w:val="18"/>
                  <w:szCs w:val="18"/>
                  <w:color w:val="0000FF"/>
                </w:rPr>
                <w:t>Exhibit 10.6 to Rackspace Technology, Inc.’s Form 10-Q for the quarter ended March 31, 2024)</w:t>
              </w:r>
            </w:hyperlink>
          </w:p>
        </w:tc>
        <w:tc>
          <w:tcPr>
            <w:tcW w:w="260" w:type="dxa"/>
            <w:vAlign w:val="bottom"/>
            <w:gridSpan w:val="6"/>
          </w:tcPr>
          <w:p>
            <w:pPr>
              <w:spacing w:after="0"/>
              <w:rPr>
                <w:sz w:val="15"/>
                <w:szCs w:val="15"/>
                <w:color w:val="auto"/>
              </w:rPr>
            </w:pPr>
          </w:p>
        </w:tc>
      </w:tr>
      <w:tr>
        <w:trPr>
          <w:trHeight w:val="250"/>
        </w:trPr>
        <w:tc>
          <w:tcPr>
            <w:tcW w:w="96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8"/>
              </w:rPr>
              <w:t>10.23</w:t>
            </w:r>
          </w:p>
        </w:tc>
        <w:tc>
          <w:tcPr>
            <w:tcW w:w="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900" w:type="dxa"/>
            <w:vAlign w:val="bottom"/>
            <w:tcBorders>
              <w:top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rPr>
              <w:t>Separation Agreement and Release between Rackspace US, Inc. and Brian Lillie</w:t>
            </w:r>
          </w:p>
        </w:tc>
        <w:tc>
          <w:tcPr>
            <w:tcW w:w="2760" w:type="dxa"/>
            <w:vAlign w:val="bottom"/>
            <w:gridSpan w:val="27"/>
          </w:tcPr>
          <w:p>
            <w:pPr>
              <w:spacing w:after="0"/>
              <w:rPr>
                <w:sz w:val="21"/>
                <w:szCs w:val="21"/>
                <w:color w:val="auto"/>
              </w:rPr>
            </w:pPr>
          </w:p>
        </w:tc>
      </w:tr>
      <w:tr>
        <w:trPr>
          <w:trHeight w:val="938"/>
        </w:trPr>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80" w:type="dxa"/>
            <w:vAlign w:val="bottom"/>
            <w:tcBorders>
              <w:top w:val="single" w:sz="8" w:color="0000FF"/>
            </w:tcBorders>
            <w:gridSpan w:val="6"/>
          </w:tcPr>
          <w:p>
            <w:pPr>
              <w:ind w:left="3800"/>
              <w:spacing w:after="0"/>
              <w:rPr>
                <w:sz w:val="20"/>
                <w:szCs w:val="20"/>
                <w:color w:val="auto"/>
              </w:rPr>
            </w:pPr>
            <w:r>
              <w:rPr>
                <w:rFonts w:ascii="Times New Roman" w:cs="Times New Roman" w:eastAsia="Times New Roman" w:hAnsi="Times New Roman"/>
                <w:sz w:val="18"/>
                <w:szCs w:val="18"/>
                <w:color w:val="auto"/>
              </w:rPr>
              <w:t>- 158 -</w:t>
            </w:r>
          </w:p>
        </w:tc>
        <w:tc>
          <w:tcPr>
            <w:tcW w:w="920" w:type="dxa"/>
            <w:vAlign w:val="bottom"/>
            <w:tcBorders>
              <w:top w:val="single" w:sz="8" w:color="0000FF"/>
            </w:tcBorders>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15"/>
        </w:trPr>
        <w:tc>
          <w:tcPr>
            <w:tcW w:w="9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0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58" w:name="page159"/>
    <w:bookmarkEnd w:id="158"/>
    <w:tbl>
      <w:tblPr>
        <w:tblLayout w:type="fixed"/>
        <w:tblInd w:w="0" w:type="dxa"/>
        <w:tblCellMar>
          <w:top w:w="0" w:type="dxa"/>
          <w:left w:w="0" w:type="dxa"/>
          <w:bottom w:w="0" w:type="dxa"/>
          <w:right w:w="0" w:type="dxa"/>
        </w:tblCellMar>
      </w:tblPr>
      <w:tr>
        <w:trPr>
          <w:trHeight w:val="207"/>
        </w:trPr>
        <w:tc>
          <w:tcPr>
            <w:tcW w:w="158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44"/>
        </w:trPr>
        <w:tc>
          <w:tcPr>
            <w:tcW w:w="960" w:type="dxa"/>
            <w:vAlign w:val="bottom"/>
            <w:tcBorders>
              <w:top w:val="single" w:sz="8" w:color="0000FF"/>
            </w:tcBorders>
          </w:tcPr>
          <w:p>
            <w:pPr>
              <w:jc w:val="center"/>
              <w:ind w:left="190"/>
              <w:spacing w:after="0"/>
              <w:rPr>
                <w:sz w:val="20"/>
                <w:szCs w:val="20"/>
                <w:color w:val="auto"/>
              </w:rPr>
            </w:pPr>
            <w:r>
              <w:rPr>
                <w:rFonts w:ascii="Times New Roman" w:cs="Times New Roman" w:eastAsia="Times New Roman" w:hAnsi="Times New Roman"/>
                <w:sz w:val="18"/>
                <w:szCs w:val="18"/>
                <w:color w:val="auto"/>
                <w:w w:val="98"/>
              </w:rPr>
              <w:t>10.24</w:t>
            </w:r>
          </w:p>
        </w:tc>
        <w:tc>
          <w:tcPr>
            <w:tcW w:w="320" w:type="dxa"/>
            <w:vAlign w:val="bottom"/>
            <w:tcBorders>
              <w:top w:val="single" w:sz="8" w:color="0000FF"/>
            </w:tcBorders>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4"/>
                <w:szCs w:val="24"/>
                <w:color w:val="auto"/>
              </w:rPr>
            </w:pPr>
          </w:p>
        </w:tc>
        <w:tc>
          <w:tcPr>
            <w:tcW w:w="9500" w:type="dxa"/>
            <w:vAlign w:val="bottom"/>
            <w:gridSpan w:val="40"/>
          </w:tcPr>
          <w:p>
            <w:pPr>
              <w:spacing w:after="0"/>
              <w:rPr>
                <w:rFonts w:ascii="Times New Roman" w:cs="Times New Roman" w:eastAsia="Times New Roman" w:hAnsi="Times New Roman"/>
                <w:sz w:val="18"/>
                <w:szCs w:val="18"/>
                <w:color w:val="0000FF"/>
              </w:rPr>
            </w:pPr>
            <w:hyperlink r:id="rId200">
              <w:r>
                <w:rPr>
                  <w:rFonts w:ascii="Times New Roman" w:cs="Times New Roman" w:eastAsia="Times New Roman" w:hAnsi="Times New Roman"/>
                  <w:sz w:val="18"/>
                  <w:szCs w:val="18"/>
                  <w:color w:val="0000FF"/>
                </w:rPr>
                <w:t>Employment Agreement between Rackspace US, Inc. and Dharmendra Kumar (“DK”) Sinha, effective July 13, 2022 (incorporated</w:t>
              </w:r>
            </w:hyperlink>
          </w:p>
        </w:tc>
      </w:tr>
      <w:tr>
        <w:trPr>
          <w:trHeight w:val="183"/>
        </w:trPr>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40" w:type="dxa"/>
            <w:vAlign w:val="bottom"/>
            <w:tcBorders>
              <w:top w:val="single" w:sz="8" w:color="0000FF"/>
              <w:bottom w:val="single" w:sz="8" w:color="0000FF"/>
            </w:tcBorders>
            <w:gridSpan w:val="19"/>
          </w:tcPr>
          <w:p>
            <w:pPr>
              <w:spacing w:after="0" w:line="182" w:lineRule="exact"/>
              <w:rPr>
                <w:rFonts w:ascii="Times New Roman" w:cs="Times New Roman" w:eastAsia="Times New Roman" w:hAnsi="Times New Roman"/>
                <w:sz w:val="18"/>
                <w:szCs w:val="18"/>
                <w:color w:val="0000FF"/>
                <w:w w:val="99"/>
              </w:rPr>
            </w:pPr>
            <w:hyperlink r:id="rId200">
              <w:r>
                <w:rPr>
                  <w:rFonts w:ascii="Times New Roman" w:cs="Times New Roman" w:eastAsia="Times New Roman" w:hAnsi="Times New Roman"/>
                  <w:sz w:val="18"/>
                  <w:szCs w:val="18"/>
                  <w:color w:val="0000FF"/>
                  <w:w w:val="99"/>
                </w:rPr>
                <w:t>by reference from Exhibit 10.7 to Rackspace Technology, Inc.’s Form 10-Q for the quarter ended March 31, 2024)</w:t>
              </w:r>
            </w:hyperlink>
          </w:p>
        </w:tc>
        <w:tc>
          <w:tcPr>
            <w:tcW w:w="1220" w:type="dxa"/>
            <w:vAlign w:val="bottom"/>
            <w:tcBorders>
              <w:top w:val="single" w:sz="8" w:color="0000FF"/>
            </w:tcBorders>
            <w:gridSpan w:val="19"/>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50"/>
        </w:trPr>
        <w:tc>
          <w:tcPr>
            <w:tcW w:w="96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8"/>
              </w:rPr>
              <w:t>10.25</w:t>
            </w:r>
          </w:p>
        </w:tc>
        <w:tc>
          <w:tcPr>
            <w:tcW w:w="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44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Employment Agreement between Rackspace US, Inc. and Srinivas Koushik, dated December 15, 2021</w:t>
            </w:r>
          </w:p>
        </w:tc>
        <w:tc>
          <w:tcPr>
            <w:tcW w:w="2060" w:type="dxa"/>
            <w:vAlign w:val="bottom"/>
            <w:gridSpan w:val="23"/>
          </w:tcPr>
          <w:p>
            <w:pPr>
              <w:spacing w:after="0"/>
              <w:rPr>
                <w:sz w:val="21"/>
                <w:szCs w:val="21"/>
                <w:color w:val="auto"/>
              </w:rPr>
            </w:pPr>
          </w:p>
        </w:tc>
      </w:tr>
      <w:tr>
        <w:trPr>
          <w:trHeight w:val="236"/>
        </w:trPr>
        <w:tc>
          <w:tcPr>
            <w:tcW w:w="96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8"/>
              </w:rPr>
              <w:t>10.26</w:t>
            </w:r>
          </w:p>
        </w:tc>
        <w:tc>
          <w:tcPr>
            <w:tcW w:w="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220" w:type="dxa"/>
            <w:vAlign w:val="bottom"/>
            <w:tcBorders>
              <w:bottom w:val="single" w:sz="8" w:color="0000FF"/>
            </w:tcBorders>
            <w:gridSpan w:val="29"/>
          </w:tcPr>
          <w:p>
            <w:pPr>
              <w:spacing w:after="0"/>
              <w:rPr>
                <w:rFonts w:ascii="Times New Roman" w:cs="Times New Roman" w:eastAsia="Times New Roman" w:hAnsi="Times New Roman"/>
                <w:sz w:val="18"/>
                <w:szCs w:val="18"/>
                <w:color w:val="0000FF"/>
                <w:w w:val="99"/>
              </w:rPr>
            </w:pPr>
            <w:hyperlink r:id="rId201">
              <w:r>
                <w:rPr>
                  <w:rFonts w:ascii="Times New Roman" w:cs="Times New Roman" w:eastAsia="Times New Roman" w:hAnsi="Times New Roman"/>
                  <w:sz w:val="18"/>
                  <w:szCs w:val="18"/>
                  <w:color w:val="0000FF"/>
                  <w:w w:val="99"/>
                </w:rPr>
                <w:t>Form of Non-Qualified Stock Option Agreement between Rackspace Technology, Inc. and each of the named executive officers</w:t>
              </w:r>
            </w:hyperlink>
          </w:p>
        </w:tc>
        <w:tc>
          <w:tcPr>
            <w:tcW w:w="280" w:type="dxa"/>
            <w:vAlign w:val="bottom"/>
            <w:gridSpan w:val="11"/>
          </w:tcPr>
          <w:p>
            <w:pPr>
              <w:spacing w:after="0"/>
              <w:rPr>
                <w:sz w:val="20"/>
                <w:szCs w:val="20"/>
                <w:color w:val="auto"/>
              </w:rPr>
            </w:pPr>
          </w:p>
        </w:tc>
      </w:tr>
      <w:tr>
        <w:trPr>
          <w:trHeight w:val="183"/>
        </w:trPr>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60" w:type="dxa"/>
            <w:vAlign w:val="bottom"/>
            <w:tcBorders>
              <w:bottom w:val="single" w:sz="8" w:color="0000FF"/>
            </w:tcBorders>
            <w:gridSpan w:val="38"/>
          </w:tcPr>
          <w:p>
            <w:pPr>
              <w:spacing w:after="0" w:line="182" w:lineRule="exact"/>
              <w:rPr>
                <w:rFonts w:ascii="Times New Roman" w:cs="Times New Roman" w:eastAsia="Times New Roman" w:hAnsi="Times New Roman"/>
                <w:sz w:val="18"/>
                <w:szCs w:val="18"/>
                <w:color w:val="0000FF"/>
                <w:w w:val="99"/>
              </w:rPr>
            </w:pPr>
            <w:hyperlink r:id="rId201">
              <w:r>
                <w:rPr>
                  <w:rFonts w:ascii="Times New Roman" w:cs="Times New Roman" w:eastAsia="Times New Roman" w:hAnsi="Times New Roman"/>
                  <w:sz w:val="18"/>
                  <w:szCs w:val="18"/>
                  <w:color w:val="0000FF"/>
                  <w:w w:val="99"/>
                </w:rPr>
                <w:t>(other than the Chief Executive Officer) under the 2017 Incentive Plan (incorporated by reference from Exhibit 10.20 to Rackspace</w:t>
              </w:r>
            </w:hyperlink>
          </w:p>
        </w:tc>
        <w:tc>
          <w:tcPr>
            <w:tcW w:w="40" w:type="dxa"/>
            <w:vAlign w:val="bottom"/>
            <w:gridSpan w:val="2"/>
          </w:tcPr>
          <w:p>
            <w:pPr>
              <w:spacing w:after="0"/>
              <w:rPr>
                <w:sz w:val="15"/>
                <w:szCs w:val="15"/>
                <w:color w:val="auto"/>
              </w:rPr>
            </w:pPr>
          </w:p>
        </w:tc>
      </w:tr>
      <w:tr>
        <w:trPr>
          <w:trHeight w:val="196"/>
        </w:trPr>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500" w:type="dxa"/>
            <w:vAlign w:val="bottom"/>
            <w:gridSpan w:val="40"/>
          </w:tcPr>
          <w:p>
            <w:pPr>
              <w:spacing w:after="0" w:line="196" w:lineRule="exact"/>
              <w:rPr>
                <w:rFonts w:ascii="Times New Roman" w:cs="Times New Roman" w:eastAsia="Times New Roman" w:hAnsi="Times New Roman"/>
                <w:sz w:val="18"/>
                <w:szCs w:val="18"/>
                <w:color w:val="0000FF"/>
              </w:rPr>
            </w:pPr>
            <w:hyperlink r:id="rId201">
              <w:r>
                <w:rPr>
                  <w:rFonts w:ascii="Times New Roman" w:cs="Times New Roman" w:eastAsia="Times New Roman" w:hAnsi="Times New Roman"/>
                  <w:sz w:val="18"/>
                  <w:szCs w:val="18"/>
                  <w:color w:val="0000FF"/>
                </w:rPr>
                <w:t>Technology, Inc.’s Amendment No. 2 to Registration Statement on Form S-1/A filed on July 27, 2020)</w:t>
              </w:r>
            </w:hyperlink>
          </w:p>
        </w:tc>
      </w:tr>
      <w:tr>
        <w:trPr>
          <w:trHeight w:val="20"/>
        </w:trPr>
        <w:tc>
          <w:tcPr>
            <w:tcW w:w="9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6"/>
        </w:trPr>
        <w:tc>
          <w:tcPr>
            <w:tcW w:w="96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8"/>
              </w:rPr>
              <w:t>10.27</w:t>
            </w:r>
          </w:p>
        </w:tc>
        <w:tc>
          <w:tcPr>
            <w:tcW w:w="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500" w:type="dxa"/>
            <w:vAlign w:val="bottom"/>
            <w:gridSpan w:val="40"/>
          </w:tcPr>
          <w:p>
            <w:pPr>
              <w:spacing w:after="0"/>
              <w:rPr>
                <w:rFonts w:ascii="Times New Roman" w:cs="Times New Roman" w:eastAsia="Times New Roman" w:hAnsi="Times New Roman"/>
                <w:sz w:val="18"/>
                <w:szCs w:val="18"/>
                <w:color w:val="0000FF"/>
              </w:rPr>
            </w:pPr>
            <w:hyperlink r:id="rId202">
              <w:r>
                <w:rPr>
                  <w:rFonts w:ascii="Times New Roman" w:cs="Times New Roman" w:eastAsia="Times New Roman" w:hAnsi="Times New Roman"/>
                  <w:sz w:val="18"/>
                  <w:szCs w:val="18"/>
                  <w:color w:val="0000FF"/>
                </w:rPr>
                <w:t>Form of Non-Qualified Stock Option Agreement between Rackspace Technology, Inc. and certain of the Directors under the 2017</w:t>
              </w:r>
            </w:hyperlink>
          </w:p>
        </w:tc>
      </w:tr>
      <w:tr>
        <w:trPr>
          <w:trHeight w:val="183"/>
        </w:trPr>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60" w:type="dxa"/>
            <w:vAlign w:val="bottom"/>
            <w:tcBorders>
              <w:top w:val="single" w:sz="8" w:color="0000FF"/>
              <w:bottom w:val="single" w:sz="8" w:color="0000FF"/>
            </w:tcBorders>
            <w:gridSpan w:val="31"/>
          </w:tcPr>
          <w:p>
            <w:pPr>
              <w:spacing w:after="0" w:line="182" w:lineRule="exact"/>
              <w:rPr>
                <w:rFonts w:ascii="Times New Roman" w:cs="Times New Roman" w:eastAsia="Times New Roman" w:hAnsi="Times New Roman"/>
                <w:sz w:val="18"/>
                <w:szCs w:val="18"/>
                <w:color w:val="0000FF"/>
                <w:w w:val="99"/>
              </w:rPr>
            </w:pPr>
            <w:hyperlink r:id="rId202">
              <w:r>
                <w:rPr>
                  <w:rFonts w:ascii="Times New Roman" w:cs="Times New Roman" w:eastAsia="Times New Roman" w:hAnsi="Times New Roman"/>
                  <w:sz w:val="18"/>
                  <w:szCs w:val="18"/>
                  <w:color w:val="0000FF"/>
                  <w:w w:val="99"/>
                </w:rPr>
                <w:t>Incentive Plan (incorporated by reference from Exhibit 10.24 to Rackspace Technology, Inc.’s Amendment No. 2 to Registration</w:t>
              </w:r>
            </w:hyperlink>
          </w:p>
        </w:tc>
        <w:tc>
          <w:tcPr>
            <w:tcW w:w="100" w:type="dxa"/>
            <w:vAlign w:val="bottom"/>
            <w:tcBorders>
              <w:top w:val="single" w:sz="8" w:color="0000FF"/>
            </w:tcBorders>
            <w:gridSpan w:val="4"/>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r>
      <w:tr>
        <w:trPr>
          <w:trHeight w:val="196"/>
        </w:trPr>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540" w:type="dxa"/>
            <w:vAlign w:val="bottom"/>
            <w:tcBorders>
              <w:bottom w:val="single" w:sz="8" w:color="0000FF"/>
            </w:tcBorders>
            <w:gridSpan w:val="6"/>
          </w:tcPr>
          <w:p>
            <w:pPr>
              <w:spacing w:after="0" w:line="196" w:lineRule="exact"/>
              <w:rPr>
                <w:rFonts w:ascii="Times New Roman" w:cs="Times New Roman" w:eastAsia="Times New Roman" w:hAnsi="Times New Roman"/>
                <w:sz w:val="18"/>
                <w:szCs w:val="18"/>
                <w:color w:val="0000FF"/>
                <w:w w:val="99"/>
              </w:rPr>
            </w:pPr>
            <w:hyperlink r:id="rId202">
              <w:r>
                <w:rPr>
                  <w:rFonts w:ascii="Times New Roman" w:cs="Times New Roman" w:eastAsia="Times New Roman" w:hAnsi="Times New Roman"/>
                  <w:sz w:val="18"/>
                  <w:szCs w:val="18"/>
                  <w:color w:val="0000FF"/>
                  <w:w w:val="99"/>
                </w:rPr>
                <w:t>Statement on Form S-1/A filed on July 27, 2020)</w:t>
              </w:r>
            </w:hyperlink>
          </w:p>
        </w:tc>
        <w:tc>
          <w:tcPr>
            <w:tcW w:w="5960" w:type="dxa"/>
            <w:vAlign w:val="bottom"/>
            <w:gridSpan w:val="34"/>
          </w:tcPr>
          <w:p>
            <w:pPr>
              <w:spacing w:after="0"/>
              <w:rPr>
                <w:sz w:val="17"/>
                <w:szCs w:val="17"/>
                <w:color w:val="auto"/>
              </w:rPr>
            </w:pPr>
          </w:p>
        </w:tc>
      </w:tr>
      <w:tr>
        <w:trPr>
          <w:trHeight w:val="236"/>
        </w:trPr>
        <w:tc>
          <w:tcPr>
            <w:tcW w:w="96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8"/>
              </w:rPr>
              <w:t>10.28</w:t>
            </w:r>
          </w:p>
        </w:tc>
        <w:tc>
          <w:tcPr>
            <w:tcW w:w="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500" w:type="dxa"/>
            <w:vAlign w:val="bottom"/>
            <w:gridSpan w:val="40"/>
          </w:tcPr>
          <w:p>
            <w:pPr>
              <w:spacing w:after="0"/>
              <w:rPr>
                <w:rFonts w:ascii="Times New Roman" w:cs="Times New Roman" w:eastAsia="Times New Roman" w:hAnsi="Times New Roman"/>
                <w:sz w:val="18"/>
                <w:szCs w:val="18"/>
                <w:color w:val="0000FF"/>
              </w:rPr>
            </w:pPr>
            <w:hyperlink r:id="rId203">
              <w:r>
                <w:rPr>
                  <w:rFonts w:ascii="Times New Roman" w:cs="Times New Roman" w:eastAsia="Times New Roman" w:hAnsi="Times New Roman"/>
                  <w:sz w:val="18"/>
                  <w:szCs w:val="18"/>
                  <w:color w:val="0000FF"/>
                </w:rPr>
                <w:t>Form of Performance Stock Unit Agreement between Rackspace Technology, Inc. and certain of its executive officers under the</w:t>
              </w:r>
            </w:hyperlink>
          </w:p>
        </w:tc>
      </w:tr>
      <w:tr>
        <w:trPr>
          <w:trHeight w:val="183"/>
        </w:trPr>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980" w:type="dxa"/>
            <w:vAlign w:val="bottom"/>
            <w:tcBorders>
              <w:top w:val="single" w:sz="8" w:color="0000FF"/>
              <w:bottom w:val="single" w:sz="8" w:color="0000FF"/>
            </w:tcBorders>
            <w:gridSpan w:val="22"/>
          </w:tcPr>
          <w:p>
            <w:pPr>
              <w:spacing w:after="0" w:line="182" w:lineRule="exact"/>
              <w:rPr>
                <w:rFonts w:ascii="Times New Roman" w:cs="Times New Roman" w:eastAsia="Times New Roman" w:hAnsi="Times New Roman"/>
                <w:sz w:val="18"/>
                <w:szCs w:val="18"/>
                <w:color w:val="0000FF"/>
                <w:w w:val="99"/>
              </w:rPr>
            </w:pPr>
            <w:hyperlink r:id="rId203">
              <w:r>
                <w:rPr>
                  <w:rFonts w:ascii="Times New Roman" w:cs="Times New Roman" w:eastAsia="Times New Roman" w:hAnsi="Times New Roman"/>
                  <w:sz w:val="18"/>
                  <w:szCs w:val="18"/>
                  <w:color w:val="0000FF"/>
                  <w:w w:val="99"/>
                </w:rPr>
                <w:t>2020 Equity Incentive Plan (incorporated by reference from Exhibit 10.2 to Rackspace Technology, Inc.’s Form 10-Q for the</w:t>
              </w:r>
            </w:hyperlink>
          </w:p>
        </w:tc>
        <w:tc>
          <w:tcPr>
            <w:tcW w:w="220" w:type="dxa"/>
            <w:vAlign w:val="bottom"/>
            <w:tcBorders>
              <w:top w:val="single" w:sz="8" w:color="0000FF"/>
            </w:tcBorders>
            <w:gridSpan w:val="6"/>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r>
      <w:tr>
        <w:trPr>
          <w:trHeight w:val="196"/>
        </w:trPr>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40" w:type="dxa"/>
            <w:vAlign w:val="bottom"/>
            <w:tcBorders>
              <w:bottom w:val="single" w:sz="8" w:color="0000FF"/>
            </w:tcBorders>
            <w:gridSpan w:val="4"/>
          </w:tcPr>
          <w:p>
            <w:pPr>
              <w:spacing w:after="0" w:line="196" w:lineRule="exact"/>
              <w:rPr>
                <w:rFonts w:ascii="Times New Roman" w:cs="Times New Roman" w:eastAsia="Times New Roman" w:hAnsi="Times New Roman"/>
                <w:sz w:val="18"/>
                <w:szCs w:val="18"/>
                <w:color w:val="0000FF"/>
                <w:w w:val="99"/>
              </w:rPr>
            </w:pPr>
            <w:hyperlink r:id="rId203">
              <w:r>
                <w:rPr>
                  <w:rFonts w:ascii="Times New Roman" w:cs="Times New Roman" w:eastAsia="Times New Roman" w:hAnsi="Times New Roman"/>
                  <w:sz w:val="18"/>
                  <w:szCs w:val="18"/>
                  <w:color w:val="0000FF"/>
                  <w:w w:val="99"/>
                </w:rPr>
                <w:t>quarter ended March 31, 2022)</w:t>
              </w:r>
            </w:hyperlink>
          </w:p>
        </w:tc>
        <w:tc>
          <w:tcPr>
            <w:tcW w:w="7260" w:type="dxa"/>
            <w:vAlign w:val="bottom"/>
            <w:gridSpan w:val="36"/>
          </w:tcPr>
          <w:p>
            <w:pPr>
              <w:spacing w:after="0"/>
              <w:rPr>
                <w:sz w:val="17"/>
                <w:szCs w:val="17"/>
                <w:color w:val="auto"/>
              </w:rPr>
            </w:pPr>
          </w:p>
        </w:tc>
      </w:tr>
      <w:tr>
        <w:trPr>
          <w:trHeight w:val="236"/>
        </w:trPr>
        <w:tc>
          <w:tcPr>
            <w:tcW w:w="96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8"/>
              </w:rPr>
              <w:t>10.29</w:t>
            </w:r>
          </w:p>
        </w:tc>
        <w:tc>
          <w:tcPr>
            <w:tcW w:w="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500" w:type="dxa"/>
            <w:vAlign w:val="bottom"/>
            <w:gridSpan w:val="40"/>
          </w:tcPr>
          <w:p>
            <w:pPr>
              <w:spacing w:after="0"/>
              <w:rPr>
                <w:rFonts w:ascii="Times New Roman" w:cs="Times New Roman" w:eastAsia="Times New Roman" w:hAnsi="Times New Roman"/>
                <w:sz w:val="18"/>
                <w:szCs w:val="18"/>
                <w:color w:val="0000FF"/>
                <w:w w:val="99"/>
              </w:rPr>
            </w:pPr>
            <w:hyperlink r:id="rId204">
              <w:r>
                <w:rPr>
                  <w:rFonts w:ascii="Times New Roman" w:cs="Times New Roman" w:eastAsia="Times New Roman" w:hAnsi="Times New Roman"/>
                  <w:sz w:val="18"/>
                  <w:szCs w:val="18"/>
                  <w:color w:val="0000FF"/>
                  <w:w w:val="99"/>
                </w:rPr>
                <w:t>Form of Cash-Settled Performance Unit Agreement between Rackspace Technology, Inc. and certain of its executive officers under</w:t>
              </w:r>
            </w:hyperlink>
          </w:p>
        </w:tc>
      </w:tr>
      <w:tr>
        <w:trPr>
          <w:trHeight w:val="183"/>
        </w:trPr>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80" w:type="dxa"/>
            <w:vAlign w:val="bottom"/>
            <w:tcBorders>
              <w:top w:val="single" w:sz="8" w:color="0000FF"/>
            </w:tcBorders>
            <w:gridSpan w:val="39"/>
          </w:tcPr>
          <w:p>
            <w:pPr>
              <w:spacing w:after="0" w:line="182" w:lineRule="exact"/>
              <w:rPr>
                <w:rFonts w:ascii="Times New Roman" w:cs="Times New Roman" w:eastAsia="Times New Roman" w:hAnsi="Times New Roman"/>
                <w:sz w:val="18"/>
                <w:szCs w:val="18"/>
                <w:color w:val="0000FF"/>
              </w:rPr>
            </w:pPr>
            <w:hyperlink r:id="rId204">
              <w:r>
                <w:rPr>
                  <w:rFonts w:ascii="Times New Roman" w:cs="Times New Roman" w:eastAsia="Times New Roman" w:hAnsi="Times New Roman"/>
                  <w:sz w:val="18"/>
                  <w:szCs w:val="18"/>
                  <w:color w:val="0000FF"/>
                </w:rPr>
                <w:t>the 2020 Equity Incentive Plan (incorporated by reference from Exhibit 10.1 to Rackspace Technology, Inc.’s Form 10-Q for the</w:t>
              </w:r>
            </w:hyperlink>
          </w:p>
        </w:tc>
        <w:tc>
          <w:tcPr>
            <w:tcW w:w="20" w:type="dxa"/>
            <w:vAlign w:val="bottom"/>
          </w:tcPr>
          <w:p>
            <w:pPr>
              <w:spacing w:after="0"/>
              <w:rPr>
                <w:sz w:val="15"/>
                <w:szCs w:val="15"/>
                <w:color w:val="auto"/>
              </w:rPr>
            </w:pPr>
          </w:p>
        </w:tc>
      </w:tr>
      <w:tr>
        <w:trPr>
          <w:trHeight w:val="196"/>
        </w:trPr>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40" w:type="dxa"/>
            <w:vAlign w:val="bottom"/>
            <w:tcBorders>
              <w:top w:val="single" w:sz="8" w:color="0000FF"/>
              <w:bottom w:val="single" w:sz="8" w:color="0000FF"/>
            </w:tcBorders>
            <w:gridSpan w:val="4"/>
          </w:tcPr>
          <w:p>
            <w:pPr>
              <w:spacing w:after="0" w:line="196" w:lineRule="exact"/>
              <w:rPr>
                <w:rFonts w:ascii="Times New Roman" w:cs="Times New Roman" w:eastAsia="Times New Roman" w:hAnsi="Times New Roman"/>
                <w:sz w:val="18"/>
                <w:szCs w:val="18"/>
                <w:color w:val="0000FF"/>
                <w:w w:val="99"/>
              </w:rPr>
            </w:pPr>
            <w:hyperlink r:id="rId204">
              <w:r>
                <w:rPr>
                  <w:rFonts w:ascii="Times New Roman" w:cs="Times New Roman" w:eastAsia="Times New Roman" w:hAnsi="Times New Roman"/>
                  <w:sz w:val="18"/>
                  <w:szCs w:val="18"/>
                  <w:color w:val="0000FF"/>
                  <w:w w:val="99"/>
                </w:rPr>
                <w:t>quarter ended March 31, 2023)</w:t>
              </w:r>
            </w:hyperlink>
          </w:p>
        </w:tc>
        <w:tc>
          <w:tcPr>
            <w:tcW w:w="7000" w:type="dxa"/>
            <w:vAlign w:val="bottom"/>
            <w:tcBorders>
              <w:top w:val="single" w:sz="8" w:color="0000FF"/>
            </w:tcBorders>
            <w:gridSpan w:val="26"/>
          </w:tcPr>
          <w:p>
            <w:pPr>
              <w:spacing w:after="0"/>
              <w:rPr>
                <w:sz w:val="17"/>
                <w:szCs w:val="17"/>
                <w:color w:val="auto"/>
              </w:rPr>
            </w:pPr>
          </w:p>
        </w:tc>
        <w:tc>
          <w:tcPr>
            <w:tcW w:w="260" w:type="dxa"/>
            <w:vAlign w:val="bottom"/>
            <w:gridSpan w:val="10"/>
          </w:tcPr>
          <w:p>
            <w:pPr>
              <w:spacing w:after="0"/>
              <w:rPr>
                <w:sz w:val="17"/>
                <w:szCs w:val="17"/>
                <w:color w:val="auto"/>
              </w:rPr>
            </w:pPr>
          </w:p>
        </w:tc>
      </w:tr>
      <w:tr>
        <w:trPr>
          <w:trHeight w:val="236"/>
        </w:trPr>
        <w:tc>
          <w:tcPr>
            <w:tcW w:w="96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8"/>
              </w:rPr>
              <w:t>10.30</w:t>
            </w:r>
          </w:p>
        </w:tc>
        <w:tc>
          <w:tcPr>
            <w:tcW w:w="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500" w:type="dxa"/>
            <w:vAlign w:val="bottom"/>
            <w:gridSpan w:val="40"/>
          </w:tcPr>
          <w:p>
            <w:pPr>
              <w:spacing w:after="0"/>
              <w:rPr>
                <w:rFonts w:ascii="Times New Roman" w:cs="Times New Roman" w:eastAsia="Times New Roman" w:hAnsi="Times New Roman"/>
                <w:sz w:val="18"/>
                <w:szCs w:val="18"/>
                <w:color w:val="0000FF"/>
              </w:rPr>
            </w:pPr>
            <w:hyperlink r:id="rId205">
              <w:r>
                <w:rPr>
                  <w:rFonts w:ascii="Times New Roman" w:cs="Times New Roman" w:eastAsia="Times New Roman" w:hAnsi="Times New Roman"/>
                  <w:sz w:val="18"/>
                  <w:szCs w:val="18"/>
                  <w:color w:val="0000FF"/>
                </w:rPr>
                <w:t>Form of Restricted Stock Unit Award Agreement between Rackspace Technology, Inc. and certain of its executive officers under</w:t>
              </w:r>
            </w:hyperlink>
          </w:p>
        </w:tc>
      </w:tr>
      <w:tr>
        <w:trPr>
          <w:trHeight w:val="183"/>
        </w:trPr>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80" w:type="dxa"/>
            <w:vAlign w:val="bottom"/>
            <w:tcBorders>
              <w:top w:val="single" w:sz="8" w:color="0000FF"/>
            </w:tcBorders>
            <w:gridSpan w:val="32"/>
          </w:tcPr>
          <w:p>
            <w:pPr>
              <w:spacing w:after="0" w:line="182" w:lineRule="exact"/>
              <w:rPr>
                <w:rFonts w:ascii="Times New Roman" w:cs="Times New Roman" w:eastAsia="Times New Roman" w:hAnsi="Times New Roman"/>
                <w:sz w:val="18"/>
                <w:szCs w:val="18"/>
                <w:color w:val="0000FF"/>
                <w:w w:val="99"/>
              </w:rPr>
            </w:pPr>
            <w:hyperlink r:id="rId205">
              <w:r>
                <w:rPr>
                  <w:rFonts w:ascii="Times New Roman" w:cs="Times New Roman" w:eastAsia="Times New Roman" w:hAnsi="Times New Roman"/>
                  <w:sz w:val="18"/>
                  <w:szCs w:val="18"/>
                  <w:color w:val="0000FF"/>
                  <w:w w:val="99"/>
                </w:rPr>
                <w:t>the 2020 Equity Incentive Plan (incorporated by reference from Exhibit 10.2 to Rackspace Technology, Inc.’s Form 10-Q for the</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r>
      <w:tr>
        <w:trPr>
          <w:trHeight w:val="196"/>
        </w:trPr>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100" w:type="dxa"/>
            <w:vAlign w:val="bottom"/>
            <w:tcBorders>
              <w:top w:val="single" w:sz="8" w:color="0000FF"/>
              <w:bottom w:val="single" w:sz="8" w:color="0000FF"/>
            </w:tcBorders>
            <w:gridSpan w:val="3"/>
          </w:tcPr>
          <w:p>
            <w:pPr>
              <w:spacing w:after="0" w:line="196" w:lineRule="exact"/>
              <w:rPr>
                <w:rFonts w:ascii="Times New Roman" w:cs="Times New Roman" w:eastAsia="Times New Roman" w:hAnsi="Times New Roman"/>
                <w:sz w:val="18"/>
                <w:szCs w:val="18"/>
                <w:color w:val="0000FF"/>
                <w:w w:val="99"/>
              </w:rPr>
            </w:pPr>
            <w:hyperlink r:id="rId205">
              <w:r>
                <w:rPr>
                  <w:rFonts w:ascii="Times New Roman" w:cs="Times New Roman" w:eastAsia="Times New Roman" w:hAnsi="Times New Roman"/>
                  <w:sz w:val="18"/>
                  <w:szCs w:val="18"/>
                  <w:color w:val="0000FF"/>
                  <w:w w:val="99"/>
                </w:rPr>
                <w:t>quarter ended June 30, 2024)</w:t>
              </w:r>
            </w:hyperlink>
          </w:p>
        </w:tc>
        <w:tc>
          <w:tcPr>
            <w:tcW w:w="7140" w:type="dxa"/>
            <w:vAlign w:val="bottom"/>
            <w:tcBorders>
              <w:top w:val="single" w:sz="8" w:color="0000FF"/>
            </w:tcBorders>
            <w:gridSpan w:val="27"/>
          </w:tcPr>
          <w:p>
            <w:pPr>
              <w:spacing w:after="0"/>
              <w:rPr>
                <w:sz w:val="17"/>
                <w:szCs w:val="17"/>
                <w:color w:val="auto"/>
              </w:rPr>
            </w:pPr>
          </w:p>
        </w:tc>
        <w:tc>
          <w:tcPr>
            <w:tcW w:w="260" w:type="dxa"/>
            <w:vAlign w:val="bottom"/>
            <w:gridSpan w:val="10"/>
          </w:tcPr>
          <w:p>
            <w:pPr>
              <w:spacing w:after="0"/>
              <w:rPr>
                <w:sz w:val="17"/>
                <w:szCs w:val="17"/>
                <w:color w:val="auto"/>
              </w:rPr>
            </w:pPr>
          </w:p>
        </w:tc>
      </w:tr>
      <w:tr>
        <w:trPr>
          <w:trHeight w:val="236"/>
        </w:trPr>
        <w:tc>
          <w:tcPr>
            <w:tcW w:w="96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8"/>
              </w:rPr>
              <w:t>10.31</w:t>
            </w:r>
          </w:p>
        </w:tc>
        <w:tc>
          <w:tcPr>
            <w:tcW w:w="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500" w:type="dxa"/>
            <w:vAlign w:val="bottom"/>
            <w:gridSpan w:val="40"/>
          </w:tcPr>
          <w:p>
            <w:pPr>
              <w:spacing w:after="0"/>
              <w:rPr>
                <w:rFonts w:ascii="Times New Roman" w:cs="Times New Roman" w:eastAsia="Times New Roman" w:hAnsi="Times New Roman"/>
                <w:sz w:val="18"/>
                <w:szCs w:val="18"/>
                <w:color w:val="0000FF"/>
              </w:rPr>
            </w:pPr>
            <w:hyperlink r:id="rId206">
              <w:r>
                <w:rPr>
                  <w:rFonts w:ascii="Times New Roman" w:cs="Times New Roman" w:eastAsia="Times New Roman" w:hAnsi="Times New Roman"/>
                  <w:sz w:val="18"/>
                  <w:szCs w:val="18"/>
                  <w:color w:val="0000FF"/>
                </w:rPr>
                <w:t>Form of Cash-Settled Performance Award Agreement between Rackspace Technology, Inc. and certain of its executive officers</w:t>
              </w:r>
            </w:hyperlink>
          </w:p>
        </w:tc>
      </w:tr>
      <w:tr>
        <w:trPr>
          <w:trHeight w:val="183"/>
        </w:trPr>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160" w:type="dxa"/>
            <w:vAlign w:val="bottom"/>
            <w:tcBorders>
              <w:top w:val="single" w:sz="8" w:color="0000FF"/>
              <w:bottom w:val="single" w:sz="8" w:color="0000FF"/>
            </w:tcBorders>
            <w:gridSpan w:val="27"/>
          </w:tcPr>
          <w:p>
            <w:pPr>
              <w:spacing w:after="0" w:line="182" w:lineRule="exact"/>
              <w:rPr>
                <w:rFonts w:ascii="Times New Roman" w:cs="Times New Roman" w:eastAsia="Times New Roman" w:hAnsi="Times New Roman"/>
                <w:sz w:val="18"/>
                <w:szCs w:val="18"/>
                <w:color w:val="0000FF"/>
                <w:w w:val="99"/>
              </w:rPr>
            </w:pPr>
            <w:hyperlink r:id="rId206">
              <w:r>
                <w:rPr>
                  <w:rFonts w:ascii="Times New Roman" w:cs="Times New Roman" w:eastAsia="Times New Roman" w:hAnsi="Times New Roman"/>
                  <w:sz w:val="18"/>
                  <w:szCs w:val="18"/>
                  <w:color w:val="0000FF"/>
                  <w:w w:val="99"/>
                </w:rPr>
                <w:t>under the 2020 Equity Incentive Plan (incorporated by reference from Exhibit 10.3 to Rackspace Technology, Inc.’s Form 10-Q</w:t>
              </w:r>
            </w:hyperlink>
          </w:p>
        </w:tc>
        <w:tc>
          <w:tcPr>
            <w:tcW w:w="280" w:type="dxa"/>
            <w:vAlign w:val="bottom"/>
            <w:tcBorders>
              <w:bottom w:val="single" w:sz="8" w:color="0000FF"/>
            </w:tcBorders>
            <w:gridSpan w:val="10"/>
          </w:tcPr>
          <w:p>
            <w:pPr>
              <w:ind w:left="60"/>
              <w:spacing w:after="0" w:line="182" w:lineRule="exact"/>
              <w:rPr>
                <w:rFonts w:ascii="Times New Roman" w:cs="Times New Roman" w:eastAsia="Times New Roman" w:hAnsi="Times New Roman"/>
                <w:sz w:val="18"/>
                <w:szCs w:val="18"/>
                <w:color w:val="0000FF"/>
                <w:w w:val="95"/>
              </w:rPr>
            </w:pPr>
            <w:hyperlink r:id="rId206">
              <w:r>
                <w:rPr>
                  <w:rFonts w:ascii="Times New Roman" w:cs="Times New Roman" w:eastAsia="Times New Roman" w:hAnsi="Times New Roman"/>
                  <w:sz w:val="18"/>
                  <w:szCs w:val="18"/>
                  <w:color w:val="0000FF"/>
                  <w:w w:val="95"/>
                </w:rPr>
                <w:t>for</w:t>
              </w:r>
            </w:hyperlink>
          </w:p>
        </w:tc>
        <w:tc>
          <w:tcPr>
            <w:tcW w:w="60" w:type="dxa"/>
            <w:vAlign w:val="bottom"/>
            <w:gridSpan w:val="3"/>
          </w:tcPr>
          <w:p>
            <w:pPr>
              <w:spacing w:after="0"/>
              <w:rPr>
                <w:sz w:val="15"/>
                <w:szCs w:val="15"/>
                <w:color w:val="auto"/>
              </w:rPr>
            </w:pPr>
          </w:p>
        </w:tc>
      </w:tr>
      <w:tr>
        <w:trPr>
          <w:trHeight w:val="196"/>
        </w:trPr>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360" w:type="dxa"/>
            <w:vAlign w:val="bottom"/>
            <w:tcBorders>
              <w:bottom w:val="single" w:sz="8" w:color="0000FF"/>
            </w:tcBorders>
            <w:gridSpan w:val="5"/>
          </w:tcPr>
          <w:p>
            <w:pPr>
              <w:spacing w:after="0" w:line="196" w:lineRule="exact"/>
              <w:rPr>
                <w:rFonts w:ascii="Times New Roman" w:cs="Times New Roman" w:eastAsia="Times New Roman" w:hAnsi="Times New Roman"/>
                <w:sz w:val="18"/>
                <w:szCs w:val="18"/>
                <w:color w:val="0000FF"/>
                <w:w w:val="99"/>
              </w:rPr>
            </w:pPr>
            <w:hyperlink r:id="rId206">
              <w:r>
                <w:rPr>
                  <w:rFonts w:ascii="Times New Roman" w:cs="Times New Roman" w:eastAsia="Times New Roman" w:hAnsi="Times New Roman"/>
                  <w:sz w:val="18"/>
                  <w:szCs w:val="18"/>
                  <w:color w:val="0000FF"/>
                  <w:w w:val="99"/>
                </w:rPr>
                <w:t>the quarter ended June 30, 2024)</w:t>
              </w:r>
            </w:hyperlink>
          </w:p>
        </w:tc>
        <w:tc>
          <w:tcPr>
            <w:tcW w:w="7140" w:type="dxa"/>
            <w:vAlign w:val="bottom"/>
            <w:gridSpan w:val="35"/>
          </w:tcPr>
          <w:p>
            <w:pPr>
              <w:spacing w:after="0"/>
              <w:rPr>
                <w:sz w:val="17"/>
                <w:szCs w:val="17"/>
                <w:color w:val="auto"/>
              </w:rPr>
            </w:pPr>
          </w:p>
        </w:tc>
      </w:tr>
      <w:tr>
        <w:trPr>
          <w:trHeight w:val="236"/>
        </w:trPr>
        <w:tc>
          <w:tcPr>
            <w:tcW w:w="96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8"/>
              </w:rPr>
              <w:t>10.32</w:t>
            </w:r>
          </w:p>
        </w:tc>
        <w:tc>
          <w:tcPr>
            <w:tcW w:w="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500" w:type="dxa"/>
            <w:vAlign w:val="bottom"/>
            <w:gridSpan w:val="40"/>
          </w:tcPr>
          <w:p>
            <w:pPr>
              <w:spacing w:after="0"/>
              <w:rPr>
                <w:rFonts w:ascii="Times New Roman" w:cs="Times New Roman" w:eastAsia="Times New Roman" w:hAnsi="Times New Roman"/>
                <w:sz w:val="18"/>
                <w:szCs w:val="18"/>
                <w:color w:val="0000FF"/>
              </w:rPr>
            </w:pPr>
            <w:hyperlink r:id="rId207">
              <w:r>
                <w:rPr>
                  <w:rFonts w:ascii="Times New Roman" w:cs="Times New Roman" w:eastAsia="Times New Roman" w:hAnsi="Times New Roman"/>
                  <w:sz w:val="18"/>
                  <w:szCs w:val="18"/>
                  <w:color w:val="0000FF"/>
                </w:rPr>
                <w:t>Form of Restricted Stock Unit Award Agreement between Rackspace Technology, Inc. and certain of its directors under the 2020</w:t>
              </w:r>
            </w:hyperlink>
          </w:p>
        </w:tc>
      </w:tr>
      <w:tr>
        <w:trPr>
          <w:trHeight w:val="183"/>
        </w:trPr>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300" w:type="dxa"/>
            <w:vAlign w:val="bottom"/>
            <w:tcBorders>
              <w:top w:val="single" w:sz="8" w:color="0000FF"/>
            </w:tcBorders>
            <w:gridSpan w:val="33"/>
          </w:tcPr>
          <w:p>
            <w:pPr>
              <w:spacing w:after="0" w:line="182" w:lineRule="exact"/>
              <w:rPr>
                <w:rFonts w:ascii="Times New Roman" w:cs="Times New Roman" w:eastAsia="Times New Roman" w:hAnsi="Times New Roman"/>
                <w:sz w:val="18"/>
                <w:szCs w:val="18"/>
                <w:color w:val="0000FF"/>
              </w:rPr>
            </w:pPr>
            <w:hyperlink r:id="rId207">
              <w:r>
                <w:rPr>
                  <w:rFonts w:ascii="Times New Roman" w:cs="Times New Roman" w:eastAsia="Times New Roman" w:hAnsi="Times New Roman"/>
                  <w:sz w:val="18"/>
                  <w:szCs w:val="18"/>
                  <w:color w:val="0000FF"/>
                </w:rPr>
                <w:t>Equity Incentive Plan (incorporated by reference from Exhibit 10.4 to Rackspace Technology, Inc.’s Form 10-Q for the quarter</w:t>
              </w:r>
            </w:hyperlink>
          </w:p>
        </w:tc>
        <w:tc>
          <w:tcPr>
            <w:tcW w:w="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120" w:type="dxa"/>
            <w:vAlign w:val="bottom"/>
            <w:gridSpan w:val="4"/>
          </w:tcPr>
          <w:p>
            <w:pPr>
              <w:spacing w:after="0"/>
              <w:rPr>
                <w:sz w:val="15"/>
                <w:szCs w:val="15"/>
                <w:color w:val="auto"/>
              </w:rPr>
            </w:pPr>
          </w:p>
        </w:tc>
      </w:tr>
      <w:tr>
        <w:trPr>
          <w:trHeight w:val="196"/>
        </w:trPr>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40" w:type="dxa"/>
            <w:vAlign w:val="bottom"/>
            <w:tcBorders>
              <w:top w:val="single" w:sz="8" w:color="0000FF"/>
              <w:bottom w:val="single" w:sz="8" w:color="0000FF"/>
            </w:tcBorders>
          </w:tcPr>
          <w:p>
            <w:pPr>
              <w:spacing w:after="0" w:line="196" w:lineRule="exact"/>
              <w:rPr>
                <w:rFonts w:ascii="Times New Roman" w:cs="Times New Roman" w:eastAsia="Times New Roman" w:hAnsi="Times New Roman"/>
                <w:sz w:val="18"/>
                <w:szCs w:val="18"/>
                <w:color w:val="0000FF"/>
                <w:w w:val="98"/>
              </w:rPr>
            </w:pPr>
            <w:hyperlink r:id="rId207">
              <w:r>
                <w:rPr>
                  <w:rFonts w:ascii="Times New Roman" w:cs="Times New Roman" w:eastAsia="Times New Roman" w:hAnsi="Times New Roman"/>
                  <w:sz w:val="18"/>
                  <w:szCs w:val="18"/>
                  <w:color w:val="0000FF"/>
                  <w:w w:val="98"/>
                </w:rPr>
                <w:t>ended June 30, 2024)</w:t>
              </w:r>
            </w:hyperlink>
          </w:p>
        </w:tc>
        <w:tc>
          <w:tcPr>
            <w:tcW w:w="7580" w:type="dxa"/>
            <w:vAlign w:val="bottom"/>
            <w:tcBorders>
              <w:top w:val="single" w:sz="8" w:color="0000FF"/>
            </w:tcBorders>
            <w:gridSpan w:val="25"/>
          </w:tcPr>
          <w:p>
            <w:pPr>
              <w:spacing w:after="0"/>
              <w:rPr>
                <w:sz w:val="17"/>
                <w:szCs w:val="17"/>
                <w:color w:val="auto"/>
              </w:rPr>
            </w:pPr>
          </w:p>
        </w:tc>
        <w:tc>
          <w:tcPr>
            <w:tcW w:w="380" w:type="dxa"/>
            <w:vAlign w:val="bottom"/>
            <w:gridSpan w:val="14"/>
          </w:tcPr>
          <w:p>
            <w:pPr>
              <w:spacing w:after="0"/>
              <w:rPr>
                <w:sz w:val="17"/>
                <w:szCs w:val="17"/>
                <w:color w:val="auto"/>
              </w:rPr>
            </w:pPr>
          </w:p>
        </w:tc>
      </w:tr>
      <w:tr>
        <w:trPr>
          <w:trHeight w:val="236"/>
        </w:trPr>
        <w:tc>
          <w:tcPr>
            <w:tcW w:w="96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8"/>
              </w:rPr>
              <w:t>10.33</w:t>
            </w:r>
          </w:p>
        </w:tc>
        <w:tc>
          <w:tcPr>
            <w:tcW w:w="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500" w:type="dxa"/>
            <w:vAlign w:val="bottom"/>
            <w:gridSpan w:val="40"/>
          </w:tcPr>
          <w:p>
            <w:pPr>
              <w:spacing w:after="0"/>
              <w:rPr>
                <w:rFonts w:ascii="Times New Roman" w:cs="Times New Roman" w:eastAsia="Times New Roman" w:hAnsi="Times New Roman"/>
                <w:sz w:val="18"/>
                <w:szCs w:val="18"/>
                <w:color w:val="0000FF"/>
              </w:rPr>
            </w:pPr>
            <w:hyperlink r:id="rId208">
              <w:r>
                <w:rPr>
                  <w:rFonts w:ascii="Times New Roman" w:cs="Times New Roman" w:eastAsia="Times New Roman" w:hAnsi="Times New Roman"/>
                  <w:sz w:val="18"/>
                  <w:szCs w:val="18"/>
                  <w:color w:val="0000FF"/>
                </w:rPr>
                <w:t>Rackspace Technology, Inc. Equity Incentive Plan, dated as of April 7, 2017 (incorporated by reference from Exhibit 10.27 to</w:t>
              </w:r>
            </w:hyperlink>
          </w:p>
        </w:tc>
      </w:tr>
      <w:tr>
        <w:trPr>
          <w:trHeight w:val="183"/>
        </w:trPr>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0" w:type="dxa"/>
            <w:vAlign w:val="bottom"/>
            <w:tcBorders>
              <w:top w:val="single" w:sz="8" w:color="0000FF"/>
              <w:bottom w:val="single" w:sz="8" w:color="0000FF"/>
            </w:tcBorders>
            <w:gridSpan w:val="18"/>
          </w:tcPr>
          <w:p>
            <w:pPr>
              <w:spacing w:after="0" w:line="182" w:lineRule="exact"/>
              <w:rPr>
                <w:rFonts w:ascii="Times New Roman" w:cs="Times New Roman" w:eastAsia="Times New Roman" w:hAnsi="Times New Roman"/>
                <w:sz w:val="18"/>
                <w:szCs w:val="18"/>
                <w:color w:val="0000FF"/>
                <w:w w:val="99"/>
              </w:rPr>
            </w:pPr>
            <w:hyperlink r:id="rId208">
              <w:r>
                <w:rPr>
                  <w:rFonts w:ascii="Times New Roman" w:cs="Times New Roman" w:eastAsia="Times New Roman" w:hAnsi="Times New Roman"/>
                  <w:sz w:val="18"/>
                  <w:szCs w:val="18"/>
                  <w:color w:val="0000FF"/>
                  <w:w w:val="99"/>
                </w:rPr>
                <w:t>Rackspace Technology, Inc.’s Amendment No. 2 to Registration Statement on Form S-1/A filed on July 27, 2020)</w:t>
              </w:r>
            </w:hyperlink>
          </w:p>
        </w:tc>
        <w:tc>
          <w:tcPr>
            <w:tcW w:w="880" w:type="dxa"/>
            <w:vAlign w:val="bottom"/>
            <w:tcBorders>
              <w:top w:val="single" w:sz="8" w:color="0000FF"/>
            </w:tcBorders>
            <w:gridSpan w:val="6"/>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gridSpan w:val="5"/>
          </w:tcPr>
          <w:p>
            <w:pPr>
              <w:spacing w:after="0"/>
              <w:rPr>
                <w:sz w:val="15"/>
                <w:szCs w:val="15"/>
                <w:color w:val="auto"/>
              </w:rPr>
            </w:pPr>
          </w:p>
        </w:tc>
        <w:tc>
          <w:tcPr>
            <w:tcW w:w="80" w:type="dxa"/>
            <w:vAlign w:val="bottom"/>
            <w:gridSpan w:val="4"/>
          </w:tcPr>
          <w:p>
            <w:pPr>
              <w:spacing w:after="0"/>
              <w:rPr>
                <w:sz w:val="15"/>
                <w:szCs w:val="15"/>
                <w:color w:val="auto"/>
              </w:rPr>
            </w:pPr>
          </w:p>
        </w:tc>
        <w:tc>
          <w:tcPr>
            <w:tcW w:w="60" w:type="dxa"/>
            <w:vAlign w:val="bottom"/>
            <w:gridSpan w:val="2"/>
          </w:tcPr>
          <w:p>
            <w:pPr>
              <w:spacing w:after="0"/>
              <w:rPr>
                <w:sz w:val="15"/>
                <w:szCs w:val="15"/>
                <w:color w:val="auto"/>
              </w:rPr>
            </w:pPr>
          </w:p>
        </w:tc>
        <w:tc>
          <w:tcPr>
            <w:tcW w:w="120" w:type="dxa"/>
            <w:vAlign w:val="bottom"/>
            <w:gridSpan w:val="4"/>
          </w:tcPr>
          <w:p>
            <w:pPr>
              <w:spacing w:after="0"/>
              <w:rPr>
                <w:sz w:val="15"/>
                <w:szCs w:val="15"/>
                <w:color w:val="auto"/>
              </w:rPr>
            </w:pPr>
          </w:p>
        </w:tc>
      </w:tr>
      <w:tr>
        <w:trPr>
          <w:trHeight w:val="250"/>
        </w:trPr>
        <w:tc>
          <w:tcPr>
            <w:tcW w:w="96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8"/>
              </w:rPr>
              <w:t>10.34</w:t>
            </w:r>
          </w:p>
        </w:tc>
        <w:tc>
          <w:tcPr>
            <w:tcW w:w="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500" w:type="dxa"/>
            <w:vAlign w:val="bottom"/>
            <w:gridSpan w:val="40"/>
          </w:tcPr>
          <w:p>
            <w:pPr>
              <w:spacing w:after="0"/>
              <w:rPr>
                <w:rFonts w:ascii="Times New Roman" w:cs="Times New Roman" w:eastAsia="Times New Roman" w:hAnsi="Times New Roman"/>
                <w:sz w:val="18"/>
                <w:szCs w:val="18"/>
                <w:color w:val="0000FF"/>
              </w:rPr>
            </w:pPr>
            <w:hyperlink r:id="rId209">
              <w:r>
                <w:rPr>
                  <w:rFonts w:ascii="Times New Roman" w:cs="Times New Roman" w:eastAsia="Times New Roman" w:hAnsi="Times New Roman"/>
                  <w:sz w:val="18"/>
                  <w:szCs w:val="18"/>
                  <w:color w:val="0000FF"/>
                </w:rPr>
                <w:t>Rackspace Technology, Inc. 2020 Equity Incentive Plan (incorporated by reference from Exhibit 4.2 to Rackspace Technology</w:t>
              </w:r>
            </w:hyperlink>
          </w:p>
        </w:tc>
      </w:tr>
      <w:tr>
        <w:trPr>
          <w:trHeight w:val="183"/>
        </w:trPr>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100" w:type="dxa"/>
            <w:vAlign w:val="bottom"/>
            <w:tcBorders>
              <w:top w:val="single" w:sz="8" w:color="0000FF"/>
            </w:tcBorders>
            <w:gridSpan w:val="25"/>
          </w:tcPr>
          <w:p>
            <w:pPr>
              <w:spacing w:after="0" w:line="182" w:lineRule="exact"/>
              <w:rPr>
                <w:rFonts w:ascii="Times New Roman" w:cs="Times New Roman" w:eastAsia="Times New Roman" w:hAnsi="Times New Roman"/>
                <w:sz w:val="18"/>
                <w:szCs w:val="18"/>
                <w:color w:val="0000FF"/>
              </w:rPr>
            </w:pPr>
            <w:hyperlink r:id="rId209">
              <w:r>
                <w:rPr>
                  <w:rFonts w:ascii="Times New Roman" w:cs="Times New Roman" w:eastAsia="Times New Roman" w:hAnsi="Times New Roman"/>
                  <w:sz w:val="18"/>
                  <w:szCs w:val="18"/>
                  <w:color w:val="0000FF"/>
                </w:rPr>
                <w:t>Inc.’s Registration Statement on Form S-8 filed on August 5, 2020)</w:t>
              </w:r>
            </w:hyperlink>
          </w:p>
        </w:tc>
        <w:tc>
          <w:tcPr>
            <w:tcW w:w="140" w:type="dxa"/>
            <w:vAlign w:val="bottom"/>
            <w:gridSpan w:val="5"/>
          </w:tcPr>
          <w:p>
            <w:pPr>
              <w:spacing w:after="0"/>
              <w:rPr>
                <w:sz w:val="15"/>
                <w:szCs w:val="15"/>
                <w:color w:val="auto"/>
              </w:rPr>
            </w:pPr>
          </w:p>
        </w:tc>
        <w:tc>
          <w:tcPr>
            <w:tcW w:w="80" w:type="dxa"/>
            <w:vAlign w:val="bottom"/>
            <w:gridSpan w:val="4"/>
          </w:tcPr>
          <w:p>
            <w:pPr>
              <w:spacing w:after="0"/>
              <w:rPr>
                <w:sz w:val="15"/>
                <w:szCs w:val="15"/>
                <w:color w:val="auto"/>
              </w:rPr>
            </w:pPr>
          </w:p>
        </w:tc>
        <w:tc>
          <w:tcPr>
            <w:tcW w:w="60" w:type="dxa"/>
            <w:vAlign w:val="bottom"/>
            <w:gridSpan w:val="2"/>
          </w:tcPr>
          <w:p>
            <w:pPr>
              <w:spacing w:after="0"/>
              <w:rPr>
                <w:sz w:val="15"/>
                <w:szCs w:val="15"/>
                <w:color w:val="auto"/>
              </w:rPr>
            </w:pPr>
          </w:p>
        </w:tc>
        <w:tc>
          <w:tcPr>
            <w:tcW w:w="120" w:type="dxa"/>
            <w:vAlign w:val="bottom"/>
            <w:gridSpan w:val="4"/>
          </w:tcPr>
          <w:p>
            <w:pPr>
              <w:spacing w:after="0"/>
              <w:rPr>
                <w:sz w:val="15"/>
                <w:szCs w:val="15"/>
                <w:color w:val="auto"/>
              </w:rPr>
            </w:pPr>
          </w:p>
        </w:tc>
      </w:tr>
      <w:tr>
        <w:trPr>
          <w:trHeight w:val="20"/>
        </w:trPr>
        <w:tc>
          <w:tcPr>
            <w:tcW w:w="9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60" w:type="dxa"/>
            <w:vAlign w:val="bottom"/>
            <w:gridSpan w:val="2"/>
            <w:shd w:val="clear" w:color="auto" w:fill="0000FF"/>
          </w:tcPr>
          <w:p>
            <w:pPr>
              <w:spacing w:after="0" w:line="20" w:lineRule="exact"/>
              <w:rPr>
                <w:sz w:val="1"/>
                <w:szCs w:val="1"/>
                <w:color w:val="auto"/>
              </w:rPr>
            </w:pPr>
          </w:p>
        </w:tc>
        <w:tc>
          <w:tcPr>
            <w:tcW w:w="1820" w:type="dxa"/>
            <w:vAlign w:val="bottom"/>
            <w:gridSpan w:val="5"/>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gridSpan w:val="7"/>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r>
      <w:tr>
        <w:trPr>
          <w:trHeight w:val="250"/>
        </w:trPr>
        <w:tc>
          <w:tcPr>
            <w:tcW w:w="96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8"/>
              </w:rPr>
              <w:t>10.35</w:t>
            </w:r>
          </w:p>
        </w:tc>
        <w:tc>
          <w:tcPr>
            <w:tcW w:w="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500" w:type="dxa"/>
            <w:vAlign w:val="bottom"/>
            <w:gridSpan w:val="40"/>
          </w:tcPr>
          <w:p>
            <w:pPr>
              <w:spacing w:after="0"/>
              <w:rPr>
                <w:rFonts w:ascii="Times New Roman" w:cs="Times New Roman" w:eastAsia="Times New Roman" w:hAnsi="Times New Roman"/>
                <w:sz w:val="18"/>
                <w:szCs w:val="18"/>
                <w:color w:val="0000FF"/>
              </w:rPr>
            </w:pPr>
            <w:hyperlink r:id="rId210">
              <w:r>
                <w:rPr>
                  <w:rFonts w:ascii="Times New Roman" w:cs="Times New Roman" w:eastAsia="Times New Roman" w:hAnsi="Times New Roman"/>
                  <w:sz w:val="18"/>
                  <w:szCs w:val="18"/>
                  <w:color w:val="0000FF"/>
                </w:rPr>
                <w:t>Rackspace Technology, Inc. Amendment No. 1 to 2020 Equity Incentive Plan (incorporated by reference from Exhibit 10.1 to</w:t>
              </w:r>
            </w:hyperlink>
          </w:p>
        </w:tc>
      </w:tr>
      <w:tr>
        <w:trPr>
          <w:trHeight w:val="183"/>
        </w:trPr>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80" w:type="dxa"/>
            <w:vAlign w:val="bottom"/>
            <w:tcBorders>
              <w:top w:val="single" w:sz="8" w:color="0000FF"/>
            </w:tcBorders>
            <w:gridSpan w:val="24"/>
          </w:tcPr>
          <w:p>
            <w:pPr>
              <w:spacing w:after="0" w:line="182" w:lineRule="exact"/>
              <w:rPr>
                <w:rFonts w:ascii="Times New Roman" w:cs="Times New Roman" w:eastAsia="Times New Roman" w:hAnsi="Times New Roman"/>
                <w:sz w:val="18"/>
                <w:szCs w:val="18"/>
                <w:color w:val="0000FF"/>
              </w:rPr>
            </w:pPr>
            <w:hyperlink r:id="rId210">
              <w:r>
                <w:rPr>
                  <w:rFonts w:ascii="Times New Roman" w:cs="Times New Roman" w:eastAsia="Times New Roman" w:hAnsi="Times New Roman"/>
                  <w:sz w:val="18"/>
                  <w:szCs w:val="18"/>
                  <w:color w:val="0000FF"/>
                </w:rPr>
                <w:t>Rackspace Technology, Inc.’s Form 10-Q for the quarter ended June 30, 2022)</w:t>
              </w:r>
            </w:hyperlink>
          </w:p>
        </w:tc>
        <w:tc>
          <w:tcPr>
            <w:tcW w:w="160" w:type="dxa"/>
            <w:vAlign w:val="bottom"/>
            <w:gridSpan w:val="6"/>
          </w:tcPr>
          <w:p>
            <w:pPr>
              <w:spacing w:after="0"/>
              <w:rPr>
                <w:sz w:val="15"/>
                <w:szCs w:val="15"/>
                <w:color w:val="auto"/>
              </w:rPr>
            </w:pPr>
          </w:p>
        </w:tc>
        <w:tc>
          <w:tcPr>
            <w:tcW w:w="80" w:type="dxa"/>
            <w:vAlign w:val="bottom"/>
            <w:gridSpan w:val="4"/>
          </w:tcPr>
          <w:p>
            <w:pPr>
              <w:spacing w:after="0"/>
              <w:rPr>
                <w:sz w:val="15"/>
                <w:szCs w:val="15"/>
                <w:color w:val="auto"/>
              </w:rPr>
            </w:pPr>
          </w:p>
        </w:tc>
        <w:tc>
          <w:tcPr>
            <w:tcW w:w="60" w:type="dxa"/>
            <w:vAlign w:val="bottom"/>
            <w:gridSpan w:val="2"/>
          </w:tcPr>
          <w:p>
            <w:pPr>
              <w:spacing w:after="0"/>
              <w:rPr>
                <w:sz w:val="15"/>
                <w:szCs w:val="15"/>
                <w:color w:val="auto"/>
              </w:rPr>
            </w:pPr>
          </w:p>
        </w:tc>
        <w:tc>
          <w:tcPr>
            <w:tcW w:w="120" w:type="dxa"/>
            <w:vAlign w:val="bottom"/>
            <w:gridSpan w:val="4"/>
          </w:tcPr>
          <w:p>
            <w:pPr>
              <w:spacing w:after="0"/>
              <w:rPr>
                <w:sz w:val="15"/>
                <w:szCs w:val="15"/>
                <w:color w:val="auto"/>
              </w:rPr>
            </w:pPr>
          </w:p>
        </w:tc>
      </w:tr>
      <w:tr>
        <w:trPr>
          <w:trHeight w:val="20"/>
        </w:trPr>
        <w:tc>
          <w:tcPr>
            <w:tcW w:w="9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60" w:type="dxa"/>
            <w:vAlign w:val="bottom"/>
            <w:gridSpan w:val="2"/>
            <w:shd w:val="clear" w:color="auto" w:fill="0000FF"/>
          </w:tcPr>
          <w:p>
            <w:pPr>
              <w:spacing w:after="0" w:line="20" w:lineRule="exact"/>
              <w:rPr>
                <w:sz w:val="1"/>
                <w:szCs w:val="1"/>
                <w:color w:val="auto"/>
              </w:rPr>
            </w:pPr>
          </w:p>
        </w:tc>
        <w:tc>
          <w:tcPr>
            <w:tcW w:w="1820" w:type="dxa"/>
            <w:vAlign w:val="bottom"/>
            <w:gridSpan w:val="5"/>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gridSpan w:val="7"/>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r>
      <w:tr>
        <w:trPr>
          <w:trHeight w:val="250"/>
        </w:trPr>
        <w:tc>
          <w:tcPr>
            <w:tcW w:w="96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8"/>
              </w:rPr>
              <w:t>10.36</w:t>
            </w:r>
          </w:p>
        </w:tc>
        <w:tc>
          <w:tcPr>
            <w:tcW w:w="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500" w:type="dxa"/>
            <w:vAlign w:val="bottom"/>
            <w:gridSpan w:val="40"/>
          </w:tcPr>
          <w:p>
            <w:pPr>
              <w:spacing w:after="0"/>
              <w:rPr>
                <w:rFonts w:ascii="Times New Roman" w:cs="Times New Roman" w:eastAsia="Times New Roman" w:hAnsi="Times New Roman"/>
                <w:sz w:val="18"/>
                <w:szCs w:val="18"/>
                <w:color w:val="0000FF"/>
              </w:rPr>
            </w:pPr>
            <w:hyperlink r:id="rId211">
              <w:r>
                <w:rPr>
                  <w:rFonts w:ascii="Times New Roman" w:cs="Times New Roman" w:eastAsia="Times New Roman" w:hAnsi="Times New Roman"/>
                  <w:sz w:val="18"/>
                  <w:szCs w:val="18"/>
                  <w:color w:val="0000FF"/>
                </w:rPr>
                <w:t>Rackspace Technology, Inc. Amendment No. 2 to 2020 Equity Incentive Plan (incorporated by reference from Exhibit 10.1 to</w:t>
              </w:r>
            </w:hyperlink>
          </w:p>
        </w:tc>
      </w:tr>
      <w:tr>
        <w:trPr>
          <w:trHeight w:val="183"/>
        </w:trPr>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80" w:type="dxa"/>
            <w:vAlign w:val="bottom"/>
            <w:tcBorders>
              <w:top w:val="single" w:sz="8" w:color="0000FF"/>
            </w:tcBorders>
            <w:gridSpan w:val="24"/>
          </w:tcPr>
          <w:p>
            <w:pPr>
              <w:spacing w:after="0" w:line="182" w:lineRule="exact"/>
              <w:rPr>
                <w:rFonts w:ascii="Times New Roman" w:cs="Times New Roman" w:eastAsia="Times New Roman" w:hAnsi="Times New Roman"/>
                <w:sz w:val="18"/>
                <w:szCs w:val="18"/>
                <w:color w:val="0000FF"/>
              </w:rPr>
            </w:pPr>
            <w:hyperlink r:id="rId211">
              <w:r>
                <w:rPr>
                  <w:rFonts w:ascii="Times New Roman" w:cs="Times New Roman" w:eastAsia="Times New Roman" w:hAnsi="Times New Roman"/>
                  <w:sz w:val="18"/>
                  <w:szCs w:val="18"/>
                  <w:color w:val="0000FF"/>
                </w:rPr>
                <w:t>Rackspace Technology, Inc.’s Form 10-Q for the quarter ended June 30, 2023)</w:t>
              </w:r>
            </w:hyperlink>
          </w:p>
        </w:tc>
        <w:tc>
          <w:tcPr>
            <w:tcW w:w="160" w:type="dxa"/>
            <w:vAlign w:val="bottom"/>
            <w:gridSpan w:val="6"/>
          </w:tcPr>
          <w:p>
            <w:pPr>
              <w:spacing w:after="0"/>
              <w:rPr>
                <w:sz w:val="15"/>
                <w:szCs w:val="15"/>
                <w:color w:val="auto"/>
              </w:rPr>
            </w:pPr>
          </w:p>
        </w:tc>
        <w:tc>
          <w:tcPr>
            <w:tcW w:w="80" w:type="dxa"/>
            <w:vAlign w:val="bottom"/>
            <w:gridSpan w:val="4"/>
          </w:tcPr>
          <w:p>
            <w:pPr>
              <w:spacing w:after="0"/>
              <w:rPr>
                <w:sz w:val="15"/>
                <w:szCs w:val="15"/>
                <w:color w:val="auto"/>
              </w:rPr>
            </w:pPr>
          </w:p>
        </w:tc>
        <w:tc>
          <w:tcPr>
            <w:tcW w:w="60" w:type="dxa"/>
            <w:vAlign w:val="bottom"/>
            <w:gridSpan w:val="2"/>
          </w:tcPr>
          <w:p>
            <w:pPr>
              <w:spacing w:after="0"/>
              <w:rPr>
                <w:sz w:val="15"/>
                <w:szCs w:val="15"/>
                <w:color w:val="auto"/>
              </w:rPr>
            </w:pPr>
          </w:p>
        </w:tc>
        <w:tc>
          <w:tcPr>
            <w:tcW w:w="120" w:type="dxa"/>
            <w:vAlign w:val="bottom"/>
            <w:gridSpan w:val="4"/>
          </w:tcPr>
          <w:p>
            <w:pPr>
              <w:spacing w:after="0"/>
              <w:rPr>
                <w:sz w:val="15"/>
                <w:szCs w:val="15"/>
                <w:color w:val="auto"/>
              </w:rPr>
            </w:pPr>
          </w:p>
        </w:tc>
      </w:tr>
      <w:tr>
        <w:trPr>
          <w:trHeight w:val="20"/>
        </w:trPr>
        <w:tc>
          <w:tcPr>
            <w:tcW w:w="9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60" w:type="dxa"/>
            <w:vAlign w:val="bottom"/>
            <w:gridSpan w:val="2"/>
            <w:shd w:val="clear" w:color="auto" w:fill="0000FF"/>
          </w:tcPr>
          <w:p>
            <w:pPr>
              <w:spacing w:after="0" w:line="20" w:lineRule="exact"/>
              <w:rPr>
                <w:sz w:val="1"/>
                <w:szCs w:val="1"/>
                <w:color w:val="auto"/>
              </w:rPr>
            </w:pPr>
          </w:p>
        </w:tc>
        <w:tc>
          <w:tcPr>
            <w:tcW w:w="1820" w:type="dxa"/>
            <w:vAlign w:val="bottom"/>
            <w:gridSpan w:val="5"/>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gridSpan w:val="7"/>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r>
      <w:tr>
        <w:trPr>
          <w:trHeight w:val="250"/>
        </w:trPr>
        <w:tc>
          <w:tcPr>
            <w:tcW w:w="96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8"/>
              </w:rPr>
              <w:t>10.37</w:t>
            </w:r>
          </w:p>
        </w:tc>
        <w:tc>
          <w:tcPr>
            <w:tcW w:w="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500" w:type="dxa"/>
            <w:vAlign w:val="bottom"/>
            <w:gridSpan w:val="40"/>
          </w:tcPr>
          <w:p>
            <w:pPr>
              <w:spacing w:after="0"/>
              <w:rPr>
                <w:rFonts w:ascii="Times New Roman" w:cs="Times New Roman" w:eastAsia="Times New Roman" w:hAnsi="Times New Roman"/>
                <w:sz w:val="18"/>
                <w:szCs w:val="18"/>
                <w:color w:val="0000FF"/>
              </w:rPr>
            </w:pPr>
            <w:hyperlink r:id="rId212">
              <w:r>
                <w:rPr>
                  <w:rFonts w:ascii="Times New Roman" w:cs="Times New Roman" w:eastAsia="Times New Roman" w:hAnsi="Times New Roman"/>
                  <w:sz w:val="18"/>
                  <w:szCs w:val="18"/>
                  <w:color w:val="0000FF"/>
                </w:rPr>
                <w:t>Rackspace Technology, Inc. Amendment No. 3 to 2020 Equity Incentive Plan (incorporated by reference from Exhibit 10.1 to</w:t>
              </w:r>
            </w:hyperlink>
          </w:p>
        </w:tc>
      </w:tr>
      <w:tr>
        <w:trPr>
          <w:trHeight w:val="183"/>
        </w:trPr>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60" w:type="dxa"/>
            <w:vAlign w:val="bottom"/>
            <w:tcBorders>
              <w:top w:val="single" w:sz="8" w:color="0000FF"/>
            </w:tcBorders>
            <w:gridSpan w:val="23"/>
          </w:tcPr>
          <w:p>
            <w:pPr>
              <w:spacing w:after="0" w:line="182" w:lineRule="exact"/>
              <w:rPr>
                <w:rFonts w:ascii="Times New Roman" w:cs="Times New Roman" w:eastAsia="Times New Roman" w:hAnsi="Times New Roman"/>
                <w:sz w:val="18"/>
                <w:szCs w:val="18"/>
                <w:color w:val="0000FF"/>
              </w:rPr>
            </w:pPr>
            <w:hyperlink r:id="rId212">
              <w:r>
                <w:rPr>
                  <w:rFonts w:ascii="Times New Roman" w:cs="Times New Roman" w:eastAsia="Times New Roman" w:hAnsi="Times New Roman"/>
                  <w:sz w:val="18"/>
                  <w:szCs w:val="18"/>
                  <w:color w:val="0000FF"/>
                </w:rPr>
                <w:t>Rackspace Technology, Inc.’s Form 10-Q for the quarter ended June 30, 2024)</w:t>
              </w:r>
            </w:hyperlink>
          </w:p>
        </w:tc>
        <w:tc>
          <w:tcPr>
            <w:tcW w:w="180" w:type="dxa"/>
            <w:vAlign w:val="bottom"/>
            <w:gridSpan w:val="7"/>
          </w:tcPr>
          <w:p>
            <w:pPr>
              <w:spacing w:after="0"/>
              <w:rPr>
                <w:sz w:val="15"/>
                <w:szCs w:val="15"/>
                <w:color w:val="auto"/>
              </w:rPr>
            </w:pPr>
          </w:p>
        </w:tc>
        <w:tc>
          <w:tcPr>
            <w:tcW w:w="80" w:type="dxa"/>
            <w:vAlign w:val="bottom"/>
            <w:gridSpan w:val="4"/>
          </w:tcPr>
          <w:p>
            <w:pPr>
              <w:spacing w:after="0"/>
              <w:rPr>
                <w:sz w:val="15"/>
                <w:szCs w:val="15"/>
                <w:color w:val="auto"/>
              </w:rPr>
            </w:pPr>
          </w:p>
        </w:tc>
        <w:tc>
          <w:tcPr>
            <w:tcW w:w="60" w:type="dxa"/>
            <w:vAlign w:val="bottom"/>
            <w:gridSpan w:val="2"/>
          </w:tcPr>
          <w:p>
            <w:pPr>
              <w:spacing w:after="0"/>
              <w:rPr>
                <w:sz w:val="15"/>
                <w:szCs w:val="15"/>
                <w:color w:val="auto"/>
              </w:rPr>
            </w:pPr>
          </w:p>
        </w:tc>
        <w:tc>
          <w:tcPr>
            <w:tcW w:w="120" w:type="dxa"/>
            <w:vAlign w:val="bottom"/>
            <w:gridSpan w:val="4"/>
          </w:tcPr>
          <w:p>
            <w:pPr>
              <w:spacing w:after="0"/>
              <w:rPr>
                <w:sz w:val="15"/>
                <w:szCs w:val="15"/>
                <w:color w:val="auto"/>
              </w:rPr>
            </w:pPr>
          </w:p>
        </w:tc>
      </w:tr>
      <w:tr>
        <w:trPr>
          <w:trHeight w:val="20"/>
        </w:trPr>
        <w:tc>
          <w:tcPr>
            <w:tcW w:w="9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60" w:type="dxa"/>
            <w:vAlign w:val="bottom"/>
            <w:gridSpan w:val="2"/>
            <w:shd w:val="clear" w:color="auto" w:fill="0000FF"/>
          </w:tcPr>
          <w:p>
            <w:pPr>
              <w:spacing w:after="0" w:line="20" w:lineRule="exact"/>
              <w:rPr>
                <w:sz w:val="1"/>
                <w:szCs w:val="1"/>
                <w:color w:val="auto"/>
              </w:rPr>
            </w:pPr>
          </w:p>
        </w:tc>
        <w:tc>
          <w:tcPr>
            <w:tcW w:w="1820" w:type="dxa"/>
            <w:vAlign w:val="bottom"/>
            <w:gridSpan w:val="5"/>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gridSpan w:val="9"/>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r>
      <w:tr>
        <w:trPr>
          <w:trHeight w:val="250"/>
        </w:trPr>
        <w:tc>
          <w:tcPr>
            <w:tcW w:w="96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8"/>
              </w:rPr>
              <w:t>10.38</w:t>
            </w:r>
          </w:p>
        </w:tc>
        <w:tc>
          <w:tcPr>
            <w:tcW w:w="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500" w:type="dxa"/>
            <w:vAlign w:val="bottom"/>
            <w:gridSpan w:val="40"/>
          </w:tcPr>
          <w:p>
            <w:pPr>
              <w:spacing w:after="0"/>
              <w:rPr>
                <w:rFonts w:ascii="Times New Roman" w:cs="Times New Roman" w:eastAsia="Times New Roman" w:hAnsi="Times New Roman"/>
                <w:sz w:val="18"/>
                <w:szCs w:val="18"/>
                <w:color w:val="0000FF"/>
              </w:rPr>
            </w:pPr>
            <w:hyperlink r:id="rId213">
              <w:r>
                <w:rPr>
                  <w:rFonts w:ascii="Times New Roman" w:cs="Times New Roman" w:eastAsia="Times New Roman" w:hAnsi="Times New Roman"/>
                  <w:sz w:val="18"/>
                  <w:szCs w:val="18"/>
                  <w:color w:val="0000FF"/>
                </w:rPr>
                <w:t>Rackspace Technology, Inc. Employee Stock Purchase Plan (incorporated by reference from Exhibit 4.3 to Rackspace Technology</w:t>
              </w:r>
            </w:hyperlink>
          </w:p>
        </w:tc>
      </w:tr>
      <w:tr>
        <w:trPr>
          <w:trHeight w:val="183"/>
        </w:trPr>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380" w:type="dxa"/>
            <w:vAlign w:val="bottom"/>
            <w:tcBorders>
              <w:top w:val="single" w:sz="8" w:color="0000FF"/>
            </w:tcBorders>
            <w:gridSpan w:val="36"/>
          </w:tcPr>
          <w:p>
            <w:pPr>
              <w:spacing w:after="0" w:line="182" w:lineRule="exact"/>
              <w:rPr>
                <w:rFonts w:ascii="Times New Roman" w:cs="Times New Roman" w:eastAsia="Times New Roman" w:hAnsi="Times New Roman"/>
                <w:sz w:val="18"/>
                <w:szCs w:val="18"/>
                <w:color w:val="0000FF"/>
              </w:rPr>
            </w:pPr>
            <w:hyperlink r:id="rId213">
              <w:r>
                <w:rPr>
                  <w:rFonts w:ascii="Times New Roman" w:cs="Times New Roman" w:eastAsia="Times New Roman" w:hAnsi="Times New Roman"/>
                  <w:sz w:val="18"/>
                  <w:szCs w:val="18"/>
                  <w:color w:val="0000FF"/>
                </w:rPr>
                <w:t>Inc.’s Registration Statement on Form S-8 filed on August 5, 2020)</w:t>
              </w:r>
            </w:hyperlink>
          </w:p>
        </w:tc>
        <w:tc>
          <w:tcPr>
            <w:tcW w:w="120" w:type="dxa"/>
            <w:vAlign w:val="bottom"/>
            <w:gridSpan w:val="4"/>
          </w:tcPr>
          <w:p>
            <w:pPr>
              <w:spacing w:after="0"/>
              <w:rPr>
                <w:sz w:val="15"/>
                <w:szCs w:val="15"/>
                <w:color w:val="auto"/>
              </w:rPr>
            </w:pPr>
          </w:p>
        </w:tc>
      </w:tr>
      <w:tr>
        <w:trPr>
          <w:trHeight w:val="20"/>
        </w:trPr>
        <w:tc>
          <w:tcPr>
            <w:tcW w:w="9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60" w:type="dxa"/>
            <w:vAlign w:val="bottom"/>
            <w:gridSpan w:val="2"/>
            <w:shd w:val="clear" w:color="auto" w:fill="0000FF"/>
          </w:tcPr>
          <w:p>
            <w:pPr>
              <w:spacing w:after="0" w:line="20" w:lineRule="exact"/>
              <w:rPr>
                <w:sz w:val="1"/>
                <w:szCs w:val="1"/>
                <w:color w:val="auto"/>
              </w:rPr>
            </w:pPr>
          </w:p>
        </w:tc>
        <w:tc>
          <w:tcPr>
            <w:tcW w:w="1820" w:type="dxa"/>
            <w:vAlign w:val="bottom"/>
            <w:gridSpan w:val="5"/>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gridSpan w:val="9"/>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r>
      <w:tr>
        <w:trPr>
          <w:trHeight w:val="250"/>
        </w:trPr>
        <w:tc>
          <w:tcPr>
            <w:tcW w:w="96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8"/>
              </w:rPr>
              <w:t>10.39</w:t>
            </w:r>
          </w:p>
        </w:tc>
        <w:tc>
          <w:tcPr>
            <w:tcW w:w="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500" w:type="dxa"/>
            <w:vAlign w:val="bottom"/>
            <w:gridSpan w:val="40"/>
          </w:tcPr>
          <w:p>
            <w:pPr>
              <w:spacing w:after="0"/>
              <w:rPr>
                <w:rFonts w:ascii="Times New Roman" w:cs="Times New Roman" w:eastAsia="Times New Roman" w:hAnsi="Times New Roman"/>
                <w:sz w:val="18"/>
                <w:szCs w:val="18"/>
                <w:color w:val="0000FF"/>
              </w:rPr>
            </w:pPr>
            <w:hyperlink r:id="rId214">
              <w:r>
                <w:rPr>
                  <w:rFonts w:ascii="Times New Roman" w:cs="Times New Roman" w:eastAsia="Times New Roman" w:hAnsi="Times New Roman"/>
                  <w:sz w:val="18"/>
                  <w:szCs w:val="18"/>
                  <w:color w:val="0000FF"/>
                </w:rPr>
                <w:t>Rackspace Technology, Inc. Annual Cash Incentive Plan (incorporated by reference from Exhibit 10.8 to Rackspace Technology</w:t>
              </w:r>
            </w:hyperlink>
          </w:p>
        </w:tc>
      </w:tr>
      <w:tr>
        <w:trPr>
          <w:trHeight w:val="183"/>
        </w:trPr>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880" w:type="dxa"/>
            <w:vAlign w:val="bottom"/>
            <w:tcBorders>
              <w:top w:val="single" w:sz="8" w:color="0000FF"/>
              <w:bottom w:val="single" w:sz="8" w:color="0000FF"/>
            </w:tcBorders>
            <w:gridSpan w:val="9"/>
          </w:tcPr>
          <w:p>
            <w:pPr>
              <w:spacing w:after="0" w:line="182" w:lineRule="exact"/>
              <w:rPr>
                <w:rFonts w:ascii="Times New Roman" w:cs="Times New Roman" w:eastAsia="Times New Roman" w:hAnsi="Times New Roman"/>
                <w:sz w:val="18"/>
                <w:szCs w:val="18"/>
                <w:color w:val="0000FF"/>
                <w:w w:val="99"/>
              </w:rPr>
            </w:pPr>
            <w:hyperlink r:id="rId214">
              <w:r>
                <w:rPr>
                  <w:rFonts w:ascii="Times New Roman" w:cs="Times New Roman" w:eastAsia="Times New Roman" w:hAnsi="Times New Roman"/>
                  <w:sz w:val="18"/>
                  <w:szCs w:val="18"/>
                  <w:color w:val="0000FF"/>
                  <w:w w:val="99"/>
                </w:rPr>
                <w:t>Inc.’s Quarterly Report on Form 10-Q filed on November 10, 2020)</w:t>
              </w:r>
            </w:hyperlink>
          </w:p>
        </w:tc>
        <w:tc>
          <w:tcPr>
            <w:tcW w:w="4360" w:type="dxa"/>
            <w:vAlign w:val="bottom"/>
            <w:tcBorders>
              <w:top w:val="single" w:sz="8" w:color="0000FF"/>
            </w:tcBorders>
            <w:gridSpan w:val="21"/>
          </w:tcPr>
          <w:p>
            <w:pPr>
              <w:spacing w:after="0"/>
              <w:rPr>
                <w:sz w:val="15"/>
                <w:szCs w:val="15"/>
                <w:color w:val="auto"/>
              </w:rPr>
            </w:pPr>
          </w:p>
        </w:tc>
        <w:tc>
          <w:tcPr>
            <w:tcW w:w="80" w:type="dxa"/>
            <w:vAlign w:val="bottom"/>
            <w:gridSpan w:val="4"/>
          </w:tcPr>
          <w:p>
            <w:pPr>
              <w:spacing w:after="0"/>
              <w:rPr>
                <w:sz w:val="15"/>
                <w:szCs w:val="15"/>
                <w:color w:val="auto"/>
              </w:rPr>
            </w:pPr>
          </w:p>
        </w:tc>
        <w:tc>
          <w:tcPr>
            <w:tcW w:w="180" w:type="dxa"/>
            <w:vAlign w:val="bottom"/>
            <w:gridSpan w:val="6"/>
          </w:tcPr>
          <w:p>
            <w:pPr>
              <w:spacing w:after="0"/>
              <w:rPr>
                <w:sz w:val="15"/>
                <w:szCs w:val="15"/>
                <w:color w:val="auto"/>
              </w:rPr>
            </w:pPr>
          </w:p>
        </w:tc>
      </w:tr>
      <w:tr>
        <w:trPr>
          <w:trHeight w:val="250"/>
        </w:trPr>
        <w:tc>
          <w:tcPr>
            <w:tcW w:w="96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8"/>
              </w:rPr>
              <w:t>10.40</w:t>
            </w:r>
          </w:p>
        </w:tc>
        <w:tc>
          <w:tcPr>
            <w:tcW w:w="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500" w:type="dxa"/>
            <w:vAlign w:val="bottom"/>
            <w:gridSpan w:val="40"/>
          </w:tcPr>
          <w:p>
            <w:pPr>
              <w:spacing w:after="0"/>
              <w:rPr>
                <w:rFonts w:ascii="Times New Roman" w:cs="Times New Roman" w:eastAsia="Times New Roman" w:hAnsi="Times New Roman"/>
                <w:sz w:val="18"/>
                <w:szCs w:val="18"/>
                <w:color w:val="0000FF"/>
              </w:rPr>
            </w:pPr>
            <w:hyperlink r:id="rId215">
              <w:r>
                <w:rPr>
                  <w:rFonts w:ascii="Times New Roman" w:cs="Times New Roman" w:eastAsia="Times New Roman" w:hAnsi="Times New Roman"/>
                  <w:sz w:val="18"/>
                  <w:szCs w:val="18"/>
                  <w:color w:val="0000FF"/>
                </w:rPr>
                <w:t>Rackspace Technology, Inc. Non-Employee Director Compensation Policy (incorporated by reference from Exhibit 10.31 to</w:t>
              </w:r>
            </w:hyperlink>
          </w:p>
        </w:tc>
      </w:tr>
      <w:tr>
        <w:trPr>
          <w:trHeight w:val="183"/>
        </w:trPr>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60" w:type="dxa"/>
            <w:vAlign w:val="bottom"/>
            <w:tcBorders>
              <w:top w:val="single" w:sz="8" w:color="0000FF"/>
              <w:bottom w:val="single" w:sz="8" w:color="0000FF"/>
            </w:tcBorders>
            <w:gridSpan w:val="13"/>
          </w:tcPr>
          <w:p>
            <w:pPr>
              <w:spacing w:after="0" w:line="182" w:lineRule="exact"/>
              <w:rPr>
                <w:rFonts w:ascii="Times New Roman" w:cs="Times New Roman" w:eastAsia="Times New Roman" w:hAnsi="Times New Roman"/>
                <w:sz w:val="18"/>
                <w:szCs w:val="18"/>
                <w:color w:val="0000FF"/>
                <w:w w:val="99"/>
              </w:rPr>
            </w:pPr>
            <w:hyperlink r:id="rId215">
              <w:r>
                <w:rPr>
                  <w:rFonts w:ascii="Times New Roman" w:cs="Times New Roman" w:eastAsia="Times New Roman" w:hAnsi="Times New Roman"/>
                  <w:sz w:val="18"/>
                  <w:szCs w:val="18"/>
                  <w:color w:val="0000FF"/>
                  <w:w w:val="99"/>
                </w:rPr>
                <w:t>Rackspace Technology, Inc.’s Registration Statement on Form S-1 filed on July 10, 2020)</w:t>
              </w:r>
            </w:hyperlink>
          </w:p>
        </w:tc>
        <w:tc>
          <w:tcPr>
            <w:tcW w:w="2480" w:type="dxa"/>
            <w:vAlign w:val="bottom"/>
            <w:tcBorders>
              <w:top w:val="single" w:sz="8" w:color="0000FF"/>
            </w:tcBorders>
            <w:gridSpan w:val="8"/>
          </w:tcPr>
          <w:p>
            <w:pPr>
              <w:spacing w:after="0"/>
              <w:rPr>
                <w:sz w:val="15"/>
                <w:szCs w:val="15"/>
                <w:color w:val="auto"/>
              </w:rPr>
            </w:pPr>
          </w:p>
        </w:tc>
        <w:tc>
          <w:tcPr>
            <w:tcW w:w="380" w:type="dxa"/>
            <w:vAlign w:val="bottom"/>
            <w:gridSpan w:val="13"/>
          </w:tcPr>
          <w:p>
            <w:pPr>
              <w:spacing w:after="0"/>
              <w:rPr>
                <w:sz w:val="15"/>
                <w:szCs w:val="15"/>
                <w:color w:val="auto"/>
              </w:rPr>
            </w:pPr>
          </w:p>
        </w:tc>
        <w:tc>
          <w:tcPr>
            <w:tcW w:w="180" w:type="dxa"/>
            <w:vAlign w:val="bottom"/>
            <w:gridSpan w:val="6"/>
          </w:tcPr>
          <w:p>
            <w:pPr>
              <w:spacing w:after="0"/>
              <w:rPr>
                <w:sz w:val="15"/>
                <w:szCs w:val="15"/>
                <w:color w:val="auto"/>
              </w:rPr>
            </w:pPr>
          </w:p>
        </w:tc>
      </w:tr>
      <w:tr>
        <w:trPr>
          <w:trHeight w:val="250"/>
        </w:trPr>
        <w:tc>
          <w:tcPr>
            <w:tcW w:w="96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8"/>
              </w:rPr>
              <w:t>10.41</w:t>
            </w:r>
          </w:p>
        </w:tc>
        <w:tc>
          <w:tcPr>
            <w:tcW w:w="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500" w:type="dxa"/>
            <w:vAlign w:val="bottom"/>
            <w:gridSpan w:val="40"/>
          </w:tcPr>
          <w:p>
            <w:pPr>
              <w:spacing w:after="0"/>
              <w:rPr>
                <w:sz w:val="20"/>
                <w:szCs w:val="20"/>
                <w:color w:val="auto"/>
              </w:rPr>
            </w:pPr>
            <w:r>
              <w:rPr>
                <w:rFonts w:ascii="Times New Roman" w:cs="Times New Roman" w:eastAsia="Times New Roman" w:hAnsi="Times New Roman"/>
                <w:sz w:val="18"/>
                <w:szCs w:val="18"/>
                <w:color w:val="0000FF"/>
              </w:rPr>
              <w:t>Rackspace Technology, Inc. Non-Employee Director Compensation Policy, effective January 1, 2025</w:t>
            </w:r>
          </w:p>
        </w:tc>
      </w:tr>
      <w:tr>
        <w:trPr>
          <w:trHeight w:val="20"/>
        </w:trPr>
        <w:tc>
          <w:tcPr>
            <w:tcW w:w="9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60" w:type="dxa"/>
            <w:vAlign w:val="bottom"/>
            <w:gridSpan w:val="2"/>
            <w:shd w:val="clear" w:color="auto" w:fill="0000FF"/>
          </w:tcPr>
          <w:p>
            <w:pPr>
              <w:spacing w:after="0" w:line="20" w:lineRule="exact"/>
              <w:rPr>
                <w:sz w:val="1"/>
                <w:szCs w:val="1"/>
                <w:color w:val="auto"/>
              </w:rPr>
            </w:pPr>
          </w:p>
        </w:tc>
        <w:tc>
          <w:tcPr>
            <w:tcW w:w="1820" w:type="dxa"/>
            <w:vAlign w:val="bottom"/>
            <w:gridSpan w:val="5"/>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gridSpan w:val="2"/>
            <w:shd w:val="clear" w:color="auto" w:fill="0000FF"/>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560" w:type="dxa"/>
            <w:vAlign w:val="bottom"/>
            <w:gridSpan w:val="14"/>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r>
      <w:tr>
        <w:trPr>
          <w:trHeight w:val="236"/>
        </w:trPr>
        <w:tc>
          <w:tcPr>
            <w:tcW w:w="96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8"/>
              </w:rPr>
              <w:t>10.42</w:t>
            </w:r>
          </w:p>
        </w:tc>
        <w:tc>
          <w:tcPr>
            <w:tcW w:w="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500" w:type="dxa"/>
            <w:vAlign w:val="bottom"/>
            <w:gridSpan w:val="40"/>
          </w:tcPr>
          <w:p>
            <w:pPr>
              <w:spacing w:after="0"/>
              <w:rPr>
                <w:rFonts w:ascii="Times New Roman" w:cs="Times New Roman" w:eastAsia="Times New Roman" w:hAnsi="Times New Roman"/>
                <w:sz w:val="18"/>
                <w:szCs w:val="18"/>
                <w:color w:val="0000FF"/>
              </w:rPr>
            </w:pPr>
            <w:hyperlink r:id="rId216">
              <w:r>
                <w:rPr>
                  <w:rFonts w:ascii="Times New Roman" w:cs="Times New Roman" w:eastAsia="Times New Roman" w:hAnsi="Times New Roman"/>
                  <w:sz w:val="18"/>
                  <w:szCs w:val="18"/>
                  <w:color w:val="0000FF"/>
                </w:rPr>
                <w:t>Rackspace Technology, Inc. Executive Change in Control Severance Plan (incorporated by reference from Exhibit 10.1 to</w:t>
              </w:r>
            </w:hyperlink>
          </w:p>
        </w:tc>
      </w:tr>
      <w:tr>
        <w:trPr>
          <w:trHeight w:val="183"/>
        </w:trPr>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760" w:type="dxa"/>
            <w:vAlign w:val="bottom"/>
            <w:tcBorders>
              <w:top w:val="single" w:sz="8" w:color="0000FF"/>
            </w:tcBorders>
            <w:gridSpan w:val="20"/>
          </w:tcPr>
          <w:p>
            <w:pPr>
              <w:spacing w:after="0" w:line="182" w:lineRule="exact"/>
              <w:rPr>
                <w:rFonts w:ascii="Times New Roman" w:cs="Times New Roman" w:eastAsia="Times New Roman" w:hAnsi="Times New Roman"/>
                <w:sz w:val="18"/>
                <w:szCs w:val="18"/>
                <w:color w:val="0000FF"/>
              </w:rPr>
            </w:pPr>
            <w:hyperlink r:id="rId216">
              <w:r>
                <w:rPr>
                  <w:rFonts w:ascii="Times New Roman" w:cs="Times New Roman" w:eastAsia="Times New Roman" w:hAnsi="Times New Roman"/>
                  <w:sz w:val="18"/>
                  <w:szCs w:val="18"/>
                  <w:color w:val="0000FF"/>
                </w:rPr>
                <w:t>Rackspace Technology, Inc.’s Form 8-K, filed on March 18, 2021)</w:t>
              </w:r>
            </w:hyperlink>
          </w:p>
        </w:tc>
        <w:tc>
          <w:tcPr>
            <w:tcW w:w="560" w:type="dxa"/>
            <w:vAlign w:val="bottom"/>
            <w:gridSpan w:val="14"/>
          </w:tcPr>
          <w:p>
            <w:pPr>
              <w:spacing w:after="0"/>
              <w:rPr>
                <w:sz w:val="15"/>
                <w:szCs w:val="15"/>
                <w:color w:val="auto"/>
              </w:rPr>
            </w:pPr>
          </w:p>
        </w:tc>
        <w:tc>
          <w:tcPr>
            <w:tcW w:w="180" w:type="dxa"/>
            <w:vAlign w:val="bottom"/>
            <w:gridSpan w:val="6"/>
          </w:tcPr>
          <w:p>
            <w:pPr>
              <w:spacing w:after="0"/>
              <w:rPr>
                <w:sz w:val="15"/>
                <w:szCs w:val="15"/>
                <w:color w:val="auto"/>
              </w:rPr>
            </w:pPr>
          </w:p>
        </w:tc>
      </w:tr>
      <w:tr>
        <w:trPr>
          <w:trHeight w:val="20"/>
        </w:trPr>
        <w:tc>
          <w:tcPr>
            <w:tcW w:w="9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60" w:type="dxa"/>
            <w:vAlign w:val="bottom"/>
            <w:gridSpan w:val="2"/>
            <w:shd w:val="clear" w:color="auto" w:fill="0000FF"/>
          </w:tcPr>
          <w:p>
            <w:pPr>
              <w:spacing w:after="0" w:line="20" w:lineRule="exact"/>
              <w:rPr>
                <w:sz w:val="1"/>
                <w:szCs w:val="1"/>
                <w:color w:val="auto"/>
              </w:rPr>
            </w:pPr>
          </w:p>
        </w:tc>
        <w:tc>
          <w:tcPr>
            <w:tcW w:w="1820" w:type="dxa"/>
            <w:vAlign w:val="bottom"/>
            <w:gridSpan w:val="5"/>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80" w:type="dxa"/>
            <w:vAlign w:val="bottom"/>
            <w:gridSpan w:val="17"/>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r>
      <w:tr>
        <w:trPr>
          <w:trHeight w:val="250"/>
        </w:trPr>
        <w:tc>
          <w:tcPr>
            <w:tcW w:w="96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8"/>
              </w:rPr>
              <w:t>10.43</w:t>
            </w:r>
          </w:p>
        </w:tc>
        <w:tc>
          <w:tcPr>
            <w:tcW w:w="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500" w:type="dxa"/>
            <w:vAlign w:val="bottom"/>
            <w:gridSpan w:val="40"/>
          </w:tcPr>
          <w:p>
            <w:pPr>
              <w:spacing w:after="0"/>
              <w:rPr>
                <w:rFonts w:ascii="Times New Roman" w:cs="Times New Roman" w:eastAsia="Times New Roman" w:hAnsi="Times New Roman"/>
                <w:sz w:val="18"/>
                <w:szCs w:val="18"/>
                <w:color w:val="0000FF"/>
              </w:rPr>
            </w:pPr>
            <w:hyperlink r:id="rId217">
              <w:r>
                <w:rPr>
                  <w:rFonts w:ascii="Times New Roman" w:cs="Times New Roman" w:eastAsia="Times New Roman" w:hAnsi="Times New Roman"/>
                  <w:sz w:val="18"/>
                  <w:szCs w:val="18"/>
                  <w:color w:val="0000FF"/>
                </w:rPr>
                <w:t>Form of Indemnification Agreement (incorporated by reference from Exhibit 10.32 to Rackspace Technology, Inc.’s Amendment</w:t>
              </w:r>
            </w:hyperlink>
          </w:p>
        </w:tc>
      </w:tr>
      <w:tr>
        <w:trPr>
          <w:trHeight w:val="183"/>
        </w:trPr>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320" w:type="dxa"/>
            <w:vAlign w:val="bottom"/>
            <w:tcBorders>
              <w:top w:val="single" w:sz="8" w:color="0000FF"/>
            </w:tcBorders>
            <w:gridSpan w:val="34"/>
          </w:tcPr>
          <w:p>
            <w:pPr>
              <w:spacing w:after="0" w:line="182" w:lineRule="exact"/>
              <w:rPr>
                <w:rFonts w:ascii="Times New Roman" w:cs="Times New Roman" w:eastAsia="Times New Roman" w:hAnsi="Times New Roman"/>
                <w:sz w:val="18"/>
                <w:szCs w:val="18"/>
                <w:color w:val="0000FF"/>
              </w:rPr>
            </w:pPr>
            <w:hyperlink r:id="rId217">
              <w:r>
                <w:rPr>
                  <w:rFonts w:ascii="Times New Roman" w:cs="Times New Roman" w:eastAsia="Times New Roman" w:hAnsi="Times New Roman"/>
                  <w:sz w:val="18"/>
                  <w:szCs w:val="18"/>
                  <w:color w:val="0000FF"/>
                </w:rPr>
                <w:t>No. 2 to Registration Statement on Form S-1/A filed on July 27, 2020)</w:t>
              </w:r>
            </w:hyperlink>
          </w:p>
        </w:tc>
        <w:tc>
          <w:tcPr>
            <w:tcW w:w="180" w:type="dxa"/>
            <w:vAlign w:val="bottom"/>
            <w:gridSpan w:val="6"/>
          </w:tcPr>
          <w:p>
            <w:pPr>
              <w:spacing w:after="0"/>
              <w:rPr>
                <w:sz w:val="15"/>
                <w:szCs w:val="15"/>
                <w:color w:val="auto"/>
              </w:rPr>
            </w:pPr>
          </w:p>
        </w:tc>
      </w:tr>
      <w:tr>
        <w:trPr>
          <w:trHeight w:val="250"/>
        </w:trPr>
        <w:tc>
          <w:tcPr>
            <w:tcW w:w="96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19.1</w:t>
            </w:r>
          </w:p>
        </w:tc>
        <w:tc>
          <w:tcPr>
            <w:tcW w:w="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5080" w:type="dxa"/>
            <w:vAlign w:val="bottom"/>
            <w:tcBorders>
              <w:top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Rackspace Technology, Inc. Securities Trading Policy</w:t>
            </w:r>
          </w:p>
        </w:tc>
        <w:tc>
          <w:tcPr>
            <w:tcW w:w="4420" w:type="dxa"/>
            <w:vAlign w:val="bottom"/>
            <w:gridSpan w:val="30"/>
          </w:tcPr>
          <w:p>
            <w:pPr>
              <w:spacing w:after="0"/>
              <w:rPr>
                <w:sz w:val="21"/>
                <w:szCs w:val="21"/>
                <w:color w:val="auto"/>
              </w:rPr>
            </w:pPr>
          </w:p>
        </w:tc>
      </w:tr>
      <w:tr>
        <w:trPr>
          <w:trHeight w:val="237"/>
        </w:trPr>
        <w:tc>
          <w:tcPr>
            <w:tcW w:w="96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21.1</w:t>
            </w:r>
          </w:p>
        </w:tc>
        <w:tc>
          <w:tcPr>
            <w:tcW w:w="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388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Subsidiaries of the registrant</w:t>
            </w:r>
          </w:p>
        </w:tc>
        <w:tc>
          <w:tcPr>
            <w:tcW w:w="5620" w:type="dxa"/>
            <w:vAlign w:val="bottom"/>
            <w:gridSpan w:val="33"/>
          </w:tcPr>
          <w:p>
            <w:pPr>
              <w:spacing w:after="0"/>
              <w:rPr>
                <w:sz w:val="20"/>
                <w:szCs w:val="20"/>
                <w:color w:val="auto"/>
              </w:rPr>
            </w:pPr>
          </w:p>
        </w:tc>
      </w:tr>
      <w:tr>
        <w:trPr>
          <w:trHeight w:val="20"/>
        </w:trPr>
        <w:tc>
          <w:tcPr>
            <w:tcW w:w="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60" w:type="dxa"/>
            <w:vAlign w:val="bottom"/>
            <w:gridSpan w:val="2"/>
            <w:shd w:val="clear" w:color="auto" w:fill="0000FF"/>
          </w:tcPr>
          <w:p>
            <w:pPr>
              <w:spacing w:after="0" w:line="20" w:lineRule="exact"/>
              <w:rPr>
                <w:sz w:val="1"/>
                <w:szCs w:val="1"/>
                <w:color w:val="auto"/>
              </w:rPr>
            </w:pPr>
          </w:p>
        </w:tc>
        <w:tc>
          <w:tcPr>
            <w:tcW w:w="4300" w:type="dxa"/>
            <w:vAlign w:val="bottom"/>
            <w:gridSpan w:val="10"/>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60" w:type="dxa"/>
            <w:vAlign w:val="bottom"/>
            <w:gridSpan w:val="23"/>
          </w:tcPr>
          <w:p>
            <w:pPr>
              <w:spacing w:after="0" w:line="20" w:lineRule="exact"/>
              <w:rPr>
                <w:sz w:val="1"/>
                <w:szCs w:val="1"/>
                <w:color w:val="auto"/>
              </w:rPr>
            </w:pPr>
          </w:p>
        </w:tc>
      </w:tr>
      <w:tr>
        <w:trPr>
          <w:trHeight w:val="236"/>
        </w:trPr>
        <w:tc>
          <w:tcPr>
            <w:tcW w:w="96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23.1</w:t>
            </w:r>
          </w:p>
        </w:tc>
        <w:tc>
          <w:tcPr>
            <w:tcW w:w="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9500" w:type="dxa"/>
            <w:vAlign w:val="bottom"/>
            <w:gridSpan w:val="40"/>
          </w:tcPr>
          <w:p>
            <w:pPr>
              <w:spacing w:after="0"/>
              <w:rPr>
                <w:sz w:val="20"/>
                <w:szCs w:val="20"/>
                <w:color w:val="auto"/>
              </w:rPr>
            </w:pPr>
            <w:r>
              <w:rPr>
                <w:rFonts w:ascii="Times New Roman" w:cs="Times New Roman" w:eastAsia="Times New Roman" w:hAnsi="Times New Roman"/>
                <w:sz w:val="18"/>
                <w:szCs w:val="18"/>
                <w:color w:val="0000FF"/>
              </w:rPr>
              <w:t>Consent of PricewaterhouseCoopers LLP, independent registered public accounting firm</w:t>
            </w:r>
          </w:p>
        </w:tc>
      </w:tr>
      <w:tr>
        <w:trPr>
          <w:trHeight w:val="20"/>
        </w:trPr>
        <w:tc>
          <w:tcPr>
            <w:tcW w:w="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360" w:type="dxa"/>
            <w:vAlign w:val="bottom"/>
            <w:gridSpan w:val="12"/>
            <w:shd w:val="clear" w:color="auto" w:fill="0000FF"/>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60" w:type="dxa"/>
            <w:vAlign w:val="bottom"/>
            <w:gridSpan w:val="23"/>
          </w:tcPr>
          <w:p>
            <w:pPr>
              <w:spacing w:after="0" w:line="20" w:lineRule="exact"/>
              <w:rPr>
                <w:sz w:val="1"/>
                <w:szCs w:val="1"/>
                <w:color w:val="auto"/>
              </w:rPr>
            </w:pPr>
          </w:p>
        </w:tc>
      </w:tr>
      <w:tr>
        <w:trPr>
          <w:trHeight w:val="236"/>
        </w:trPr>
        <w:tc>
          <w:tcPr>
            <w:tcW w:w="96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31.1</w:t>
            </w:r>
          </w:p>
        </w:tc>
        <w:tc>
          <w:tcPr>
            <w:tcW w:w="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9500" w:type="dxa"/>
            <w:vAlign w:val="bottom"/>
            <w:gridSpan w:val="40"/>
          </w:tcPr>
          <w:p>
            <w:pPr>
              <w:spacing w:after="0"/>
              <w:rPr>
                <w:sz w:val="20"/>
                <w:szCs w:val="20"/>
                <w:color w:val="auto"/>
              </w:rPr>
            </w:pPr>
            <w:r>
              <w:rPr>
                <w:rFonts w:ascii="Times New Roman" w:cs="Times New Roman" w:eastAsia="Times New Roman" w:hAnsi="Times New Roman"/>
                <w:sz w:val="18"/>
                <w:szCs w:val="18"/>
                <w:color w:val="0000FF"/>
              </w:rPr>
              <w:t>Certification of the Chief Executive Officer pursuant to Section 302 of the Sarbanes-Oxley Act of 2002</w:t>
            </w:r>
          </w:p>
        </w:tc>
      </w:tr>
      <w:tr>
        <w:trPr>
          <w:trHeight w:val="237"/>
        </w:trPr>
        <w:tc>
          <w:tcPr>
            <w:tcW w:w="96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31.2</w:t>
            </w:r>
          </w:p>
        </w:tc>
        <w:tc>
          <w:tcPr>
            <w:tcW w:w="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7400" w:type="dxa"/>
            <w:vAlign w:val="bottom"/>
            <w:tcBorders>
              <w:top w:val="single" w:sz="8" w:color="0000FF"/>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Certification of the Chief Financial Officer pursuant to Section 302 of the Sarbanes-Oxley Act of 2002</w:t>
            </w:r>
          </w:p>
        </w:tc>
        <w:tc>
          <w:tcPr>
            <w:tcW w:w="40" w:type="dxa"/>
            <w:vAlign w:val="bottom"/>
            <w:tcBorders>
              <w:top w:val="single" w:sz="8" w:color="0000FF"/>
            </w:tcBorders>
          </w:tcPr>
          <w:p>
            <w:pPr>
              <w:spacing w:after="0"/>
              <w:rPr>
                <w:sz w:val="20"/>
                <w:szCs w:val="20"/>
                <w:color w:val="auto"/>
              </w:rPr>
            </w:pPr>
          </w:p>
        </w:tc>
        <w:tc>
          <w:tcPr>
            <w:tcW w:w="2060" w:type="dxa"/>
            <w:vAlign w:val="bottom"/>
            <w:gridSpan w:val="23"/>
          </w:tcPr>
          <w:p>
            <w:pPr>
              <w:spacing w:after="0"/>
              <w:rPr>
                <w:sz w:val="20"/>
                <w:szCs w:val="20"/>
                <w:color w:val="auto"/>
              </w:rPr>
            </w:pPr>
          </w:p>
        </w:tc>
      </w:tr>
      <w:tr>
        <w:trPr>
          <w:trHeight w:val="236"/>
        </w:trPr>
        <w:tc>
          <w:tcPr>
            <w:tcW w:w="96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32.1</w:t>
            </w:r>
          </w:p>
        </w:tc>
        <w:tc>
          <w:tcPr>
            <w:tcW w:w="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500" w:type="dxa"/>
            <w:vAlign w:val="bottom"/>
            <w:gridSpan w:val="40"/>
          </w:tcPr>
          <w:p>
            <w:pPr>
              <w:spacing w:after="0"/>
              <w:rPr>
                <w:sz w:val="20"/>
                <w:szCs w:val="20"/>
                <w:color w:val="auto"/>
              </w:rPr>
            </w:pPr>
            <w:r>
              <w:rPr>
                <w:rFonts w:ascii="Times New Roman" w:cs="Times New Roman" w:eastAsia="Times New Roman" w:hAnsi="Times New Roman"/>
                <w:sz w:val="18"/>
                <w:szCs w:val="18"/>
                <w:color w:val="0000FF"/>
              </w:rPr>
              <w:t>Certification of the Chief Executive Officer pursuant to Section 906 of the Sarbanes-Oxley Act of 2002</w:t>
            </w:r>
          </w:p>
        </w:tc>
      </w:tr>
      <w:tr>
        <w:trPr>
          <w:trHeight w:val="20"/>
        </w:trPr>
        <w:tc>
          <w:tcPr>
            <w:tcW w:w="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040"/>
          </w:cols>
          <w:pgMar w:left="320" w:top="108" w:right="539" w:bottom="1440" w:gutter="0" w:footer="0" w:header="0"/>
        </w:sectPr>
      </w:pPr>
    </w:p>
    <w:p>
      <w:pPr>
        <w:spacing w:after="0" w:line="200" w:lineRule="exact"/>
        <w:rPr>
          <w:sz w:val="20"/>
          <w:szCs w:val="20"/>
          <w:color w:val="auto"/>
        </w:rPr>
      </w:pPr>
    </w:p>
    <w:p>
      <w:pPr>
        <w:spacing w:after="0" w:line="31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7"/>
          <w:szCs w:val="17"/>
          <w:color w:val="auto"/>
        </w:rPr>
        <w:t>- 159 -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08" w:right="539" w:bottom="1440" w:gutter="0" w:footer="0" w:header="0"/>
          <w:type w:val="continuous"/>
        </w:sectPr>
      </w:pPr>
    </w:p>
    <w:bookmarkStart w:id="159" w:name="page160"/>
    <w:bookmarkEnd w:id="1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60"/>
        <w:spacing w:after="0"/>
        <w:tabs>
          <w:tab w:leader="none" w:pos="1080" w:val="left"/>
          <w:tab w:leader="none" w:pos="1560" w:val="left"/>
        </w:tabs>
        <w:rPr>
          <w:sz w:val="20"/>
          <w:szCs w:val="20"/>
          <w:color w:val="auto"/>
        </w:rPr>
      </w:pPr>
      <w:r>
        <w:rPr>
          <w:rFonts w:ascii="Times New Roman" w:cs="Times New Roman" w:eastAsia="Times New Roman" w:hAnsi="Times New Roman"/>
          <w:sz w:val="18"/>
          <w:szCs w:val="18"/>
          <w:color w:val="auto"/>
        </w:rPr>
        <w:t>32.2</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u w:val="single" w:color="auto"/>
          <w:color w:val="0000FF"/>
        </w:rPr>
        <w:t>Certification of the Chief Financial Officer pursuant to Section 906 of the Sarbanes-Oxley Act of 2002</w:t>
      </w:r>
    </w:p>
    <w:p>
      <w:pPr>
        <w:spacing w:after="0" w:line="50" w:lineRule="exact"/>
        <w:rPr>
          <w:sz w:val="20"/>
          <w:szCs w:val="20"/>
          <w:color w:val="auto"/>
        </w:rPr>
      </w:pPr>
    </w:p>
    <w:p>
      <w:pPr>
        <w:ind w:left="1580" w:hanging="1055"/>
        <w:spacing w:after="0" w:line="266" w:lineRule="auto"/>
        <w:tabs>
          <w:tab w:leader="none" w:pos="1580" w:val="left"/>
        </w:tabs>
        <w:numPr>
          <w:ilvl w:val="0"/>
          <w:numId w:val="61"/>
        </w:numPr>
        <w:rPr>
          <w:rFonts w:ascii="Times New Roman" w:cs="Times New Roman" w:eastAsia="Times New Roman" w:hAnsi="Times New Roman"/>
          <w:sz w:val="18"/>
          <w:szCs w:val="18"/>
          <w:u w:val="single" w:color="auto"/>
          <w:color w:val="0000FF"/>
        </w:rPr>
      </w:pPr>
      <w:hyperlink r:id="rId219">
        <w:r>
          <w:rPr>
            <w:rFonts w:ascii="Times New Roman" w:cs="Times New Roman" w:eastAsia="Times New Roman" w:hAnsi="Times New Roman"/>
            <w:sz w:val="18"/>
            <w:szCs w:val="18"/>
            <w:u w:val="single" w:color="auto"/>
            <w:color w:val="0000FF"/>
          </w:rPr>
          <w:t>Rackspace Technology, Inc. Executive Officer Incentive Compensation Clawback Policy (incorporated by reference from Exhibit</w:t>
        </w:r>
      </w:hyperlink>
      <w:r>
        <w:rPr>
          <w:rFonts w:ascii="Times New Roman" w:cs="Times New Roman" w:eastAsia="Times New Roman" w:hAnsi="Times New Roman"/>
          <w:sz w:val="18"/>
          <w:szCs w:val="18"/>
          <w:u w:val="single" w:color="auto"/>
          <w:color w:val="0000FF"/>
        </w:rPr>
        <w:t xml:space="preserve"> </w:t>
      </w:r>
      <w:hyperlink r:id="rId219">
        <w:r>
          <w:rPr>
            <w:rFonts w:ascii="Times New Roman" w:cs="Times New Roman" w:eastAsia="Times New Roman" w:hAnsi="Times New Roman"/>
            <w:sz w:val="18"/>
            <w:szCs w:val="18"/>
            <w:u w:val="single" w:color="auto"/>
            <w:color w:val="0000FF"/>
          </w:rPr>
          <w:t>97 to Rackspace Technology, Inc.’s Form 10-K for the year ended December 31, 2023)</w:t>
        </w:r>
      </w:hyperlink>
    </w:p>
    <w:p>
      <w:pPr>
        <w:spacing w:after="0" w:line="9" w:lineRule="exact"/>
        <w:rPr>
          <w:rFonts w:ascii="Times New Roman" w:cs="Times New Roman" w:eastAsia="Times New Roman" w:hAnsi="Times New Roman"/>
          <w:sz w:val="18"/>
          <w:szCs w:val="18"/>
          <w:color w:val="auto"/>
        </w:rPr>
      </w:pPr>
    </w:p>
    <w:tbl>
      <w:tblPr>
        <w:tblLayout w:type="fixed"/>
        <w:tblInd w:w="280" w:type="dxa"/>
        <w:tblCellMar>
          <w:top w:w="0" w:type="dxa"/>
          <w:left w:w="0" w:type="dxa"/>
          <w:bottom w:w="0" w:type="dxa"/>
          <w:right w:w="0" w:type="dxa"/>
        </w:tblCellMar>
      </w:tblPr>
      <w:tr>
        <w:trPr>
          <w:trHeight w:val="207"/>
        </w:trPr>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101.INS</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9"/>
              </w:rPr>
              <w:t>Inline XBRL Instance Document (the instance document does not appear in the Interactive Data File because its XBRL tags are</w:t>
            </w:r>
          </w:p>
        </w:tc>
      </w:tr>
      <w:tr>
        <w:trPr>
          <w:trHeight w:val="234"/>
        </w:trPr>
        <w:tc>
          <w:tcPr>
            <w:tcW w:w="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270"/>
        </w:trPr>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101.SCH</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57"/>
        </w:trPr>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101.CAL</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57"/>
        </w:trPr>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101.DEF</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56"/>
        </w:trPr>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101.LAB</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57"/>
        </w:trPr>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101.PRE</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spacing w:after="0" w:line="22" w:lineRule="exact"/>
        <w:rPr>
          <w:rFonts w:ascii="Times New Roman" w:cs="Times New Roman" w:eastAsia="Times New Roman" w:hAnsi="Times New Roman"/>
          <w:sz w:val="18"/>
          <w:szCs w:val="18"/>
          <w:color w:val="auto"/>
        </w:rPr>
      </w:pPr>
    </w:p>
    <w:p>
      <w:pPr>
        <w:ind w:left="1100" w:hanging="620"/>
        <w:spacing w:after="0"/>
        <w:tabs>
          <w:tab w:leader="none" w:pos="110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Cover Page Interactive Data File (formatted as Inline XBRL and contained in Exhibit 101)</w:t>
      </w:r>
    </w:p>
    <w:p>
      <w:pPr>
        <w:spacing w:after="0" w:line="119" w:lineRule="exact"/>
        <w:rPr>
          <w:rFonts w:ascii="Times New Roman" w:cs="Times New Roman" w:eastAsia="Times New Roman" w:hAnsi="Times New Roman"/>
          <w:sz w:val="18"/>
          <w:szCs w:val="18"/>
          <w:color w:val="auto"/>
        </w:rPr>
      </w:pPr>
    </w:p>
    <w:p>
      <w:pPr>
        <w:ind w:left="1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Filed herewith.</w:t>
      </w:r>
    </w:p>
    <w:p>
      <w:pPr>
        <w:spacing w:after="0" w:line="25" w:lineRule="exact"/>
        <w:rPr>
          <w:rFonts w:ascii="Times New Roman" w:cs="Times New Roman" w:eastAsia="Times New Roman" w:hAnsi="Times New Roman"/>
          <w:sz w:val="18"/>
          <w:szCs w:val="18"/>
          <w:color w:val="auto"/>
        </w:rPr>
      </w:pPr>
    </w:p>
    <w:p>
      <w:pPr>
        <w:ind w:left="500" w:hanging="330"/>
        <w:spacing w:after="0"/>
        <w:tabs>
          <w:tab w:leader="none" w:pos="500"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Furnished herewith.</w:t>
      </w:r>
    </w:p>
    <w:p>
      <w:pPr>
        <w:spacing w:after="0" w:line="5" w:lineRule="exact"/>
        <w:rPr>
          <w:rFonts w:ascii="Times New Roman" w:cs="Times New Roman" w:eastAsia="Times New Roman" w:hAnsi="Times New Roman"/>
          <w:sz w:val="18"/>
          <w:szCs w:val="18"/>
          <w:color w:val="auto"/>
        </w:rPr>
      </w:pPr>
    </w:p>
    <w:p>
      <w:pPr>
        <w:ind w:left="420" w:hanging="250"/>
        <w:spacing w:after="0"/>
        <w:tabs>
          <w:tab w:leader="none" w:pos="420"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Indicates management contract or compensatory plan.</w:t>
      </w:r>
    </w:p>
    <w:p>
      <w:pPr>
        <w:spacing w:after="0" w:line="200" w:lineRule="exact"/>
        <w:rPr>
          <w:rFonts w:ascii="Times New Roman" w:cs="Times New Roman" w:eastAsia="Times New Roman" w:hAnsi="Times New Roman"/>
          <w:sz w:val="18"/>
          <w:szCs w:val="18"/>
          <w:color w:val="auto"/>
        </w:rPr>
      </w:pPr>
    </w:p>
    <w:p>
      <w:pPr>
        <w:spacing w:after="0" w:line="390" w:lineRule="exact"/>
        <w:rPr>
          <w:rFonts w:ascii="Times New Roman" w:cs="Times New Roman" w:eastAsia="Times New Roman" w:hAnsi="Times New Roman"/>
          <w:sz w:val="18"/>
          <w:szCs w:val="18"/>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- 160 -</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320" w:top="121" w:right="67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0" w:lineRule="exact"/>
        <w:rPr>
          <w:sz w:val="20"/>
          <w:szCs w:val="20"/>
          <w:color w:val="auto"/>
        </w:rPr>
      </w:pPr>
    </w:p>
    <w:p>
      <w:pPr>
        <w:spacing w:after="0" w:line="272" w:lineRule="exact"/>
        <w:rPr>
          <w:sz w:val="20"/>
          <w:szCs w:val="20"/>
          <w:color w:val="auto"/>
        </w:rPr>
      </w:pPr>
    </w:p>
    <w:p>
      <w:pPr>
        <w:ind w:right="40"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110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7120" w:type="dxa"/>
            <w:vAlign w:val="bottom"/>
            <w:gridSpan w:val="2"/>
          </w:tcPr>
          <w:p>
            <w:pPr>
              <w:ind w:left="2260"/>
              <w:spacing w:after="0"/>
              <w:rPr>
                <w:sz w:val="20"/>
                <w:szCs w:val="20"/>
                <w:color w:val="auto"/>
              </w:rPr>
            </w:pPr>
            <w:r>
              <w:rPr>
                <w:rFonts w:ascii="Times New Roman" w:cs="Times New Roman" w:eastAsia="Times New Roman" w:hAnsi="Times New Roman"/>
                <w:sz w:val="18"/>
                <w:szCs w:val="18"/>
                <w:color w:val="auto"/>
              </w:rPr>
              <w:t>RACKSPACE TECHNOLOGY, INC.</w:t>
            </w:r>
          </w:p>
        </w:tc>
      </w:tr>
      <w:tr>
        <w:trPr>
          <w:trHeight w:val="769"/>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March 20, 2025</w:t>
            </w:r>
          </w:p>
        </w:tc>
        <w:tc>
          <w:tcPr>
            <w:tcW w:w="280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By:</w:t>
            </w:r>
          </w:p>
        </w:tc>
        <w:tc>
          <w:tcPr>
            <w:tcW w:w="43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 Mark Marino</w:t>
            </w:r>
          </w:p>
        </w:tc>
      </w:tr>
      <w:tr>
        <w:trPr>
          <w:trHeight w:val="218"/>
        </w:trPr>
        <w:tc>
          <w:tcPr>
            <w:tcW w:w="11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4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Mark Marino</w:t>
            </w:r>
          </w:p>
        </w:tc>
      </w:tr>
      <w:tr>
        <w:trPr>
          <w:trHeight w:val="234"/>
        </w:trPr>
        <w:tc>
          <w:tcPr>
            <w:tcW w:w="110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4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- 161 -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2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1720" w:type="dxa"/>
            <w:vAlign w:val="bottom"/>
          </w:tcPr>
          <w:p>
            <w:pPr>
              <w:spacing w:after="0"/>
              <w:rPr>
                <w:sz w:val="17"/>
                <w:szCs w:val="17"/>
                <w:color w:val="auto"/>
              </w:rPr>
            </w:pPr>
          </w:p>
        </w:tc>
        <w:tc>
          <w:tcPr>
            <w:tcW w:w="4700" w:type="dxa"/>
            <w:vAlign w:val="bottom"/>
            <w:gridSpan w:val="3"/>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4"/>
              </w:rPr>
              <w:t>Title</w:t>
            </w:r>
          </w:p>
        </w:tc>
        <w:tc>
          <w:tcPr>
            <w:tcW w:w="1800" w:type="dxa"/>
            <w:vAlign w:val="bottom"/>
            <w:gridSpan w:val="3"/>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20"/>
        </w:trPr>
        <w:tc>
          <w:tcPr>
            <w:tcW w:w="17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304"/>
        </w:trPr>
        <w:tc>
          <w:tcPr>
            <w:tcW w:w="42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Amar Maletira</w:t>
            </w:r>
          </w:p>
        </w:tc>
        <w:tc>
          <w:tcPr>
            <w:tcW w:w="4700" w:type="dxa"/>
            <w:vAlign w:val="bottom"/>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9"/>
              </w:rPr>
              <w:t>Chief Executive Officer; Director</w:t>
            </w:r>
          </w:p>
        </w:tc>
        <w:tc>
          <w:tcPr>
            <w:tcW w:w="1800" w:type="dxa"/>
            <w:vAlign w:val="bottom"/>
            <w:gridSpan w:val="3"/>
          </w:tcPr>
          <w:p>
            <w:pPr>
              <w:jc w:val="center"/>
              <w:ind w:left="570"/>
              <w:spacing w:after="0"/>
              <w:rPr>
                <w:sz w:val="20"/>
                <w:szCs w:val="20"/>
                <w:color w:val="auto"/>
              </w:rPr>
            </w:pPr>
            <w:r>
              <w:rPr>
                <w:rFonts w:ascii="Times New Roman" w:cs="Times New Roman" w:eastAsia="Times New Roman" w:hAnsi="Times New Roman"/>
                <w:sz w:val="18"/>
                <w:szCs w:val="18"/>
                <w:color w:val="auto"/>
                <w:w w:val="99"/>
              </w:rPr>
              <w:t>March 20, 2025</w:t>
            </w:r>
          </w:p>
        </w:tc>
      </w:tr>
      <w:tr>
        <w:trPr>
          <w:trHeight w:val="228"/>
        </w:trPr>
        <w:tc>
          <w:tcPr>
            <w:tcW w:w="42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Amar Maletira</w:t>
            </w:r>
          </w:p>
        </w:tc>
        <w:tc>
          <w:tcPr>
            <w:tcW w:w="4700" w:type="dxa"/>
            <w:vAlign w:val="bottom"/>
            <w:gridSpan w:val="3"/>
          </w:tcPr>
          <w:p>
            <w:pPr>
              <w:jc w:val="center"/>
              <w:ind w:left="30"/>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c>
          <w:tcPr>
            <w:tcW w:w="10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373"/>
        </w:trPr>
        <w:tc>
          <w:tcPr>
            <w:tcW w:w="42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Mark Marino</w:t>
            </w:r>
          </w:p>
        </w:tc>
        <w:tc>
          <w:tcPr>
            <w:tcW w:w="4700" w:type="dxa"/>
            <w:vAlign w:val="bottom"/>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8"/>
              </w:rPr>
              <w:t>Chief Financial Officer</w:t>
            </w:r>
          </w:p>
        </w:tc>
        <w:tc>
          <w:tcPr>
            <w:tcW w:w="1800" w:type="dxa"/>
            <w:vAlign w:val="bottom"/>
            <w:gridSpan w:val="3"/>
          </w:tcPr>
          <w:p>
            <w:pPr>
              <w:jc w:val="center"/>
              <w:ind w:left="570"/>
              <w:spacing w:after="0"/>
              <w:rPr>
                <w:sz w:val="20"/>
                <w:szCs w:val="20"/>
                <w:color w:val="auto"/>
              </w:rPr>
            </w:pPr>
            <w:r>
              <w:rPr>
                <w:rFonts w:ascii="Times New Roman" w:cs="Times New Roman" w:eastAsia="Times New Roman" w:hAnsi="Times New Roman"/>
                <w:sz w:val="18"/>
                <w:szCs w:val="18"/>
                <w:color w:val="auto"/>
                <w:w w:val="99"/>
              </w:rPr>
              <w:t>March 20, 2025</w:t>
            </w:r>
          </w:p>
        </w:tc>
      </w:tr>
      <w:tr>
        <w:trPr>
          <w:trHeight w:val="228"/>
        </w:trPr>
        <w:tc>
          <w:tcPr>
            <w:tcW w:w="42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Mark Marino</w:t>
            </w:r>
          </w:p>
        </w:tc>
        <w:tc>
          <w:tcPr>
            <w:tcW w:w="4700" w:type="dxa"/>
            <w:vAlign w:val="bottom"/>
            <w:gridSpan w:val="3"/>
          </w:tcPr>
          <w:p>
            <w:pPr>
              <w:jc w:val="center"/>
              <w:ind w:left="30"/>
              <w:spacing w:after="0"/>
              <w:rPr>
                <w:sz w:val="20"/>
                <w:szCs w:val="20"/>
                <w:color w:val="auto"/>
              </w:rPr>
            </w:pPr>
            <w:r>
              <w:rPr>
                <w:rFonts w:ascii="Times New Roman" w:cs="Times New Roman" w:eastAsia="Times New Roman" w:hAnsi="Times New Roman"/>
                <w:sz w:val="18"/>
                <w:szCs w:val="18"/>
                <w:i w:val="1"/>
                <w:iCs w:val="1"/>
                <w:color w:val="auto"/>
                <w:w w:val="99"/>
              </w:rPr>
              <w:t>(Principal Financial and Accounting Officer)</w:t>
            </w:r>
          </w:p>
        </w:tc>
        <w:tc>
          <w:tcPr>
            <w:tcW w:w="10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373"/>
        </w:trPr>
        <w:tc>
          <w:tcPr>
            <w:tcW w:w="42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/s/ Betsy Atkins</w:t>
            </w:r>
          </w:p>
        </w:tc>
        <w:tc>
          <w:tcPr>
            <w:tcW w:w="4700" w:type="dxa"/>
            <w:vAlign w:val="bottom"/>
            <w:gridSpan w:val="3"/>
          </w:tcPr>
          <w:p>
            <w:pPr>
              <w:jc w:val="center"/>
              <w:ind w:left="10"/>
              <w:spacing w:after="0"/>
              <w:rPr>
                <w:sz w:val="20"/>
                <w:szCs w:val="20"/>
                <w:color w:val="auto"/>
              </w:rPr>
            </w:pPr>
            <w:r>
              <w:rPr>
                <w:rFonts w:ascii="Times New Roman" w:cs="Times New Roman" w:eastAsia="Times New Roman" w:hAnsi="Times New Roman"/>
                <w:sz w:val="18"/>
                <w:szCs w:val="18"/>
                <w:color w:val="auto"/>
                <w:w w:val="99"/>
              </w:rPr>
              <w:t>Director</w:t>
            </w:r>
          </w:p>
        </w:tc>
        <w:tc>
          <w:tcPr>
            <w:tcW w:w="1800" w:type="dxa"/>
            <w:vAlign w:val="bottom"/>
            <w:gridSpan w:val="3"/>
          </w:tcPr>
          <w:p>
            <w:pPr>
              <w:jc w:val="center"/>
              <w:ind w:left="570"/>
              <w:spacing w:after="0"/>
              <w:rPr>
                <w:sz w:val="20"/>
                <w:szCs w:val="20"/>
                <w:color w:val="auto"/>
              </w:rPr>
            </w:pPr>
            <w:r>
              <w:rPr>
                <w:rFonts w:ascii="Times New Roman" w:cs="Times New Roman" w:eastAsia="Times New Roman" w:hAnsi="Times New Roman"/>
                <w:sz w:val="18"/>
                <w:szCs w:val="18"/>
                <w:color w:val="auto"/>
                <w:w w:val="99"/>
              </w:rPr>
              <w:t>March 20, 2025</w:t>
            </w:r>
          </w:p>
        </w:tc>
      </w:tr>
      <w:tr>
        <w:trPr>
          <w:trHeight w:val="228"/>
        </w:trPr>
        <w:tc>
          <w:tcPr>
            <w:tcW w:w="42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Betsy Atkins</w:t>
            </w:r>
          </w:p>
        </w:tc>
        <w:tc>
          <w:tcPr>
            <w:tcW w:w="2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373"/>
        </w:trPr>
        <w:tc>
          <w:tcPr>
            <w:tcW w:w="42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/s/ Jeffrey Benjamin</w:t>
            </w:r>
          </w:p>
        </w:tc>
        <w:tc>
          <w:tcPr>
            <w:tcW w:w="4700" w:type="dxa"/>
            <w:vAlign w:val="bottom"/>
            <w:gridSpan w:val="3"/>
          </w:tcPr>
          <w:p>
            <w:pPr>
              <w:jc w:val="center"/>
              <w:ind w:left="10"/>
              <w:spacing w:after="0"/>
              <w:rPr>
                <w:sz w:val="20"/>
                <w:szCs w:val="20"/>
                <w:color w:val="auto"/>
              </w:rPr>
            </w:pPr>
            <w:r>
              <w:rPr>
                <w:rFonts w:ascii="Times New Roman" w:cs="Times New Roman" w:eastAsia="Times New Roman" w:hAnsi="Times New Roman"/>
                <w:sz w:val="18"/>
                <w:szCs w:val="18"/>
                <w:color w:val="auto"/>
                <w:w w:val="99"/>
              </w:rPr>
              <w:t>Director</w:t>
            </w:r>
          </w:p>
        </w:tc>
        <w:tc>
          <w:tcPr>
            <w:tcW w:w="1800" w:type="dxa"/>
            <w:vAlign w:val="bottom"/>
            <w:gridSpan w:val="3"/>
          </w:tcPr>
          <w:p>
            <w:pPr>
              <w:jc w:val="center"/>
              <w:ind w:left="570"/>
              <w:spacing w:after="0"/>
              <w:rPr>
                <w:sz w:val="20"/>
                <w:szCs w:val="20"/>
                <w:color w:val="auto"/>
              </w:rPr>
            </w:pPr>
            <w:r>
              <w:rPr>
                <w:rFonts w:ascii="Times New Roman" w:cs="Times New Roman" w:eastAsia="Times New Roman" w:hAnsi="Times New Roman"/>
                <w:sz w:val="18"/>
                <w:szCs w:val="18"/>
                <w:color w:val="auto"/>
                <w:w w:val="99"/>
              </w:rPr>
              <w:t>March 20, 2025</w:t>
            </w:r>
          </w:p>
        </w:tc>
      </w:tr>
      <w:tr>
        <w:trPr>
          <w:trHeight w:val="228"/>
        </w:trPr>
        <w:tc>
          <w:tcPr>
            <w:tcW w:w="42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Jeffrey Benjamin</w:t>
            </w:r>
          </w:p>
        </w:tc>
        <w:tc>
          <w:tcPr>
            <w:tcW w:w="2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373"/>
        </w:trPr>
        <w:tc>
          <w:tcPr>
            <w:tcW w:w="42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/s/ Mitch Garber</w:t>
            </w:r>
          </w:p>
        </w:tc>
        <w:tc>
          <w:tcPr>
            <w:tcW w:w="4700" w:type="dxa"/>
            <w:vAlign w:val="bottom"/>
            <w:gridSpan w:val="3"/>
          </w:tcPr>
          <w:p>
            <w:pPr>
              <w:jc w:val="center"/>
              <w:ind w:left="10"/>
              <w:spacing w:after="0"/>
              <w:rPr>
                <w:sz w:val="20"/>
                <w:szCs w:val="20"/>
                <w:color w:val="auto"/>
              </w:rPr>
            </w:pPr>
            <w:r>
              <w:rPr>
                <w:rFonts w:ascii="Times New Roman" w:cs="Times New Roman" w:eastAsia="Times New Roman" w:hAnsi="Times New Roman"/>
                <w:sz w:val="18"/>
                <w:szCs w:val="18"/>
                <w:color w:val="auto"/>
                <w:w w:val="99"/>
              </w:rPr>
              <w:t>Director</w:t>
            </w:r>
          </w:p>
        </w:tc>
        <w:tc>
          <w:tcPr>
            <w:tcW w:w="1800" w:type="dxa"/>
            <w:vAlign w:val="bottom"/>
            <w:gridSpan w:val="3"/>
          </w:tcPr>
          <w:p>
            <w:pPr>
              <w:jc w:val="center"/>
              <w:ind w:left="570"/>
              <w:spacing w:after="0"/>
              <w:rPr>
                <w:sz w:val="20"/>
                <w:szCs w:val="20"/>
                <w:color w:val="auto"/>
              </w:rPr>
            </w:pPr>
            <w:r>
              <w:rPr>
                <w:rFonts w:ascii="Times New Roman" w:cs="Times New Roman" w:eastAsia="Times New Roman" w:hAnsi="Times New Roman"/>
                <w:sz w:val="18"/>
                <w:szCs w:val="18"/>
                <w:color w:val="auto"/>
                <w:w w:val="99"/>
              </w:rPr>
              <w:t>March 20, 2025</w:t>
            </w:r>
          </w:p>
        </w:tc>
      </w:tr>
      <w:tr>
        <w:trPr>
          <w:trHeight w:val="228"/>
        </w:trPr>
        <w:tc>
          <w:tcPr>
            <w:tcW w:w="42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Mitch Garber</w:t>
            </w:r>
          </w:p>
        </w:tc>
        <w:tc>
          <w:tcPr>
            <w:tcW w:w="2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373"/>
        </w:trPr>
        <w:tc>
          <w:tcPr>
            <w:tcW w:w="42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/s/ Mark Gross</w:t>
            </w:r>
          </w:p>
        </w:tc>
        <w:tc>
          <w:tcPr>
            <w:tcW w:w="4700" w:type="dxa"/>
            <w:vAlign w:val="bottom"/>
            <w:gridSpan w:val="3"/>
          </w:tcPr>
          <w:p>
            <w:pPr>
              <w:jc w:val="center"/>
              <w:ind w:left="10"/>
              <w:spacing w:after="0"/>
              <w:rPr>
                <w:sz w:val="20"/>
                <w:szCs w:val="20"/>
                <w:color w:val="auto"/>
              </w:rPr>
            </w:pPr>
            <w:r>
              <w:rPr>
                <w:rFonts w:ascii="Times New Roman" w:cs="Times New Roman" w:eastAsia="Times New Roman" w:hAnsi="Times New Roman"/>
                <w:sz w:val="18"/>
                <w:szCs w:val="18"/>
                <w:color w:val="auto"/>
                <w:w w:val="99"/>
              </w:rPr>
              <w:t>Director</w:t>
            </w:r>
          </w:p>
        </w:tc>
        <w:tc>
          <w:tcPr>
            <w:tcW w:w="1800" w:type="dxa"/>
            <w:vAlign w:val="bottom"/>
            <w:gridSpan w:val="3"/>
          </w:tcPr>
          <w:p>
            <w:pPr>
              <w:jc w:val="center"/>
              <w:ind w:left="570"/>
              <w:spacing w:after="0"/>
              <w:rPr>
                <w:sz w:val="20"/>
                <w:szCs w:val="20"/>
                <w:color w:val="auto"/>
              </w:rPr>
            </w:pPr>
            <w:r>
              <w:rPr>
                <w:rFonts w:ascii="Times New Roman" w:cs="Times New Roman" w:eastAsia="Times New Roman" w:hAnsi="Times New Roman"/>
                <w:sz w:val="18"/>
                <w:szCs w:val="18"/>
                <w:color w:val="auto"/>
                <w:w w:val="99"/>
              </w:rPr>
              <w:t>March 20, 2025</w:t>
            </w:r>
          </w:p>
        </w:tc>
      </w:tr>
      <w:tr>
        <w:trPr>
          <w:trHeight w:val="228"/>
        </w:trPr>
        <w:tc>
          <w:tcPr>
            <w:tcW w:w="42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Mark Gross</w:t>
            </w:r>
          </w:p>
        </w:tc>
        <w:tc>
          <w:tcPr>
            <w:tcW w:w="2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373"/>
        </w:trPr>
        <w:tc>
          <w:tcPr>
            <w:tcW w:w="42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7"/>
              </w:rPr>
              <w:t>/s/ Vikram Mahidhar</w:t>
            </w:r>
          </w:p>
        </w:tc>
        <w:tc>
          <w:tcPr>
            <w:tcW w:w="4700" w:type="dxa"/>
            <w:vAlign w:val="bottom"/>
            <w:gridSpan w:val="3"/>
          </w:tcPr>
          <w:p>
            <w:pPr>
              <w:jc w:val="center"/>
              <w:ind w:left="10"/>
              <w:spacing w:after="0"/>
              <w:rPr>
                <w:sz w:val="20"/>
                <w:szCs w:val="20"/>
                <w:color w:val="auto"/>
              </w:rPr>
            </w:pPr>
            <w:r>
              <w:rPr>
                <w:rFonts w:ascii="Times New Roman" w:cs="Times New Roman" w:eastAsia="Times New Roman" w:hAnsi="Times New Roman"/>
                <w:sz w:val="18"/>
                <w:szCs w:val="18"/>
                <w:color w:val="auto"/>
                <w:w w:val="99"/>
              </w:rPr>
              <w:t>Director</w:t>
            </w:r>
          </w:p>
        </w:tc>
        <w:tc>
          <w:tcPr>
            <w:tcW w:w="1800" w:type="dxa"/>
            <w:vAlign w:val="bottom"/>
            <w:gridSpan w:val="3"/>
          </w:tcPr>
          <w:p>
            <w:pPr>
              <w:jc w:val="center"/>
              <w:ind w:left="570"/>
              <w:spacing w:after="0"/>
              <w:rPr>
                <w:sz w:val="20"/>
                <w:szCs w:val="20"/>
                <w:color w:val="auto"/>
              </w:rPr>
            </w:pPr>
            <w:r>
              <w:rPr>
                <w:rFonts w:ascii="Times New Roman" w:cs="Times New Roman" w:eastAsia="Times New Roman" w:hAnsi="Times New Roman"/>
                <w:sz w:val="18"/>
                <w:szCs w:val="18"/>
                <w:color w:val="auto"/>
                <w:w w:val="99"/>
              </w:rPr>
              <w:t>March 20, 2025</w:t>
            </w:r>
          </w:p>
        </w:tc>
      </w:tr>
      <w:tr>
        <w:trPr>
          <w:trHeight w:val="228"/>
        </w:trPr>
        <w:tc>
          <w:tcPr>
            <w:tcW w:w="42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Vikram Mahidhar</w:t>
            </w:r>
          </w:p>
        </w:tc>
        <w:tc>
          <w:tcPr>
            <w:tcW w:w="2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373"/>
        </w:trPr>
        <w:tc>
          <w:tcPr>
            <w:tcW w:w="42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Anthony Roberts</w:t>
            </w:r>
          </w:p>
        </w:tc>
        <w:tc>
          <w:tcPr>
            <w:tcW w:w="4700" w:type="dxa"/>
            <w:vAlign w:val="bottom"/>
            <w:gridSpan w:val="3"/>
          </w:tcPr>
          <w:p>
            <w:pPr>
              <w:jc w:val="center"/>
              <w:ind w:left="10"/>
              <w:spacing w:after="0"/>
              <w:rPr>
                <w:sz w:val="20"/>
                <w:szCs w:val="20"/>
                <w:color w:val="auto"/>
              </w:rPr>
            </w:pPr>
            <w:r>
              <w:rPr>
                <w:rFonts w:ascii="Times New Roman" w:cs="Times New Roman" w:eastAsia="Times New Roman" w:hAnsi="Times New Roman"/>
                <w:sz w:val="18"/>
                <w:szCs w:val="18"/>
                <w:color w:val="auto"/>
                <w:w w:val="99"/>
              </w:rPr>
              <w:t>Director</w:t>
            </w:r>
          </w:p>
        </w:tc>
        <w:tc>
          <w:tcPr>
            <w:tcW w:w="1800" w:type="dxa"/>
            <w:vAlign w:val="bottom"/>
            <w:gridSpan w:val="3"/>
          </w:tcPr>
          <w:p>
            <w:pPr>
              <w:jc w:val="center"/>
              <w:ind w:left="570"/>
              <w:spacing w:after="0"/>
              <w:rPr>
                <w:sz w:val="20"/>
                <w:szCs w:val="20"/>
                <w:color w:val="auto"/>
              </w:rPr>
            </w:pPr>
            <w:r>
              <w:rPr>
                <w:rFonts w:ascii="Times New Roman" w:cs="Times New Roman" w:eastAsia="Times New Roman" w:hAnsi="Times New Roman"/>
                <w:sz w:val="18"/>
                <w:szCs w:val="18"/>
                <w:color w:val="auto"/>
                <w:w w:val="99"/>
              </w:rPr>
              <w:t>March 20, 2025</w:t>
            </w:r>
          </w:p>
        </w:tc>
      </w:tr>
      <w:tr>
        <w:trPr>
          <w:trHeight w:val="228"/>
        </w:trPr>
        <w:tc>
          <w:tcPr>
            <w:tcW w:w="42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Anthony Roberts</w:t>
            </w:r>
          </w:p>
        </w:tc>
        <w:tc>
          <w:tcPr>
            <w:tcW w:w="2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373"/>
        </w:trPr>
        <w:tc>
          <w:tcPr>
            <w:tcW w:w="42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Shashank Samant</w:t>
            </w:r>
          </w:p>
        </w:tc>
        <w:tc>
          <w:tcPr>
            <w:tcW w:w="4700" w:type="dxa"/>
            <w:vAlign w:val="bottom"/>
            <w:gridSpan w:val="3"/>
          </w:tcPr>
          <w:p>
            <w:pPr>
              <w:jc w:val="center"/>
              <w:ind w:left="10"/>
              <w:spacing w:after="0"/>
              <w:rPr>
                <w:sz w:val="20"/>
                <w:szCs w:val="20"/>
                <w:color w:val="auto"/>
              </w:rPr>
            </w:pPr>
            <w:r>
              <w:rPr>
                <w:rFonts w:ascii="Times New Roman" w:cs="Times New Roman" w:eastAsia="Times New Roman" w:hAnsi="Times New Roman"/>
                <w:sz w:val="18"/>
                <w:szCs w:val="18"/>
                <w:color w:val="auto"/>
                <w:w w:val="99"/>
              </w:rPr>
              <w:t>Director</w:t>
            </w:r>
          </w:p>
        </w:tc>
        <w:tc>
          <w:tcPr>
            <w:tcW w:w="1800" w:type="dxa"/>
            <w:vAlign w:val="bottom"/>
            <w:gridSpan w:val="3"/>
          </w:tcPr>
          <w:p>
            <w:pPr>
              <w:jc w:val="center"/>
              <w:ind w:left="570"/>
              <w:spacing w:after="0"/>
              <w:rPr>
                <w:sz w:val="20"/>
                <w:szCs w:val="20"/>
                <w:color w:val="auto"/>
              </w:rPr>
            </w:pPr>
            <w:r>
              <w:rPr>
                <w:rFonts w:ascii="Times New Roman" w:cs="Times New Roman" w:eastAsia="Times New Roman" w:hAnsi="Times New Roman"/>
                <w:sz w:val="18"/>
                <w:szCs w:val="18"/>
                <w:color w:val="auto"/>
                <w:w w:val="99"/>
              </w:rPr>
              <w:t>March 20, 2025</w:t>
            </w:r>
          </w:p>
        </w:tc>
      </w:tr>
      <w:tr>
        <w:trPr>
          <w:trHeight w:val="228"/>
        </w:trPr>
        <w:tc>
          <w:tcPr>
            <w:tcW w:w="42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Shashank Samant</w:t>
            </w:r>
          </w:p>
        </w:tc>
        <w:tc>
          <w:tcPr>
            <w:tcW w:w="2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373"/>
        </w:trPr>
        <w:tc>
          <w:tcPr>
            <w:tcW w:w="42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Anthony Scott</w:t>
            </w:r>
          </w:p>
        </w:tc>
        <w:tc>
          <w:tcPr>
            <w:tcW w:w="4700" w:type="dxa"/>
            <w:vAlign w:val="bottom"/>
            <w:gridSpan w:val="3"/>
          </w:tcPr>
          <w:p>
            <w:pPr>
              <w:jc w:val="center"/>
              <w:ind w:left="10"/>
              <w:spacing w:after="0"/>
              <w:rPr>
                <w:sz w:val="20"/>
                <w:szCs w:val="20"/>
                <w:color w:val="auto"/>
              </w:rPr>
            </w:pPr>
            <w:r>
              <w:rPr>
                <w:rFonts w:ascii="Times New Roman" w:cs="Times New Roman" w:eastAsia="Times New Roman" w:hAnsi="Times New Roman"/>
                <w:sz w:val="18"/>
                <w:szCs w:val="18"/>
                <w:color w:val="auto"/>
                <w:w w:val="99"/>
              </w:rPr>
              <w:t>Director</w:t>
            </w:r>
          </w:p>
        </w:tc>
        <w:tc>
          <w:tcPr>
            <w:tcW w:w="1800" w:type="dxa"/>
            <w:vAlign w:val="bottom"/>
            <w:gridSpan w:val="3"/>
          </w:tcPr>
          <w:p>
            <w:pPr>
              <w:jc w:val="center"/>
              <w:ind w:left="570"/>
              <w:spacing w:after="0"/>
              <w:rPr>
                <w:sz w:val="20"/>
                <w:szCs w:val="20"/>
                <w:color w:val="auto"/>
              </w:rPr>
            </w:pPr>
            <w:r>
              <w:rPr>
                <w:rFonts w:ascii="Times New Roman" w:cs="Times New Roman" w:eastAsia="Times New Roman" w:hAnsi="Times New Roman"/>
                <w:sz w:val="18"/>
                <w:szCs w:val="18"/>
                <w:color w:val="auto"/>
                <w:w w:val="99"/>
              </w:rPr>
              <w:t>March 20, 2025</w:t>
            </w:r>
          </w:p>
        </w:tc>
      </w:tr>
      <w:tr>
        <w:trPr>
          <w:trHeight w:val="228"/>
        </w:trPr>
        <w:tc>
          <w:tcPr>
            <w:tcW w:w="42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Anthony Scott</w:t>
            </w:r>
          </w:p>
        </w:tc>
        <w:tc>
          <w:tcPr>
            <w:tcW w:w="2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373"/>
        </w:trPr>
        <w:tc>
          <w:tcPr>
            <w:tcW w:w="42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Aaron Sobel</w:t>
            </w:r>
          </w:p>
        </w:tc>
        <w:tc>
          <w:tcPr>
            <w:tcW w:w="4700" w:type="dxa"/>
            <w:vAlign w:val="bottom"/>
            <w:gridSpan w:val="3"/>
          </w:tcPr>
          <w:p>
            <w:pPr>
              <w:jc w:val="center"/>
              <w:ind w:left="10"/>
              <w:spacing w:after="0"/>
              <w:rPr>
                <w:sz w:val="20"/>
                <w:szCs w:val="20"/>
                <w:color w:val="auto"/>
              </w:rPr>
            </w:pPr>
            <w:r>
              <w:rPr>
                <w:rFonts w:ascii="Times New Roman" w:cs="Times New Roman" w:eastAsia="Times New Roman" w:hAnsi="Times New Roman"/>
                <w:sz w:val="18"/>
                <w:szCs w:val="18"/>
                <w:color w:val="auto"/>
                <w:w w:val="99"/>
              </w:rPr>
              <w:t>Director</w:t>
            </w:r>
          </w:p>
        </w:tc>
        <w:tc>
          <w:tcPr>
            <w:tcW w:w="1800" w:type="dxa"/>
            <w:vAlign w:val="bottom"/>
            <w:gridSpan w:val="3"/>
          </w:tcPr>
          <w:p>
            <w:pPr>
              <w:jc w:val="center"/>
              <w:ind w:left="570"/>
              <w:spacing w:after="0"/>
              <w:rPr>
                <w:sz w:val="20"/>
                <w:szCs w:val="20"/>
                <w:color w:val="auto"/>
              </w:rPr>
            </w:pPr>
            <w:r>
              <w:rPr>
                <w:rFonts w:ascii="Times New Roman" w:cs="Times New Roman" w:eastAsia="Times New Roman" w:hAnsi="Times New Roman"/>
                <w:sz w:val="18"/>
                <w:szCs w:val="18"/>
                <w:color w:val="auto"/>
                <w:w w:val="99"/>
              </w:rPr>
              <w:t>March 20, 2025</w:t>
            </w:r>
          </w:p>
        </w:tc>
      </w:tr>
      <w:tr>
        <w:trPr>
          <w:trHeight w:val="228"/>
        </w:trPr>
        <w:tc>
          <w:tcPr>
            <w:tcW w:w="42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Aaron Sobel</w:t>
            </w:r>
          </w:p>
        </w:tc>
        <w:tc>
          <w:tcPr>
            <w:tcW w:w="2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900"/>
        </w:trPr>
        <w:tc>
          <w:tcPr>
            <w:tcW w:w="1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24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- 162 -</w:t>
            </w:r>
          </w:p>
        </w:tc>
        <w:tc>
          <w:tcPr>
            <w:tcW w:w="3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r>
    </w:tbl>
    <w:p>
      <w:pPr>
        <w:sectPr>
          <w:pgSz w:w="11900" w:h="16838" w:orient="portrait"/>
          <w:cols w:equalWidth="0" w:num="1">
            <w:col w:w="10940"/>
          </w:cols>
          <w:pgMar w:left="320" w:top="121" w:right="639" w:bottom="1440" w:gutter="0" w:footer="0" w:header="0"/>
        </w:sectPr>
      </w:pPr>
    </w:p>
    <w:bookmarkStart w:id="162" w:name="page163"/>
    <w:bookmarkEnd w:id="162"/>
    <w:p>
      <w:pPr>
        <w:jc w:val="right"/>
        <w:spacing w:after="0"/>
        <w:rPr>
          <w:sz w:val="20"/>
          <w:szCs w:val="20"/>
          <w:color w:val="auto"/>
        </w:rPr>
      </w:pPr>
      <w:r>
        <w:rPr>
          <w:rFonts w:ascii="Times New Roman" w:cs="Times New Roman" w:eastAsia="Times New Roman" w:hAnsi="Times New Roman"/>
          <w:sz w:val="18"/>
          <w:szCs w:val="18"/>
          <w:b w:val="1"/>
          <w:bCs w:val="1"/>
          <w:color w:val="auto"/>
        </w:rPr>
        <w:t>Exhibit 10.9</w:t>
      </w:r>
    </w:p>
    <w:p>
      <w:pPr>
        <w:spacing w:after="0" w:line="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i w:val="1"/>
          <w:i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SUCCESSOR AGENT APPOINTMENT AND AGENCY TRANSFER AGREEMENT</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This Successor Agent Appointment and Agency Transfer Agreement (this “</w:t>
      </w:r>
      <w:r>
        <w:rPr>
          <w:rFonts w:ascii="Times New Roman" w:cs="Times New Roman" w:eastAsia="Times New Roman" w:hAnsi="Times New Roman"/>
          <w:sz w:val="20"/>
          <w:szCs w:val="20"/>
          <w:b w:val="1"/>
          <w:bCs w:val="1"/>
          <w:color w:val="auto"/>
        </w:rPr>
        <w:t>Agreement</w:t>
      </w:r>
      <w:r>
        <w:rPr>
          <w:rFonts w:ascii="Times New Roman" w:cs="Times New Roman" w:eastAsia="Times New Roman" w:hAnsi="Times New Roman"/>
          <w:sz w:val="20"/>
          <w:szCs w:val="20"/>
          <w:color w:val="auto"/>
        </w:rPr>
        <w:t>”) is entered into as of November 15, 2024, by and among CITIBANK, N.A. (“</w:t>
      </w:r>
      <w:r>
        <w:rPr>
          <w:rFonts w:ascii="Times New Roman" w:cs="Times New Roman" w:eastAsia="Times New Roman" w:hAnsi="Times New Roman"/>
          <w:sz w:val="20"/>
          <w:szCs w:val="20"/>
          <w:b w:val="1"/>
          <w:bCs w:val="1"/>
          <w:color w:val="auto"/>
        </w:rPr>
        <w:t>Citi</w:t>
      </w:r>
      <w:r>
        <w:rPr>
          <w:rFonts w:ascii="Times New Roman" w:cs="Times New Roman" w:eastAsia="Times New Roman" w:hAnsi="Times New Roman"/>
          <w:sz w:val="20"/>
          <w:szCs w:val="20"/>
          <w:color w:val="auto"/>
        </w:rPr>
        <w:t>”), as the predecessor or retiring Administrative Agent (the “</w:t>
      </w:r>
      <w:r>
        <w:rPr>
          <w:rFonts w:ascii="Times New Roman" w:cs="Times New Roman" w:eastAsia="Times New Roman" w:hAnsi="Times New Roman"/>
          <w:sz w:val="20"/>
          <w:szCs w:val="20"/>
          <w:b w:val="1"/>
          <w:bCs w:val="1"/>
          <w:color w:val="auto"/>
        </w:rPr>
        <w:t>Predecessor Administrative Agent</w:t>
      </w:r>
      <w:r>
        <w:rPr>
          <w:rFonts w:ascii="Times New Roman" w:cs="Times New Roman" w:eastAsia="Times New Roman" w:hAnsi="Times New Roman"/>
          <w:sz w:val="20"/>
          <w:szCs w:val="20"/>
          <w:color w:val="auto"/>
        </w:rPr>
        <w:t>”) and Citi, acting through its agency &amp; trust business, as the predecessor or retiring Collateral Agent (the “</w:t>
      </w:r>
      <w:r>
        <w:rPr>
          <w:rFonts w:ascii="Times New Roman" w:cs="Times New Roman" w:eastAsia="Times New Roman" w:hAnsi="Times New Roman"/>
          <w:sz w:val="20"/>
          <w:szCs w:val="20"/>
          <w:b w:val="1"/>
          <w:bCs w:val="1"/>
          <w:color w:val="auto"/>
        </w:rPr>
        <w:t>Predecessor Collateral Agent</w:t>
      </w:r>
      <w:r>
        <w:rPr>
          <w:rFonts w:ascii="Times New Roman" w:cs="Times New Roman" w:eastAsia="Times New Roman" w:hAnsi="Times New Roman"/>
          <w:sz w:val="20"/>
          <w:szCs w:val="20"/>
          <w:color w:val="auto"/>
        </w:rPr>
        <w:t>”, and together with its capacity as the Predecessor Administrative Agent, the “</w:t>
      </w:r>
      <w:r>
        <w:rPr>
          <w:rFonts w:ascii="Times New Roman" w:cs="Times New Roman" w:eastAsia="Times New Roman" w:hAnsi="Times New Roman"/>
          <w:sz w:val="20"/>
          <w:szCs w:val="20"/>
          <w:b w:val="1"/>
          <w:bCs w:val="1"/>
          <w:color w:val="auto"/>
        </w:rPr>
        <w:t>Predecessor Agent</w:t>
      </w:r>
      <w:r>
        <w:rPr>
          <w:rFonts w:ascii="Times New Roman" w:cs="Times New Roman" w:eastAsia="Times New Roman" w:hAnsi="Times New Roman"/>
          <w:sz w:val="20"/>
          <w:szCs w:val="20"/>
          <w:color w:val="auto"/>
        </w:rPr>
        <w:t>”) under the Credit Agreement (as defined below) and related Loan Documents, WILMINGTON TRUST, NATIONAL ASSOCIATION (“</w:t>
      </w:r>
      <w:r>
        <w:rPr>
          <w:rFonts w:ascii="Times New Roman" w:cs="Times New Roman" w:eastAsia="Times New Roman" w:hAnsi="Times New Roman"/>
          <w:sz w:val="20"/>
          <w:szCs w:val="20"/>
          <w:b w:val="1"/>
          <w:bCs w:val="1"/>
          <w:color w:val="auto"/>
        </w:rPr>
        <w:t>WTNA</w:t>
      </w:r>
      <w:r>
        <w:rPr>
          <w:rFonts w:ascii="Times New Roman" w:cs="Times New Roman" w:eastAsia="Times New Roman" w:hAnsi="Times New Roman"/>
          <w:sz w:val="20"/>
          <w:szCs w:val="20"/>
          <w:color w:val="auto"/>
        </w:rPr>
        <w:t>”), as the successor Administrative Agent (the “</w:t>
      </w:r>
      <w:r>
        <w:rPr>
          <w:rFonts w:ascii="Times New Roman" w:cs="Times New Roman" w:eastAsia="Times New Roman" w:hAnsi="Times New Roman"/>
          <w:sz w:val="20"/>
          <w:szCs w:val="20"/>
          <w:b w:val="1"/>
          <w:bCs w:val="1"/>
          <w:color w:val="auto"/>
        </w:rPr>
        <w:t>Successor Administrative Agent</w:t>
      </w:r>
      <w:r>
        <w:rPr>
          <w:rFonts w:ascii="Times New Roman" w:cs="Times New Roman" w:eastAsia="Times New Roman" w:hAnsi="Times New Roman"/>
          <w:sz w:val="20"/>
          <w:szCs w:val="20"/>
          <w:color w:val="auto"/>
        </w:rPr>
        <w:t>”) and as the successor Collateral Agent (the “</w:t>
      </w:r>
      <w:r>
        <w:rPr>
          <w:rFonts w:ascii="Times New Roman" w:cs="Times New Roman" w:eastAsia="Times New Roman" w:hAnsi="Times New Roman"/>
          <w:sz w:val="20"/>
          <w:szCs w:val="20"/>
          <w:b w:val="1"/>
          <w:bCs w:val="1"/>
          <w:color w:val="auto"/>
        </w:rPr>
        <w:t>Successor Collateral Agent</w:t>
      </w:r>
      <w:r>
        <w:rPr>
          <w:rFonts w:ascii="Times New Roman" w:cs="Times New Roman" w:eastAsia="Times New Roman" w:hAnsi="Times New Roman"/>
          <w:sz w:val="20"/>
          <w:szCs w:val="20"/>
          <w:color w:val="auto"/>
        </w:rPr>
        <w:t>” and together with its capacity as the Successor Administrative Agent, the “</w:t>
      </w:r>
      <w:r>
        <w:rPr>
          <w:rFonts w:ascii="Times New Roman" w:cs="Times New Roman" w:eastAsia="Times New Roman" w:hAnsi="Times New Roman"/>
          <w:sz w:val="20"/>
          <w:szCs w:val="20"/>
          <w:b w:val="1"/>
          <w:bCs w:val="1"/>
          <w:color w:val="auto"/>
        </w:rPr>
        <w:t>Successor Agent</w:t>
      </w:r>
      <w:r>
        <w:rPr>
          <w:rFonts w:ascii="Times New Roman" w:cs="Times New Roman" w:eastAsia="Times New Roman" w:hAnsi="Times New Roman"/>
          <w:sz w:val="20"/>
          <w:szCs w:val="20"/>
          <w:color w:val="auto"/>
        </w:rPr>
        <w:t>”), RACKSPACE TECHNOLOGY GLOBAL, INC., a Delaware corporation (the “</w:t>
      </w:r>
      <w:r>
        <w:rPr>
          <w:rFonts w:ascii="Times New Roman" w:cs="Times New Roman" w:eastAsia="Times New Roman" w:hAnsi="Times New Roman"/>
          <w:sz w:val="20"/>
          <w:szCs w:val="20"/>
          <w:b w:val="1"/>
          <w:bCs w:val="1"/>
          <w:color w:val="auto"/>
        </w:rPr>
        <w:t>Borrower</w:t>
      </w:r>
      <w:r>
        <w:rPr>
          <w:rFonts w:ascii="Times New Roman" w:cs="Times New Roman" w:eastAsia="Times New Roman" w:hAnsi="Times New Roman"/>
          <w:sz w:val="20"/>
          <w:szCs w:val="20"/>
          <w:color w:val="auto"/>
        </w:rPr>
        <w:t>”), the other Loan Parties party hereto and the Lenders party hereto.</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RECITALS</w:t>
      </w:r>
    </w:p>
    <w:p>
      <w:pPr>
        <w:spacing w:after="0" w:line="229"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WHEREAS, the Borrower has entered into that certain (i) Third Amended and Restated First Lien Credit Agreement, dated as of February 9, 2021, by and among Inception Parent, Inc., a Delaware corporation (“</w:t>
      </w:r>
      <w:r>
        <w:rPr>
          <w:rFonts w:ascii="Times New Roman" w:cs="Times New Roman" w:eastAsia="Times New Roman" w:hAnsi="Times New Roman"/>
          <w:sz w:val="20"/>
          <w:szCs w:val="20"/>
          <w:b w:val="1"/>
          <w:bCs w:val="1"/>
          <w:color w:val="auto"/>
        </w:rPr>
        <w:t>Holdings</w:t>
      </w:r>
      <w:r>
        <w:rPr>
          <w:rFonts w:ascii="Times New Roman" w:cs="Times New Roman" w:eastAsia="Times New Roman" w:hAnsi="Times New Roman"/>
          <w:sz w:val="20"/>
          <w:szCs w:val="20"/>
          <w:color w:val="auto"/>
        </w:rPr>
        <w:t>”), the Borrower, the Lenders party thereto from time to time, Citibank, N.A., as administrative agent for the Lenders and Citibank, N.A., acting through its agency &amp; trust business, as collateral agent for the Secured Parties (as amended by that certain Amendment No. 1, dated as of April 26, 2023, (the “</w:t>
      </w:r>
      <w:r>
        <w:rPr>
          <w:rFonts w:ascii="Times New Roman" w:cs="Times New Roman" w:eastAsia="Times New Roman" w:hAnsi="Times New Roman"/>
          <w:sz w:val="20"/>
          <w:szCs w:val="20"/>
          <w:b w:val="1"/>
          <w:bCs w:val="1"/>
          <w:color w:val="auto"/>
        </w:rPr>
        <w:t>Amendment</w:t>
      </w:r>
      <w:r>
        <w:rPr>
          <w:rFonts w:ascii="Times New Roman" w:cs="Times New Roman" w:eastAsia="Times New Roman" w:hAnsi="Times New Roman"/>
          <w:sz w:val="20"/>
          <w:szCs w:val="20"/>
          <w:color w:val="auto"/>
        </w:rPr>
        <w:t>”) and as further amended, restated, amended and restated, supplemented, waived or otherwise modified from time to time prior to the Effective Time (as defined below), the “</w:t>
      </w:r>
      <w:r>
        <w:rPr>
          <w:rFonts w:ascii="Times New Roman" w:cs="Times New Roman" w:eastAsia="Times New Roman" w:hAnsi="Times New Roman"/>
          <w:sz w:val="20"/>
          <w:szCs w:val="20"/>
          <w:b w:val="1"/>
          <w:bCs w:val="1"/>
          <w:color w:val="auto"/>
        </w:rPr>
        <w:t>Credit Agreement</w:t>
      </w:r>
      <w:r>
        <w:rPr>
          <w:rFonts w:ascii="Times New Roman" w:cs="Times New Roman" w:eastAsia="Times New Roman" w:hAnsi="Times New Roman"/>
          <w:sz w:val="20"/>
          <w:szCs w:val="20"/>
          <w:color w:val="auto"/>
        </w:rPr>
        <w:t>”) and (ii) First Lien/First Lien Intercreditor Agreement, dated as of February 9, 2021 (as amended, restated, modified or supplemented from time to time, the “</w:t>
      </w:r>
      <w:r>
        <w:rPr>
          <w:rFonts w:ascii="Times New Roman" w:cs="Times New Roman" w:eastAsia="Times New Roman" w:hAnsi="Times New Roman"/>
          <w:sz w:val="20"/>
          <w:szCs w:val="20"/>
          <w:b w:val="1"/>
          <w:bCs w:val="1"/>
          <w:color w:val="auto"/>
        </w:rPr>
        <w:t>Intercreditor Agreement</w:t>
      </w:r>
      <w:r>
        <w:rPr>
          <w:rFonts w:ascii="Times New Roman" w:cs="Times New Roman" w:eastAsia="Times New Roman" w:hAnsi="Times New Roman"/>
          <w:sz w:val="20"/>
          <w:szCs w:val="20"/>
          <w:color w:val="auto"/>
        </w:rPr>
        <w:t>”), among the Collateral Agent, the Administrative Agent, in its capacity as Authorized Representative under the Credit Agreement and Wells Fargo Bank, National Association, as Initial Other Authorized Representative (the “</w:t>
      </w:r>
      <w:r>
        <w:rPr>
          <w:rFonts w:ascii="Times New Roman" w:cs="Times New Roman" w:eastAsia="Times New Roman" w:hAnsi="Times New Roman"/>
          <w:sz w:val="20"/>
          <w:szCs w:val="20"/>
          <w:b w:val="1"/>
          <w:bCs w:val="1"/>
          <w:color w:val="auto"/>
        </w:rPr>
        <w:t>Initial Other Authorized Representative</w:t>
      </w:r>
      <w:r>
        <w:rPr>
          <w:rFonts w:ascii="Times New Roman" w:cs="Times New Roman" w:eastAsia="Times New Roman" w:hAnsi="Times New Roman"/>
          <w:sz w:val="20"/>
          <w:szCs w:val="20"/>
          <w:color w:val="auto"/>
        </w:rPr>
        <w:t>”), and each additional Authorized Representative from time to time party thereto. Capitalized terms used but not otherwise defined in this Agreement (including the Schedules hereto) shall have the respective meanings assigned to such terms in the Credit Agreement, the Intercreditor Agreement or other Loan Documents (as applicable).</w:t>
      </w:r>
    </w:p>
    <w:p>
      <w:pPr>
        <w:spacing w:after="0" w:line="20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 xml:space="preserve">WHEREAS, pursuant to </w:t>
      </w:r>
      <w:r>
        <w:rPr>
          <w:rFonts w:ascii="Times New Roman" w:cs="Times New Roman" w:eastAsia="Times New Roman" w:hAnsi="Times New Roman"/>
          <w:sz w:val="20"/>
          <w:szCs w:val="20"/>
          <w:u w:val="single" w:color="auto"/>
          <w:color w:val="auto"/>
        </w:rPr>
        <w:t>Section 8.09</w:t>
      </w:r>
      <w:r>
        <w:rPr>
          <w:rFonts w:ascii="Times New Roman" w:cs="Times New Roman" w:eastAsia="Times New Roman" w:hAnsi="Times New Roman"/>
          <w:sz w:val="20"/>
          <w:szCs w:val="20"/>
          <w:color w:val="auto"/>
        </w:rPr>
        <w:t xml:space="preserve"> of the Credit Agreement, </w:t>
      </w:r>
      <w:r>
        <w:rPr>
          <w:rFonts w:ascii="Times New Roman" w:cs="Times New Roman" w:eastAsia="Times New Roman" w:hAnsi="Times New Roman"/>
          <w:sz w:val="20"/>
          <w:szCs w:val="20"/>
          <w:u w:val="single" w:color="auto"/>
          <w:color w:val="auto"/>
        </w:rPr>
        <w:t>Section 4.06</w:t>
      </w:r>
      <w:r>
        <w:rPr>
          <w:rFonts w:ascii="Times New Roman" w:cs="Times New Roman" w:eastAsia="Times New Roman" w:hAnsi="Times New Roman"/>
          <w:sz w:val="20"/>
          <w:szCs w:val="20"/>
          <w:color w:val="auto"/>
        </w:rPr>
        <w:t xml:space="preserve"> of the Intercreditor Agreement and as set forth in </w:t>
      </w:r>
      <w:r>
        <w:rPr>
          <w:rFonts w:ascii="Times New Roman" w:cs="Times New Roman" w:eastAsia="Times New Roman" w:hAnsi="Times New Roman"/>
          <w:sz w:val="20"/>
          <w:szCs w:val="20"/>
          <w:b w:val="1"/>
          <w:bCs w:val="1"/>
          <w:u w:val="single" w:color="auto"/>
          <w:color w:val="auto"/>
        </w:rPr>
        <w:t>Section 1(a)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this Agreement, the Predecessor Agent has notified the Borrower, the Authorized Representatives and the Lenders party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thereto that it shall resign as Administrative Agent and Collateral Agent under the Credit Agreement and each other Loan Document, effective on November 15, 2024.</w:t>
      </w:r>
    </w:p>
    <w:p>
      <w:pPr>
        <w:spacing w:after="0" w:line="172"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WHEREAS, the Borrower, with the consent of the Lenders party hereto, which collectively constitute the Required Lenders, desires to appoint WTNA to act as the Successor Administrative Agent under the Credit Agreement and the other Loan Documents.</w:t>
      </w:r>
    </w:p>
    <w:p>
      <w:pPr>
        <w:spacing w:after="0" w:line="160"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WHEREAS, the Applicable Authorized Representative, with the consent of the Borrower, desires to appoint WTNA to act as the Successor Collateral Agent under the Credit Agreement and the other Loan Documents.</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WHEREAS, WTNA has agreed to accept an appointment to serve as the Successor Agent in accordance with the terms hereof.</w:t>
      </w:r>
    </w:p>
    <w:p>
      <w:pPr>
        <w:sectPr>
          <w:pgSz w:w="11900" w:h="16838" w:orient="portrait"/>
          <w:cols w:equalWidth="0" w:num="1">
            <w:col w:w="11240"/>
          </w:cols>
          <w:pgMar w:left="320" w:top="117" w:right="339" w:bottom="1440" w:gutter="0" w:footer="0" w:header="0"/>
        </w:sectPr>
      </w:pPr>
    </w:p>
    <w:bookmarkStart w:id="163" w:name="page164"/>
    <w:bookmarkEnd w:id="163"/>
    <w:p>
      <w:pPr>
        <w:ind w:firstLine="648"/>
        <w:spacing w:after="0" w:line="283" w:lineRule="auto"/>
        <w:rPr>
          <w:sz w:val="20"/>
          <w:szCs w:val="20"/>
          <w:color w:val="auto"/>
        </w:rPr>
      </w:pPr>
      <w:r>
        <w:rPr>
          <w:rFonts w:ascii="Times New Roman" w:cs="Times New Roman" w:eastAsia="Times New Roman" w:hAnsi="Times New Roman"/>
          <w:sz w:val="20"/>
          <w:szCs w:val="20"/>
          <w:color w:val="auto"/>
        </w:rPr>
        <w:t>NOW, THEREFORE, for good and valuable consideration, the receipt and sufficiency of which hereby are acknowledged, the parties hereto hereby agree as follows:</w:t>
      </w:r>
    </w:p>
    <w:p>
      <w:pPr>
        <w:spacing w:after="0" w:line="142" w:lineRule="exact"/>
        <w:rPr>
          <w:sz w:val="20"/>
          <w:szCs w:val="20"/>
          <w:color w:val="auto"/>
        </w:rPr>
      </w:pPr>
    </w:p>
    <w:p>
      <w:pPr>
        <w:ind w:left="1000" w:hanging="344"/>
        <w:spacing w:after="0"/>
        <w:tabs>
          <w:tab w:leader="none" w:pos="1000" w:val="left"/>
        </w:tabs>
        <w:numPr>
          <w:ilvl w:val="0"/>
          <w:numId w:val="6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Agency Resignation and Appointment.</w:t>
      </w:r>
    </w:p>
    <w:p>
      <w:pPr>
        <w:spacing w:after="0" w:line="233" w:lineRule="exact"/>
        <w:rPr>
          <w:sz w:val="20"/>
          <w:szCs w:val="20"/>
          <w:color w:val="auto"/>
        </w:rPr>
      </w:pPr>
    </w:p>
    <w:p>
      <w:pPr>
        <w:jc w:val="both"/>
        <w:ind w:firstLine="656"/>
        <w:spacing w:after="0" w:line="250" w:lineRule="auto"/>
        <w:tabs>
          <w:tab w:leader="none" w:pos="1197"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Effective as of the Effective Time, (i) the Predecessor Agent hereby affirms its resignation as Administrative Agent and Collateral Agent under the Credit Agreement and the other Loan Documents in accordance with </w:t>
      </w:r>
      <w:r>
        <w:rPr>
          <w:rFonts w:ascii="Times New Roman" w:cs="Times New Roman" w:eastAsia="Times New Roman" w:hAnsi="Times New Roman"/>
          <w:sz w:val="20"/>
          <w:szCs w:val="20"/>
          <w:u w:val="single" w:color="auto"/>
          <w:color w:val="auto"/>
        </w:rPr>
        <w:t>Article VIII</w:t>
      </w:r>
      <w:r>
        <w:rPr>
          <w:rFonts w:ascii="Times New Roman" w:cs="Times New Roman" w:eastAsia="Times New Roman" w:hAnsi="Times New Roman"/>
          <w:sz w:val="20"/>
          <w:szCs w:val="20"/>
          <w:color w:val="auto"/>
        </w:rPr>
        <w:t xml:space="preserve"> of the Credit Agreement and </w:t>
      </w:r>
      <w:r>
        <w:rPr>
          <w:rFonts w:ascii="Times New Roman" w:cs="Times New Roman" w:eastAsia="Times New Roman" w:hAnsi="Times New Roman"/>
          <w:sz w:val="20"/>
          <w:szCs w:val="20"/>
          <w:u w:val="single" w:color="auto"/>
          <w:color w:val="auto"/>
        </w:rPr>
        <w:t>Article IV</w:t>
      </w:r>
      <w:r>
        <w:rPr>
          <w:rFonts w:ascii="Times New Roman" w:cs="Times New Roman" w:eastAsia="Times New Roman" w:hAnsi="Times New Roman"/>
          <w:sz w:val="20"/>
          <w:szCs w:val="20"/>
          <w:color w:val="auto"/>
        </w:rPr>
        <w:t xml:space="preserve"> of the Intercreditor Agreement, and the parties hereto agree that the resignation of the Predecessor Agent as the Administrative Agent and Collateral Agent under the Loan Documents shall become effective as of the Effective Time, (ii) the Predecessor Agent is hereby deemed to have satisfied the notice requirements for resignation as set forth in </w:t>
      </w:r>
      <w:r>
        <w:rPr>
          <w:rFonts w:ascii="Times New Roman" w:cs="Times New Roman" w:eastAsia="Times New Roman" w:hAnsi="Times New Roman"/>
          <w:sz w:val="20"/>
          <w:szCs w:val="20"/>
          <w:u w:val="single" w:color="auto"/>
          <w:color w:val="auto"/>
        </w:rPr>
        <w:t>Section 8.09</w:t>
      </w:r>
      <w:r>
        <w:rPr>
          <w:rFonts w:ascii="Times New Roman" w:cs="Times New Roman" w:eastAsia="Times New Roman" w:hAnsi="Times New Roman"/>
          <w:sz w:val="20"/>
          <w:szCs w:val="20"/>
          <w:color w:val="auto"/>
        </w:rPr>
        <w:t xml:space="preserve"> of the Credit Agreement and </w:t>
      </w:r>
      <w:r>
        <w:rPr>
          <w:rFonts w:ascii="Times New Roman" w:cs="Times New Roman" w:eastAsia="Times New Roman" w:hAnsi="Times New Roman"/>
          <w:sz w:val="20"/>
          <w:szCs w:val="20"/>
          <w:u w:val="single" w:color="auto"/>
          <w:color w:val="auto"/>
        </w:rPr>
        <w:t>Section 4.06</w:t>
      </w:r>
      <w:r>
        <w:rPr>
          <w:rFonts w:ascii="Times New Roman" w:cs="Times New Roman" w:eastAsia="Times New Roman" w:hAnsi="Times New Roman"/>
          <w:sz w:val="20"/>
          <w:szCs w:val="20"/>
          <w:color w:val="auto"/>
        </w:rPr>
        <w:t xml:space="preserve"> of the Intercreditor Agreement and (iii) the Predecessor Agent’s rights, powers and duties (other than to the extent expressly provided herein) as Administrative Agent and Collateral Agent under the Credit Agreement and the other Loan Documents are hereby terminated as of the Effective Time, without any other or further act or deed on the part of the Predecessor Agent or any of the parties to the Credit Agreement, the Intercreditor Agreement or any holders of the Loans and the Predecessor Agent has no further obligations under the Loan Documents in such capacities, except as specifically set forth in this Agreement.</w:t>
      </w:r>
    </w:p>
    <w:p>
      <w:pPr>
        <w:spacing w:after="0" w:line="196" w:lineRule="exact"/>
        <w:rPr>
          <w:rFonts w:ascii="Times New Roman" w:cs="Times New Roman" w:eastAsia="Times New Roman" w:hAnsi="Times New Roman"/>
          <w:sz w:val="20"/>
          <w:szCs w:val="20"/>
          <w:color w:val="auto"/>
        </w:rPr>
      </w:pPr>
    </w:p>
    <w:p>
      <w:pPr>
        <w:jc w:val="both"/>
        <w:ind w:firstLine="656"/>
        <w:spacing w:after="0" w:line="251" w:lineRule="auto"/>
        <w:tabs>
          <w:tab w:leader="none" w:pos="1084"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Pursuant to (x) </w:t>
      </w:r>
      <w:r>
        <w:rPr>
          <w:rFonts w:ascii="Times New Roman" w:cs="Times New Roman" w:eastAsia="Times New Roman" w:hAnsi="Times New Roman"/>
          <w:sz w:val="20"/>
          <w:szCs w:val="20"/>
          <w:u w:val="single" w:color="auto"/>
          <w:color w:val="auto"/>
        </w:rPr>
        <w:t>Section 8.09</w:t>
      </w:r>
      <w:r>
        <w:rPr>
          <w:rFonts w:ascii="Times New Roman" w:cs="Times New Roman" w:eastAsia="Times New Roman" w:hAnsi="Times New Roman"/>
          <w:sz w:val="20"/>
          <w:szCs w:val="20"/>
          <w:color w:val="auto"/>
        </w:rPr>
        <w:t xml:space="preserve"> of the Credit Agreement, (i) the Borrower hereby appoints WTNA as the Successor Administrative Agent as of the Effective Time, (ii) the Required Lenders hereby consent to the appointment of WTNA as the Successor Administrative Agent as of the Effective Time and (iii) the Predecessor Administrative Agent hereby acknowledges the appointment of WTNA as the Successor Administrative Agent as of the Effective Time and (y) </w:t>
      </w:r>
      <w:r>
        <w:rPr>
          <w:rFonts w:ascii="Times New Roman" w:cs="Times New Roman" w:eastAsia="Times New Roman" w:hAnsi="Times New Roman"/>
          <w:sz w:val="20"/>
          <w:szCs w:val="20"/>
          <w:u w:val="single" w:color="auto"/>
          <w:color w:val="auto"/>
        </w:rPr>
        <w:t>Section 4.06</w:t>
      </w:r>
      <w:r>
        <w:rPr>
          <w:rFonts w:ascii="Times New Roman" w:cs="Times New Roman" w:eastAsia="Times New Roman" w:hAnsi="Times New Roman"/>
          <w:sz w:val="20"/>
          <w:szCs w:val="20"/>
          <w:color w:val="auto"/>
        </w:rPr>
        <w:t xml:space="preserve"> of the Intercreditor Agreement, (i) the Applicable Authorized Representative hereby appoints WTNA as the Successor Collateral Agent as of the Effective Time, (ii) the Borrower hereby consents to the appointment of WTNA as the Successor Collateral Agent as of the Effective Time and (iii) the Predecessor Collateral Agent hereby acknowledges the appointment of WTNA as the Successor Collateral Agent as of the Effective Time.</w:t>
      </w:r>
    </w:p>
    <w:p>
      <w:pPr>
        <w:spacing w:after="0" w:line="192" w:lineRule="exact"/>
        <w:rPr>
          <w:rFonts w:ascii="Times New Roman" w:cs="Times New Roman" w:eastAsia="Times New Roman" w:hAnsi="Times New Roman"/>
          <w:sz w:val="20"/>
          <w:szCs w:val="20"/>
          <w:color w:val="auto"/>
        </w:rPr>
      </w:pPr>
    </w:p>
    <w:p>
      <w:pPr>
        <w:ind w:left="1080" w:hanging="424"/>
        <w:spacing w:after="0"/>
        <w:tabs>
          <w:tab w:leader="none" w:pos="1080"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is acknowledged and confirmed that, as of the Effective Time:</w:t>
      </w:r>
    </w:p>
    <w:p>
      <w:pPr>
        <w:spacing w:after="0" w:line="215" w:lineRule="exact"/>
        <w:rPr>
          <w:rFonts w:ascii="Times New Roman" w:cs="Times New Roman" w:eastAsia="Times New Roman" w:hAnsi="Times New Roman"/>
          <w:sz w:val="20"/>
          <w:szCs w:val="20"/>
          <w:color w:val="auto"/>
        </w:rPr>
      </w:pPr>
    </w:p>
    <w:p>
      <w:pPr>
        <w:jc w:val="both"/>
        <w:ind w:left="660" w:right="20" w:firstLine="644"/>
        <w:spacing w:after="0" w:line="270" w:lineRule="auto"/>
        <w:tabs>
          <w:tab w:leader="none" w:pos="1822" w:val="left"/>
        </w:tabs>
        <w:numPr>
          <w:ilvl w:val="1"/>
          <w:numId w:val="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WTNA hereby accepts its appointment as the Successor Agent under the Credit Agreement, the Intercreditor Agreement, and the other Loan Documents, upon the terms and conditions set forth therein, with like effect as if originally named as Administrative Agent and Collateral Agent under the Credit Agreement, the Intercreditor Agreement and the other Loan Documents;</w:t>
      </w:r>
    </w:p>
    <w:p>
      <w:pPr>
        <w:jc w:val="both"/>
        <w:ind w:left="660"/>
        <w:spacing w:after="0" w:line="251"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(B) WTNA confirms it is eligible to act as Successor Agent under the terms of the Credit Agreement and the Intercreditor Agreement; (C) WTNA shall bear no liability or responsibility for any actions taken or omitted to be taken by Citi, or any appointee or agent thereof, while it served as the Administrative Agent and Collateral Agent; and (D) Citi shall bear no liability or responsibility for any actions taken or omitted to be taken by WTNA while serving as the Administrative Agent and Collateral Agent;</w:t>
      </w:r>
    </w:p>
    <w:p>
      <w:pPr>
        <w:spacing w:after="0" w:line="179" w:lineRule="exact"/>
        <w:rPr>
          <w:rFonts w:ascii="Times New Roman" w:cs="Times New Roman" w:eastAsia="Times New Roman" w:hAnsi="Times New Roman"/>
          <w:sz w:val="19"/>
          <w:szCs w:val="19"/>
          <w:color w:val="auto"/>
        </w:rPr>
      </w:pPr>
    </w:p>
    <w:p>
      <w:pPr>
        <w:jc w:val="both"/>
        <w:ind w:left="660" w:firstLine="644"/>
        <w:spacing w:after="0" w:line="261" w:lineRule="auto"/>
        <w:tabs>
          <w:tab w:leader="none" w:pos="1782" w:val="left"/>
        </w:tabs>
        <w:numPr>
          <w:ilvl w:val="1"/>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party hereto agrees to execute any documentation and to take such other actions as may reasonably be necessary to evidence the resignation and appointments described herein, in each case, at the Borrower’s expense pursuant to the terms of </w:t>
      </w:r>
      <w:r>
        <w:rPr>
          <w:rFonts w:ascii="Times New Roman" w:cs="Times New Roman" w:eastAsia="Times New Roman" w:hAnsi="Times New Roman"/>
          <w:sz w:val="20"/>
          <w:szCs w:val="20"/>
          <w:u w:val="single" w:color="auto"/>
          <w:color w:val="auto"/>
        </w:rPr>
        <w:t>Section 9.05</w:t>
      </w:r>
      <w:r>
        <w:rPr>
          <w:rFonts w:ascii="Times New Roman" w:cs="Times New Roman" w:eastAsia="Times New Roman" w:hAnsi="Times New Roman"/>
          <w:sz w:val="20"/>
          <w:szCs w:val="20"/>
          <w:color w:val="auto"/>
        </w:rPr>
        <w:t xml:space="preserve"> of the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1413" w:right="339" w:bottom="1440" w:gutter="0" w:footer="0" w:header="0"/>
        </w:sectPr>
      </w:pPr>
    </w:p>
    <w:bookmarkStart w:id="164" w:name="page165"/>
    <w:bookmarkEnd w:id="164"/>
    <w:p>
      <w:pPr>
        <w:jc w:val="both"/>
        <w:ind w:left="660" w:firstLine="644"/>
        <w:spacing w:after="0" w:line="258" w:lineRule="auto"/>
        <w:tabs>
          <w:tab w:leader="none" w:pos="1929" w:val="left"/>
        </w:tabs>
        <w:numPr>
          <w:ilvl w:val="1"/>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the Successor Agent succeeds to and becomes vested with all of the rights, powers, privileges, indemnities, immunities and duties of the Administrative Agent and Collateral Agent under the Credit Agreement and the other Loan Documents and (B) the Predecessor Agent is discharged from all of its duties and obligations under the Credit Agreement, the Intercreditor Agreement and the other Loan Documents; and</w:t>
      </w:r>
    </w:p>
    <w:p>
      <w:pPr>
        <w:spacing w:after="0" w:line="172" w:lineRule="exact"/>
        <w:rPr>
          <w:rFonts w:ascii="Times New Roman" w:cs="Times New Roman" w:eastAsia="Times New Roman" w:hAnsi="Times New Roman"/>
          <w:sz w:val="20"/>
          <w:szCs w:val="20"/>
          <w:color w:val="auto"/>
        </w:rPr>
      </w:pPr>
    </w:p>
    <w:p>
      <w:pPr>
        <w:jc w:val="both"/>
        <w:ind w:left="660" w:firstLine="644"/>
        <w:spacing w:after="0" w:line="257" w:lineRule="auto"/>
        <w:tabs>
          <w:tab w:leader="none" w:pos="1846" w:val="left"/>
        </w:tabs>
        <w:numPr>
          <w:ilvl w:val="1"/>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provisions of </w:t>
      </w:r>
      <w:r>
        <w:rPr>
          <w:rFonts w:ascii="Times New Roman" w:cs="Times New Roman" w:eastAsia="Times New Roman" w:hAnsi="Times New Roman"/>
          <w:sz w:val="20"/>
          <w:szCs w:val="20"/>
          <w:u w:val="single" w:color="auto"/>
          <w:color w:val="auto"/>
        </w:rPr>
        <w:t>Article VIII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9.05</w:t>
      </w:r>
      <w:r>
        <w:rPr>
          <w:rFonts w:ascii="Times New Roman" w:cs="Times New Roman" w:eastAsia="Times New Roman" w:hAnsi="Times New Roman"/>
          <w:sz w:val="20"/>
          <w:szCs w:val="20"/>
          <w:color w:val="auto"/>
        </w:rPr>
        <w:t xml:space="preserve"> of the Credit Agreement and any other reimbursement, indemnity or exculpatory provision set forth in any Loan Document or other document for the benefit of any Agent, any sub-agent thereof or their respective Related Parties and any other provision set forth in any Loan Document for the benefit of any Agent, any sub-agent thereof or their respective Related Parties shall, in each case, notwithstanding the resignation of the Predecessor Agent as of the Effective Time:</w:t>
      </w:r>
    </w:p>
    <w:p>
      <w:pPr>
        <w:spacing w:after="0" w:line="172" w:lineRule="exact"/>
        <w:rPr>
          <w:rFonts w:ascii="Times New Roman" w:cs="Times New Roman" w:eastAsia="Times New Roman" w:hAnsi="Times New Roman"/>
          <w:sz w:val="20"/>
          <w:szCs w:val="20"/>
          <w:color w:val="auto"/>
        </w:rPr>
      </w:pPr>
    </w:p>
    <w:p>
      <w:pPr>
        <w:jc w:val="both"/>
        <w:ind w:left="1300" w:firstLine="652"/>
        <w:spacing w:after="0" w:line="252" w:lineRule="auto"/>
        <w:tabs>
          <w:tab w:leader="none" w:pos="2428" w:val="left"/>
        </w:tabs>
        <w:numPr>
          <w:ilvl w:val="2"/>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continue in effect for the benefit of the Predecessor Agent, its sub agents and their respective Related Parties (collectively, the “</w:t>
      </w:r>
      <w:r>
        <w:rPr>
          <w:rFonts w:ascii="Times New Roman" w:cs="Times New Roman" w:eastAsia="Times New Roman" w:hAnsi="Times New Roman"/>
          <w:sz w:val="20"/>
          <w:szCs w:val="20"/>
          <w:b w:val="1"/>
          <w:bCs w:val="1"/>
          <w:color w:val="auto"/>
        </w:rPr>
        <w:t>Indemnified Citi Parties</w:t>
      </w:r>
      <w:r>
        <w:rPr>
          <w:rFonts w:ascii="Times New Roman" w:cs="Times New Roman" w:eastAsia="Times New Roman" w:hAnsi="Times New Roman"/>
          <w:sz w:val="20"/>
          <w:szCs w:val="20"/>
          <w:color w:val="auto"/>
        </w:rPr>
        <w:t>”) to the same extent as such provisions applied to Indemnified Citi Parties immediately prior to the Effective Time, in respect of any actions taken or omitted to be taken by any of them, whether taken before or on the date of this Agreement while the Predecessor Agent was acting in such capacity, or any actions taken or omitted to be taken by any Indemnified Citi Party in connection with this Agreement or any of the transactions contemplated hereby, and in respect of all liabilities, losses, damages, costs or expenses arising from or relating to the Loan Documents (whether now existing or hereinafter arising) and all other indemnified liabilities in connection with the foregoing, and references in such provisions to any Agent shall be deemed to include Citi as Predecessor Administrative Agent and Predecessor Collateral Agent, and</w:t>
      </w:r>
    </w:p>
    <w:p>
      <w:pPr>
        <w:spacing w:after="0" w:line="189" w:lineRule="exact"/>
        <w:rPr>
          <w:rFonts w:ascii="Times New Roman" w:cs="Times New Roman" w:eastAsia="Times New Roman" w:hAnsi="Times New Roman"/>
          <w:sz w:val="20"/>
          <w:szCs w:val="20"/>
          <w:color w:val="auto"/>
        </w:rPr>
      </w:pPr>
    </w:p>
    <w:p>
      <w:pPr>
        <w:ind w:left="2420" w:hanging="468"/>
        <w:spacing w:after="0"/>
        <w:tabs>
          <w:tab w:leader="none" w:pos="2420" w:val="left"/>
        </w:tabs>
        <w:numPr>
          <w:ilvl w:val="2"/>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survive the termination of the Credit Agreement and the Intercreditor Agreement and payment of the Secured</w:t>
      </w:r>
    </w:p>
    <w:p>
      <w:pPr>
        <w:spacing w:after="0" w:line="21" w:lineRule="exact"/>
        <w:rPr>
          <w:rFonts w:ascii="Times New Roman" w:cs="Times New Roman" w:eastAsia="Times New Roman" w:hAnsi="Times New Roman"/>
          <w:sz w:val="20"/>
          <w:szCs w:val="20"/>
          <w:color w:val="auto"/>
        </w:rPr>
      </w:pPr>
    </w:p>
    <w:p>
      <w:pPr>
        <w:ind w:left="13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Obligations.</w:t>
      </w:r>
    </w:p>
    <w:p>
      <w:pPr>
        <w:spacing w:after="0" w:line="207" w:lineRule="exact"/>
        <w:rPr>
          <w:rFonts w:ascii="Times New Roman" w:cs="Times New Roman" w:eastAsia="Times New Roman" w:hAnsi="Times New Roman"/>
          <w:sz w:val="20"/>
          <w:szCs w:val="20"/>
          <w:color w:val="auto"/>
        </w:rPr>
      </w:pPr>
    </w:p>
    <w:p>
      <w:pPr>
        <w:jc w:val="both"/>
        <w:ind w:firstLine="656"/>
        <w:spacing w:after="0" w:line="251" w:lineRule="auto"/>
        <w:tabs>
          <w:tab w:leader="none" w:pos="1135"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and the Successor Agent hereby agree that, for purposes of the acknowledgement and agreement contained in </w:t>
      </w:r>
      <w:r>
        <w:rPr>
          <w:rFonts w:ascii="Times New Roman" w:cs="Times New Roman" w:eastAsia="Times New Roman" w:hAnsi="Times New Roman"/>
          <w:sz w:val="20"/>
          <w:szCs w:val="20"/>
          <w:b w:val="1"/>
          <w:bCs w:val="1"/>
          <w:u w:val="single" w:color="auto"/>
          <w:color w:val="auto"/>
        </w:rPr>
        <w:t>paragraph (iv)</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b w:val="1"/>
          <w:bCs w:val="1"/>
          <w:u w:val="single" w:color="auto"/>
          <w:color w:val="auto"/>
        </w:rPr>
        <w:t>Section 1(c)</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this Agreement regarding the continuing benefit of certain provisions of the Loan Documents for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Indemnified Citi Parties, references to </w:t>
      </w:r>
      <w:r>
        <w:rPr>
          <w:rFonts w:ascii="Times New Roman" w:cs="Times New Roman" w:eastAsia="Times New Roman" w:hAnsi="Times New Roman"/>
          <w:sz w:val="20"/>
          <w:szCs w:val="20"/>
          <w:u w:val="single" w:color="auto"/>
          <w:color w:val="auto"/>
        </w:rPr>
        <w:t>Article VIII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9.05</w:t>
      </w:r>
      <w:r>
        <w:rPr>
          <w:rFonts w:ascii="Times New Roman" w:cs="Times New Roman" w:eastAsia="Times New Roman" w:hAnsi="Times New Roman"/>
          <w:sz w:val="20"/>
          <w:szCs w:val="20"/>
          <w:color w:val="auto"/>
        </w:rPr>
        <w:t xml:space="preserve"> of the Credit Agreement, including the defined terms used in such provisions and any related provisions of the Loan Documents, shall be deemed to refer to such provisions or defined terms in the Credit Agreement as they exist on the Effective Time, without giving effect to any amendment, waiver or other modification thereof after the Effective Time that is in any manner adverse to the Indemnified Citi Parties. For the avoidance of doubt, the terms of </w:t>
      </w:r>
      <w:r>
        <w:rPr>
          <w:rFonts w:ascii="Times New Roman" w:cs="Times New Roman" w:eastAsia="Times New Roman" w:hAnsi="Times New Roman"/>
          <w:sz w:val="20"/>
          <w:szCs w:val="20"/>
          <w:b w:val="1"/>
          <w:bCs w:val="1"/>
          <w:u w:val="single" w:color="auto"/>
          <w:color w:val="auto"/>
        </w:rPr>
        <w:t>paragraph (iv)</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b w:val="1"/>
          <w:bCs w:val="1"/>
          <w:u w:val="single" w:color="auto"/>
          <w:color w:val="auto"/>
        </w:rPr>
        <w:t>Section 1(c)</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this Agreement shall only be for the benefit of the Indemnified Citi Parties and shall not transfer to, or become vested upon,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Successor Agent after the Effective Time.</w:t>
      </w:r>
    </w:p>
    <w:p>
      <w:pPr>
        <w:spacing w:after="0" w:line="195" w:lineRule="exact"/>
        <w:rPr>
          <w:rFonts w:ascii="Times New Roman" w:cs="Times New Roman" w:eastAsia="Times New Roman" w:hAnsi="Times New Roman"/>
          <w:sz w:val="20"/>
          <w:szCs w:val="20"/>
          <w:color w:val="auto"/>
        </w:rPr>
      </w:pPr>
    </w:p>
    <w:p>
      <w:pPr>
        <w:ind w:firstLine="656"/>
        <w:spacing w:after="0" w:line="269" w:lineRule="auto"/>
        <w:tabs>
          <w:tab w:leader="none" w:pos="1128"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is acknowledged and agreed by each of the parties hereto that WTNA, in succeeding to the position of the Administrative Agent and Collateral Agent,</w:t>
      </w:r>
    </w:p>
    <w:p>
      <w:pPr>
        <w:spacing w:after="0" w:line="172" w:lineRule="exact"/>
        <w:rPr>
          <w:rFonts w:ascii="Times New Roman" w:cs="Times New Roman" w:eastAsia="Times New Roman" w:hAnsi="Times New Roman"/>
          <w:sz w:val="20"/>
          <w:szCs w:val="20"/>
          <w:color w:val="auto"/>
        </w:rPr>
      </w:pPr>
    </w:p>
    <w:p>
      <w:pPr>
        <w:ind w:left="660" w:firstLine="644"/>
        <w:spacing w:after="0" w:line="269" w:lineRule="auto"/>
        <w:tabs>
          <w:tab w:leader="none" w:pos="1815" w:val="left"/>
        </w:tabs>
        <w:numPr>
          <w:ilvl w:val="1"/>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accepts all the duties as Administrative Agent and Collateral Agent under the Credit Agreement, the Intercreditor Agreement and the other Loan Documents;</w:t>
      </w:r>
    </w:p>
    <w:p>
      <w:pPr>
        <w:spacing w:after="0" w:line="172" w:lineRule="exact"/>
        <w:rPr>
          <w:rFonts w:ascii="Times New Roman" w:cs="Times New Roman" w:eastAsia="Times New Roman" w:hAnsi="Times New Roman"/>
          <w:sz w:val="20"/>
          <w:szCs w:val="20"/>
          <w:color w:val="auto"/>
        </w:rPr>
      </w:pPr>
    </w:p>
    <w:p>
      <w:pPr>
        <w:ind w:left="660" w:right="20" w:firstLine="644"/>
        <w:spacing w:after="0" w:line="283" w:lineRule="auto"/>
        <w:tabs>
          <w:tab w:leader="none" w:pos="1880" w:val="left"/>
        </w:tabs>
        <w:numPr>
          <w:ilvl w:val="1"/>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has undertaken no analysis of the Loan Documents (including, without limitation, the extent to which any Loan Documents are in full force and effect) or the Collateral;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40"/>
          </w:cols>
          <w:pgMar w:left="320" w:top="1413" w:right="339" w:bottom="1440" w:gutter="0" w:footer="0" w:header="0"/>
        </w:sectPr>
      </w:pPr>
    </w:p>
    <w:bookmarkStart w:id="165" w:name="page166"/>
    <w:bookmarkEnd w:id="165"/>
    <w:p>
      <w:pPr>
        <w:jc w:val="both"/>
        <w:ind w:left="660" w:firstLine="644"/>
        <w:spacing w:after="0" w:line="258" w:lineRule="auto"/>
        <w:tabs>
          <w:tab w:leader="none" w:pos="1918"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has made no determination as to (x) the validity, enforceability, effectiveness or priority of any Liens granted or purported to be granted pursuant to the Loan Documents or (y) the accuracy or sufficiency of the documents, filings, recordings and other actions taken to create, perfect or maintain the existence, perfection or priority of the Liens granted or purported to be granted pursuant to the Loan Documents.</w:t>
      </w:r>
    </w:p>
    <w:p>
      <w:pPr>
        <w:spacing w:after="0" w:line="172"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9"/>
          <w:szCs w:val="19"/>
          <w:color w:val="auto"/>
        </w:rPr>
        <w:t>WTNA shall be entitled to assume that, as of the date hereof, all Liens purported to be granted pursuant to the Loan Documents are valid and perfected Liens having the priority intended by the Lenders and the Loan Documents, it being understood that certain of the Loan Documents</w:t>
      </w:r>
    </w:p>
    <w:p>
      <w:pPr>
        <w:spacing w:after="0" w:line="1" w:lineRule="exact"/>
        <w:rPr>
          <w:sz w:val="20"/>
          <w:szCs w:val="20"/>
          <w:color w:val="auto"/>
        </w:rPr>
      </w:pPr>
    </w:p>
    <w:p>
      <w:pPr>
        <w:jc w:val="both"/>
        <w:ind w:firstLine="8"/>
        <w:spacing w:after="0" w:line="253" w:lineRule="auto"/>
        <w:tabs>
          <w:tab w:leader="none" w:pos="329"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permit the Administrative Agent and/or the Collateral Agent to elect not to perfect its Lien in certain Collateral in certain circumstances, and (B) only require certain perfection steps to be taken upon the request of the Administrative Agent and/or the Collateral Agent or when the value or stated amount of certain Collateral exceeds a specified individual or aggregate threshold.</w:t>
      </w:r>
    </w:p>
    <w:p>
      <w:pPr>
        <w:spacing w:after="0" w:line="175" w:lineRule="exact"/>
        <w:rPr>
          <w:rFonts w:ascii="Times New Roman" w:cs="Times New Roman" w:eastAsia="Times New Roman" w:hAnsi="Times New Roman"/>
          <w:sz w:val="20"/>
          <w:szCs w:val="20"/>
          <w:color w:val="auto"/>
        </w:rPr>
      </w:pPr>
    </w:p>
    <w:p>
      <w:pPr>
        <w:jc w:val="both"/>
        <w:ind w:firstLine="656"/>
        <w:spacing w:after="0" w:line="253" w:lineRule="auto"/>
        <w:tabs>
          <w:tab w:leader="none" w:pos="1070" w:val="left"/>
        </w:tabs>
        <w:numPr>
          <w:ilvl w:val="1"/>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expressly agrees and acknowledges that the Successor Agent is not assuming any liability (i) under or related to the Loan Documents prior to the Effective Time and (ii) for any and all claims under or related to the Loan Documents that may have arisen or accrued prior to the Effective Time. On and after the Effective Time, the Successor Agent is entitled to all the benefits of </w:t>
      </w:r>
      <w:r>
        <w:rPr>
          <w:rFonts w:ascii="Times New Roman" w:cs="Times New Roman" w:eastAsia="Times New Roman" w:hAnsi="Times New Roman"/>
          <w:sz w:val="20"/>
          <w:szCs w:val="20"/>
          <w:u w:val="single" w:color="auto"/>
          <w:color w:val="auto"/>
        </w:rPr>
        <w:t>Article VIII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9.05</w:t>
      </w:r>
      <w:r>
        <w:rPr>
          <w:rFonts w:ascii="Times New Roman" w:cs="Times New Roman" w:eastAsia="Times New Roman" w:hAnsi="Times New Roman"/>
          <w:sz w:val="20"/>
          <w:szCs w:val="20"/>
          <w:color w:val="auto"/>
        </w:rPr>
        <w:t xml:space="preserve"> of the Credit Agreement and </w:t>
      </w:r>
      <w:r>
        <w:rPr>
          <w:rFonts w:ascii="Times New Roman" w:cs="Times New Roman" w:eastAsia="Times New Roman" w:hAnsi="Times New Roman"/>
          <w:sz w:val="20"/>
          <w:szCs w:val="20"/>
          <w:u w:val="single" w:color="auto"/>
          <w:color w:val="auto"/>
        </w:rPr>
        <w:t>Section 4.03</w:t>
      </w:r>
      <w:r>
        <w:rPr>
          <w:rFonts w:ascii="Times New Roman" w:cs="Times New Roman" w:eastAsia="Times New Roman" w:hAnsi="Times New Roman"/>
          <w:sz w:val="20"/>
          <w:szCs w:val="20"/>
          <w:color w:val="auto"/>
        </w:rPr>
        <w:t xml:space="preserve"> of the Intercreditor Agreement (but in each case subject to the limitations and exceptions set forth therein) and each of the Loan Parties party hereto hereby acknowledges and agrees that all provisions of the Credit Agreement, the Intercreditor Agreement and the other Loan Documents providing for the payment of fees and expenses of, and providing for indemnities for the benefit of, the Administrative Agent and the Collateral Agent shall remain in full force and effect for the benefit of the Successor Agent.</w:t>
      </w:r>
    </w:p>
    <w:p>
      <w:pPr>
        <w:spacing w:after="0" w:line="180" w:lineRule="exact"/>
        <w:rPr>
          <w:rFonts w:ascii="Times New Roman" w:cs="Times New Roman" w:eastAsia="Times New Roman" w:hAnsi="Times New Roman"/>
          <w:sz w:val="20"/>
          <w:szCs w:val="20"/>
          <w:color w:val="auto"/>
        </w:rPr>
      </w:pPr>
    </w:p>
    <w:p>
      <w:pPr>
        <w:ind w:left="1120" w:hanging="464"/>
        <w:spacing w:after="0"/>
        <w:tabs>
          <w:tab w:leader="none" w:pos="1120" w:val="left"/>
        </w:tabs>
        <w:numPr>
          <w:ilvl w:val="1"/>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herein or any Loan Document to the contrary, the parties hereto hereby acknowledge and agree that</w:t>
      </w:r>
    </w:p>
    <w:p>
      <w:pPr>
        <w:spacing w:after="0" w:line="28" w:lineRule="exact"/>
        <w:rPr>
          <w:rFonts w:ascii="Times New Roman" w:cs="Times New Roman" w:eastAsia="Times New Roman" w:hAnsi="Times New Roman"/>
          <w:sz w:val="20"/>
          <w:szCs w:val="20"/>
          <w:color w:val="auto"/>
        </w:rPr>
      </w:pPr>
    </w:p>
    <w:p>
      <w:pPr>
        <w:jc w:val="both"/>
        <w:spacing w:after="0" w:line="248"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 the Successor Agent shall have no obligation to process or distribute any payments received from, or on behalf of, the Loan Parties or any other Person (other than the Predecessor Agent) with respect to the Obligations or the Loan Documents (including with respect to principal or interest of the Loans, or any fees owing to the Lenders), until the Successor Agent has received the administrative questionnaires and tax forms from each of the Lenders, and has had sufficient time to establish its records and payment system with respect thereto;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Successor Agent shall use commercially reasonable efforts to establish such records and payment system promptly, (ii) the Borrower and each other Loan Party party hereto acknowledge and agree that the Successor Agent and the Predecessor Agent shall have no liability as a result of delay in processing or distributing such payments as described in the preceding clause (i) and (iii) no Default or Event of Default shall be deemed to have occurred as a result of delay in processing or distributing such payments by the Successor Agent while its records and payment system are established as described in the preceding clause (i).</w:t>
      </w:r>
    </w:p>
    <w:p>
      <w:pPr>
        <w:spacing w:after="0" w:line="191" w:lineRule="exact"/>
        <w:rPr>
          <w:sz w:val="20"/>
          <w:szCs w:val="20"/>
          <w:color w:val="auto"/>
        </w:rPr>
      </w:pPr>
    </w:p>
    <w:p>
      <w:pPr>
        <w:jc w:val="both"/>
        <w:ind w:firstLine="656"/>
        <w:spacing w:after="0" w:line="263" w:lineRule="auto"/>
        <w:tabs>
          <w:tab w:leader="none" w:pos="1021" w:val="left"/>
        </w:tabs>
        <w:numPr>
          <w:ilvl w:val="0"/>
          <w:numId w:val="7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Accounts.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As of the Effective Time, the Borrower hereby agrees that any payment required to be made to the Successor Agent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(whether for its own account or for the account of the Lenders) under the Credit Agreement shall be made pursuant to wire instructions provided by the Successor Agent to the Lenders and the Borrower from time to time.</w:t>
      </w:r>
    </w:p>
    <w:p>
      <w:pPr>
        <w:spacing w:after="0" w:line="175" w:lineRule="exact"/>
        <w:rPr>
          <w:rFonts w:ascii="Times New Roman" w:cs="Times New Roman" w:eastAsia="Times New Roman" w:hAnsi="Times New Roman"/>
          <w:sz w:val="20"/>
          <w:szCs w:val="20"/>
          <w:b w:val="1"/>
          <w:bCs w:val="1"/>
          <w:color w:val="auto"/>
        </w:rPr>
      </w:pPr>
    </w:p>
    <w:p>
      <w:pPr>
        <w:jc w:val="both"/>
        <w:ind w:firstLine="656"/>
        <w:spacing w:after="0" w:line="260" w:lineRule="auto"/>
        <w:tabs>
          <w:tab w:leader="none" w:pos="1008" w:val="left"/>
        </w:tabs>
        <w:numPr>
          <w:ilvl w:val="0"/>
          <w:numId w:val="7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Amendments.</w:t>
      </w:r>
      <w:r>
        <w:rPr>
          <w:rFonts w:ascii="Times New Roman" w:cs="Times New Roman" w:eastAsia="Times New Roman" w:hAnsi="Times New Roman"/>
          <w:sz w:val="20"/>
          <w:szCs w:val="20"/>
          <w:color w:val="auto"/>
        </w:rPr>
        <w:t>1. As of the Effective Time (concurrently with WTNA’s appointment as Successor Agent), the Borrower, each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of the other Loan Parties, the Required Lenders and the Successor Agent hereby agree that the Credit Agreement is hereby amended (i) to delete the red or green stricken text (indicated textually in the same manner as the following examples: </w:t>
      </w:r>
      <w:r>
        <w:rPr>
          <w:rFonts w:ascii="Times New Roman" w:cs="Times New Roman" w:eastAsia="Times New Roman" w:hAnsi="Times New Roman"/>
          <w:sz w:val="20"/>
          <w:szCs w:val="20"/>
          <w:color w:val="FF0000"/>
          <w:strike w:val="1"/>
        </w:rPr>
        <w:t>stricken text</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color w:val="00B050"/>
          <w:strike w:val="1"/>
        </w:rPr>
        <w:t>stricken text</w:t>
      </w:r>
      <w:r>
        <w:rPr>
          <w:rFonts w:ascii="Times New Roman" w:cs="Times New Roman" w:eastAsia="Times New Roman" w:hAnsi="Times New Roman"/>
          <w:sz w:val="20"/>
          <w:szCs w:val="20"/>
          <w:color w:val="auto"/>
        </w:rPr>
        <w:t>) and (ii) to add the blue or green double-underlined text (indicated textually in the same</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240"/>
          </w:cols>
          <w:pgMar w:left="320" w:top="1413" w:right="339" w:bottom="1440" w:gutter="0" w:footer="0" w:header="0"/>
        </w:sectPr>
      </w:pPr>
    </w:p>
    <w:bookmarkStart w:id="166" w:name="page167"/>
    <w:bookmarkEnd w:id="166"/>
    <w:p>
      <w:pPr>
        <w:spacing w:after="0" w:line="283" w:lineRule="auto"/>
        <w:rPr>
          <w:sz w:val="20"/>
          <w:szCs w:val="20"/>
          <w:color w:val="auto"/>
        </w:rPr>
      </w:pPr>
      <w:r>
        <w:rPr>
          <w:rFonts w:ascii="Times New Roman" w:cs="Times New Roman" w:eastAsia="Times New Roman" w:hAnsi="Times New Roman"/>
          <w:sz w:val="20"/>
          <w:szCs w:val="20"/>
          <w:color w:val="auto"/>
        </w:rPr>
        <w:t xml:space="preserve">manner as the following examples: </w:t>
      </w:r>
      <w:r>
        <w:rPr>
          <w:rFonts w:ascii="Times New Roman" w:cs="Times New Roman" w:eastAsia="Times New Roman" w:hAnsi="Times New Roman"/>
          <w:sz w:val="20"/>
          <w:szCs w:val="20"/>
          <w:u w:val="single" w:color="auto"/>
          <w:color w:val="0070C0"/>
        </w:rPr>
        <w:t>double-underlined text</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00B050"/>
        </w:rPr>
        <w:t>double-underlined text</w:t>
      </w:r>
      <w:r>
        <w:rPr>
          <w:rFonts w:ascii="Times New Roman" w:cs="Times New Roman" w:eastAsia="Times New Roman" w:hAnsi="Times New Roman"/>
          <w:sz w:val="20"/>
          <w:szCs w:val="20"/>
          <w:color w:val="auto"/>
        </w:rPr>
        <w:t xml:space="preserve">), in each case, as set forth in the form (exclusive of Schedules, Exhibits and Appendices thereto) attached as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hereto.</w:t>
      </w:r>
    </w:p>
    <w:p>
      <w:pPr>
        <w:spacing w:after="0" w:line="385" w:lineRule="exact"/>
        <w:rPr>
          <w:sz w:val="20"/>
          <w:szCs w:val="20"/>
          <w:color w:val="auto"/>
        </w:rPr>
      </w:pPr>
    </w:p>
    <w:p>
      <w:pPr>
        <w:ind w:left="1000" w:hanging="344"/>
        <w:spacing w:after="0"/>
        <w:tabs>
          <w:tab w:leader="none" w:pos="1000" w:val="left"/>
        </w:tabs>
        <w:numPr>
          <w:ilvl w:val="0"/>
          <w:numId w:val="7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Representations and Warranties.</w:t>
      </w:r>
    </w:p>
    <w:p>
      <w:pPr>
        <w:spacing w:after="0" w:line="233" w:lineRule="exact"/>
        <w:rPr>
          <w:sz w:val="20"/>
          <w:szCs w:val="20"/>
          <w:color w:val="auto"/>
        </w:rPr>
      </w:pPr>
    </w:p>
    <w:p>
      <w:pPr>
        <w:jc w:val="both"/>
        <w:ind w:firstLine="656"/>
        <w:spacing w:after="0" w:line="253" w:lineRule="auto"/>
        <w:tabs>
          <w:tab w:leader="none" w:pos="1065"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of the parties hereto hereby represents and warrants, severally and not jointly, on and as of the date hereof and on and as of the Effective Time that (i) it is legally authorized to enter into this Agreement and perform its obligations hereunder, (ii) it has duly executed and delivered this Agreement, and (iii) this Agreement is a legal, valid and binding agreement of it, enforceable against it in accordance with its terms, except as may be limited by the effect of bankruptcy, insolvency, reorganization, moratorium or other similar laws relating to or limiting the rights or remedies of creditors or by general equitable principles relating to enforceability (whether enforcement is sought in equity or at law).</w:t>
      </w:r>
    </w:p>
    <w:p>
      <w:pPr>
        <w:spacing w:after="0" w:line="178" w:lineRule="exact"/>
        <w:rPr>
          <w:rFonts w:ascii="Times New Roman" w:cs="Times New Roman" w:eastAsia="Times New Roman" w:hAnsi="Times New Roman"/>
          <w:sz w:val="20"/>
          <w:szCs w:val="20"/>
          <w:color w:val="auto"/>
        </w:rPr>
      </w:pPr>
    </w:p>
    <w:p>
      <w:pPr>
        <w:ind w:right="20" w:firstLine="656"/>
        <w:spacing w:after="0" w:line="283" w:lineRule="auto"/>
        <w:tabs>
          <w:tab w:leader="none" w:pos="1108"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Predecessor Agent, in its capacity as Predecessor Administrative Agent or as Predecessor Collateral Agent, as applicable, makes the following representations and warranties:</w:t>
      </w:r>
    </w:p>
    <w:p>
      <w:pPr>
        <w:spacing w:after="0" w:line="159" w:lineRule="exact"/>
        <w:rPr>
          <w:rFonts w:ascii="Times New Roman" w:cs="Times New Roman" w:eastAsia="Times New Roman" w:hAnsi="Times New Roman"/>
          <w:sz w:val="20"/>
          <w:szCs w:val="20"/>
          <w:color w:val="auto"/>
        </w:rPr>
      </w:pPr>
    </w:p>
    <w:p>
      <w:pPr>
        <w:jc w:val="both"/>
        <w:ind w:left="660" w:firstLine="644"/>
        <w:spacing w:after="0" w:line="251" w:lineRule="auto"/>
        <w:tabs>
          <w:tab w:leader="none" w:pos="1706" w:val="left"/>
        </w:tabs>
        <w:numPr>
          <w:ilvl w:val="1"/>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Predecessor Administrative Agent represents that, to the best of its knowledge, as of the dates reflected therein, the Loans (and accrued and unpaid interest thereon), Revolving Commitments and accrued and unpaid commitment fees were held by or owing to each Lender in the amounts set forth on </w:t>
      </w:r>
      <w:r>
        <w:rPr>
          <w:rFonts w:ascii="Times New Roman" w:cs="Times New Roman" w:eastAsia="Times New Roman" w:hAnsi="Times New Roman"/>
          <w:sz w:val="20"/>
          <w:szCs w:val="20"/>
          <w:b w:val="1"/>
          <w:bCs w:val="1"/>
          <w:u w:val="single" w:color="auto"/>
          <w:color w:val="auto"/>
        </w:rPr>
        <w:t>Schedule 2-A</w:t>
      </w:r>
      <w:r>
        <w:rPr>
          <w:rFonts w:ascii="Times New Roman" w:cs="Times New Roman" w:eastAsia="Times New Roman" w:hAnsi="Times New Roman"/>
          <w:sz w:val="20"/>
          <w:szCs w:val="20"/>
          <w:color w:val="auto"/>
        </w:rPr>
        <w:t xml:space="preserve"> hereto. Additionally, to the best of its knowledge, </w:t>
      </w:r>
      <w:r>
        <w:rPr>
          <w:rFonts w:ascii="Times New Roman" w:cs="Times New Roman" w:eastAsia="Times New Roman" w:hAnsi="Times New Roman"/>
          <w:sz w:val="20"/>
          <w:szCs w:val="20"/>
          <w:b w:val="1"/>
          <w:bCs w:val="1"/>
          <w:u w:val="single" w:color="auto"/>
          <w:color w:val="auto"/>
        </w:rPr>
        <w:t>Schedule 2-B</w:t>
      </w:r>
      <w:r>
        <w:rPr>
          <w:rFonts w:ascii="Times New Roman" w:cs="Times New Roman" w:eastAsia="Times New Roman" w:hAnsi="Times New Roman"/>
          <w:sz w:val="20"/>
          <w:szCs w:val="20"/>
          <w:color w:val="auto"/>
        </w:rPr>
        <w:t xml:space="preserve"> sets forth each Interest Period outstanding as of the date set out therein, the aggregate principal amount of the Loans subject to each such Interest Period as of such date, the Adjusted Term SOFR Rate applicable to each such Interest Period as of such date, if any, the interest rate as of such date, and the aggregate accrued and unpaid interest on the Loans as of such date. The Predecessor Administrative Agent has delivered to the Successor Agent the current copy of the Register as of the date reflected therein held by the Predecessor Administrative Agent in accordance with </w:t>
      </w:r>
      <w:r>
        <w:rPr>
          <w:rFonts w:ascii="Times New Roman" w:cs="Times New Roman" w:eastAsia="Times New Roman" w:hAnsi="Times New Roman"/>
          <w:sz w:val="20"/>
          <w:szCs w:val="20"/>
          <w:u w:val="single" w:color="auto"/>
          <w:color w:val="auto"/>
        </w:rPr>
        <w:t>Section 9.04(b)(iv)</w:t>
      </w:r>
      <w:r>
        <w:rPr>
          <w:rFonts w:ascii="Times New Roman" w:cs="Times New Roman" w:eastAsia="Times New Roman" w:hAnsi="Times New Roman"/>
          <w:sz w:val="20"/>
          <w:szCs w:val="20"/>
          <w:color w:val="auto"/>
        </w:rPr>
        <w:t xml:space="preserve"> of the Credit Agreement.</w:t>
      </w:r>
    </w:p>
    <w:p>
      <w:pPr>
        <w:spacing w:after="0" w:line="181" w:lineRule="exact"/>
        <w:rPr>
          <w:rFonts w:ascii="Times New Roman" w:cs="Times New Roman" w:eastAsia="Times New Roman" w:hAnsi="Times New Roman"/>
          <w:sz w:val="20"/>
          <w:szCs w:val="20"/>
          <w:color w:val="auto"/>
        </w:rPr>
      </w:pPr>
    </w:p>
    <w:p>
      <w:pPr>
        <w:ind w:left="1760" w:hanging="456"/>
        <w:spacing w:after="0"/>
        <w:tabs>
          <w:tab w:leader="none" w:pos="1760" w:val="left"/>
        </w:tabs>
        <w:numPr>
          <w:ilvl w:val="1"/>
          <w:numId w:val="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Predecessor Administrative Agent represents that it has not consented to any assignments of any Loans since May</w:t>
      </w:r>
    </w:p>
    <w:p>
      <w:pPr>
        <w:spacing w:after="0" w:line="39" w:lineRule="exact"/>
        <w:rPr>
          <w:rFonts w:ascii="Times New Roman" w:cs="Times New Roman" w:eastAsia="Times New Roman" w:hAnsi="Times New Roman"/>
          <w:sz w:val="19"/>
          <w:szCs w:val="19"/>
          <w:color w:val="auto"/>
        </w:rPr>
      </w:pPr>
    </w:p>
    <w:p>
      <w:pPr>
        <w:ind w:left="6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24, 2024.</w:t>
      </w:r>
    </w:p>
    <w:p>
      <w:pPr>
        <w:spacing w:after="0" w:line="196" w:lineRule="exact"/>
        <w:rPr>
          <w:rFonts w:ascii="Times New Roman" w:cs="Times New Roman" w:eastAsia="Times New Roman" w:hAnsi="Times New Roman"/>
          <w:sz w:val="19"/>
          <w:szCs w:val="19"/>
          <w:color w:val="auto"/>
        </w:rPr>
      </w:pPr>
    </w:p>
    <w:p>
      <w:pPr>
        <w:jc w:val="both"/>
        <w:ind w:left="660" w:firstLine="644"/>
        <w:spacing w:after="0" w:line="270" w:lineRule="auto"/>
        <w:tabs>
          <w:tab w:leader="none" w:pos="1848" w:val="left"/>
        </w:tabs>
        <w:numPr>
          <w:ilvl w:val="1"/>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Predecessor Collateral Agent represents that </w:t>
      </w:r>
      <w:r>
        <w:rPr>
          <w:rFonts w:ascii="Times New Roman" w:cs="Times New Roman" w:eastAsia="Times New Roman" w:hAnsi="Times New Roman"/>
          <w:sz w:val="20"/>
          <w:szCs w:val="20"/>
          <w:b w:val="1"/>
          <w:bCs w:val="1"/>
          <w:u w:val="single" w:color="auto"/>
          <w:color w:val="auto"/>
        </w:rPr>
        <w:t>Schedule 3</w:t>
      </w:r>
      <w:r>
        <w:rPr>
          <w:rFonts w:ascii="Times New Roman" w:cs="Times New Roman" w:eastAsia="Times New Roman" w:hAnsi="Times New Roman"/>
          <w:sz w:val="20"/>
          <w:szCs w:val="20"/>
          <w:color w:val="auto"/>
        </w:rPr>
        <w:t xml:space="preserve"> hereto sets forth a list of the pledged stock certificates, instruments evidencing pledged debt and other similar possessory Collateral held by the Predecessor Collateral Agent in its possession.</w:t>
      </w:r>
    </w:p>
    <w:p>
      <w:pPr>
        <w:spacing w:after="0" w:line="159" w:lineRule="exact"/>
        <w:rPr>
          <w:rFonts w:ascii="Times New Roman" w:cs="Times New Roman" w:eastAsia="Times New Roman" w:hAnsi="Times New Roman"/>
          <w:sz w:val="20"/>
          <w:szCs w:val="20"/>
          <w:color w:val="auto"/>
        </w:rPr>
      </w:pPr>
    </w:p>
    <w:p>
      <w:pPr>
        <w:ind w:left="1060" w:hanging="404"/>
        <w:spacing w:after="0"/>
        <w:tabs>
          <w:tab w:leader="none" w:pos="1060"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hereby represents and warrants that:</w:t>
      </w:r>
    </w:p>
    <w:p>
      <w:pPr>
        <w:spacing w:after="0" w:line="225" w:lineRule="exact"/>
        <w:rPr>
          <w:rFonts w:ascii="Times New Roman" w:cs="Times New Roman" w:eastAsia="Times New Roman" w:hAnsi="Times New Roman"/>
          <w:sz w:val="20"/>
          <w:szCs w:val="20"/>
          <w:color w:val="auto"/>
        </w:rPr>
      </w:pPr>
    </w:p>
    <w:p>
      <w:pPr>
        <w:jc w:val="both"/>
        <w:ind w:left="660" w:firstLine="644"/>
        <w:spacing w:after="0" w:line="254" w:lineRule="auto"/>
        <w:tabs>
          <w:tab w:leader="none" w:pos="1720" w:val="left"/>
        </w:tabs>
        <w:numPr>
          <w:ilvl w:val="1"/>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Schedule 1</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hereto sets forth a list of (A) each Loan Document (including, without limitation, any intellectual property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security agreements) to which the Predecessor Agent and the Borrower or other Loan Parties are parties as of the Effective Date (collectively, the “</w:t>
      </w:r>
      <w:r>
        <w:rPr>
          <w:rFonts w:ascii="Times New Roman" w:cs="Times New Roman" w:eastAsia="Times New Roman" w:hAnsi="Times New Roman"/>
          <w:sz w:val="20"/>
          <w:szCs w:val="20"/>
          <w:b w:val="1"/>
          <w:bCs w:val="1"/>
          <w:color w:val="auto"/>
        </w:rPr>
        <w:t>Assigned Loan Documents</w:t>
      </w:r>
      <w:r>
        <w:rPr>
          <w:rFonts w:ascii="Times New Roman" w:cs="Times New Roman" w:eastAsia="Times New Roman" w:hAnsi="Times New Roman"/>
          <w:sz w:val="20"/>
          <w:szCs w:val="20"/>
          <w:color w:val="auto"/>
        </w:rPr>
        <w:t>”) and (y) each UCC-1 financing statement naming any Loan Party as a debtor and the Predecessor Collateral Agent as secured party, in each case, filed prior to the Effective Date. Copies of the Assigned Loan Documents, together with all exhibits and schedules thereto, have been delivered to the Successor Agent on or prior to the Effective Date.</w:t>
      </w:r>
    </w:p>
    <w:p>
      <w:pPr>
        <w:spacing w:after="0" w:line="177" w:lineRule="exact"/>
        <w:rPr>
          <w:rFonts w:ascii="Times New Roman" w:cs="Times New Roman" w:eastAsia="Times New Roman" w:hAnsi="Times New Roman"/>
          <w:sz w:val="20"/>
          <w:szCs w:val="20"/>
          <w:color w:val="auto"/>
        </w:rPr>
      </w:pPr>
    </w:p>
    <w:p>
      <w:pPr>
        <w:ind w:left="660" w:firstLine="644"/>
        <w:spacing w:after="0" w:line="283" w:lineRule="auto"/>
        <w:tabs>
          <w:tab w:leader="none" w:pos="1762" w:val="left"/>
        </w:tabs>
        <w:numPr>
          <w:ilvl w:val="1"/>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of the Effective Time, there have been no amendments, supplements or consents to the Assigned Loan Documents, except as otherwise provided to the Successor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240"/>
          </w:cols>
          <w:pgMar w:left="320" w:top="1413" w:right="339" w:bottom="1440" w:gutter="0" w:footer="0" w:header="0"/>
        </w:sectPr>
      </w:pPr>
    </w:p>
    <w:bookmarkStart w:id="167" w:name="page168"/>
    <w:bookmarkEnd w:id="167"/>
    <w:p>
      <w:pPr>
        <w:ind w:left="1800" w:hanging="496"/>
        <w:spacing w:after="0"/>
        <w:tabs>
          <w:tab w:leader="none" w:pos="1800" w:val="left"/>
        </w:tabs>
        <w:numPr>
          <w:ilvl w:val="1"/>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Default or Event of Default has occurred under the Credit Agreement or other Loan Documents and is continuing.</w:t>
      </w:r>
    </w:p>
    <w:p>
      <w:pPr>
        <w:spacing w:after="0" w:line="229" w:lineRule="exact"/>
        <w:rPr>
          <w:rFonts w:ascii="Times New Roman" w:cs="Times New Roman" w:eastAsia="Times New Roman" w:hAnsi="Times New Roman"/>
          <w:sz w:val="20"/>
          <w:szCs w:val="20"/>
          <w:color w:val="auto"/>
        </w:rPr>
      </w:pPr>
    </w:p>
    <w:p>
      <w:pPr>
        <w:jc w:val="both"/>
        <w:ind w:firstLine="656"/>
        <w:spacing w:after="0" w:line="261" w:lineRule="auto"/>
        <w:tabs>
          <w:tab w:leader="none" w:pos="1147"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This Agreement is hereby made without representation or warranty of any kind, nature or description except as specified in </w:t>
      </w:r>
      <w:r>
        <w:rPr>
          <w:rFonts w:ascii="Times New Roman" w:cs="Times New Roman" w:eastAsia="Times New Roman" w:hAnsi="Times New Roman"/>
          <w:sz w:val="20"/>
          <w:szCs w:val="20"/>
          <w:b w:val="1"/>
          <w:bCs w:val="1"/>
          <w:u w:val="single" w:color="auto"/>
          <w:color w:val="auto"/>
        </w:rPr>
        <w:t>paragraphs (a)</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b w:val="1"/>
          <w:bCs w:val="1"/>
          <w:u w:val="single" w:color="auto"/>
          <w:color w:val="auto"/>
        </w:rPr>
        <w:t>(b)</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b w:val="1"/>
          <w:bCs w:val="1"/>
          <w:u w:val="single" w:color="auto"/>
          <w:color w:val="auto"/>
        </w:rPr>
        <w:t>(c)</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b w:val="1"/>
          <w:bCs w:val="1"/>
          <w:u w:val="single" w:color="auto"/>
          <w:color w:val="auto"/>
        </w:rPr>
        <w:t>Section 4</w:t>
      </w:r>
      <w:r>
        <w:rPr>
          <w:rFonts w:ascii="Times New Roman" w:cs="Times New Roman" w:eastAsia="Times New Roman" w:hAnsi="Times New Roman"/>
          <w:sz w:val="20"/>
          <w:szCs w:val="20"/>
          <w:color w:val="auto"/>
        </w:rPr>
        <w:t>. Without limiting the generality of the foregoing, the Lenders party hereto and WTNA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acknowledge that Citi has not made any representation or warranty as to:</w:t>
      </w:r>
    </w:p>
    <w:p>
      <w:pPr>
        <w:spacing w:after="0" w:line="167" w:lineRule="exact"/>
        <w:rPr>
          <w:rFonts w:ascii="Times New Roman" w:cs="Times New Roman" w:eastAsia="Times New Roman" w:hAnsi="Times New Roman"/>
          <w:sz w:val="20"/>
          <w:szCs w:val="20"/>
          <w:color w:val="auto"/>
        </w:rPr>
      </w:pPr>
    </w:p>
    <w:p>
      <w:pPr>
        <w:ind w:left="660" w:firstLine="644"/>
        <w:spacing w:after="0" w:line="283" w:lineRule="auto"/>
        <w:tabs>
          <w:tab w:leader="none" w:pos="1703" w:val="left"/>
        </w:tabs>
        <w:numPr>
          <w:ilvl w:val="1"/>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recital, statement, information, warranty or representation made or delivered by any Person in or in connection with any Loan Document,</w:t>
      </w:r>
    </w:p>
    <w:p>
      <w:pPr>
        <w:spacing w:after="0" w:line="160" w:lineRule="exact"/>
        <w:rPr>
          <w:sz w:val="20"/>
          <w:szCs w:val="20"/>
          <w:color w:val="auto"/>
        </w:rPr>
      </w:pPr>
    </w:p>
    <w:p>
      <w:pPr>
        <w:ind w:left="1740" w:hanging="436"/>
        <w:spacing w:after="0"/>
        <w:tabs>
          <w:tab w:leader="none" w:pos="1740" w:val="left"/>
        </w:tabs>
        <w:numPr>
          <w:ilvl w:val="0"/>
          <w:numId w:val="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contents of any certificate, report or other document delivered hereunder or in connection with any Loan Document,</w:t>
      </w:r>
    </w:p>
    <w:p>
      <w:pPr>
        <w:spacing w:after="0" w:line="227" w:lineRule="exact"/>
        <w:rPr>
          <w:rFonts w:ascii="Times New Roman" w:cs="Times New Roman" w:eastAsia="Times New Roman" w:hAnsi="Times New Roman"/>
          <w:sz w:val="19"/>
          <w:szCs w:val="19"/>
          <w:color w:val="auto"/>
        </w:rPr>
      </w:pPr>
    </w:p>
    <w:p>
      <w:pPr>
        <w:ind w:left="1820" w:hanging="516"/>
        <w:spacing w:after="0"/>
        <w:tabs>
          <w:tab w:leader="none" w:pos="1820"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performance or observance of any of the covenants, agreements or other terms or conditions set forth in any Loan</w:t>
      </w:r>
    </w:p>
    <w:p>
      <w:pPr>
        <w:spacing w:after="0" w:line="28" w:lineRule="exact"/>
        <w:rPr>
          <w:rFonts w:ascii="Times New Roman" w:cs="Times New Roman" w:eastAsia="Times New Roman" w:hAnsi="Times New Roman"/>
          <w:sz w:val="20"/>
          <w:szCs w:val="20"/>
          <w:color w:val="auto"/>
        </w:rPr>
      </w:pP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Document,</w:t>
      </w:r>
    </w:p>
    <w:p>
      <w:pPr>
        <w:spacing w:after="0" w:line="200" w:lineRule="exact"/>
        <w:rPr>
          <w:rFonts w:ascii="Times New Roman" w:cs="Times New Roman" w:eastAsia="Times New Roman" w:hAnsi="Times New Roman"/>
          <w:sz w:val="20"/>
          <w:szCs w:val="20"/>
          <w:color w:val="auto"/>
        </w:rPr>
      </w:pPr>
    </w:p>
    <w:p>
      <w:pPr>
        <w:ind w:left="660" w:firstLine="644"/>
        <w:spacing w:after="0" w:line="283" w:lineRule="auto"/>
        <w:tabs>
          <w:tab w:leader="none" w:pos="1919"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Loan Party, any Obligations, any Collateral or the legality, validity, sufficiency, collectability, enforceability, effectiveness or genuineness of any Loan Document, any Obligations or any other agreement, instrument or document,</w:t>
      </w:r>
    </w:p>
    <w:p>
      <w:pPr>
        <w:spacing w:after="0" w:line="159" w:lineRule="exact"/>
        <w:rPr>
          <w:rFonts w:ascii="Times New Roman" w:cs="Times New Roman" w:eastAsia="Times New Roman" w:hAnsi="Times New Roman"/>
          <w:sz w:val="20"/>
          <w:szCs w:val="20"/>
          <w:color w:val="auto"/>
        </w:rPr>
      </w:pPr>
    </w:p>
    <w:p>
      <w:pPr>
        <w:ind w:left="660" w:firstLine="644"/>
        <w:spacing w:after="0" w:line="269" w:lineRule="auto"/>
        <w:tabs>
          <w:tab w:leader="none" w:pos="1812"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validity, extent, creation, perfection or priority of any Liens on the Collateral or the genuineness, enforceability, collectability, value, sufficiency, location or existence of any Collateral,</w:t>
      </w:r>
    </w:p>
    <w:p>
      <w:pPr>
        <w:spacing w:after="0" w:line="172" w:lineRule="exact"/>
        <w:rPr>
          <w:rFonts w:ascii="Times New Roman" w:cs="Times New Roman" w:eastAsia="Times New Roman" w:hAnsi="Times New Roman"/>
          <w:sz w:val="20"/>
          <w:szCs w:val="20"/>
          <w:color w:val="auto"/>
        </w:rPr>
      </w:pPr>
    </w:p>
    <w:p>
      <w:pPr>
        <w:ind w:left="1780" w:hanging="476"/>
        <w:spacing w:after="0"/>
        <w:tabs>
          <w:tab w:leader="none" w:pos="1780"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satisfaction of any condition set forth in </w:t>
      </w:r>
      <w:r>
        <w:rPr>
          <w:rFonts w:ascii="Times New Roman" w:cs="Times New Roman" w:eastAsia="Times New Roman" w:hAnsi="Times New Roman"/>
          <w:sz w:val="20"/>
          <w:szCs w:val="20"/>
          <w:u w:val="single" w:color="auto"/>
          <w:color w:val="auto"/>
        </w:rPr>
        <w:t>Article IV</w:t>
      </w:r>
      <w:r>
        <w:rPr>
          <w:rFonts w:ascii="Times New Roman" w:cs="Times New Roman" w:eastAsia="Times New Roman" w:hAnsi="Times New Roman"/>
          <w:sz w:val="20"/>
          <w:szCs w:val="20"/>
          <w:color w:val="auto"/>
        </w:rPr>
        <w:t xml:space="preserve"> of the Credit Agreement,</w:t>
      </w:r>
    </w:p>
    <w:p>
      <w:pPr>
        <w:spacing w:after="0" w:line="215" w:lineRule="exact"/>
        <w:rPr>
          <w:rFonts w:ascii="Times New Roman" w:cs="Times New Roman" w:eastAsia="Times New Roman" w:hAnsi="Times New Roman"/>
          <w:sz w:val="20"/>
          <w:szCs w:val="20"/>
          <w:color w:val="auto"/>
        </w:rPr>
      </w:pPr>
    </w:p>
    <w:p>
      <w:pPr>
        <w:ind w:left="660" w:firstLine="644"/>
        <w:spacing w:after="0" w:line="283" w:lineRule="auto"/>
        <w:tabs>
          <w:tab w:leader="none" w:pos="1853"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assets, liabilities, condition (financial or otherwise), results of operations, business, creditworthiness or legal status of any Loan Party, or</w:t>
      </w:r>
    </w:p>
    <w:p>
      <w:pPr>
        <w:spacing w:after="0" w:line="155"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satisfaction of any condition to the effectiveness of this Agreement, other than those contained in </w:t>
      </w:r>
      <w:r>
        <w:rPr>
          <w:rFonts w:ascii="Times New Roman" w:cs="Times New Roman" w:eastAsia="Times New Roman" w:hAnsi="Times New Roman"/>
          <w:sz w:val="20"/>
          <w:szCs w:val="20"/>
          <w:b w:val="1"/>
          <w:bCs w:val="1"/>
          <w:u w:val="single" w:color="auto"/>
          <w:color w:val="auto"/>
        </w:rPr>
        <w:t>Sections 5(b)</w:t>
      </w:r>
    </w:p>
    <w:p>
      <w:pPr>
        <w:spacing w:after="0" w:line="25" w:lineRule="exact"/>
        <w:rPr>
          <w:rFonts w:ascii="Times New Roman" w:cs="Times New Roman" w:eastAsia="Times New Roman" w:hAnsi="Times New Roman"/>
          <w:sz w:val="20"/>
          <w:szCs w:val="20"/>
          <w:color w:val="auto"/>
        </w:rPr>
      </w:pP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and </w:t>
      </w:r>
      <w:r>
        <w:rPr>
          <w:rFonts w:ascii="Times New Roman" w:cs="Times New Roman" w:eastAsia="Times New Roman" w:hAnsi="Times New Roman"/>
          <w:sz w:val="20"/>
          <w:szCs w:val="20"/>
          <w:b w:val="1"/>
          <w:bCs w:val="1"/>
          <w:u w:val="single" w:color="auto"/>
          <w:color w:val="auto"/>
        </w:rPr>
        <w:t>5(c)</w:t>
      </w:r>
      <w:r>
        <w:rPr>
          <w:rFonts w:ascii="Times New Roman" w:cs="Times New Roman" w:eastAsia="Times New Roman" w:hAnsi="Times New Roman"/>
          <w:sz w:val="20"/>
          <w:szCs w:val="20"/>
          <w:color w:val="auto"/>
        </w:rPr>
        <w:t>.</w:t>
      </w:r>
    </w:p>
    <w:p>
      <w:pPr>
        <w:spacing w:after="0" w:line="20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Notwithstanding anything to the contrary in this Agreement or any other Loan Document, any security interests, Liens and Collateral assigned or transferred by the Predecessor Agent to the Successor Agent under or pursuant to this Agreement and any other Loan Document shall be transferred as-is, where is and without representation or warranty of any kind, whether express or implied, and without recourse to the Predecessor Agent. The Successor Agent acknowledges that it has, independently and without reliance on the Predecessor Agent and its Related Parties, made its own decision to enter into this Agreement and the transactions contemplated hereby.</w:t>
      </w:r>
    </w:p>
    <w:p>
      <w:pPr>
        <w:spacing w:after="0" w:line="188" w:lineRule="exact"/>
        <w:rPr>
          <w:sz w:val="20"/>
          <w:szCs w:val="20"/>
          <w:color w:val="auto"/>
        </w:rPr>
      </w:pPr>
    </w:p>
    <w:p>
      <w:pPr>
        <w:jc w:val="both"/>
        <w:ind w:firstLine="656"/>
        <w:spacing w:after="0" w:line="263" w:lineRule="auto"/>
        <w:tabs>
          <w:tab w:leader="none" w:pos="1021" w:val="left"/>
        </w:tabs>
        <w:numPr>
          <w:ilvl w:val="0"/>
          <w:numId w:val="7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Conditions Precedent to Effectiveness.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For purposes of this Agreement, the term “</w:t>
      </w:r>
      <w:r>
        <w:rPr>
          <w:rFonts w:ascii="Times New Roman" w:cs="Times New Roman" w:eastAsia="Times New Roman" w:hAnsi="Times New Roman"/>
          <w:sz w:val="20"/>
          <w:szCs w:val="20"/>
          <w:b w:val="1"/>
          <w:bCs w:val="1"/>
          <w:color w:val="auto"/>
        </w:rPr>
        <w:t>Effective Time</w:t>
      </w:r>
      <w:r>
        <w:rPr>
          <w:rFonts w:ascii="Times New Roman" w:cs="Times New Roman" w:eastAsia="Times New Roman" w:hAnsi="Times New Roman"/>
          <w:sz w:val="20"/>
          <w:szCs w:val="20"/>
          <w:color w:val="auto"/>
        </w:rPr>
        <w:t>” means such time at which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all of the following conditions have been satisfied and the term “</w:t>
      </w:r>
      <w:r>
        <w:rPr>
          <w:rFonts w:ascii="Times New Roman" w:cs="Times New Roman" w:eastAsia="Times New Roman" w:hAnsi="Times New Roman"/>
          <w:sz w:val="20"/>
          <w:szCs w:val="20"/>
          <w:b w:val="1"/>
          <w:bCs w:val="1"/>
          <w:color w:val="auto"/>
        </w:rPr>
        <w:t>Effective Date</w:t>
      </w:r>
      <w:r>
        <w:rPr>
          <w:rFonts w:ascii="Times New Roman" w:cs="Times New Roman" w:eastAsia="Times New Roman" w:hAnsi="Times New Roman"/>
          <w:sz w:val="20"/>
          <w:szCs w:val="20"/>
          <w:color w:val="auto"/>
        </w:rPr>
        <w:t>” means such calendar day on which all of the following conditions have been satisfied:</w:t>
      </w:r>
    </w:p>
    <w:p>
      <w:pPr>
        <w:spacing w:after="0" w:line="166" w:lineRule="exact"/>
        <w:rPr>
          <w:sz w:val="20"/>
          <w:szCs w:val="20"/>
          <w:color w:val="auto"/>
        </w:rPr>
      </w:pPr>
    </w:p>
    <w:p>
      <w:pPr>
        <w:ind w:firstLine="656"/>
        <w:spacing w:after="0" w:line="283" w:lineRule="auto"/>
        <w:tabs>
          <w:tab w:leader="none" w:pos="1119"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of the Borrower, each other Loan Party, the Lenders party hereto, the Predecessor Agent and the Successor Agent shall have executed and delivered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1240"/>
          </w:cols>
          <w:pgMar w:left="320" w:top="1413" w:right="339" w:bottom="1440" w:gutter="0" w:footer="0" w:header="0"/>
        </w:sectPr>
      </w:pPr>
    </w:p>
    <w:bookmarkStart w:id="168" w:name="page169"/>
    <w:bookmarkEnd w:id="168"/>
    <w:p>
      <w:pPr>
        <w:ind w:firstLine="656"/>
        <w:spacing w:after="0" w:line="283" w:lineRule="auto"/>
        <w:tabs>
          <w:tab w:leader="none" w:pos="1173" w:val="left"/>
        </w:tabs>
        <w:numPr>
          <w:ilvl w:val="1"/>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Successor Agent shall have received the current copy of the Register as of the Effective Date held by the Predecessor Administrative Agent in accordance with </w:t>
      </w:r>
      <w:r>
        <w:rPr>
          <w:rFonts w:ascii="Times New Roman" w:cs="Times New Roman" w:eastAsia="Times New Roman" w:hAnsi="Times New Roman"/>
          <w:sz w:val="20"/>
          <w:szCs w:val="20"/>
          <w:u w:val="single" w:color="auto"/>
          <w:color w:val="auto"/>
        </w:rPr>
        <w:t>Section 9.04(b)(iv)</w:t>
      </w:r>
      <w:r>
        <w:rPr>
          <w:rFonts w:ascii="Times New Roman" w:cs="Times New Roman" w:eastAsia="Times New Roman" w:hAnsi="Times New Roman"/>
          <w:sz w:val="20"/>
          <w:szCs w:val="20"/>
          <w:color w:val="auto"/>
        </w:rPr>
        <w:t xml:space="preserve"> of the Credit Agreement;</w:t>
      </w:r>
    </w:p>
    <w:p>
      <w:pPr>
        <w:spacing w:after="0" w:line="142" w:lineRule="exact"/>
        <w:rPr>
          <w:rFonts w:ascii="Times New Roman" w:cs="Times New Roman" w:eastAsia="Times New Roman" w:hAnsi="Times New Roman"/>
          <w:sz w:val="20"/>
          <w:szCs w:val="20"/>
          <w:color w:val="auto"/>
        </w:rPr>
      </w:pPr>
    </w:p>
    <w:p>
      <w:pPr>
        <w:ind w:left="1080" w:hanging="424"/>
        <w:spacing w:after="0"/>
        <w:tabs>
          <w:tab w:leader="none" w:pos="1080" w:val="left"/>
        </w:tabs>
        <w:numPr>
          <w:ilvl w:val="1"/>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Successor Agent shall have received copies of the Loan Documents listed on </w:t>
      </w:r>
      <w:r>
        <w:rPr>
          <w:rFonts w:ascii="Times New Roman" w:cs="Times New Roman" w:eastAsia="Times New Roman" w:hAnsi="Times New Roman"/>
          <w:sz w:val="20"/>
          <w:szCs w:val="20"/>
          <w:b w:val="1"/>
          <w:bCs w:val="1"/>
          <w:u w:val="single" w:color="auto"/>
          <w:color w:val="auto"/>
        </w:rPr>
        <w:t>Schedule 1</w:t>
      </w:r>
      <w:r>
        <w:rPr>
          <w:rFonts w:ascii="Times New Roman" w:cs="Times New Roman" w:eastAsia="Times New Roman" w:hAnsi="Times New Roman"/>
          <w:sz w:val="20"/>
          <w:szCs w:val="20"/>
          <w:color w:val="auto"/>
        </w:rPr>
        <w:t>;</w:t>
      </w:r>
    </w:p>
    <w:p>
      <w:pPr>
        <w:spacing w:after="0" w:line="233" w:lineRule="exact"/>
        <w:rPr>
          <w:rFonts w:ascii="Times New Roman" w:cs="Times New Roman" w:eastAsia="Times New Roman" w:hAnsi="Times New Roman"/>
          <w:sz w:val="20"/>
          <w:szCs w:val="20"/>
          <w:color w:val="auto"/>
        </w:rPr>
      </w:pPr>
    </w:p>
    <w:p>
      <w:pPr>
        <w:ind w:right="20" w:firstLine="656"/>
        <w:spacing w:after="0" w:line="269" w:lineRule="auto"/>
        <w:tabs>
          <w:tab w:leader="none" w:pos="1128" w:val="left"/>
        </w:tabs>
        <w:numPr>
          <w:ilvl w:val="1"/>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Successor Agent shall have received UCC-3s (or their equivalent) for each of the applicable UCC-1 financing statements identified on </w:t>
      </w:r>
      <w:r>
        <w:rPr>
          <w:rFonts w:ascii="Times New Roman" w:cs="Times New Roman" w:eastAsia="Times New Roman" w:hAnsi="Times New Roman"/>
          <w:sz w:val="20"/>
          <w:szCs w:val="20"/>
          <w:b w:val="1"/>
          <w:bCs w:val="1"/>
          <w:u w:val="single" w:color="auto"/>
          <w:color w:val="auto"/>
        </w:rPr>
        <w:t>Schedule 1</w:t>
      </w:r>
      <w:r>
        <w:rPr>
          <w:rFonts w:ascii="Times New Roman" w:cs="Times New Roman" w:eastAsia="Times New Roman" w:hAnsi="Times New Roman"/>
          <w:sz w:val="20"/>
          <w:szCs w:val="20"/>
          <w:color w:val="auto"/>
        </w:rPr>
        <w:t xml:space="preserve"> hereto naming the Successor Agent as secured party;</w:t>
      </w:r>
    </w:p>
    <w:p>
      <w:pPr>
        <w:spacing w:after="0" w:line="172" w:lineRule="exact"/>
        <w:rPr>
          <w:rFonts w:ascii="Times New Roman" w:cs="Times New Roman" w:eastAsia="Times New Roman" w:hAnsi="Times New Roman"/>
          <w:sz w:val="20"/>
          <w:szCs w:val="20"/>
          <w:color w:val="auto"/>
        </w:rPr>
      </w:pPr>
    </w:p>
    <w:p>
      <w:pPr>
        <w:jc w:val="both"/>
        <w:ind w:firstLine="656"/>
        <w:spacing w:after="0" w:line="253" w:lineRule="auto"/>
        <w:tabs>
          <w:tab w:leader="none" w:pos="1155" w:val="left"/>
        </w:tabs>
        <w:numPr>
          <w:ilvl w:val="1"/>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Successor Agent shall have received a fully executed copy of the Successor Agency Fee Letter (as defined below) and payment by the Borrower of (i) all fees required to be paid on the Effective Date under the Successor Agency Fee Letter, (ii) to the extent invoiced at least two Business Days prior to the Effective Date (or such later time to which the Borrower may agree), all reasonable and documented out-of-pocket fees and expenses incurred by the Successor Agent in connection with this Agreement and the transactions contemplated hereby payable pursuant to </w:t>
      </w:r>
      <w:r>
        <w:rPr>
          <w:rFonts w:ascii="Times New Roman" w:cs="Times New Roman" w:eastAsia="Times New Roman" w:hAnsi="Times New Roman"/>
          <w:sz w:val="20"/>
          <w:szCs w:val="20"/>
          <w:u w:val="single" w:color="auto"/>
          <w:color w:val="auto"/>
        </w:rPr>
        <w:t>Section 9.05</w:t>
      </w:r>
      <w:r>
        <w:rPr>
          <w:rFonts w:ascii="Times New Roman" w:cs="Times New Roman" w:eastAsia="Times New Roman" w:hAnsi="Times New Roman"/>
          <w:sz w:val="20"/>
          <w:szCs w:val="20"/>
          <w:color w:val="auto"/>
        </w:rPr>
        <w:t xml:space="preserve"> of the Credit Agreement and (iii) to the extent invoiced at least two Business Days prior to the Effective Date (or such later time to which the Borrower may agree), all reasonable and documented out-of-pocket legal fees of Seward &amp; Kissel LLP, as counsel to the Successor Agent;</w:t>
      </w:r>
    </w:p>
    <w:p>
      <w:pPr>
        <w:spacing w:after="0" w:line="179" w:lineRule="exact"/>
        <w:rPr>
          <w:rFonts w:ascii="Times New Roman" w:cs="Times New Roman" w:eastAsia="Times New Roman" w:hAnsi="Times New Roman"/>
          <w:sz w:val="20"/>
          <w:szCs w:val="20"/>
          <w:color w:val="auto"/>
        </w:rPr>
      </w:pPr>
    </w:p>
    <w:p>
      <w:pPr>
        <w:jc w:val="both"/>
        <w:ind w:firstLine="656"/>
        <w:spacing w:after="0" w:line="261" w:lineRule="auto"/>
        <w:tabs>
          <w:tab w:leader="none" w:pos="1062" w:val="left"/>
        </w:tabs>
        <w:numPr>
          <w:ilvl w:val="1"/>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Successor Agent shall have received insurance certificates and endorsements for all forms of insurance required pursuant to </w:t>
      </w:r>
      <w:r>
        <w:rPr>
          <w:rFonts w:ascii="Times New Roman" w:cs="Times New Roman" w:eastAsia="Times New Roman" w:hAnsi="Times New Roman"/>
          <w:sz w:val="20"/>
          <w:szCs w:val="20"/>
          <w:u w:val="single" w:color="auto"/>
          <w:color w:val="auto"/>
        </w:rPr>
        <w:t>Schedule 5.02(a)</w:t>
      </w:r>
      <w:r>
        <w:rPr>
          <w:rFonts w:ascii="Times New Roman" w:cs="Times New Roman" w:eastAsia="Times New Roman" w:hAnsi="Times New Roman"/>
          <w:sz w:val="20"/>
          <w:szCs w:val="20"/>
          <w:color w:val="auto"/>
        </w:rPr>
        <w:t xml:space="preserve"> of the Credit Agreement naming the Successor Agent, in its capacity as successor Collateral Agent, as co-loss payee and additional insured, as applicable, in accordance with the terms and conditions of </w:t>
      </w:r>
      <w:r>
        <w:rPr>
          <w:rFonts w:ascii="Times New Roman" w:cs="Times New Roman" w:eastAsia="Times New Roman" w:hAnsi="Times New Roman"/>
          <w:sz w:val="20"/>
          <w:szCs w:val="20"/>
          <w:u w:val="single" w:color="auto"/>
          <w:color w:val="auto"/>
        </w:rPr>
        <w:t>Schedule 5.02(a)</w:t>
      </w:r>
      <w:r>
        <w:rPr>
          <w:rFonts w:ascii="Times New Roman" w:cs="Times New Roman" w:eastAsia="Times New Roman" w:hAnsi="Times New Roman"/>
          <w:sz w:val="20"/>
          <w:szCs w:val="20"/>
          <w:color w:val="auto"/>
        </w:rPr>
        <w:t>; and</w:t>
      </w:r>
    </w:p>
    <w:p>
      <w:pPr>
        <w:spacing w:after="0" w:line="181" w:lineRule="exact"/>
        <w:rPr>
          <w:rFonts w:ascii="Times New Roman" w:cs="Times New Roman" w:eastAsia="Times New Roman" w:hAnsi="Times New Roman"/>
          <w:sz w:val="20"/>
          <w:szCs w:val="20"/>
          <w:color w:val="auto"/>
        </w:rPr>
      </w:pPr>
    </w:p>
    <w:p>
      <w:pPr>
        <w:ind w:left="1220" w:hanging="564"/>
        <w:spacing w:after="0"/>
        <w:tabs>
          <w:tab w:leader="none" w:pos="1220" w:val="left"/>
        </w:tabs>
        <w:numPr>
          <w:ilvl w:val="1"/>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invoiced at least two Business Days prior to the Effective Date, the Predecessor Agent shall have received</w:t>
      </w:r>
    </w:p>
    <w:p>
      <w:pPr>
        <w:spacing w:after="0" w:line="28" w:lineRule="exact"/>
        <w:rPr>
          <w:rFonts w:ascii="Times New Roman" w:cs="Times New Roman" w:eastAsia="Times New Roman" w:hAnsi="Times New Roman"/>
          <w:sz w:val="20"/>
          <w:szCs w:val="20"/>
          <w:color w:val="auto"/>
        </w:rPr>
      </w:pPr>
    </w:p>
    <w:p>
      <w:pPr>
        <w:jc w:val="both"/>
        <w:ind w:firstLine="8"/>
        <w:spacing w:after="0" w:line="248" w:lineRule="auto"/>
        <w:tabs>
          <w:tab w:leader="none" w:pos="244"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reasonable and documented out-of-pocket fees and expenses of its counsel required to be reimbursed or paid by the Borrower on or prior to the Effective Time pursuant to </w:t>
      </w:r>
      <w:r>
        <w:rPr>
          <w:rFonts w:ascii="Times New Roman" w:cs="Times New Roman" w:eastAsia="Times New Roman" w:hAnsi="Times New Roman"/>
          <w:sz w:val="20"/>
          <w:szCs w:val="20"/>
          <w:u w:val="single" w:color="auto"/>
          <w:color w:val="auto"/>
        </w:rPr>
        <w:t>Section 9.05</w:t>
      </w:r>
      <w:r>
        <w:rPr>
          <w:rFonts w:ascii="Times New Roman" w:cs="Times New Roman" w:eastAsia="Times New Roman" w:hAnsi="Times New Roman"/>
          <w:sz w:val="20"/>
          <w:szCs w:val="20"/>
          <w:color w:val="auto"/>
        </w:rPr>
        <w:t xml:space="preserve"> of the Credit Agreement (ii) reasonable and documented out-of-pocket legal fees of Cahill Gordon &amp; Reindel LLP, as counsel to the Predecessor Administrative Agent and (iii) the reasonable and documented out-of-pocket legal fees of Nixon Peabody LLP, as counsel to the Predecessor Collateral Agent.</w:t>
      </w:r>
    </w:p>
    <w:p>
      <w:pPr>
        <w:spacing w:after="0" w:line="191" w:lineRule="exact"/>
        <w:rPr>
          <w:sz w:val="20"/>
          <w:szCs w:val="20"/>
          <w:color w:val="auto"/>
        </w:rPr>
      </w:pPr>
    </w:p>
    <w:p>
      <w:pPr>
        <w:jc w:val="both"/>
        <w:ind w:firstLine="656"/>
        <w:spacing w:after="0" w:line="267" w:lineRule="auto"/>
        <w:tabs>
          <w:tab w:leader="none" w:pos="1021" w:val="left"/>
        </w:tabs>
        <w:numPr>
          <w:ilvl w:val="0"/>
          <w:numId w:val="81"/>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Fees and Expenses.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 Borrower agrees to pay at or prior to the Effective Date all reasonable and documented out of pocket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costs and expenses of the Successor Agent and the Predecessor Agent in accordance with </w:t>
      </w:r>
      <w:r>
        <w:rPr>
          <w:rFonts w:ascii="Times New Roman" w:cs="Times New Roman" w:eastAsia="Times New Roman" w:hAnsi="Times New Roman"/>
          <w:sz w:val="19"/>
          <w:szCs w:val="19"/>
          <w:u w:val="single" w:color="auto"/>
          <w:color w:val="auto"/>
        </w:rPr>
        <w:t>Section 9.05</w:t>
      </w:r>
      <w:r>
        <w:rPr>
          <w:rFonts w:ascii="Times New Roman" w:cs="Times New Roman" w:eastAsia="Times New Roman" w:hAnsi="Times New Roman"/>
          <w:sz w:val="19"/>
          <w:szCs w:val="19"/>
          <w:color w:val="auto"/>
        </w:rPr>
        <w:t xml:space="preserve"> of the Credit Agreement (including reasonable and documented out-of-pocket legal fees of Seward &amp; Kissel LLP, as counsel to the Successor Agent, Cahill Gordon &amp; Reindel LLP, as counsel to the Predecessor Administrative Agent and Nixon Peabody LLP, as counsel to the Predecessor Collateral Agent) incurred by them in connection with the negotiation, preparation, execution and delivery of this Agreement and any related documents. The Borrower shall pay to the Successor Agent the fees set forth in the fee letter, dated as of the date hereof (the “</w:t>
      </w:r>
      <w:r>
        <w:rPr>
          <w:rFonts w:ascii="Times New Roman" w:cs="Times New Roman" w:eastAsia="Times New Roman" w:hAnsi="Times New Roman"/>
          <w:sz w:val="19"/>
          <w:szCs w:val="19"/>
          <w:b w:val="1"/>
          <w:bCs w:val="1"/>
          <w:color w:val="auto"/>
        </w:rPr>
        <w:t>Successor Agency Fee Letter</w:t>
      </w:r>
      <w:r>
        <w:rPr>
          <w:rFonts w:ascii="Times New Roman" w:cs="Times New Roman" w:eastAsia="Times New Roman" w:hAnsi="Times New Roman"/>
          <w:sz w:val="19"/>
          <w:szCs w:val="19"/>
          <w:color w:val="auto"/>
        </w:rPr>
        <w:t>”), between the Borrower and the Successor Agent, such fees to be payable at such times as provided in the Successor Agency Fee Letter.</w:t>
      </w:r>
    </w:p>
    <w:p>
      <w:pPr>
        <w:spacing w:after="0" w:line="175" w:lineRule="exact"/>
        <w:rPr>
          <w:rFonts w:ascii="Times New Roman" w:cs="Times New Roman" w:eastAsia="Times New Roman" w:hAnsi="Times New Roman"/>
          <w:sz w:val="19"/>
          <w:szCs w:val="19"/>
          <w:b w:val="1"/>
          <w:bCs w:val="1"/>
          <w:color w:val="auto"/>
        </w:rPr>
      </w:pPr>
    </w:p>
    <w:p>
      <w:pPr>
        <w:ind w:left="1000" w:hanging="344"/>
        <w:spacing w:after="0"/>
        <w:tabs>
          <w:tab w:leader="none" w:pos="1000" w:val="left"/>
        </w:tabs>
        <w:numPr>
          <w:ilvl w:val="0"/>
          <w:numId w:val="8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Further Assurances.</w:t>
      </w:r>
    </w:p>
    <w:p>
      <w:pPr>
        <w:spacing w:after="0" w:line="233" w:lineRule="exact"/>
        <w:rPr>
          <w:sz w:val="20"/>
          <w:szCs w:val="20"/>
          <w:color w:val="auto"/>
        </w:rPr>
      </w:pPr>
    </w:p>
    <w:p>
      <w:pPr>
        <w:jc w:val="both"/>
        <w:ind w:firstLine="656"/>
        <w:spacing w:after="0" w:line="261" w:lineRule="auto"/>
        <w:tabs>
          <w:tab w:leader="none" w:pos="1073"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limiting their obligations in any way under any of the Loan Documents, the Borrower agrees to (x) execute and deliver all documents as are reasonably requested by the Successor Agent to transfer the rights and privileges of the Predecessor Agent under the Loan Documents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1240"/>
          </w:cols>
          <w:pgMar w:left="320" w:top="1413" w:right="339" w:bottom="1440" w:gutter="0" w:footer="0" w:header="0"/>
        </w:sectPr>
      </w:pPr>
    </w:p>
    <w:bookmarkStart w:id="169" w:name="page170"/>
    <w:bookmarkEnd w:id="169"/>
    <w:p>
      <w:pPr>
        <w:jc w:val="both"/>
        <w:spacing w:after="0" w:line="261" w:lineRule="auto"/>
        <w:rPr>
          <w:sz w:val="20"/>
          <w:szCs w:val="20"/>
          <w:color w:val="auto"/>
        </w:rPr>
      </w:pPr>
      <w:r>
        <w:rPr>
          <w:rFonts w:ascii="Times New Roman" w:cs="Times New Roman" w:eastAsia="Times New Roman" w:hAnsi="Times New Roman"/>
          <w:sz w:val="20"/>
          <w:szCs w:val="20"/>
          <w:color w:val="auto"/>
        </w:rPr>
        <w:t xml:space="preserve">Successor Agent, and (y) take all actions reasonably requested by the Successor Agent to facilitate the transfer of information to the Successor Agent in connection with the Loan Documents at the Borrower’s expense in accordance with </w:t>
      </w:r>
      <w:r>
        <w:rPr>
          <w:rFonts w:ascii="Times New Roman" w:cs="Times New Roman" w:eastAsia="Times New Roman" w:hAnsi="Times New Roman"/>
          <w:sz w:val="20"/>
          <w:szCs w:val="20"/>
          <w:u w:val="single" w:color="auto"/>
          <w:color w:val="auto"/>
        </w:rPr>
        <w:t>Section 9.05</w:t>
      </w:r>
      <w:r>
        <w:rPr>
          <w:rFonts w:ascii="Times New Roman" w:cs="Times New Roman" w:eastAsia="Times New Roman" w:hAnsi="Times New Roman"/>
          <w:sz w:val="20"/>
          <w:szCs w:val="20"/>
          <w:color w:val="auto"/>
        </w:rPr>
        <w:t xml:space="preserve"> of the Credit Agreement.</w:t>
      </w:r>
    </w:p>
    <w:p>
      <w:pPr>
        <w:spacing w:after="0" w:line="181" w:lineRule="exact"/>
        <w:rPr>
          <w:sz w:val="20"/>
          <w:szCs w:val="20"/>
          <w:color w:val="auto"/>
        </w:rPr>
      </w:pPr>
    </w:p>
    <w:p>
      <w:pPr>
        <w:jc w:val="both"/>
        <w:ind w:firstLine="656"/>
        <w:spacing w:after="0" w:line="253" w:lineRule="auto"/>
        <w:tabs>
          <w:tab w:leader="none" w:pos="1095"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Predecessor Agent agrees that, on and after the Effective Time, in each case at the Borrower’s expense in accordance with </w:t>
      </w:r>
      <w:r>
        <w:rPr>
          <w:rFonts w:ascii="Times New Roman" w:cs="Times New Roman" w:eastAsia="Times New Roman" w:hAnsi="Times New Roman"/>
          <w:sz w:val="20"/>
          <w:szCs w:val="20"/>
          <w:u w:val="single" w:color="auto"/>
          <w:color w:val="auto"/>
        </w:rPr>
        <w:t>Section 9.05</w:t>
      </w:r>
      <w:r>
        <w:rPr>
          <w:rFonts w:ascii="Times New Roman" w:cs="Times New Roman" w:eastAsia="Times New Roman" w:hAnsi="Times New Roman"/>
          <w:sz w:val="20"/>
          <w:szCs w:val="20"/>
          <w:color w:val="auto"/>
        </w:rPr>
        <w:t xml:space="preserve"> of the Credit Agreement, the Predecessor Agent shall take such actions as may be reasonably requested by the Successor Agent from time to time in order to effect the matters covered hereby;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any document, instrument or agreement to be furnished or executed by, or other action to be taken by, the Predecessor Agent shall be reasonably satisfactory to it, and the Predecessor Agent shall be reasonably satisfied that the delivery of any information requested of it would not breach any confidentiality restrictions binding on it.</w:t>
      </w:r>
    </w:p>
    <w:p>
      <w:pPr>
        <w:spacing w:after="0" w:line="188" w:lineRule="exact"/>
        <w:rPr>
          <w:sz w:val="20"/>
          <w:szCs w:val="20"/>
          <w:color w:val="auto"/>
        </w:rPr>
      </w:pPr>
    </w:p>
    <w:p>
      <w:pPr>
        <w:ind w:left="1000" w:hanging="344"/>
        <w:spacing w:after="0"/>
        <w:tabs>
          <w:tab w:leader="none" w:pos="1000" w:val="left"/>
        </w:tabs>
        <w:numPr>
          <w:ilvl w:val="0"/>
          <w:numId w:val="8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Return of Payments.</w:t>
      </w:r>
    </w:p>
    <w:p>
      <w:pPr>
        <w:spacing w:after="0" w:line="220" w:lineRule="exact"/>
        <w:rPr>
          <w:sz w:val="20"/>
          <w:szCs w:val="20"/>
          <w:color w:val="auto"/>
        </w:rPr>
      </w:pPr>
    </w:p>
    <w:p>
      <w:pPr>
        <w:jc w:val="both"/>
        <w:ind w:firstLine="656"/>
        <w:spacing w:after="0" w:line="258" w:lineRule="auto"/>
        <w:tabs>
          <w:tab w:leader="none" w:pos="1092"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that, after the Effective Time, the Predecessor Agent receives any principal, interest or other amount owing to any Lender or the Successor Agent under the Credit Agreement or any other Loan Document, the Predecessor Agent agrees that such payment shall be held in trust for the Successor Agent, and the Predecessor Agent shall promptly return without setoff or counterclaim such payment to the Successor Agent, as applicable, for payment to the Person entitled thereto, in each case, at the Borrower’s expense.</w:t>
      </w:r>
    </w:p>
    <w:p>
      <w:pPr>
        <w:spacing w:after="0" w:line="185" w:lineRule="exact"/>
        <w:rPr>
          <w:rFonts w:ascii="Times New Roman" w:cs="Times New Roman" w:eastAsia="Times New Roman" w:hAnsi="Times New Roman"/>
          <w:sz w:val="20"/>
          <w:szCs w:val="20"/>
          <w:color w:val="auto"/>
        </w:rPr>
      </w:pPr>
    </w:p>
    <w:p>
      <w:pPr>
        <w:jc w:val="both"/>
        <w:ind w:firstLine="656"/>
        <w:spacing w:after="0" w:line="261" w:lineRule="auto"/>
        <w:tabs>
          <w:tab w:leader="none" w:pos="1126"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that, after the Effective Time, the Successor Agent receives any principal, interest or other amount owing to Citi under the Credit Agreement or any other Loan Document, the Successor Agent agrees that such payment shall be held in trust for Citi, and the Successor Agent shall promptly return without setoff or counterclaim such payment to Citi.</w:t>
      </w:r>
    </w:p>
    <w:p>
      <w:pPr>
        <w:spacing w:after="0" w:line="177" w:lineRule="exact"/>
        <w:rPr>
          <w:rFonts w:ascii="Times New Roman" w:cs="Times New Roman" w:eastAsia="Times New Roman" w:hAnsi="Times New Roman"/>
          <w:sz w:val="20"/>
          <w:szCs w:val="20"/>
          <w:color w:val="auto"/>
        </w:rPr>
      </w:pPr>
    </w:p>
    <w:p>
      <w:pPr>
        <w:jc w:val="both"/>
        <w:ind w:firstLine="656"/>
        <w:spacing w:after="0" w:line="255" w:lineRule="auto"/>
        <w:tabs>
          <w:tab w:leader="none" w:pos="1119"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w:t>
      </w:r>
      <w:r>
        <w:rPr>
          <w:rFonts w:ascii="Times New Roman" w:cs="Times New Roman" w:eastAsia="Times New Roman" w:hAnsi="Times New Roman"/>
          <w:sz w:val="20"/>
          <w:szCs w:val="20"/>
          <w:b w:val="1"/>
          <w:bCs w:val="1"/>
          <w:u w:val="single" w:color="auto"/>
          <w:color w:val="auto"/>
        </w:rPr>
        <w:t>paragraph (iv)</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b w:val="1"/>
          <w:bCs w:val="1"/>
          <w:u w:val="single" w:color="auto"/>
          <w:color w:val="auto"/>
        </w:rPr>
        <w:t>Section 1(c)</w:t>
      </w:r>
      <w:r>
        <w:rPr>
          <w:rFonts w:ascii="Times New Roman" w:cs="Times New Roman" w:eastAsia="Times New Roman" w:hAnsi="Times New Roman"/>
          <w:sz w:val="20"/>
          <w:szCs w:val="20"/>
          <w:color w:val="auto"/>
        </w:rPr>
        <w:t xml:space="preserve"> of this Agreement, but notwithstanding any other provision herein or in any other Loan Document to the contrary, on and after the Effective Time, all payments of principal, interest, fees and other Secured Obligations payable by any Loan Party under the Loan Documents to the Administrative Agent or the Collateral Agent, as applicable, shall be payable to WTNA, as Successor Agent, as and when such amounts become due and payable pursuant to the Loan Documents.</w:t>
      </w:r>
    </w:p>
    <w:p>
      <w:pPr>
        <w:spacing w:after="0" w:line="184" w:lineRule="exact"/>
        <w:rPr>
          <w:sz w:val="20"/>
          <w:szCs w:val="20"/>
          <w:color w:val="auto"/>
        </w:rPr>
      </w:pPr>
    </w:p>
    <w:p>
      <w:pPr>
        <w:jc w:val="both"/>
        <w:ind w:firstLine="656"/>
        <w:spacing w:after="0" w:line="263" w:lineRule="auto"/>
        <w:tabs>
          <w:tab w:leader="none" w:pos="1008" w:val="left"/>
        </w:tabs>
        <w:numPr>
          <w:ilvl w:val="0"/>
          <w:numId w:val="8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Intercreditor Agreement.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Notwithstanding anything in this Agreement to the contrary, the Successor Agent acknowledges that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from and after the Effective Date, the Successor Agent shall constitute the “Administrative Agent” and “Collateral Agent” under the Intercreditor Agreement (as defined in </w:t>
      </w:r>
      <w:r>
        <w:rPr>
          <w:rFonts w:ascii="Times New Roman" w:cs="Times New Roman" w:eastAsia="Times New Roman" w:hAnsi="Times New Roman"/>
          <w:sz w:val="20"/>
          <w:szCs w:val="20"/>
          <w:b w:val="1"/>
          <w:bCs w:val="1"/>
          <w:u w:val="single" w:color="auto"/>
          <w:color w:val="auto"/>
        </w:rPr>
        <w:t>Schedule 1</w:t>
      </w:r>
      <w:r>
        <w:rPr>
          <w:rFonts w:ascii="Times New Roman" w:cs="Times New Roman" w:eastAsia="Times New Roman" w:hAnsi="Times New Roman"/>
          <w:sz w:val="20"/>
          <w:szCs w:val="20"/>
          <w:color w:val="auto"/>
        </w:rPr>
        <w:t>, below).</w:t>
      </w:r>
    </w:p>
    <w:p>
      <w:pPr>
        <w:spacing w:after="0" w:line="202" w:lineRule="exact"/>
        <w:rPr>
          <w:rFonts w:ascii="Times New Roman" w:cs="Times New Roman" w:eastAsia="Times New Roman" w:hAnsi="Times New Roman"/>
          <w:sz w:val="20"/>
          <w:szCs w:val="20"/>
          <w:b w:val="1"/>
          <w:bCs w:val="1"/>
          <w:color w:val="auto"/>
        </w:rPr>
      </w:pPr>
    </w:p>
    <w:p>
      <w:pPr>
        <w:jc w:val="both"/>
        <w:ind w:firstLine="656"/>
        <w:spacing w:after="0" w:line="250" w:lineRule="auto"/>
        <w:tabs>
          <w:tab w:leader="none" w:pos="1174" w:val="left"/>
        </w:tabs>
        <w:numPr>
          <w:ilvl w:val="0"/>
          <w:numId w:val="8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Release.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Borrower and each Lender party hereto, on behalf of itself and its agents, representatives, officers, directors,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advisors, employees, subsidiaries, affiliates, successors and assigns (collectively, “</w:t>
      </w:r>
      <w:r>
        <w:rPr>
          <w:rFonts w:ascii="Times New Roman" w:cs="Times New Roman" w:eastAsia="Times New Roman" w:hAnsi="Times New Roman"/>
          <w:sz w:val="20"/>
          <w:szCs w:val="20"/>
          <w:b w:val="1"/>
          <w:bCs w:val="1"/>
          <w:color w:val="auto"/>
        </w:rPr>
        <w:t>Releasors</w:t>
      </w:r>
      <w:r>
        <w:rPr>
          <w:rFonts w:ascii="Times New Roman" w:cs="Times New Roman" w:eastAsia="Times New Roman" w:hAnsi="Times New Roman"/>
          <w:sz w:val="20"/>
          <w:szCs w:val="20"/>
          <w:color w:val="auto"/>
        </w:rPr>
        <w:t>”), hereby forever agrees and covenants not to sue or prosecute against any Releasee (as hereinafter defined) and hereby forever waives, releases and discharges, to the fullest extent permitted by law, each Releasee from any and all claims (including, without limitation, crossclaims, counterclaims, rights of set-off and recoupment), actions, causes of action, suits, debts, accounts, interests, liens, promises, warranties, damages and consequential damages, demands, agreements, bonds, bills, specialties, covenants, controversies, variances, trespasses, judgments, executions, costs, expenses or claims whatsoever, that such Releasor now has or hereafter may have, of whatsoever nature and kind, whether known or unknown, whether now existing or hereafter arising, whether arising at law or in equity (collectively, the “</w:t>
      </w:r>
      <w:r>
        <w:rPr>
          <w:rFonts w:ascii="Times New Roman" w:cs="Times New Roman" w:eastAsia="Times New Roman" w:hAnsi="Times New Roman"/>
          <w:sz w:val="20"/>
          <w:szCs w:val="20"/>
          <w:b w:val="1"/>
          <w:bCs w:val="1"/>
          <w:color w:val="auto"/>
        </w:rPr>
        <w:t>Claims</w:t>
      </w:r>
      <w:r>
        <w:rPr>
          <w:rFonts w:ascii="Times New Roman" w:cs="Times New Roman" w:eastAsia="Times New Roman" w:hAnsi="Times New Roman"/>
          <w:sz w:val="20"/>
          <w:szCs w:val="20"/>
          <w:color w:val="auto"/>
        </w:rPr>
        <w:t>”), against any or all of the Predecessor Agent and its Affiliates and their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ectPr>
          <w:pgSz w:w="11900" w:h="16838" w:orient="portrait"/>
          <w:cols w:equalWidth="0" w:num="1">
            <w:col w:w="11240"/>
          </w:cols>
          <w:pgMar w:left="320" w:top="1413" w:right="339" w:bottom="1440" w:gutter="0" w:footer="0" w:header="0"/>
        </w:sectPr>
      </w:pPr>
    </w:p>
    <w:bookmarkStart w:id="170" w:name="page171"/>
    <w:bookmarkEnd w:id="170"/>
    <w:p>
      <w:pPr>
        <w:jc w:val="both"/>
        <w:spacing w:after="0" w:line="269" w:lineRule="auto"/>
        <w:rPr>
          <w:sz w:val="20"/>
          <w:szCs w:val="20"/>
          <w:color w:val="auto"/>
        </w:rPr>
      </w:pPr>
      <w:r>
        <w:rPr>
          <w:rFonts w:ascii="Times New Roman" w:cs="Times New Roman" w:eastAsia="Times New Roman" w:hAnsi="Times New Roman"/>
          <w:sz w:val="19"/>
          <w:szCs w:val="19"/>
          <w:color w:val="auto"/>
        </w:rPr>
        <w:t>respective partners that are natural persons, members that are natural persons, officers, directors, employees, trustees, advisors, agents and controlling Persons (collectively, the “</w:t>
      </w:r>
      <w:r>
        <w:rPr>
          <w:rFonts w:ascii="Times New Roman" w:cs="Times New Roman" w:eastAsia="Times New Roman" w:hAnsi="Times New Roman"/>
          <w:sz w:val="19"/>
          <w:szCs w:val="19"/>
          <w:b w:val="1"/>
          <w:bCs w:val="1"/>
          <w:color w:val="auto"/>
        </w:rPr>
        <w:t>Releasees</w:t>
      </w:r>
      <w:r>
        <w:rPr>
          <w:rFonts w:ascii="Times New Roman" w:cs="Times New Roman" w:eastAsia="Times New Roman" w:hAnsi="Times New Roman"/>
          <w:sz w:val="19"/>
          <w:szCs w:val="19"/>
          <w:color w:val="auto"/>
        </w:rPr>
        <w:t xml:space="preserve">”), based in whole or in part on facts, whether or not now known, that relate to, arise out of or otherwise are in connection with the Credit Agreement, the Intercreditor Agreement or the other Loan Documents. For the avoidance of doubt, and notwithstanding anything to the contrary, (a) in no event shall the Releasees include the Borrower, any Loan Party, any Subsidiary thereof or any other Affiliate thereof and (b) in no event shall this </w:t>
      </w:r>
      <w:r>
        <w:rPr>
          <w:rFonts w:ascii="Times New Roman" w:cs="Times New Roman" w:eastAsia="Times New Roman" w:hAnsi="Times New Roman"/>
          <w:sz w:val="19"/>
          <w:szCs w:val="19"/>
          <w:b w:val="1"/>
          <w:bCs w:val="1"/>
          <w:u w:val="single" w:color="auto"/>
          <w:color w:val="auto"/>
        </w:rPr>
        <w:t>Section 9</w:t>
      </w:r>
      <w:r>
        <w:rPr>
          <w:rFonts w:ascii="Times New Roman" w:cs="Times New Roman" w:eastAsia="Times New Roman" w:hAnsi="Times New Roman"/>
          <w:sz w:val="19"/>
          <w:szCs w:val="19"/>
          <w:color w:val="auto"/>
        </w:rPr>
        <w:t xml:space="preserve"> be deemed in any way to waive, release and discharge any of the Borrower, any Loan Party or any Affiliate thereof from any Claims that the Predecessor Agent, the Successor Agent or any Lender may have against the Borrower, any Loan Party or any Affiliate thereof on account of any Default, Event of Default or otherwise.</w:t>
      </w:r>
    </w:p>
    <w:p>
      <w:pPr>
        <w:spacing w:after="0" w:line="158" w:lineRule="exact"/>
        <w:rPr>
          <w:sz w:val="20"/>
          <w:szCs w:val="20"/>
          <w:color w:val="auto"/>
        </w:rPr>
      </w:pPr>
    </w:p>
    <w:p>
      <w:pPr>
        <w:ind w:left="1100" w:hanging="444"/>
        <w:spacing w:after="0"/>
        <w:tabs>
          <w:tab w:leader="none" w:pos="1100" w:val="left"/>
        </w:tabs>
        <w:numPr>
          <w:ilvl w:val="0"/>
          <w:numId w:val="8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Successors.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This Agreement shall inure to the benefit of and be binding upon the successors of each of the parties hereto.</w:t>
      </w:r>
    </w:p>
    <w:p>
      <w:pPr>
        <w:spacing w:after="0" w:line="229" w:lineRule="exact"/>
        <w:rPr>
          <w:rFonts w:ascii="Times New Roman" w:cs="Times New Roman" w:eastAsia="Times New Roman" w:hAnsi="Times New Roman"/>
          <w:sz w:val="20"/>
          <w:szCs w:val="20"/>
          <w:b w:val="1"/>
          <w:bCs w:val="1"/>
          <w:color w:val="auto"/>
        </w:rPr>
      </w:pPr>
    </w:p>
    <w:p>
      <w:pPr>
        <w:jc w:val="both"/>
        <w:ind w:firstLine="656"/>
        <w:spacing w:after="0" w:line="260" w:lineRule="auto"/>
        <w:tabs>
          <w:tab w:leader="none" w:pos="1174" w:val="left"/>
        </w:tabs>
        <w:numPr>
          <w:ilvl w:val="0"/>
          <w:numId w:val="8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Counterparts.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This Agreement may be executed in any number of counterparts and by different parties hereto on separate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counterparts, each of which when so executed and delivered shall be deemed to be an original, but all of which when taken together shall constitute a single instrument. Delivery of an executed counterpart of a signature page of this Agreement by email in Adobe “.pdf” format shall be effective as delivery of a manually executed counterpart hereof.</w:t>
      </w:r>
    </w:p>
    <w:p>
      <w:pPr>
        <w:spacing w:after="0" w:line="164" w:lineRule="exact"/>
        <w:rPr>
          <w:rFonts w:ascii="Times New Roman" w:cs="Times New Roman" w:eastAsia="Times New Roman" w:hAnsi="Times New Roman"/>
          <w:sz w:val="20"/>
          <w:szCs w:val="20"/>
          <w:b w:val="1"/>
          <w:bCs w:val="1"/>
          <w:color w:val="auto"/>
        </w:rPr>
      </w:pPr>
    </w:p>
    <w:p>
      <w:pPr>
        <w:ind w:firstLine="656"/>
        <w:spacing w:after="0" w:line="287" w:lineRule="auto"/>
        <w:tabs>
          <w:tab w:leader="none" w:pos="1201" w:val="left"/>
        </w:tabs>
        <w:numPr>
          <w:ilvl w:val="0"/>
          <w:numId w:val="8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Headings.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headings of this Agreement are for purposes of reference only and shall not limit or otherwise affect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meaning hereof.</w:t>
      </w:r>
    </w:p>
    <w:p>
      <w:pPr>
        <w:spacing w:after="0" w:line="138" w:lineRule="exact"/>
        <w:rPr>
          <w:rFonts w:ascii="Times New Roman" w:cs="Times New Roman" w:eastAsia="Times New Roman" w:hAnsi="Times New Roman"/>
          <w:sz w:val="20"/>
          <w:szCs w:val="20"/>
          <w:b w:val="1"/>
          <w:bCs w:val="1"/>
          <w:color w:val="auto"/>
        </w:rPr>
      </w:pPr>
    </w:p>
    <w:p>
      <w:pPr>
        <w:ind w:left="1100" w:hanging="444"/>
        <w:spacing w:after="0"/>
        <w:tabs>
          <w:tab w:leader="none" w:pos="1100" w:val="left"/>
        </w:tabs>
        <w:numPr>
          <w:ilvl w:val="0"/>
          <w:numId w:val="8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Interpretation.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This Agreement is a Loan Document for the purposes of the Credit Agreement.</w:t>
      </w:r>
    </w:p>
    <w:p>
      <w:pPr>
        <w:spacing w:after="0" w:line="229" w:lineRule="exact"/>
        <w:rPr>
          <w:rFonts w:ascii="Times New Roman" w:cs="Times New Roman" w:eastAsia="Times New Roman" w:hAnsi="Times New Roman"/>
          <w:sz w:val="20"/>
          <w:szCs w:val="20"/>
          <w:b w:val="1"/>
          <w:bCs w:val="1"/>
          <w:color w:val="auto"/>
        </w:rPr>
      </w:pPr>
    </w:p>
    <w:p>
      <w:pPr>
        <w:jc w:val="both"/>
        <w:ind w:firstLine="656"/>
        <w:spacing w:after="0" w:line="254" w:lineRule="auto"/>
        <w:tabs>
          <w:tab w:leader="none" w:pos="1147" w:val="left"/>
        </w:tabs>
        <w:numPr>
          <w:ilvl w:val="0"/>
          <w:numId w:val="8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APPLICABLE LAW.</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VALIDITY, INTERPRETATION AND ENFORCEMENT OF THIS AGREEMENT AND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DISPUTE ARISING OUT OF THE RELATIONSHIP BETWEEN THE PARTIES HERETO, WHETHER IN CONTRACT, TORT, EQUITY OR OTHERWISE, SHALL BE GOVERNED BY THE INTERNAL LAWS OF THE STATE OF NEW YORK BUT EXCLUDING ANY PRINCIPLES OF CONFLICTS OF LAW OR OTHER RULE OF LAW THAT WOULD CAUSE THE APPLICATION OF THE LAW OF ANY JURISDICTION OTHER THAN THE LAWS OF THE STATE OF NEW YORK.</w:t>
      </w:r>
    </w:p>
    <w:p>
      <w:pPr>
        <w:spacing w:after="0" w:line="187" w:lineRule="exact"/>
        <w:rPr>
          <w:rFonts w:ascii="Times New Roman" w:cs="Times New Roman" w:eastAsia="Times New Roman" w:hAnsi="Times New Roman"/>
          <w:sz w:val="20"/>
          <w:szCs w:val="20"/>
          <w:b w:val="1"/>
          <w:bCs w:val="1"/>
          <w:color w:val="auto"/>
        </w:rPr>
      </w:pPr>
    </w:p>
    <w:p>
      <w:pPr>
        <w:jc w:val="both"/>
        <w:ind w:firstLine="656"/>
        <w:spacing w:after="0" w:line="252" w:lineRule="auto"/>
        <w:tabs>
          <w:tab w:leader="none" w:pos="1134" w:val="left"/>
        </w:tabs>
        <w:numPr>
          <w:ilvl w:val="0"/>
          <w:numId w:val="8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WAIVER OF RIGHT TO TRIAL BY JURY.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EACH PARTY HERETO HEREBY WAIVES ANY RIGHT TO TRIAL BY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JURY OF ANY CLAIM, DEMAND, ACTION OR CAUSE OF ACTION ARISING UNDER THIS AGREEMENT OR ANY OF THE OTHER LOAN DOCUMENTS OR IN ANY WAY CONNECTED WITH OR RELATED OR INCIDENTAL TO THE DEALINGS OF THE PARTIES HERETO IN RESPECT OF THIS AGREEMENT OR ANY OF THE OTHER LOAN DOCUMENTS OR THE TRANSACTIONS RELATED HERETO OR THERETO IN EACH CASE WHETHER NOW EXISTING OR HEREAFTER ARISING, AND WHETHER IN CONTRACT, TORT, EQUITY OR OTHERWISE. EACH PARTY HERETO HEREBY AGREES AND CONSENTS THAT ANY SUCH CLAIM, DEMAND, ACTION OR CAUSE OF ACTION SHALL BE DECIDED BY COURT TRIAL WITHOUT A JURY AND THAT ANY PARTY HERETO MAY FILE A COPY OF THIS AGREEMENT WITH ANY COURT AS WRITTEN EVIDENCE OF THE CONSENT OF THE PARTIES HERETO TO THE WAIVER OF THEIR RIGHT TO TRIAL BY JURY.</w:t>
      </w:r>
    </w:p>
    <w:p>
      <w:pPr>
        <w:spacing w:after="0" w:line="175" w:lineRule="exact"/>
        <w:rPr>
          <w:rFonts w:ascii="Times New Roman" w:cs="Times New Roman" w:eastAsia="Times New Roman" w:hAnsi="Times New Roman"/>
          <w:sz w:val="20"/>
          <w:szCs w:val="20"/>
          <w:b w:val="1"/>
          <w:bCs w:val="1"/>
          <w:color w:val="auto"/>
        </w:rPr>
      </w:pPr>
    </w:p>
    <w:p>
      <w:pPr>
        <w:ind w:firstLine="656"/>
        <w:spacing w:after="0" w:line="287" w:lineRule="auto"/>
        <w:tabs>
          <w:tab w:leader="none" w:pos="1255" w:val="left"/>
        </w:tabs>
        <w:numPr>
          <w:ilvl w:val="0"/>
          <w:numId w:val="8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Severability.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Any provision of this Agreement that is prohibited or unenforceable in any jurisdiction shall, as to such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jurisdiction, be effective to the extent of such prohibition of unenforceability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ectPr>
          <w:pgSz w:w="11900" w:h="16838" w:orient="portrait"/>
          <w:cols w:equalWidth="0" w:num="1">
            <w:col w:w="11240"/>
          </w:cols>
          <w:pgMar w:left="320" w:top="1413" w:right="339" w:bottom="1440" w:gutter="0" w:footer="0" w:header="0"/>
        </w:sectPr>
      </w:pPr>
    </w:p>
    <w:bookmarkStart w:id="171" w:name="page172"/>
    <w:bookmarkEnd w:id="171"/>
    <w:p>
      <w:pPr>
        <w:spacing w:after="0" w:line="283" w:lineRule="auto"/>
        <w:rPr>
          <w:sz w:val="20"/>
          <w:szCs w:val="20"/>
          <w:color w:val="auto"/>
        </w:rPr>
      </w:pPr>
      <w:r>
        <w:rPr>
          <w:rFonts w:ascii="Times New Roman" w:cs="Times New Roman" w:eastAsia="Times New Roman" w:hAnsi="Times New Roman"/>
          <w:sz w:val="20"/>
          <w:szCs w:val="20"/>
          <w:color w:val="auto"/>
        </w:rPr>
        <w:t>without invalidating the remaining provisions hereof, and any such prohibition or unenforceability in any jurisdiction shall not invalidate or render unenforceable such provision in any other jurisdiction.</w:t>
      </w:r>
    </w:p>
    <w:p>
      <w:pPr>
        <w:spacing w:after="0" w:line="142" w:lineRule="exact"/>
        <w:rPr>
          <w:sz w:val="20"/>
          <w:szCs w:val="20"/>
          <w:color w:val="auto"/>
        </w:rPr>
      </w:pPr>
    </w:p>
    <w:p>
      <w:pPr>
        <w:jc w:val="both"/>
        <w:ind w:firstLine="656"/>
        <w:spacing w:after="0" w:line="263" w:lineRule="auto"/>
        <w:tabs>
          <w:tab w:leader="none" w:pos="1134" w:val="left"/>
        </w:tabs>
        <w:numPr>
          <w:ilvl w:val="0"/>
          <w:numId w:val="8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Entire Agreement.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This Agreement constitutes the entire contract among the parties relating to the subject matter hereof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supersedes any and all previous agreements and understandings, oral or written, relating to the subject matter hereof. This Agreement may not be amended except by an instrument in writing signed by each of the parties hereto.</w:t>
      </w:r>
    </w:p>
    <w:p>
      <w:pPr>
        <w:spacing w:after="0" w:line="175" w:lineRule="exact"/>
        <w:rPr>
          <w:rFonts w:ascii="Times New Roman" w:cs="Times New Roman" w:eastAsia="Times New Roman" w:hAnsi="Times New Roman"/>
          <w:sz w:val="20"/>
          <w:szCs w:val="20"/>
          <w:b w:val="1"/>
          <w:bCs w:val="1"/>
          <w:color w:val="auto"/>
        </w:rPr>
      </w:pPr>
    </w:p>
    <w:p>
      <w:pPr>
        <w:jc w:val="both"/>
        <w:ind w:firstLine="656"/>
        <w:spacing w:after="0" w:line="251" w:lineRule="auto"/>
        <w:tabs>
          <w:tab w:leader="none" w:pos="1174" w:val="left"/>
        </w:tabs>
        <w:numPr>
          <w:ilvl w:val="0"/>
          <w:numId w:val="8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Entitlement to Rely.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Successor Agent shall be entitled to conclusively rely upon, and shall not incur any liability for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relying upon, the records and other information supplied to it by the Predecessor Agent, the Borrower or any of their respective Affiliates, and in no event shall the Successor Agent have any liability in respect of the calculations, determinations or distributions of funds made by the Borrower or the Predecessor Agent prior to the effectiveness of this Agreement, nor shall the Successor Agent have any liability after the effectiveness of this Agreement to the extent that any calculation, determination or distribution of funds is made by it, in good faith, based in whole or in part on information supplied to it by the Predecessor Agent, the Borrower or any of their respective Affiliates in connection with the transfer of the role of administrative agent and collateral agent under the Loan Documents from Citi to WTNA. It is the intention and understanding of the parties hereto that any exchange of information under this Agreement that is otherwise protected against disclosure by privilege, doctrine or rule of confidentiality (such information, “</w:t>
      </w:r>
      <w:r>
        <w:rPr>
          <w:rFonts w:ascii="Times New Roman" w:cs="Times New Roman" w:eastAsia="Times New Roman" w:hAnsi="Times New Roman"/>
          <w:sz w:val="20"/>
          <w:szCs w:val="20"/>
          <w:b w:val="1"/>
          <w:bCs w:val="1"/>
          <w:color w:val="auto"/>
        </w:rPr>
        <w:t>Privileged Information</w:t>
      </w:r>
      <w:r>
        <w:rPr>
          <w:rFonts w:ascii="Times New Roman" w:cs="Times New Roman" w:eastAsia="Times New Roman" w:hAnsi="Times New Roman"/>
          <w:sz w:val="20"/>
          <w:szCs w:val="20"/>
          <w:color w:val="auto"/>
        </w:rPr>
        <w:t>”), whether before or after the Effective Time (i) shall not waive any applicable privilege, doctrine or rule of protection from disclosure, (ii) shall not diminish the confidentiality of the Privileged Information and (iii) shall not be asserted as a waiver of any such privilege, doctrine or rule by the Predecessor Agent or the Successor Agent.</w:t>
      </w:r>
    </w:p>
    <w:p>
      <w:pPr>
        <w:spacing w:after="0" w:line="178" w:lineRule="exact"/>
        <w:rPr>
          <w:rFonts w:ascii="Times New Roman" w:cs="Times New Roman" w:eastAsia="Times New Roman" w:hAnsi="Times New Roman"/>
          <w:sz w:val="20"/>
          <w:szCs w:val="20"/>
          <w:b w:val="1"/>
          <w:bCs w:val="1"/>
          <w:color w:val="auto"/>
        </w:rPr>
      </w:pPr>
    </w:p>
    <w:p>
      <w:pPr>
        <w:jc w:val="both"/>
        <w:ind w:firstLine="656"/>
        <w:spacing w:after="0" w:line="252" w:lineRule="auto"/>
        <w:tabs>
          <w:tab w:leader="none" w:pos="1282" w:val="left"/>
        </w:tabs>
        <w:numPr>
          <w:ilvl w:val="0"/>
          <w:numId w:val="8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Electronic Execution of Assignments and Certain Other Documents.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words “execution,” “execute”, “signed,”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“signature,” and words of like import in or related to any document to be signed in connection with this Agreement and the transactions contemplated hereby (including without limitation amendments, waivers and consents) shall be deemed to include electronic signatures on electronic platforms approved by the Administrative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Each of the parties represents and warrants to the other parties that it has the corporate capacity and authority to execute the Agreement through electronic means and there are no restrictions for doing so in that party’s constitutive documents.</w:t>
      </w:r>
    </w:p>
    <w:p>
      <w:pPr>
        <w:spacing w:after="0" w:line="175" w:lineRule="exact"/>
        <w:rPr>
          <w:rFonts w:ascii="Times New Roman" w:cs="Times New Roman" w:eastAsia="Times New Roman" w:hAnsi="Times New Roman"/>
          <w:sz w:val="20"/>
          <w:szCs w:val="20"/>
          <w:b w:val="1"/>
          <w:bCs w:val="1"/>
          <w:color w:val="auto"/>
        </w:rPr>
      </w:pPr>
    </w:p>
    <w:p>
      <w:pPr>
        <w:ind w:right="20" w:firstLine="656"/>
        <w:spacing w:after="0" w:line="287" w:lineRule="auto"/>
        <w:tabs>
          <w:tab w:leader="none" w:pos="1107" w:val="left"/>
        </w:tabs>
        <w:numPr>
          <w:ilvl w:val="0"/>
          <w:numId w:val="8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Notices.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following address is to be used for purposes of all communications to the Successor Agent pursuant to the Credit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Agreement and the other Loan Documents:</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Notice Information:</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Wilmington Trust, National Association</w:t>
      </w:r>
    </w:p>
    <w:p>
      <w:pPr>
        <w:spacing w:after="0" w:line="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50 South Sixth Street, Suite 1290</w:t>
      </w:r>
    </w:p>
    <w:p>
      <w:pPr>
        <w:spacing w:after="0" w:line="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Minneapolis, MN 55402</w:t>
      </w:r>
    </w:p>
    <w:p>
      <w:pPr>
        <w:spacing w:after="0" w:line="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Attn: Rackspace Loan Administrator</w:t>
      </w:r>
    </w:p>
    <w:p>
      <w:pPr>
        <w:spacing w:after="0" w:line="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Tele: (612) 217-5676</w:t>
      </w:r>
    </w:p>
    <w:p>
      <w:pPr>
        <w:spacing w:after="0" w:line="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Email: jcampbell3@wilmingtontrust.com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w:t>
      </w:r>
    </w:p>
    <w:p>
      <w:pPr>
        <w:sectPr>
          <w:pgSz w:w="11900" w:h="16838" w:orient="portrait"/>
          <w:cols w:equalWidth="0" w:num="1">
            <w:col w:w="11240"/>
          </w:cols>
          <w:pgMar w:left="320" w:top="1413" w:right="339" w:bottom="1440" w:gutter="0" w:footer="0" w:header="0"/>
        </w:sectPr>
      </w:pPr>
    </w:p>
    <w:bookmarkStart w:id="172" w:name="page173"/>
    <w:bookmarkEnd w:id="172"/>
    <w:p>
      <w:pPr>
        <w:spacing w:after="0" w:line="212" w:lineRule="exact"/>
        <w:rPr>
          <w:sz w:val="20"/>
          <w:szCs w:val="20"/>
          <w:color w:val="auto"/>
        </w:rPr>
      </w:pPr>
    </w:p>
    <w:p>
      <w:pPr>
        <w:ind w:left="1100" w:hanging="444"/>
        <w:spacing w:after="0"/>
        <w:tabs>
          <w:tab w:leader="none" w:pos="1100" w:val="left"/>
        </w:tabs>
        <w:numPr>
          <w:ilvl w:val="0"/>
          <w:numId w:val="8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Collateral and Liens.</w:t>
      </w:r>
    </w:p>
    <w:p>
      <w:pPr>
        <w:spacing w:after="0" w:line="233" w:lineRule="exact"/>
        <w:rPr>
          <w:sz w:val="20"/>
          <w:szCs w:val="20"/>
          <w:color w:val="auto"/>
        </w:rPr>
      </w:pPr>
    </w:p>
    <w:p>
      <w:pPr>
        <w:jc w:val="both"/>
        <w:ind w:firstLine="656"/>
        <w:spacing w:after="0" w:line="249" w:lineRule="auto"/>
        <w:tabs>
          <w:tab w:leader="none" w:pos="1220"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agreed consideration, as of the Effective Time, the Predecessor Agent hereby assigns, transfers and conveys to the Successor Agent for the benefit of the Successor Agent and the First-Priority Secured Parties, and the Successor Agent hereby accepts such assignment, transfer and conveyance from the Predecessor Agent, without recourse, warranty or representation, express or implied, statutory or otherwise, all powers of attorney, security interests, mortgages, Liens, Collateral and other rights, titles, indemnities, interests, privileges, claims, demands, equities and charges of the Predecessor Agent as the mortgagee, secured party or beneficiary, whether now or hereafter existing under or pursuant to the Loan Documents or any other liens of record in favor of the Predecessor Agent in its capacity as the Administrative Agent and Collateral Agent under the Credit Agreement and all other rights, benefits, remedies and privileges of the Predecessor Agent in its capacity as the holder, secured party, pledgee or beneficiary of the security and the Collateral under or pursuant to the Credit Agreement, the Intercreditor Agreement or the other Loan Documents (collectively, the “</w:t>
      </w:r>
      <w:r>
        <w:rPr>
          <w:rFonts w:ascii="Times New Roman" w:cs="Times New Roman" w:eastAsia="Times New Roman" w:hAnsi="Times New Roman"/>
          <w:sz w:val="20"/>
          <w:szCs w:val="20"/>
          <w:b w:val="1"/>
          <w:bCs w:val="1"/>
          <w:color w:val="auto"/>
        </w:rPr>
        <w:t>Assigned Liens</w:t>
      </w:r>
      <w:r>
        <w:rPr>
          <w:rFonts w:ascii="Times New Roman" w:cs="Times New Roman" w:eastAsia="Times New Roman" w:hAnsi="Times New Roman"/>
          <w:sz w:val="20"/>
          <w:szCs w:val="20"/>
          <w:color w:val="auto"/>
        </w:rPr>
        <w:t xml:space="preserve">”) to have and to hold the Assigned Liens and the Collateral unto the Successor Agent, for its and the other First-Priority Secured Parties’ benefit and for the benefit of their successors and assigns, forever;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the Predecessor Agent and its Related Parties shall retain their non-exclusive rights to indemnification and other similar obligations or contingent obligations and any other provisions of the Loan Documents pertaining to Citi in its capacity as Administrative Agent and Collateral Agent that survive its resignation and/or that survive the satisfaction of the Secured Obligations to the extent expressly provided for under the Loan Documents. All of such Assigned Liens shall in all respects be continuing and in effect and are hereby reaffirmed by the Borrower and the other Loan Parties.</w:t>
      </w:r>
    </w:p>
    <w:p>
      <w:pPr>
        <w:spacing w:after="0" w:line="200" w:lineRule="exact"/>
        <w:rPr>
          <w:rFonts w:ascii="Times New Roman" w:cs="Times New Roman" w:eastAsia="Times New Roman" w:hAnsi="Times New Roman"/>
          <w:sz w:val="20"/>
          <w:szCs w:val="20"/>
          <w:color w:val="auto"/>
        </w:rPr>
      </w:pPr>
    </w:p>
    <w:p>
      <w:pPr>
        <w:jc w:val="both"/>
        <w:ind w:firstLine="656"/>
        <w:spacing w:after="0" w:line="253" w:lineRule="auto"/>
        <w:tabs>
          <w:tab w:leader="none" w:pos="1094"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and the other Loan Parties each hereby authorize the Successor Agent or other designee of the Successor Agent, at the expense of the Borrower, to file any Uniform Commercial Code financing statements, intellectual property security interest filings, real property filings or similar documents, assignments or amendments that the Successor Agent deems reasonably necessary or desirable to evidence the Successor Agent’s succession as Administrative Agent and Collateral Agent under the Credit Agreement and the other Loan Documents.</w:t>
      </w:r>
    </w:p>
    <w:p>
      <w:pPr>
        <w:spacing w:after="0" w:line="178" w:lineRule="exact"/>
        <w:rPr>
          <w:rFonts w:ascii="Times New Roman" w:cs="Times New Roman" w:eastAsia="Times New Roman" w:hAnsi="Times New Roman"/>
          <w:sz w:val="20"/>
          <w:szCs w:val="20"/>
          <w:color w:val="auto"/>
        </w:rPr>
      </w:pPr>
    </w:p>
    <w:p>
      <w:pPr>
        <w:jc w:val="both"/>
        <w:ind w:firstLine="656"/>
        <w:spacing w:after="0" w:line="250" w:lineRule="auto"/>
        <w:tabs>
          <w:tab w:leader="none" w:pos="1144"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and after the Effective Date, any Collateral held by, in the possession of or in control of the Predecessor Agent, for the benefit of the First-Priority Secured Parties, shall be deemed to be held, possessed or controlled, as applicable, by the Predecessor Agent, as subagent and bailee for the Successor Agent, for the benefit of the First-Priority Secured Parties, until such time as such Collateral has been delivered to the Successor Agent or new control agreements in respect thereof have been entered into in favor of the Successor Agent, as applicable. Any reference to the Predecessor Agent on any publicly filed document, to the extent such filing relates to the Liens in the Collateral assigned hereby and until such filing is modified to reflect the interests of the Successor Agent, shall, with respect to such Liens, constitute a reference to the Predecessor Agent, as collateral representative of the Successor Agent. Any reference to the Predecessor Agent as an additional insured and/or co-loss payee under any insurance (including title insurance) required to be maintained pursuant to the Loan Documents shall, until the Successor Agent is substituted as additional insured and/or loss payee thereunder, constitute a reference to the Predecessor Agent, as collateral representative of the Successor Agent. Any reference to the Predecessor Agent in any pledge agreement, security agreement, mortgage, intellectual property security agreement, certificate of title or other Security Document shall, until the Successor Agent is substituted thereunder (whether by operation of law or by subsequent amendment, assignment, filing or other instrument), constitute a reference to the Predecessor Agent, as collateral representative of the Successor Agent, and, in each case of the immediately preceding three sentences, the parties hereto agree that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ectPr>
          <w:pgSz w:w="11900" w:h="16838" w:orient="portrait"/>
          <w:cols w:equalWidth="0" w:num="1">
            <w:col w:w="11240"/>
          </w:cols>
          <w:pgMar w:left="320" w:top="1440" w:right="339" w:bottom="1440" w:gutter="0" w:footer="0" w:header="0"/>
        </w:sectPr>
      </w:pPr>
    </w:p>
    <w:bookmarkStart w:id="173" w:name="page174"/>
    <w:bookmarkEnd w:id="173"/>
    <w:p>
      <w:pPr>
        <w:jc w:val="both"/>
        <w:spacing w:after="0" w:line="261" w:lineRule="auto"/>
        <w:rPr>
          <w:sz w:val="20"/>
          <w:szCs w:val="20"/>
          <w:color w:val="auto"/>
        </w:rPr>
      </w:pPr>
      <w:r>
        <w:rPr>
          <w:rFonts w:ascii="Times New Roman" w:cs="Times New Roman" w:eastAsia="Times New Roman" w:hAnsi="Times New Roman"/>
          <w:sz w:val="20"/>
          <w:szCs w:val="20"/>
          <w:color w:val="auto"/>
        </w:rPr>
        <w:t>Predecessor Agent’s role as collateral representative of the Successor Agent shall impose no duties, obligations, or liabilities on the Predecessor Agent, including, without limitation, any duty to take any type of direction regarding any action to be taken against such Collateral, whether such direction comes from the Successor Agent, the Required Lenders or otherwise.</w:t>
      </w:r>
    </w:p>
    <w:p>
      <w:pPr>
        <w:spacing w:after="0" w:line="177" w:lineRule="exact"/>
        <w:rPr>
          <w:sz w:val="20"/>
          <w:szCs w:val="20"/>
          <w:color w:val="auto"/>
        </w:rPr>
      </w:pPr>
    </w:p>
    <w:p>
      <w:pPr>
        <w:jc w:val="both"/>
        <w:ind w:firstLine="656"/>
        <w:spacing w:after="0" w:line="252" w:lineRule="auto"/>
        <w:tabs>
          <w:tab w:leader="none" w:pos="1149"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anything herein or in the Loan Documents to the contrary, but subject to </w:t>
      </w:r>
      <w:r>
        <w:rPr>
          <w:rFonts w:ascii="Times New Roman" w:cs="Times New Roman" w:eastAsia="Times New Roman" w:hAnsi="Times New Roman"/>
          <w:sz w:val="20"/>
          <w:szCs w:val="20"/>
          <w:b w:val="1"/>
          <w:bCs w:val="1"/>
          <w:u w:val="single" w:color="auto"/>
          <w:color w:val="auto"/>
        </w:rPr>
        <w:t>Section 5(c)</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b w:val="1"/>
          <w:bCs w:val="1"/>
          <w:u w:val="single" w:color="auto"/>
          <w:color w:val="auto"/>
        </w:rPr>
        <w:t>5(d)</w:t>
      </w:r>
      <w:r>
        <w:rPr>
          <w:rFonts w:ascii="Times New Roman" w:cs="Times New Roman" w:eastAsia="Times New Roman" w:hAnsi="Times New Roman"/>
          <w:sz w:val="20"/>
          <w:szCs w:val="20"/>
          <w:color w:val="auto"/>
        </w:rPr>
        <w:t xml:space="preserve"> hereof, the Successor Agent shall have no obligation to give, execute, deliver, file, record, authorize or obtain any financing statements, notices, instruments, documents, agreements, consents or other papers as shall be necessary to (i) create, preserve, perfect or validate the Liens granted to the Collateral Agent pursuant to the Loan Documents or (ii) enable the Administrative Agent or the Collateral Agent to exercise and enforce its rights under the Loan Documents with respect to such Liens, in each case except as otherwise expressly required by the Credit Agreement, the Intercreditor Agreement or the other Loan Documents. In addition, the Successor Agent shall have no responsibility or liability (i) in connection with the acts or omissions of the Predecessor Agent, the Borrower or any other Loan Party in respect of the foregoing or (ii) for or with respect to the legality, validity and enforceability of any Lien created in the Collateral or the perfection and priority of such Lien granted or perfected prior to the Effective Date.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ectPr>
          <w:pgSz w:w="11900" w:h="16838" w:orient="portrait"/>
          <w:cols w:equalWidth="0" w:num="1">
            <w:col w:w="11240"/>
          </w:cols>
          <w:pgMar w:left="320" w:top="1413" w:right="33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9"/>
          <w:szCs w:val="19"/>
          <w:color w:val="auto"/>
        </w:rPr>
        <w:t>IN WITNESS WHEREOF, the parties hereto have caused this Agreement to be executed as of the date first written above.</w:t>
      </w:r>
    </w:p>
    <w:p>
      <w:pPr>
        <w:sectPr>
          <w:pgSz w:w="11900" w:h="16838" w:orient="portrait"/>
          <w:cols w:equalWidth="0" w:num="1">
            <w:col w:w="9680"/>
          </w:cols>
          <w:pgMar w:left="980" w:top="1413" w:right="1239" w:bottom="1440" w:gutter="0" w:footer="0" w:header="0"/>
        </w:sectPr>
      </w:pPr>
    </w:p>
    <w:p>
      <w:pPr>
        <w:spacing w:after="0" w:line="264" w:lineRule="exact"/>
        <w:rPr>
          <w:sz w:val="20"/>
          <w:szCs w:val="20"/>
          <w:color w:val="auto"/>
        </w:rPr>
      </w:pPr>
    </w:p>
    <w:p>
      <w:pPr>
        <w:jc w:val="right"/>
        <w:ind w:right="1940"/>
        <w:spacing w:after="0"/>
        <w:rPr>
          <w:sz w:val="20"/>
          <w:szCs w:val="20"/>
          <w:color w:val="auto"/>
        </w:rPr>
      </w:pPr>
      <w:r>
        <w:rPr>
          <w:rFonts w:ascii="Times New Roman" w:cs="Times New Roman" w:eastAsia="Times New Roman" w:hAnsi="Times New Roman"/>
          <w:sz w:val="20"/>
          <w:szCs w:val="20"/>
          <w:b w:val="1"/>
          <w:bCs w:val="1"/>
          <w:color w:val="auto"/>
        </w:rPr>
        <w:t>CITIBANK, N.A.</w:t>
      </w:r>
      <w:r>
        <w:rPr>
          <w:rFonts w:ascii="Times New Roman" w:cs="Times New Roman" w:eastAsia="Times New Roman" w:hAnsi="Times New Roman"/>
          <w:sz w:val="20"/>
          <w:szCs w:val="20"/>
          <w:color w:val="auto"/>
        </w:rPr>
        <w:t>, as Predecessor Administrative Agent</w:t>
      </w:r>
    </w:p>
    <w:p>
      <w:pPr>
        <w:spacing w:after="0" w:line="200" w:lineRule="exact"/>
        <w:rPr>
          <w:sz w:val="20"/>
          <w:szCs w:val="20"/>
          <w:color w:val="auto"/>
        </w:rPr>
      </w:pPr>
    </w:p>
    <w:p>
      <w:pPr>
        <w:spacing w:after="0" w:line="344" w:lineRule="exact"/>
        <w:rPr>
          <w:sz w:val="20"/>
          <w:szCs w:val="20"/>
          <w:color w:val="auto"/>
        </w:rPr>
      </w:pPr>
    </w:p>
    <w:p>
      <w:pPr>
        <w:ind w:left="3240"/>
        <w:spacing w:after="0"/>
        <w:tabs>
          <w:tab w:leader="none" w:pos="370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u w:val="single" w:color="auto"/>
          <w:color w:val="auto"/>
        </w:rPr>
        <w:t>/s/ Karan Kapoor</w:t>
      </w:r>
    </w:p>
    <w:p>
      <w:pPr>
        <w:spacing w:after="0" w:line="28" w:lineRule="exact"/>
        <w:rPr>
          <w:sz w:val="20"/>
          <w:szCs w:val="20"/>
          <w:color w:val="auto"/>
        </w:rPr>
      </w:pPr>
    </w:p>
    <w:p>
      <w:pPr>
        <w:ind w:left="3560"/>
        <w:spacing w:after="0"/>
        <w:tabs>
          <w:tab w:leader="none" w:pos="4260" w:val="left"/>
        </w:tabs>
        <w:rPr>
          <w:sz w:val="20"/>
          <w:szCs w:val="20"/>
          <w:color w:val="auto"/>
        </w:rPr>
      </w:pPr>
      <w:r>
        <w:rPr>
          <w:rFonts w:ascii="Times New Roman" w:cs="Times New Roman" w:eastAsia="Times New Roman" w:hAnsi="Times New Roman"/>
          <w:sz w:val="20"/>
          <w:szCs w:val="20"/>
          <w:color w:val="auto"/>
        </w:rPr>
        <w:t>Name:</w:t>
        <w:tab/>
        <w:t>Karan Kapoor</w:t>
      </w:r>
    </w:p>
    <w:p>
      <w:pPr>
        <w:spacing w:after="0" w:line="6"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20"/>
          <w:szCs w:val="20"/>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[Signature Page to Successor Agent Appointment and Agency Transfer Agreement]</w:t>
      </w:r>
    </w:p>
    <w:p>
      <w:pPr>
        <w:sectPr>
          <w:pgSz w:w="11900" w:h="16838" w:orient="portrait"/>
          <w:cols w:equalWidth="0" w:num="1">
            <w:col w:w="9680"/>
          </w:cols>
          <w:pgMar w:left="980" w:top="1413" w:right="1239" w:bottom="1440" w:gutter="0" w:footer="0" w:header="0"/>
          <w:type w:val="continuous"/>
        </w:sectPr>
      </w:pPr>
    </w:p>
    <w:bookmarkStart w:id="175" w:name="page176"/>
    <w:bookmarkEnd w:id="175"/>
    <w:p>
      <w:pPr>
        <w:ind w:left="2780"/>
        <w:spacing w:after="0" w:line="287" w:lineRule="auto"/>
        <w:rPr>
          <w:sz w:val="20"/>
          <w:szCs w:val="20"/>
          <w:color w:val="auto"/>
        </w:rPr>
      </w:pPr>
      <w:r>
        <w:rPr>
          <w:rFonts w:ascii="Times New Roman" w:cs="Times New Roman" w:eastAsia="Times New Roman" w:hAnsi="Times New Roman"/>
          <w:sz w:val="20"/>
          <w:szCs w:val="20"/>
          <w:b w:val="1"/>
          <w:bCs w:val="1"/>
          <w:color w:val="auto"/>
        </w:rPr>
        <w:t>CITIBANK, N.A.</w:t>
      </w:r>
      <w:r>
        <w:rPr>
          <w:rFonts w:ascii="Times New Roman" w:cs="Times New Roman" w:eastAsia="Times New Roman" w:hAnsi="Times New Roman"/>
          <w:sz w:val="20"/>
          <w:szCs w:val="20"/>
          <w:color w:val="auto"/>
        </w:rPr>
        <w:t>, acting through its agency and trust business, as Predecessor Collateral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Agent</w:t>
      </w:r>
    </w:p>
    <w:p>
      <w:pPr>
        <w:spacing w:after="0" w:line="200" w:lineRule="exact"/>
        <w:rPr>
          <w:sz w:val="20"/>
          <w:szCs w:val="20"/>
          <w:color w:val="auto"/>
        </w:rPr>
      </w:pPr>
    </w:p>
    <w:p>
      <w:pPr>
        <w:spacing w:after="0" w:line="266" w:lineRule="exact"/>
        <w:rPr>
          <w:sz w:val="20"/>
          <w:szCs w:val="20"/>
          <w:color w:val="auto"/>
        </w:rPr>
      </w:pPr>
    </w:p>
    <w:p>
      <w:pPr>
        <w:ind w:left="2780"/>
        <w:spacing w:after="0"/>
        <w:tabs>
          <w:tab w:leader="none" w:pos="324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u w:val="single" w:color="auto"/>
          <w:color w:val="auto"/>
        </w:rPr>
        <w:t>/s/ Miriam Molina</w:t>
      </w:r>
    </w:p>
    <w:p>
      <w:pPr>
        <w:spacing w:after="0" w:line="28" w:lineRule="exact"/>
        <w:rPr>
          <w:sz w:val="20"/>
          <w:szCs w:val="20"/>
          <w:color w:val="auto"/>
        </w:rPr>
      </w:pPr>
    </w:p>
    <w:p>
      <w:pPr>
        <w:ind w:left="3100"/>
        <w:spacing w:after="0"/>
        <w:tabs>
          <w:tab w:leader="none" w:pos="380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Miriam Molina</w:t>
      </w:r>
    </w:p>
    <w:p>
      <w:pPr>
        <w:spacing w:after="0" w:line="6" w:lineRule="exact"/>
        <w:rPr>
          <w:sz w:val="20"/>
          <w:szCs w:val="20"/>
          <w:color w:val="auto"/>
        </w:rPr>
      </w:pPr>
    </w:p>
    <w:p>
      <w:pPr>
        <w:ind w:left="3100"/>
        <w:spacing w:after="0"/>
        <w:tabs>
          <w:tab w:leader="none" w:pos="370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Senior Trust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4"/>
          <w:szCs w:val="14"/>
          <w:color w:val="auto"/>
        </w:rPr>
        <w:t>[Signature Page to Successor Agent Appointment and Agency Transfer Agreement]</w:t>
      </w:r>
    </w:p>
    <w:p>
      <w:pPr>
        <w:sectPr>
          <w:pgSz w:w="11900" w:h="16838" w:orient="portrait"/>
          <w:cols w:equalWidth="0" w:num="1">
            <w:col w:w="9900"/>
          </w:cols>
          <w:pgMar w:left="1440" w:top="1409" w:right="559" w:bottom="1440" w:gutter="0" w:footer="0" w:header="0"/>
        </w:sectPr>
      </w:pPr>
    </w:p>
    <w:bookmarkStart w:id="176" w:name="page177"/>
    <w:bookmarkEnd w:id="176"/>
    <w:p>
      <w:pPr>
        <w:ind w:left="2780"/>
        <w:spacing w:after="0"/>
        <w:rPr>
          <w:sz w:val="20"/>
          <w:szCs w:val="20"/>
          <w:color w:val="auto"/>
        </w:rPr>
      </w:pPr>
      <w:r>
        <w:rPr>
          <w:rFonts w:ascii="Times New Roman" w:cs="Times New Roman" w:eastAsia="Times New Roman" w:hAnsi="Times New Roman"/>
          <w:sz w:val="19"/>
          <w:szCs w:val="19"/>
          <w:b w:val="1"/>
          <w:bCs w:val="1"/>
          <w:color w:val="auto"/>
        </w:rPr>
        <w:t>WILMINGTON TRUST, NATIONAL ASSOCIATION</w:t>
      </w:r>
      <w:r>
        <w:rPr>
          <w:rFonts w:ascii="Times New Roman" w:cs="Times New Roman" w:eastAsia="Times New Roman" w:hAnsi="Times New Roman"/>
          <w:sz w:val="19"/>
          <w:szCs w:val="19"/>
          <w:color w:val="auto"/>
        </w:rPr>
        <w:t>, as Successor Agent</w:t>
      </w:r>
    </w:p>
    <w:p>
      <w:pPr>
        <w:spacing w:after="0" w:line="200" w:lineRule="exact"/>
        <w:rPr>
          <w:sz w:val="20"/>
          <w:szCs w:val="20"/>
          <w:color w:val="auto"/>
        </w:rPr>
      </w:pPr>
    </w:p>
    <w:p>
      <w:pPr>
        <w:spacing w:after="0" w:line="369" w:lineRule="exact"/>
        <w:rPr>
          <w:sz w:val="20"/>
          <w:szCs w:val="20"/>
          <w:color w:val="auto"/>
        </w:rPr>
      </w:pPr>
    </w:p>
    <w:p>
      <w:pPr>
        <w:ind w:left="2780"/>
        <w:spacing w:after="0"/>
        <w:tabs>
          <w:tab w:leader="none" w:pos="324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u w:val="single" w:color="auto"/>
          <w:color w:val="auto"/>
        </w:rPr>
        <w:t>/s/ Jay Campbell</w:t>
      </w:r>
    </w:p>
    <w:p>
      <w:pPr>
        <w:spacing w:after="0" w:line="22" w:lineRule="exact"/>
        <w:rPr>
          <w:sz w:val="20"/>
          <w:szCs w:val="20"/>
          <w:color w:val="auto"/>
        </w:rPr>
      </w:pPr>
    </w:p>
    <w:p>
      <w:pPr>
        <w:ind w:left="3100"/>
        <w:spacing w:after="0"/>
        <w:tabs>
          <w:tab w:leader="none" w:pos="380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Jay Campbell</w:t>
      </w:r>
    </w:p>
    <w:p>
      <w:pPr>
        <w:spacing w:after="0" w:line="6" w:lineRule="exact"/>
        <w:rPr>
          <w:sz w:val="20"/>
          <w:szCs w:val="20"/>
          <w:color w:val="auto"/>
        </w:rPr>
      </w:pPr>
    </w:p>
    <w:p>
      <w:pPr>
        <w:jc w:val="center"/>
        <w:ind w:right="340"/>
        <w:spacing w:after="0"/>
        <w:tabs>
          <w:tab w:leader="none" w:pos="16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Assistant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4"/>
          <w:szCs w:val="14"/>
          <w:color w:val="auto"/>
        </w:rPr>
        <w:t>[Signature Page to Successor Agent Appointment and Agency Transfer Agreement]</w:t>
      </w:r>
    </w:p>
    <w:p>
      <w:pPr>
        <w:sectPr>
          <w:pgSz w:w="11900" w:h="16838" w:orient="portrait"/>
          <w:cols w:equalWidth="0" w:num="1">
            <w:col w:w="9080"/>
          </w:cols>
          <w:pgMar w:left="1440" w:top="1409" w:right="1379" w:bottom="1440" w:gutter="0" w:footer="0" w:header="0"/>
        </w:sectPr>
      </w:pPr>
    </w:p>
    <w:bookmarkStart w:id="177" w:name="page178"/>
    <w:bookmarkEnd w:id="177"/>
    <w:p>
      <w:pPr>
        <w:ind w:left="2780"/>
        <w:spacing w:after="0"/>
        <w:rPr>
          <w:sz w:val="20"/>
          <w:szCs w:val="20"/>
          <w:color w:val="auto"/>
        </w:rPr>
      </w:pPr>
      <w:r>
        <w:rPr>
          <w:rFonts w:ascii="Times New Roman" w:cs="Times New Roman" w:eastAsia="Times New Roman" w:hAnsi="Times New Roman"/>
          <w:sz w:val="20"/>
          <w:szCs w:val="20"/>
          <w:b w:val="1"/>
          <w:bCs w:val="1"/>
          <w:color w:val="auto"/>
        </w:rPr>
        <w:t>RACKSPACE TECHNOLOGY GLOBAL, INC.</w:t>
      </w:r>
      <w:r>
        <w:rPr>
          <w:rFonts w:ascii="Times New Roman" w:cs="Times New Roman" w:eastAsia="Times New Roman" w:hAnsi="Times New Roman"/>
          <w:sz w:val="20"/>
          <w:szCs w:val="20"/>
          <w:color w:val="auto"/>
        </w:rPr>
        <w:t>,</w:t>
      </w:r>
    </w:p>
    <w:p>
      <w:pPr>
        <w:spacing w:after="0" w:line="3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as Borrower</w:t>
      </w:r>
    </w:p>
    <w:p>
      <w:pPr>
        <w:spacing w:after="0" w:line="200" w:lineRule="exact"/>
        <w:rPr>
          <w:sz w:val="20"/>
          <w:szCs w:val="20"/>
          <w:color w:val="auto"/>
        </w:rPr>
      </w:pPr>
    </w:p>
    <w:p>
      <w:pPr>
        <w:spacing w:after="0" w:line="324" w:lineRule="exact"/>
        <w:rPr>
          <w:sz w:val="20"/>
          <w:szCs w:val="20"/>
          <w:color w:val="auto"/>
        </w:rPr>
      </w:pPr>
    </w:p>
    <w:p>
      <w:pPr>
        <w:ind w:left="2780"/>
        <w:spacing w:after="0"/>
        <w:tabs>
          <w:tab w:leader="none" w:pos="324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u w:val="single" w:color="auto"/>
          <w:color w:val="auto"/>
        </w:rPr>
        <w:t>/s/ Sarah Alexander</w:t>
      </w:r>
    </w:p>
    <w:p>
      <w:pPr>
        <w:spacing w:after="0" w:line="28" w:lineRule="exact"/>
        <w:rPr>
          <w:sz w:val="20"/>
          <w:szCs w:val="20"/>
          <w:color w:val="auto"/>
        </w:rPr>
      </w:pPr>
    </w:p>
    <w:p>
      <w:pPr>
        <w:ind w:left="3100"/>
        <w:spacing w:after="0"/>
        <w:tabs>
          <w:tab w:leader="none" w:pos="380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Sarah Alexander</w:t>
      </w:r>
    </w:p>
    <w:p>
      <w:pPr>
        <w:spacing w:after="0" w:line="6" w:lineRule="exact"/>
        <w:rPr>
          <w:sz w:val="20"/>
          <w:szCs w:val="20"/>
          <w:color w:val="auto"/>
        </w:rPr>
      </w:pPr>
    </w:p>
    <w:p>
      <w:pPr>
        <w:jc w:val="right"/>
        <w:ind w:right="319"/>
        <w:spacing w:after="0"/>
        <w:tabs>
          <w:tab w:leader="none" w:pos="496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Vice President, Deputy General Counsel &amp; Assistant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[Signature Page to Successor Agent Appointment and Agency Transfer Agreement]</w:t>
      </w:r>
    </w:p>
    <w:p>
      <w:pPr>
        <w:sectPr>
          <w:pgSz w:w="11900" w:h="16838" w:orient="portrait"/>
          <w:cols w:equalWidth="0" w:num="1">
            <w:col w:w="9019"/>
          </w:cols>
          <w:pgMar w:left="1440" w:top="1409" w:right="1440" w:bottom="1440" w:gutter="0" w:footer="0" w:header="0"/>
        </w:sectPr>
      </w:pPr>
    </w:p>
    <w:bookmarkStart w:id="178" w:name="page179"/>
    <w:bookmarkEnd w:id="178"/>
    <w:p>
      <w:pPr>
        <w:ind w:left="2780"/>
        <w:spacing w:after="0"/>
        <w:rPr>
          <w:sz w:val="20"/>
          <w:szCs w:val="20"/>
          <w:color w:val="auto"/>
        </w:rPr>
      </w:pPr>
      <w:r>
        <w:rPr>
          <w:rFonts w:ascii="Times New Roman" w:cs="Times New Roman" w:eastAsia="Times New Roman" w:hAnsi="Times New Roman"/>
          <w:sz w:val="20"/>
          <w:szCs w:val="20"/>
          <w:b w:val="1"/>
          <w:bCs w:val="1"/>
          <w:color w:val="auto"/>
        </w:rPr>
        <w:t>INCEPTION PARENT, INC.,</w:t>
      </w:r>
    </w:p>
    <w:p>
      <w:pPr>
        <w:spacing w:after="0" w:line="23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as Holdings</w:t>
      </w:r>
    </w:p>
    <w:p>
      <w:pPr>
        <w:spacing w:after="0" w:line="200" w:lineRule="exact"/>
        <w:rPr>
          <w:sz w:val="20"/>
          <w:szCs w:val="20"/>
          <w:color w:val="auto"/>
        </w:rPr>
      </w:pPr>
    </w:p>
    <w:p>
      <w:pPr>
        <w:spacing w:after="0" w:line="340" w:lineRule="exact"/>
        <w:rPr>
          <w:sz w:val="20"/>
          <w:szCs w:val="20"/>
          <w:color w:val="auto"/>
        </w:rPr>
      </w:pPr>
    </w:p>
    <w:p>
      <w:pPr>
        <w:ind w:left="2780"/>
        <w:spacing w:after="0"/>
        <w:tabs>
          <w:tab w:leader="none" w:pos="324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u w:val="single" w:color="auto"/>
          <w:color w:val="auto"/>
        </w:rPr>
        <w:t>/s/ Sarah Alexander</w:t>
      </w:r>
    </w:p>
    <w:p>
      <w:pPr>
        <w:spacing w:after="0" w:line="28" w:lineRule="exact"/>
        <w:rPr>
          <w:sz w:val="20"/>
          <w:szCs w:val="20"/>
          <w:color w:val="auto"/>
        </w:rPr>
      </w:pPr>
    </w:p>
    <w:p>
      <w:pPr>
        <w:ind w:left="3100"/>
        <w:spacing w:after="0"/>
        <w:tabs>
          <w:tab w:leader="none" w:pos="380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Sarah Alexander</w:t>
      </w:r>
    </w:p>
    <w:p>
      <w:pPr>
        <w:spacing w:after="0" w:line="6" w:lineRule="exact"/>
        <w:rPr>
          <w:sz w:val="20"/>
          <w:szCs w:val="20"/>
          <w:color w:val="auto"/>
        </w:rPr>
      </w:pPr>
    </w:p>
    <w:p>
      <w:pPr>
        <w:jc w:val="both"/>
        <w:ind w:left="3100"/>
        <w:spacing w:after="0"/>
        <w:tabs>
          <w:tab w:leader="none" w:pos="3740" w:val="left"/>
        </w:tabs>
        <w:rPr>
          <w:sz w:val="20"/>
          <w:szCs w:val="20"/>
          <w:color w:val="auto"/>
        </w:rPr>
      </w:pPr>
      <w:r>
        <w:rPr>
          <w:rFonts w:ascii="Times New Roman" w:cs="Times New Roman" w:eastAsia="Times New Roman" w:hAnsi="Times New Roman"/>
          <w:sz w:val="20"/>
          <w:szCs w:val="20"/>
          <w:color w:val="auto"/>
        </w:rPr>
        <w:t>Title:</w:t>
        <w:tab/>
        <w:t>Vice President, Deputy General Counsel &amp; Assistant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[Signature Page to Successor Agent Appointment and Agency Transfer Agreement]</w:t>
      </w:r>
    </w:p>
    <w:p>
      <w:pPr>
        <w:sectPr>
          <w:pgSz w:w="11900" w:h="16838" w:orient="portrait"/>
          <w:cols w:equalWidth="0" w:num="1">
            <w:col w:w="9019"/>
          </w:cols>
          <w:pgMar w:left="1440" w:top="1409" w:right="1440" w:bottom="1440" w:gutter="0" w:footer="0" w:header="0"/>
        </w:sectPr>
      </w:pPr>
    </w:p>
    <w:bookmarkStart w:id="179" w:name="page180"/>
    <w:bookmarkEnd w:id="179"/>
    <w:p>
      <w:pPr>
        <w:spacing w:after="0" w:line="21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LENDERS:</w:t>
      </w:r>
    </w:p>
    <w:p>
      <w:pPr>
        <w:spacing w:after="0" w:line="22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CastleKnight Master Fund LP</w:t>
      </w:r>
    </w:p>
    <w:p>
      <w:pPr>
        <w:spacing w:after="0" w:line="200" w:lineRule="exact"/>
        <w:rPr>
          <w:sz w:val="20"/>
          <w:szCs w:val="20"/>
          <w:color w:val="auto"/>
        </w:rPr>
      </w:pPr>
    </w:p>
    <w:p>
      <w:pPr>
        <w:spacing w:after="0" w:line="222" w:lineRule="exact"/>
        <w:rPr>
          <w:sz w:val="20"/>
          <w:szCs w:val="20"/>
          <w:color w:val="auto"/>
        </w:rPr>
      </w:pPr>
    </w:p>
    <w:p>
      <w:pPr>
        <w:jc w:val="right"/>
        <w:ind w:right="719"/>
        <w:spacing w:after="0"/>
        <w:rPr>
          <w:sz w:val="20"/>
          <w:szCs w:val="20"/>
          <w:color w:val="auto"/>
        </w:rPr>
      </w:pPr>
      <w:r>
        <w:rPr>
          <w:rFonts w:ascii="Times New Roman" w:cs="Times New Roman" w:eastAsia="Times New Roman" w:hAnsi="Times New Roman"/>
          <w:sz w:val="20"/>
          <w:szCs w:val="20"/>
          <w:color w:val="auto"/>
        </w:rPr>
        <w:t>Executed by authorized fund manager: CastleKnight Management LP</w:t>
      </w:r>
    </w:p>
    <w:p>
      <w:pPr>
        <w:spacing w:after="0" w:line="200" w:lineRule="exact"/>
        <w:rPr>
          <w:sz w:val="20"/>
          <w:szCs w:val="20"/>
          <w:color w:val="auto"/>
        </w:rPr>
      </w:pPr>
    </w:p>
    <w:p>
      <w:pPr>
        <w:spacing w:after="0" w:line="326" w:lineRule="exact"/>
        <w:rPr>
          <w:sz w:val="20"/>
          <w:szCs w:val="20"/>
          <w:color w:val="auto"/>
        </w:rPr>
      </w:pPr>
    </w:p>
    <w:p>
      <w:pPr>
        <w:ind w:left="2780"/>
        <w:spacing w:after="0"/>
        <w:tabs>
          <w:tab w:leader="none" w:pos="324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u w:val="single" w:color="auto"/>
          <w:color w:val="auto"/>
        </w:rPr>
        <w:t>/s/ Christopher H. Sullivan</w:t>
      </w:r>
    </w:p>
    <w:p>
      <w:pPr>
        <w:spacing w:after="0" w:line="22" w:lineRule="exact"/>
        <w:rPr>
          <w:sz w:val="20"/>
          <w:szCs w:val="20"/>
          <w:color w:val="auto"/>
        </w:rPr>
      </w:pPr>
    </w:p>
    <w:p>
      <w:pPr>
        <w:ind w:left="3100"/>
        <w:spacing w:after="0"/>
        <w:tabs>
          <w:tab w:leader="none" w:pos="380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Christopher H. Sullivan</w:t>
      </w:r>
    </w:p>
    <w:p>
      <w:pPr>
        <w:spacing w:after="0" w:line="6" w:lineRule="exact"/>
        <w:rPr>
          <w:sz w:val="20"/>
          <w:szCs w:val="20"/>
          <w:color w:val="auto"/>
        </w:rPr>
      </w:pPr>
    </w:p>
    <w:p>
      <w:pPr>
        <w:ind w:left="3100"/>
        <w:spacing w:after="0"/>
        <w:tabs>
          <w:tab w:leader="none" w:pos="368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[Signature Page to Successor Agent Appointment and Agency Transfer Agreement]</w:t>
      </w:r>
    </w:p>
    <w:p>
      <w:pPr>
        <w:sectPr>
          <w:pgSz w:w="11900" w:h="16838" w:orient="portrait"/>
          <w:cols w:equalWidth="0" w:num="1">
            <w:col w:w="9019"/>
          </w:cols>
          <w:pgMar w:left="1440" w:top="1440" w:right="1440" w:bottom="1440" w:gutter="0" w:footer="0" w:header="0"/>
        </w:sectPr>
      </w:pPr>
    </w:p>
    <w:bookmarkStart w:id="180" w:name="page181"/>
    <w:bookmarkEnd w:id="180"/>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Exhibit A</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AMENDED CREDIT AGREEMENT</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[Signature Page to Successor Agent Appointment and Agency Transfer Agreement]</w:t>
      </w:r>
    </w:p>
    <w:p>
      <w:pPr>
        <w:sectPr>
          <w:pgSz w:w="11900" w:h="16838" w:orient="portrait"/>
          <w:cols w:equalWidth="0" w:num="1">
            <w:col w:w="9019"/>
          </w:cols>
          <w:pgMar w:left="1440" w:top="1409" w:right="1440" w:bottom="1440" w:gutter="0" w:footer="0" w:header="0"/>
        </w:sectPr>
      </w:pPr>
    </w:p>
    <w:bookmarkStart w:id="181" w:name="page182"/>
    <w:bookmarkEnd w:id="181"/>
    <w:p>
      <w:pPr>
        <w:jc w:val="right"/>
        <w:spacing w:after="0"/>
        <w:rPr>
          <w:sz w:val="20"/>
          <w:szCs w:val="20"/>
          <w:color w:val="auto"/>
        </w:rPr>
      </w:pPr>
      <w:r>
        <w:rPr>
          <w:rFonts w:ascii="Times New Roman" w:cs="Times New Roman" w:eastAsia="Times New Roman" w:hAnsi="Times New Roman"/>
          <w:sz w:val="22"/>
          <w:szCs w:val="22"/>
          <w:color w:val="FF0000"/>
          <w:strike w:val="1"/>
        </w:rPr>
        <w:t>ANNEX</w:t>
      </w:r>
      <w:r>
        <w:rPr>
          <w:rFonts w:ascii="Times New Roman" w:cs="Times New Roman" w:eastAsia="Times New Roman" w:hAnsi="Times New Roman"/>
          <w:sz w:val="22"/>
          <w:szCs w:val="22"/>
          <w:b w:val="1"/>
          <w:bCs w:val="1"/>
          <w:u w:val="single" w:color="auto"/>
          <w:color w:val="0000FF"/>
        </w:rPr>
        <w:t>EXHIBIT</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7680"/>
        <w:spacing w:after="0"/>
        <w:rPr>
          <w:sz w:val="20"/>
          <w:szCs w:val="20"/>
          <w:color w:val="auto"/>
        </w:rPr>
      </w:pPr>
      <w:r>
        <w:rPr>
          <w:rFonts w:ascii="Times New Roman" w:cs="Times New Roman" w:eastAsia="Times New Roman" w:hAnsi="Times New Roman"/>
          <w:sz w:val="20"/>
          <w:szCs w:val="20"/>
          <w:b w:val="1"/>
          <w:bCs w:val="1"/>
          <w:color w:val="auto"/>
        </w:rPr>
        <w:t>THIRD AMENDED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-59690</wp:posOffset>
            </wp:positionV>
            <wp:extent cx="543496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22">
                      <a:extLst>
                        <a:ext uri="{28A0092B-C50C-407E-A947-70E740481C1C}"/>
                      </a:extLst>
                    </a:blip>
                    <a:srcRect/>
                    <a:stretch>
                      <a:fillRect/>
                    </a:stretch>
                  </pic:blipFill>
                  <pic:spPr bwMode="auto">
                    <a:xfrm>
                      <a:off x="0" y="0"/>
                      <a:ext cx="5434965" cy="8255"/>
                    </a:xfrm>
                    <a:prstGeom prst="rect">
                      <a:avLst/>
                    </a:prstGeom>
                    <a:noFill/>
                  </pic:spPr>
                </pic:pic>
              </a:graphicData>
            </a:graphic>
          </wp:anchor>
        </w:drawing>
      </w:r>
    </w:p>
    <w:p>
      <w:pPr>
        <w:spacing w:after="0" w:line="12"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20"/>
          <w:szCs w:val="20"/>
          <w:b w:val="1"/>
          <w:bCs w:val="1"/>
          <w:color w:val="auto"/>
        </w:rPr>
        <w:t>RESTATED FIRST LIEN CREDIT AGREEMENT</w:t>
      </w:r>
    </w:p>
    <w:p>
      <w:pPr>
        <w:spacing w:after="0" w:line="92"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color w:val="auto"/>
        </w:rPr>
        <w:t>dated as of February 9, 2021</w:t>
      </w:r>
    </w:p>
    <w:p>
      <w:pPr>
        <w:spacing w:after="0" w:line="121"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0"/>
          <w:szCs w:val="20"/>
          <w:color w:val="auto"/>
        </w:rPr>
        <w:t>among</w:t>
      </w:r>
    </w:p>
    <w:p>
      <w:pPr>
        <w:spacing w:after="0" w:line="108"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20"/>
          <w:szCs w:val="20"/>
          <w:color w:val="auto"/>
        </w:rPr>
        <w:t>INCEPTION PARENT, INC.,</w:t>
      </w:r>
    </w:p>
    <w:p>
      <w:pPr>
        <w:spacing w:after="0" w:line="28"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20"/>
          <w:szCs w:val="20"/>
          <w:color w:val="auto"/>
        </w:rPr>
        <w:t>as Holdings,</w:t>
      </w:r>
    </w:p>
    <w:p>
      <w:pPr>
        <w:spacing w:after="0" w:line="10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RACKSPACE TECHNOLOGY GLOBAL, INC. (formerly known as Rackspace Hosting, Inc.)</w:t>
      </w:r>
    </w:p>
    <w:p>
      <w:pPr>
        <w:spacing w:after="0" w:line="108"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20"/>
          <w:szCs w:val="20"/>
          <w:color w:val="auto"/>
        </w:rPr>
        <w:t>(as successor by merger to Inception Merger Sub, Inc.),</w:t>
      </w:r>
    </w:p>
    <w:p>
      <w:pPr>
        <w:spacing w:after="0" w:line="28"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color w:val="auto"/>
        </w:rPr>
        <w:t>as Borrower,</w:t>
      </w:r>
    </w:p>
    <w:p>
      <w:pPr>
        <w:spacing w:after="0" w:line="92"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color w:val="auto"/>
        </w:rPr>
        <w:t>THE LENDERS AND ISSUING BANKS PARTY HERETO,</w:t>
      </w:r>
    </w:p>
    <w:p>
      <w:pPr>
        <w:spacing w:after="0" w:line="11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color w:val="FF0000"/>
          <w:strike w:val="1"/>
        </w:rPr>
        <w:t>CITIBANK, N.A.</w:t>
      </w:r>
      <w:r>
        <w:rPr>
          <w:rFonts w:ascii="Times New Roman" w:cs="Times New Roman" w:eastAsia="Times New Roman" w:hAnsi="Times New Roman"/>
          <w:sz w:val="20"/>
          <w:szCs w:val="20"/>
          <w:b w:val="1"/>
          <w:bCs w:val="1"/>
          <w:u w:val="single" w:color="auto"/>
          <w:color w:val="0000FF"/>
        </w:rPr>
        <w:t>WILMINGTON TRUST, NATIONAL ASSOCIATION</w:t>
      </w:r>
      <w:r>
        <w:rPr>
          <w:rFonts w:ascii="Times New Roman" w:cs="Times New Roman" w:eastAsia="Times New Roman" w:hAnsi="Times New Roman"/>
          <w:sz w:val="20"/>
          <w:szCs w:val="20"/>
          <w:color w:val="000000"/>
        </w:rPr>
        <w:t>,</w:t>
      </w:r>
    </w:p>
    <w:p>
      <w:pPr>
        <w:spacing w:after="0" w:line="32"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color w:val="auto"/>
        </w:rPr>
        <w:t>as Administrative Agent,</w:t>
      </w:r>
    </w:p>
    <w:p>
      <w:pPr>
        <w:spacing w:after="0" w:line="22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color w:val="FF0000"/>
          <w:strike w:val="1"/>
        </w:rPr>
        <w:t>CITIBANK, N.A.</w:t>
      </w:r>
      <w:r>
        <w:rPr>
          <w:rFonts w:ascii="Times New Roman" w:cs="Times New Roman" w:eastAsia="Times New Roman" w:hAnsi="Times New Roman"/>
          <w:sz w:val="20"/>
          <w:szCs w:val="20"/>
          <w:b w:val="1"/>
          <w:bCs w:val="1"/>
          <w:u w:val="single" w:color="auto"/>
          <w:color w:val="0000FF"/>
        </w:rPr>
        <w:t>WILMINGTON TRUST, NATIONAL ASSOCIATION</w:t>
      </w:r>
      <w:r>
        <w:rPr>
          <w:rFonts w:ascii="Times New Roman" w:cs="Times New Roman" w:eastAsia="Times New Roman" w:hAnsi="Times New Roman"/>
          <w:sz w:val="20"/>
          <w:szCs w:val="20"/>
          <w:color w:val="000000"/>
        </w:rPr>
        <w:t>,</w:t>
      </w:r>
    </w:p>
    <w:p>
      <w:pPr>
        <w:spacing w:after="0" w:line="32"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color w:val="auto"/>
        </w:rPr>
        <w:t>as Collateral Agent</w:t>
      </w:r>
    </w:p>
    <w:p>
      <w:pPr>
        <w:spacing w:after="0" w:line="6"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20"/>
          <w:szCs w:val="20"/>
          <w:color w:val="auto"/>
        </w:rPr>
        <w:t>_________________</w:t>
      </w:r>
    </w:p>
    <w:p>
      <w:pPr>
        <w:spacing w:after="0" w:line="9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color w:val="auto"/>
        </w:rPr>
        <w:t>CITIBANK, N.A.,</w:t>
      </w:r>
    </w:p>
    <w:p>
      <w:pPr>
        <w:spacing w:after="0" w:line="12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color w:val="auto"/>
        </w:rPr>
        <w:t>BARCLAYS BANK PLC,</w:t>
      </w:r>
    </w:p>
    <w:p>
      <w:pPr>
        <w:spacing w:after="0" w:line="108"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color w:val="auto"/>
        </w:rPr>
        <w:t>BMO CAPITAL MARKETS CORP.,</w:t>
      </w:r>
    </w:p>
    <w:p>
      <w:pPr>
        <w:spacing w:after="0" w:line="12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color w:val="auto"/>
        </w:rPr>
        <w:t>MUFG UNION BANK, N.A.,</w:t>
      </w:r>
    </w:p>
    <w:p>
      <w:pPr>
        <w:spacing w:after="0" w:line="108"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color w:val="auto"/>
        </w:rPr>
        <w:t>JPMORGAN CHASE BANK, N.A.,</w:t>
      </w:r>
    </w:p>
    <w:p>
      <w:pPr>
        <w:spacing w:after="0" w:line="12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color w:val="auto"/>
        </w:rPr>
        <w:t>GOLDMAN SACHS BANK USA,</w:t>
      </w:r>
    </w:p>
    <w:p>
      <w:pPr>
        <w:spacing w:after="0" w:line="108"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color w:val="auto"/>
        </w:rPr>
        <w:t>MIZUHO BANK, LTD.,</w:t>
      </w:r>
    </w:p>
    <w:p>
      <w:pPr>
        <w:spacing w:after="0" w:line="12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color w:val="auto"/>
        </w:rPr>
        <w:t>RBC CAPITAL MARKETS, LLC,</w:t>
      </w:r>
    </w:p>
    <w:p>
      <w:pPr>
        <w:spacing w:after="0" w:line="12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color w:val="auto"/>
        </w:rPr>
        <w:t>CREDIT SUISSE LOAN FUNDING LLC,</w:t>
      </w:r>
    </w:p>
    <w:p>
      <w:pPr>
        <w:spacing w:after="0" w:line="108"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color w:val="auto"/>
        </w:rPr>
        <w:t>DEUTSCHE BANK SECURITIES INC.,</w:t>
      </w:r>
    </w:p>
    <w:p>
      <w:pPr>
        <w:spacing w:after="0" w:line="12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color w:val="auto"/>
        </w:rPr>
        <w:t>and</w:t>
      </w:r>
    </w:p>
    <w:p>
      <w:pPr>
        <w:spacing w:after="0" w:line="108"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color w:val="auto"/>
        </w:rPr>
        <w:t>HSBC SECURITIES (USA) INC.</w:t>
      </w:r>
    </w:p>
    <w:p>
      <w:pPr>
        <w:spacing w:after="0" w:line="12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color w:val="auto"/>
        </w:rPr>
        <w:t>as Joint Lead Arrangers and Joint Bookrunners,</w:t>
      </w:r>
    </w:p>
    <w:p>
      <w:pPr>
        <w:spacing w:after="0" w:line="12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color w:val="auto"/>
        </w:rPr>
        <w:t>Syndication Agents,</w:t>
      </w:r>
    </w:p>
    <w:p>
      <w:pPr>
        <w:spacing w:after="0" w:line="108"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color w:val="auto"/>
        </w:rPr>
        <w:t>and</w:t>
      </w:r>
    </w:p>
    <w:p>
      <w:pPr>
        <w:spacing w:after="0" w:line="12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color w:val="auto"/>
        </w:rPr>
        <w:t>Documentation Agents</w:t>
      </w:r>
    </w:p>
    <w:p>
      <w:pPr>
        <w:spacing w:after="0" w:line="108"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20"/>
          <w:szCs w:val="20"/>
          <w:color w:val="auto"/>
        </w:rPr>
        <w:t>_________________</w:t>
      </w:r>
    </w:p>
    <w:p>
      <w:pPr>
        <w:spacing w:after="0" w:line="364"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color w:val="auto"/>
        </w:rPr>
        <w:t>APOLLO GLOBAL SECURITIES, LLC,</w:t>
      </w:r>
    </w:p>
    <w:p>
      <w:pPr>
        <w:spacing w:after="0" w:line="28"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color w:val="auto"/>
        </w:rPr>
        <w:t>as Co-Manager</w:t>
      </w:r>
    </w:p>
    <w:p>
      <w:pPr>
        <w:sectPr>
          <w:pgSz w:w="11900" w:h="16838" w:orient="portrait"/>
          <w:cols w:equalWidth="0" w:num="1">
            <w:col w:w="10120"/>
          </w:cols>
          <w:pgMar w:left="1440" w:top="108" w:right="339" w:bottom="1440" w:gutter="0" w:footer="0" w:header="0"/>
        </w:sectPr>
      </w:pPr>
    </w:p>
    <w:bookmarkStart w:id="182" w:name="page183"/>
    <w:bookmarkEnd w:id="182"/>
    <w:p>
      <w:pPr>
        <w:ind w:left="9360"/>
        <w:spacing w:after="0"/>
        <w:rPr>
          <w:sz w:val="20"/>
          <w:szCs w:val="20"/>
          <w:color w:val="auto"/>
        </w:rPr>
      </w:pPr>
      <w:r>
        <w:rPr>
          <w:rFonts w:ascii="Times New Roman" w:cs="Times New Roman" w:eastAsia="Times New Roman" w:hAnsi="Times New Roman"/>
          <w:sz w:val="21"/>
          <w:szCs w:val="21"/>
          <w:color w:val="FF0000"/>
          <w:strike w:val="1"/>
        </w:rPr>
        <w:t>ANNEX</w:t>
      </w:r>
      <w:r>
        <w:rPr>
          <w:rFonts w:ascii="Times New Roman" w:cs="Times New Roman" w:eastAsia="Times New Roman" w:hAnsi="Times New Roman"/>
          <w:sz w:val="21"/>
          <w:szCs w:val="21"/>
          <w:b w:val="1"/>
          <w:bCs w:val="1"/>
          <w:u w:val="single" w:color="auto"/>
          <w:color w:val="0000FF"/>
        </w:rPr>
        <w:t>EXHIBIT</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000000"/>
        </w:rPr>
        <w: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11240" w:type="dxa"/>
            <w:vAlign w:val="bottom"/>
            <w:gridSpan w:val="76"/>
          </w:tcPr>
          <w:p>
            <w:pPr>
              <w:spacing w:after="0"/>
              <w:rPr>
                <w:sz w:val="20"/>
                <w:szCs w:val="20"/>
                <w:color w:val="auto"/>
              </w:rPr>
            </w:pPr>
            <w:r>
              <w:rPr>
                <w:rFonts w:ascii="Times New Roman" w:cs="Times New Roman" w:eastAsia="Times New Roman" w:hAnsi="Times New Roman"/>
                <w:sz w:val="20"/>
                <w:szCs w:val="20"/>
                <w:b w:val="1"/>
                <w:bCs w:val="1"/>
                <w:color w:val="auto"/>
              </w:rPr>
              <w:t>TABLE OF CONTENTS</w:t>
            </w:r>
          </w:p>
        </w:tc>
        <w:tc>
          <w:tcPr>
            <w:tcW w:w="0" w:type="dxa"/>
            <w:vAlign w:val="bottom"/>
          </w:tcPr>
          <w:p>
            <w:pPr>
              <w:spacing w:after="0"/>
              <w:rPr>
                <w:sz w:val="1"/>
                <w:szCs w:val="1"/>
                <w:color w:val="auto"/>
              </w:rPr>
            </w:pPr>
          </w:p>
        </w:tc>
      </w:tr>
      <w:tr>
        <w:trPr>
          <w:trHeight w:val="459"/>
        </w:trPr>
        <w:tc>
          <w:tcPr>
            <w:tcW w:w="11240" w:type="dxa"/>
            <w:vAlign w:val="bottom"/>
            <w:gridSpan w:val="76"/>
          </w:tcPr>
          <w:p>
            <w:pPr>
              <w:spacing w:after="0"/>
              <w:rPr>
                <w:sz w:val="20"/>
                <w:szCs w:val="20"/>
                <w:color w:val="auto"/>
              </w:rPr>
            </w:pPr>
            <w:r>
              <w:rPr>
                <w:rFonts w:ascii="Times New Roman" w:cs="Times New Roman" w:eastAsia="Times New Roman" w:hAnsi="Times New Roman"/>
                <w:sz w:val="20"/>
                <w:szCs w:val="20"/>
                <w:b w:val="1"/>
                <w:bCs w:val="1"/>
                <w:color w:val="auto"/>
              </w:rPr>
              <w:t>Page</w:t>
            </w:r>
          </w:p>
        </w:tc>
        <w:tc>
          <w:tcPr>
            <w:tcW w:w="0" w:type="dxa"/>
            <w:vAlign w:val="bottom"/>
          </w:tcPr>
          <w:p>
            <w:pPr>
              <w:spacing w:after="0"/>
              <w:rPr>
                <w:sz w:val="1"/>
                <w:szCs w:val="1"/>
                <w:color w:val="auto"/>
              </w:rPr>
            </w:pPr>
          </w:p>
        </w:tc>
      </w:tr>
      <w:tr>
        <w:trPr>
          <w:trHeight w:val="446"/>
        </w:trPr>
        <w:tc>
          <w:tcPr>
            <w:tcW w:w="204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ARTICLE I Definitions</w:t>
            </w:r>
          </w:p>
        </w:tc>
        <w:tc>
          <w:tcPr>
            <w:tcW w:w="9200" w:type="dxa"/>
            <w:vAlign w:val="bottom"/>
            <w:gridSpan w:val="71"/>
          </w:tcPr>
          <w:p>
            <w:pPr>
              <w:jc w:val="right"/>
              <w:ind w:right="9060"/>
              <w:spacing w:after="0"/>
              <w:rPr>
                <w:sz w:val="20"/>
                <w:szCs w:val="20"/>
                <w:color w:val="auto"/>
              </w:rPr>
            </w:pPr>
            <w:r>
              <w:rPr>
                <w:rFonts w:ascii="Times New Roman" w:cs="Times New Roman" w:eastAsia="Times New Roman" w:hAnsi="Times New Roman"/>
                <w:sz w:val="20"/>
                <w:szCs w:val="20"/>
                <w:color w:val="auto"/>
              </w:rPr>
              <w:t>1</w:t>
            </w:r>
          </w:p>
        </w:tc>
        <w:tc>
          <w:tcPr>
            <w:tcW w:w="0" w:type="dxa"/>
            <w:vAlign w:val="bottom"/>
          </w:tcPr>
          <w:p>
            <w:pPr>
              <w:spacing w:after="0"/>
              <w:rPr>
                <w:sz w:val="1"/>
                <w:szCs w:val="1"/>
                <w:color w:val="auto"/>
              </w:rPr>
            </w:pPr>
          </w:p>
        </w:tc>
      </w:tr>
      <w:tr>
        <w:trPr>
          <w:trHeight w:val="336"/>
        </w:trPr>
        <w:tc>
          <w:tcPr>
            <w:tcW w:w="1080" w:type="dxa"/>
            <w:vAlign w:val="bottom"/>
          </w:tcPr>
          <w:p>
            <w:pPr>
              <w:spacing w:after="0"/>
              <w:rPr>
                <w:sz w:val="20"/>
                <w:szCs w:val="20"/>
                <w:color w:val="auto"/>
              </w:rPr>
            </w:pPr>
            <w:r>
              <w:rPr>
                <w:rFonts w:ascii="Times New Roman" w:cs="Times New Roman" w:eastAsia="Times New Roman" w:hAnsi="Times New Roman"/>
                <w:sz w:val="20"/>
                <w:szCs w:val="20"/>
                <w:color w:val="auto"/>
              </w:rPr>
              <w:t>Section 1.01</w:t>
            </w:r>
          </w:p>
        </w:tc>
        <w:tc>
          <w:tcPr>
            <w:tcW w:w="1400" w:type="dxa"/>
            <w:vAlign w:val="bottom"/>
            <w:gridSpan w:val="10"/>
          </w:tcPr>
          <w:p>
            <w:pPr>
              <w:ind w:left="100"/>
              <w:spacing w:after="0"/>
              <w:rPr>
                <w:sz w:val="20"/>
                <w:szCs w:val="20"/>
                <w:color w:val="auto"/>
              </w:rPr>
            </w:pPr>
            <w:r>
              <w:rPr>
                <w:rFonts w:ascii="Times New Roman" w:cs="Times New Roman" w:eastAsia="Times New Roman" w:hAnsi="Times New Roman"/>
                <w:sz w:val="20"/>
                <w:szCs w:val="20"/>
                <w:color w:val="auto"/>
              </w:rPr>
              <w:t>Defined Terms</w:t>
            </w:r>
          </w:p>
        </w:tc>
        <w:tc>
          <w:tcPr>
            <w:tcW w:w="420" w:type="dxa"/>
            <w:vAlign w:val="bottom"/>
            <w:gridSpan w:val="11"/>
          </w:tcPr>
          <w:p>
            <w:pPr>
              <w:jc w:val="right"/>
              <w:ind w:right="141"/>
              <w:spacing w:after="0"/>
              <w:rPr>
                <w:sz w:val="20"/>
                <w:szCs w:val="20"/>
                <w:color w:val="auto"/>
              </w:rPr>
            </w:pPr>
            <w:r>
              <w:rPr>
                <w:rFonts w:ascii="Times New Roman" w:cs="Times New Roman" w:eastAsia="Times New Roman" w:hAnsi="Times New Roman"/>
                <w:sz w:val="20"/>
                <w:szCs w:val="20"/>
                <w:color w:val="auto"/>
              </w:rPr>
              <w:t>1</w:t>
            </w:r>
          </w:p>
        </w:tc>
        <w:tc>
          <w:tcPr>
            <w:tcW w:w="200" w:type="dxa"/>
            <w:vAlign w:val="bottom"/>
            <w:gridSpan w:val="7"/>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0000FF"/>
                <w:w w:val="89"/>
              </w:rPr>
              <w:t>66</w:t>
            </w:r>
          </w:p>
        </w:tc>
        <w:tc>
          <w:tcPr>
            <w:tcW w:w="8140" w:type="dxa"/>
            <w:vAlign w:val="bottom"/>
            <w:gridSpan w:val="47"/>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1080" w:type="dxa"/>
            <w:vAlign w:val="bottom"/>
          </w:tcPr>
          <w:p>
            <w:pPr>
              <w:spacing w:after="0" w:line="212" w:lineRule="exact"/>
              <w:rPr>
                <w:sz w:val="20"/>
                <w:szCs w:val="20"/>
                <w:color w:val="auto"/>
              </w:rPr>
            </w:pPr>
            <w:r>
              <w:rPr>
                <w:rFonts w:ascii="Times New Roman" w:cs="Times New Roman" w:eastAsia="Times New Roman" w:hAnsi="Times New Roman"/>
                <w:sz w:val="20"/>
                <w:szCs w:val="20"/>
                <w:color w:val="auto"/>
              </w:rPr>
              <w:t>Section 1.02</w:t>
            </w:r>
          </w:p>
        </w:tc>
        <w:tc>
          <w:tcPr>
            <w:tcW w:w="1580" w:type="dxa"/>
            <w:vAlign w:val="bottom"/>
            <w:gridSpan w:val="14"/>
          </w:tcPr>
          <w:p>
            <w:pPr>
              <w:ind w:left="100"/>
              <w:spacing w:after="0" w:line="212" w:lineRule="exact"/>
              <w:rPr>
                <w:sz w:val="20"/>
                <w:szCs w:val="20"/>
                <w:color w:val="auto"/>
              </w:rPr>
            </w:pPr>
            <w:r>
              <w:rPr>
                <w:rFonts w:ascii="Times New Roman" w:cs="Times New Roman" w:eastAsia="Times New Roman" w:hAnsi="Times New Roman"/>
                <w:sz w:val="20"/>
                <w:szCs w:val="20"/>
                <w:color w:val="auto"/>
              </w:rPr>
              <w:t>Terms Generally</w:t>
            </w:r>
          </w:p>
        </w:tc>
        <w:tc>
          <w:tcPr>
            <w:tcW w:w="40" w:type="dxa"/>
            <w:vAlign w:val="bottom"/>
          </w:tcPr>
          <w:p>
            <w:pPr>
              <w:spacing w:after="0"/>
              <w:rPr>
                <w:sz w:val="18"/>
                <w:szCs w:val="18"/>
                <w:color w:val="auto"/>
              </w:rPr>
            </w:pPr>
          </w:p>
        </w:tc>
        <w:tc>
          <w:tcPr>
            <w:tcW w:w="200" w:type="dxa"/>
            <w:vAlign w:val="bottom"/>
            <w:gridSpan w:val="6"/>
          </w:tcPr>
          <w:p>
            <w:pPr>
              <w:jc w:val="right"/>
              <w:spacing w:after="0" w:line="212" w:lineRule="exact"/>
              <w:rPr>
                <w:sz w:val="20"/>
                <w:szCs w:val="20"/>
                <w:color w:val="auto"/>
              </w:rPr>
            </w:pPr>
            <w:r>
              <w:rPr>
                <w:rFonts w:ascii="Times New Roman" w:cs="Times New Roman" w:eastAsia="Times New Roman" w:hAnsi="Times New Roman"/>
                <w:sz w:val="20"/>
                <w:szCs w:val="20"/>
                <w:color w:val="FF0000"/>
                <w:strike w:val="1"/>
                <w:w w:val="89"/>
              </w:rPr>
              <w:t>64</w:t>
            </w:r>
          </w:p>
        </w:tc>
        <w:tc>
          <w:tcPr>
            <w:tcW w:w="200" w:type="dxa"/>
            <w:vAlign w:val="bottom"/>
            <w:tcBorders>
              <w:bottom w:val="single" w:sz="8" w:color="0000FF"/>
            </w:tcBorders>
            <w:gridSpan w:val="7"/>
            <w:vMerge w:val="continue"/>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gridSpan w:val="5"/>
            <w:vMerge w:val="restart"/>
          </w:tcPr>
          <w:p>
            <w:pPr>
              <w:spacing w:after="0"/>
              <w:rPr>
                <w:sz w:val="20"/>
                <w:szCs w:val="20"/>
                <w:color w:val="auto"/>
              </w:rPr>
            </w:pPr>
            <w:r>
              <w:rPr>
                <w:rFonts w:ascii="Times New Roman" w:cs="Times New Roman" w:eastAsia="Times New Roman" w:hAnsi="Times New Roman"/>
                <w:sz w:val="20"/>
                <w:szCs w:val="20"/>
                <w:b w:val="1"/>
                <w:bCs w:val="1"/>
                <w:color w:val="0000FF"/>
                <w:w w:val="89"/>
              </w:rPr>
              <w:t>66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1080" w:type="dxa"/>
            <w:vAlign w:val="bottom"/>
          </w:tcPr>
          <w:p>
            <w:pPr>
              <w:spacing w:after="0"/>
              <w:rPr>
                <w:sz w:val="20"/>
                <w:szCs w:val="20"/>
                <w:color w:val="auto"/>
              </w:rPr>
            </w:pPr>
            <w:r>
              <w:rPr>
                <w:rFonts w:ascii="Times New Roman" w:cs="Times New Roman" w:eastAsia="Times New Roman" w:hAnsi="Times New Roman"/>
                <w:sz w:val="20"/>
                <w:szCs w:val="20"/>
                <w:color w:val="auto"/>
              </w:rPr>
              <w:t>Section 1.03</w:t>
            </w:r>
          </w:p>
        </w:tc>
        <w:tc>
          <w:tcPr>
            <w:tcW w:w="2420" w:type="dxa"/>
            <w:vAlign w:val="bottom"/>
            <w:gridSpan w:val="39"/>
          </w:tcPr>
          <w:p>
            <w:pPr>
              <w:ind w:left="100"/>
              <w:spacing w:after="0"/>
              <w:rPr>
                <w:sz w:val="20"/>
                <w:szCs w:val="20"/>
                <w:color w:val="auto"/>
              </w:rPr>
            </w:pPr>
            <w:r>
              <w:rPr>
                <w:rFonts w:ascii="Times New Roman" w:cs="Times New Roman" w:eastAsia="Times New Roman" w:hAnsi="Times New Roman"/>
                <w:sz w:val="20"/>
                <w:szCs w:val="20"/>
                <w:color w:val="auto"/>
              </w:rPr>
              <w:t>Effectuation of Transactions</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gridSpan w:val="7"/>
          </w:tcPr>
          <w:p>
            <w:pPr>
              <w:jc w:val="right"/>
              <w:spacing w:after="0"/>
              <w:rPr>
                <w:sz w:val="20"/>
                <w:szCs w:val="20"/>
                <w:color w:val="auto"/>
              </w:rPr>
            </w:pPr>
            <w:r>
              <w:rPr>
                <w:rFonts w:ascii="Times New Roman" w:cs="Times New Roman" w:eastAsia="Times New Roman" w:hAnsi="Times New Roman"/>
                <w:sz w:val="20"/>
                <w:szCs w:val="20"/>
                <w:color w:val="FF0000"/>
                <w:strike w:val="1"/>
                <w:w w:val="89"/>
              </w:rPr>
              <w:t>65</w:t>
            </w:r>
          </w:p>
        </w:tc>
        <w:tc>
          <w:tcPr>
            <w:tcW w:w="200" w:type="dxa"/>
            <w:vAlign w:val="bottom"/>
            <w:tcBorders>
              <w:bottom w:val="single" w:sz="8" w:color="0000FF"/>
            </w:tcBorders>
            <w:gridSpan w:val="5"/>
            <w:vMerge w:val="continue"/>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6"/>
                <w:szCs w:val="16"/>
                <w:b w:val="1"/>
                <w:bCs w:val="1"/>
                <w:color w:val="0000FF"/>
                <w:w w:val="74"/>
              </w:rPr>
              <w:t>66</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080" w:type="dxa"/>
            <w:vAlign w:val="bottom"/>
          </w:tcPr>
          <w:p>
            <w:pPr>
              <w:spacing w:after="0"/>
              <w:rPr>
                <w:sz w:val="20"/>
                <w:szCs w:val="20"/>
                <w:color w:val="auto"/>
              </w:rPr>
            </w:pPr>
            <w:r>
              <w:rPr>
                <w:rFonts w:ascii="Times New Roman" w:cs="Times New Roman" w:eastAsia="Times New Roman" w:hAnsi="Times New Roman"/>
                <w:sz w:val="20"/>
                <w:szCs w:val="20"/>
                <w:color w:val="auto"/>
              </w:rPr>
              <w:t>Section 1.04</w:t>
            </w:r>
          </w:p>
        </w:tc>
        <w:tc>
          <w:tcPr>
            <w:tcW w:w="3400" w:type="dxa"/>
            <w:vAlign w:val="bottom"/>
            <w:gridSpan w:val="58"/>
          </w:tcPr>
          <w:p>
            <w:pPr>
              <w:ind w:left="100"/>
              <w:spacing w:after="0"/>
              <w:rPr>
                <w:sz w:val="20"/>
                <w:szCs w:val="20"/>
                <w:color w:val="auto"/>
              </w:rPr>
            </w:pPr>
            <w:r>
              <w:rPr>
                <w:rFonts w:ascii="Times New Roman" w:cs="Times New Roman" w:eastAsia="Times New Roman" w:hAnsi="Times New Roman"/>
                <w:sz w:val="20"/>
                <w:szCs w:val="20"/>
                <w:color w:val="auto"/>
              </w:rPr>
              <w:t>Exchange Rates; Currency Equivalents</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FF0000"/>
                <w:strike w:val="1"/>
                <w:w w:val="79"/>
              </w:rPr>
              <w:t>65</w:t>
            </w:r>
          </w:p>
        </w:tc>
        <w:tc>
          <w:tcPr>
            <w:tcW w:w="200" w:type="dxa"/>
            <w:vAlign w:val="bottom"/>
            <w:gridSpan w:val="2"/>
            <w:vMerge w:val="continue"/>
          </w:tcPr>
          <w:p>
            <w:pPr>
              <w:spacing w:after="0"/>
              <w:rPr>
                <w:sz w:val="20"/>
                <w:szCs w:val="20"/>
                <w:color w:val="auto"/>
              </w:rPr>
            </w:pPr>
          </w:p>
        </w:tc>
        <w:tc>
          <w:tcPr>
            <w:tcW w:w="3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20"/>
                <w:szCs w:val="20"/>
                <w:b w:val="1"/>
                <w:bCs w:val="1"/>
                <w:color w:val="0000FF"/>
                <w:w w:val="89"/>
              </w:rPr>
              <w:t>67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20" w:type="dxa"/>
            <w:vAlign w:val="bottom"/>
            <w:tcBorders>
              <w:right w:val="single" w:sz="8" w:color="0000FF"/>
            </w:tcBorders>
            <w:gridSpan w:val="61"/>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300" w:type="dxa"/>
            <w:vAlign w:val="bottom"/>
            <w:gridSpan w:val="3"/>
            <w:vMerge w:val="continue"/>
          </w:tcPr>
          <w:p>
            <w:pPr>
              <w:spacing w:after="0" w:line="20" w:lineRule="exact"/>
              <w:rPr>
                <w:sz w:val="1"/>
                <w:szCs w:val="1"/>
                <w:color w:val="auto"/>
              </w:rPr>
            </w:pPr>
          </w:p>
        </w:tc>
        <w:tc>
          <w:tcPr>
            <w:tcW w:w="602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80" w:type="dxa"/>
            <w:vAlign w:val="bottom"/>
          </w:tcPr>
          <w:p>
            <w:pPr>
              <w:spacing w:after="0" w:line="223" w:lineRule="exact"/>
              <w:rPr>
                <w:sz w:val="20"/>
                <w:szCs w:val="20"/>
                <w:color w:val="auto"/>
              </w:rPr>
            </w:pPr>
            <w:r>
              <w:rPr>
                <w:rFonts w:ascii="Times New Roman" w:cs="Times New Roman" w:eastAsia="Times New Roman" w:hAnsi="Times New Roman"/>
                <w:sz w:val="20"/>
                <w:szCs w:val="20"/>
                <w:color w:val="auto"/>
              </w:rPr>
              <w:t>Section 1.05</w:t>
            </w:r>
          </w:p>
        </w:tc>
        <w:tc>
          <w:tcPr>
            <w:tcW w:w="3640" w:type="dxa"/>
            <w:vAlign w:val="bottom"/>
            <w:gridSpan w:val="60"/>
          </w:tcPr>
          <w:p>
            <w:pPr>
              <w:ind w:left="100"/>
              <w:spacing w:after="0" w:line="223" w:lineRule="exact"/>
              <w:rPr>
                <w:sz w:val="20"/>
                <w:szCs w:val="20"/>
                <w:color w:val="auto"/>
              </w:rPr>
            </w:pPr>
            <w:r>
              <w:rPr>
                <w:rFonts w:ascii="Times New Roman" w:cs="Times New Roman" w:eastAsia="Times New Roman" w:hAnsi="Times New Roman"/>
                <w:sz w:val="20"/>
                <w:szCs w:val="20"/>
                <w:color w:val="auto"/>
              </w:rPr>
              <w:t>Additional Alternate Currencies for Loans</w:t>
            </w:r>
          </w:p>
        </w:tc>
        <w:tc>
          <w:tcPr>
            <w:tcW w:w="20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FF0000"/>
                <w:strike w:val="1"/>
                <w:w w:val="89"/>
              </w:rPr>
              <w:t>65</w:t>
            </w:r>
          </w:p>
        </w:tc>
        <w:tc>
          <w:tcPr>
            <w:tcW w:w="300" w:type="dxa"/>
            <w:vAlign w:val="bottom"/>
            <w:gridSpan w:val="3"/>
            <w:vMerge w:val="continue"/>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080" w:type="dxa"/>
            <w:vAlign w:val="bottom"/>
          </w:tcPr>
          <w:p>
            <w:pPr>
              <w:spacing w:after="0"/>
              <w:rPr>
                <w:sz w:val="20"/>
                <w:szCs w:val="20"/>
                <w:color w:val="auto"/>
              </w:rPr>
            </w:pPr>
            <w:r>
              <w:rPr>
                <w:rFonts w:ascii="Times New Roman" w:cs="Times New Roman" w:eastAsia="Times New Roman" w:hAnsi="Times New Roman"/>
                <w:sz w:val="20"/>
                <w:szCs w:val="20"/>
                <w:color w:val="auto"/>
              </w:rPr>
              <w:t>Section 1.06</w:t>
            </w:r>
          </w:p>
        </w:tc>
        <w:tc>
          <w:tcPr>
            <w:tcW w:w="1900" w:type="dxa"/>
            <w:vAlign w:val="bottom"/>
            <w:gridSpan w:val="24"/>
          </w:tcPr>
          <w:p>
            <w:pPr>
              <w:ind w:left="100"/>
              <w:spacing w:after="0"/>
              <w:rPr>
                <w:sz w:val="20"/>
                <w:szCs w:val="20"/>
                <w:color w:val="auto"/>
              </w:rPr>
            </w:pPr>
            <w:r>
              <w:rPr>
                <w:rFonts w:ascii="Times New Roman" w:cs="Times New Roman" w:eastAsia="Times New Roman" w:hAnsi="Times New Roman"/>
                <w:sz w:val="20"/>
                <w:szCs w:val="20"/>
                <w:color w:val="auto"/>
              </w:rPr>
              <w:t>Change of Currency</w:t>
            </w:r>
          </w:p>
        </w:tc>
        <w:tc>
          <w:tcPr>
            <w:tcW w:w="200" w:type="dxa"/>
            <w:vAlign w:val="bottom"/>
            <w:gridSpan w:val="8"/>
          </w:tcPr>
          <w:p>
            <w:pPr>
              <w:spacing w:after="0"/>
              <w:rPr>
                <w:sz w:val="20"/>
                <w:szCs w:val="20"/>
                <w:color w:val="auto"/>
              </w:rPr>
            </w:pPr>
            <w:r>
              <w:rPr>
                <w:rFonts w:ascii="Times New Roman" w:cs="Times New Roman" w:eastAsia="Times New Roman" w:hAnsi="Times New Roman"/>
                <w:sz w:val="20"/>
                <w:szCs w:val="20"/>
                <w:color w:val="FF0000"/>
                <w:strike w:val="1"/>
                <w:w w:val="89"/>
              </w:rPr>
              <w:t>66</w:t>
            </w:r>
          </w:p>
        </w:tc>
        <w:tc>
          <w:tcPr>
            <w:tcW w:w="200" w:type="dxa"/>
            <w:vAlign w:val="bottom"/>
            <w:tcBorders>
              <w:bottom w:val="single" w:sz="8" w:color="0000FF"/>
            </w:tcBorders>
            <w:gridSpan w:val="3"/>
          </w:tcPr>
          <w:p>
            <w:pPr>
              <w:jc w:val="right"/>
              <w:spacing w:after="0"/>
              <w:rPr>
                <w:sz w:val="20"/>
                <w:szCs w:val="20"/>
                <w:color w:val="auto"/>
              </w:rPr>
            </w:pPr>
            <w:r>
              <w:rPr>
                <w:rFonts w:ascii="Times New Roman" w:cs="Times New Roman" w:eastAsia="Times New Roman" w:hAnsi="Times New Roman"/>
                <w:sz w:val="20"/>
                <w:szCs w:val="20"/>
                <w:b w:val="1"/>
                <w:bCs w:val="1"/>
                <w:color w:val="0000FF"/>
                <w:w w:val="89"/>
              </w:rPr>
              <w:t>67</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gridSpan w:val="3"/>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0000FF"/>
                <w:w w:val="89"/>
              </w:rPr>
              <w:t>67</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1080" w:type="dxa"/>
            <w:vAlign w:val="bottom"/>
          </w:tcPr>
          <w:p>
            <w:pPr>
              <w:spacing w:after="0" w:line="223" w:lineRule="exact"/>
              <w:rPr>
                <w:sz w:val="20"/>
                <w:szCs w:val="20"/>
                <w:color w:val="auto"/>
              </w:rPr>
            </w:pPr>
            <w:r>
              <w:rPr>
                <w:rFonts w:ascii="Times New Roman" w:cs="Times New Roman" w:eastAsia="Times New Roman" w:hAnsi="Times New Roman"/>
                <w:sz w:val="20"/>
                <w:szCs w:val="20"/>
                <w:color w:val="auto"/>
              </w:rPr>
              <w:t>Section 1.07</w:t>
            </w:r>
          </w:p>
        </w:tc>
        <w:tc>
          <w:tcPr>
            <w:tcW w:w="3100" w:type="dxa"/>
            <w:vAlign w:val="bottom"/>
            <w:gridSpan w:val="55"/>
          </w:tcPr>
          <w:p>
            <w:pPr>
              <w:ind w:left="100"/>
              <w:spacing w:after="0" w:line="223" w:lineRule="exact"/>
              <w:rPr>
                <w:sz w:val="20"/>
                <w:szCs w:val="20"/>
                <w:color w:val="auto"/>
              </w:rPr>
            </w:pPr>
            <w:r>
              <w:rPr>
                <w:rFonts w:ascii="Times New Roman" w:cs="Times New Roman" w:eastAsia="Times New Roman" w:hAnsi="Times New Roman"/>
                <w:sz w:val="20"/>
                <w:szCs w:val="20"/>
                <w:color w:val="auto"/>
              </w:rPr>
              <w:t>Timing of Payment or Performance</w:t>
            </w:r>
          </w:p>
        </w:tc>
        <w:tc>
          <w:tcPr>
            <w:tcW w:w="20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FF0000"/>
                <w:strike w:val="1"/>
                <w:w w:val="89"/>
              </w:rPr>
              <w:t>66</w:t>
            </w:r>
          </w:p>
        </w:tc>
        <w:tc>
          <w:tcPr>
            <w:tcW w:w="200" w:type="dxa"/>
            <w:vAlign w:val="bottom"/>
            <w:tcBorders>
              <w:bottom w:val="single" w:sz="8" w:color="0000FF"/>
            </w:tcBorders>
            <w:gridSpan w:val="3"/>
            <w:vMerge w:val="continue"/>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080" w:type="dxa"/>
            <w:vAlign w:val="bottom"/>
          </w:tcPr>
          <w:p>
            <w:pPr>
              <w:spacing w:after="0"/>
              <w:rPr>
                <w:sz w:val="20"/>
                <w:szCs w:val="20"/>
                <w:color w:val="auto"/>
              </w:rPr>
            </w:pPr>
            <w:r>
              <w:rPr>
                <w:rFonts w:ascii="Times New Roman" w:cs="Times New Roman" w:eastAsia="Times New Roman" w:hAnsi="Times New Roman"/>
                <w:sz w:val="20"/>
                <w:szCs w:val="20"/>
                <w:color w:val="auto"/>
              </w:rPr>
              <w:t>Section 1.08</w:t>
            </w:r>
          </w:p>
        </w:tc>
        <w:tc>
          <w:tcPr>
            <w:tcW w:w="1400" w:type="dxa"/>
            <w:vAlign w:val="bottom"/>
            <w:gridSpan w:val="10"/>
          </w:tcPr>
          <w:p>
            <w:pPr>
              <w:ind w:left="100"/>
              <w:spacing w:after="0"/>
              <w:rPr>
                <w:sz w:val="20"/>
                <w:szCs w:val="20"/>
                <w:color w:val="auto"/>
              </w:rPr>
            </w:pPr>
            <w:r>
              <w:rPr>
                <w:rFonts w:ascii="Times New Roman" w:cs="Times New Roman" w:eastAsia="Times New Roman" w:hAnsi="Times New Roman"/>
                <w:sz w:val="20"/>
                <w:szCs w:val="20"/>
                <w:color w:val="auto"/>
              </w:rPr>
              <w:t>Times of Day</w:t>
            </w:r>
          </w:p>
        </w:tc>
        <w:tc>
          <w:tcPr>
            <w:tcW w:w="18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FF0000"/>
                <w:strike w:val="1"/>
                <w:w w:val="79"/>
              </w:rPr>
              <w:t>66</w:t>
            </w:r>
          </w:p>
        </w:tc>
        <w:tc>
          <w:tcPr>
            <w:tcW w:w="200" w:type="dxa"/>
            <w:vAlign w:val="bottom"/>
            <w:tcBorders>
              <w:bottom w:val="single" w:sz="8" w:color="0000FF"/>
            </w:tcBorders>
            <w:gridSpan w:val="5"/>
          </w:tcPr>
          <w:p>
            <w:pPr>
              <w:jc w:val="right"/>
              <w:spacing w:after="0"/>
              <w:rPr>
                <w:sz w:val="20"/>
                <w:szCs w:val="20"/>
                <w:color w:val="auto"/>
              </w:rPr>
            </w:pPr>
            <w:r>
              <w:rPr>
                <w:rFonts w:ascii="Times New Roman" w:cs="Times New Roman" w:eastAsia="Times New Roman" w:hAnsi="Times New Roman"/>
                <w:sz w:val="20"/>
                <w:szCs w:val="20"/>
                <w:b w:val="1"/>
                <w:bCs w:val="1"/>
                <w:color w:val="0000FF"/>
                <w:w w:val="89"/>
              </w:rPr>
              <w:t>68</w:t>
            </w:r>
          </w:p>
        </w:tc>
        <w:tc>
          <w:tcPr>
            <w:tcW w:w="8380" w:type="dxa"/>
            <w:vAlign w:val="bottom"/>
            <w:gridSpan w:val="56"/>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080" w:type="dxa"/>
            <w:vAlign w:val="bottom"/>
          </w:tcPr>
          <w:p>
            <w:pPr>
              <w:spacing w:after="0"/>
              <w:rPr>
                <w:sz w:val="20"/>
                <w:szCs w:val="20"/>
                <w:color w:val="auto"/>
              </w:rPr>
            </w:pPr>
            <w:r>
              <w:rPr>
                <w:rFonts w:ascii="Times New Roman" w:cs="Times New Roman" w:eastAsia="Times New Roman" w:hAnsi="Times New Roman"/>
                <w:sz w:val="20"/>
                <w:szCs w:val="20"/>
                <w:color w:val="auto"/>
              </w:rPr>
              <w:t>Section 1.09</w:t>
            </w:r>
          </w:p>
        </w:tc>
        <w:tc>
          <w:tcPr>
            <w:tcW w:w="1020" w:type="dxa"/>
            <w:vAlign w:val="bottom"/>
            <w:gridSpan w:val="5"/>
          </w:tcPr>
          <w:p>
            <w:pPr>
              <w:ind w:left="100"/>
              <w:spacing w:after="0"/>
              <w:rPr>
                <w:sz w:val="20"/>
                <w:szCs w:val="20"/>
                <w:color w:val="auto"/>
              </w:rPr>
            </w:pPr>
            <w:r>
              <w:rPr>
                <w:rFonts w:ascii="Times New Roman" w:cs="Times New Roman" w:eastAsia="Times New Roman" w:hAnsi="Times New Roman"/>
                <w:sz w:val="20"/>
                <w:szCs w:val="20"/>
                <w:color w:val="auto"/>
              </w:rPr>
              <w:t>Holdings</w:t>
            </w:r>
          </w:p>
        </w:tc>
        <w:tc>
          <w:tcPr>
            <w:tcW w:w="260" w:type="dxa"/>
            <w:vAlign w:val="bottom"/>
            <w:gridSpan w:val="3"/>
          </w:tcPr>
          <w:p>
            <w:pPr>
              <w:spacing w:after="0"/>
              <w:rPr>
                <w:sz w:val="20"/>
                <w:szCs w:val="20"/>
                <w:color w:val="auto"/>
              </w:rPr>
            </w:pPr>
            <w:r>
              <w:rPr>
                <w:rFonts w:ascii="Times New Roman" w:cs="Times New Roman" w:eastAsia="Times New Roman" w:hAnsi="Times New Roman"/>
                <w:sz w:val="20"/>
                <w:szCs w:val="20"/>
                <w:color w:val="FF0000"/>
                <w:strike w:val="1"/>
              </w:rPr>
              <w:t>66</w:t>
            </w:r>
          </w:p>
        </w:tc>
        <w:tc>
          <w:tcPr>
            <w:tcW w:w="14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6"/>
                <w:szCs w:val="16"/>
                <w:b w:val="1"/>
                <w:bCs w:val="1"/>
                <w:color w:val="0000FF"/>
                <w:w w:val="74"/>
              </w:rPr>
              <w:t>68</w:t>
            </w:r>
          </w:p>
        </w:tc>
        <w:tc>
          <w:tcPr>
            <w:tcW w:w="160" w:type="dxa"/>
            <w:vAlign w:val="bottom"/>
            <w:gridSpan w:val="3"/>
          </w:tcPr>
          <w:p>
            <w:pPr>
              <w:spacing w:after="0"/>
              <w:rPr>
                <w:sz w:val="20"/>
                <w:szCs w:val="20"/>
                <w:color w:val="auto"/>
              </w:rPr>
            </w:pPr>
          </w:p>
        </w:tc>
        <w:tc>
          <w:tcPr>
            <w:tcW w:w="200" w:type="dxa"/>
            <w:vAlign w:val="bottom"/>
            <w:gridSpan w:val="5"/>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0000FF"/>
                <w:w w:val="89"/>
              </w:rPr>
              <w:t>68</w:t>
            </w:r>
          </w:p>
        </w:tc>
        <w:tc>
          <w:tcPr>
            <w:tcW w:w="20" w:type="dxa"/>
            <w:vAlign w:val="bottom"/>
            <w:vMerge w:val="restart"/>
          </w:tcPr>
          <w:p>
            <w:pPr>
              <w:spacing w:after="0"/>
              <w:rPr>
                <w:sz w:val="20"/>
                <w:szCs w:val="20"/>
                <w:color w:val="auto"/>
              </w:rPr>
            </w:pPr>
          </w:p>
        </w:tc>
        <w:tc>
          <w:tcPr>
            <w:tcW w:w="8360" w:type="dxa"/>
            <w:vAlign w:val="bottom"/>
            <w:gridSpan w:val="55"/>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1080" w:type="dxa"/>
            <w:vAlign w:val="bottom"/>
          </w:tcPr>
          <w:p>
            <w:pPr>
              <w:spacing w:after="0" w:line="223" w:lineRule="exact"/>
              <w:rPr>
                <w:sz w:val="20"/>
                <w:szCs w:val="20"/>
                <w:color w:val="auto"/>
              </w:rPr>
            </w:pPr>
            <w:r>
              <w:rPr>
                <w:rFonts w:ascii="Times New Roman" w:cs="Times New Roman" w:eastAsia="Times New Roman" w:hAnsi="Times New Roman"/>
                <w:sz w:val="20"/>
                <w:szCs w:val="20"/>
                <w:color w:val="auto"/>
              </w:rPr>
              <w:t>Section 1.10</w:t>
            </w:r>
          </w:p>
        </w:tc>
        <w:tc>
          <w:tcPr>
            <w:tcW w:w="1400" w:type="dxa"/>
            <w:vAlign w:val="bottom"/>
            <w:gridSpan w:val="10"/>
          </w:tcPr>
          <w:p>
            <w:pPr>
              <w:ind w:left="100"/>
              <w:spacing w:after="0" w:line="223" w:lineRule="exact"/>
              <w:rPr>
                <w:sz w:val="20"/>
                <w:szCs w:val="20"/>
                <w:color w:val="auto"/>
              </w:rPr>
            </w:pPr>
            <w:r>
              <w:rPr>
                <w:rFonts w:ascii="Times New Roman" w:cs="Times New Roman" w:eastAsia="Times New Roman" w:hAnsi="Times New Roman"/>
                <w:sz w:val="20"/>
                <w:szCs w:val="20"/>
                <w:color w:val="auto"/>
              </w:rPr>
              <w:t>Interest Rates</w:t>
            </w:r>
          </w:p>
        </w:tc>
        <w:tc>
          <w:tcPr>
            <w:tcW w:w="180" w:type="dxa"/>
            <w:vAlign w:val="bottom"/>
            <w:gridSpan w:val="4"/>
          </w:tcPr>
          <w:p>
            <w:pPr>
              <w:jc w:val="right"/>
              <w:spacing w:after="0" w:line="223" w:lineRule="exact"/>
              <w:rPr>
                <w:sz w:val="20"/>
                <w:szCs w:val="20"/>
                <w:color w:val="auto"/>
              </w:rPr>
            </w:pPr>
            <w:r>
              <w:rPr>
                <w:rFonts w:ascii="Times New Roman" w:cs="Times New Roman" w:eastAsia="Times New Roman" w:hAnsi="Times New Roman"/>
                <w:sz w:val="20"/>
                <w:szCs w:val="20"/>
                <w:color w:val="FF0000"/>
                <w:strike w:val="1"/>
                <w:w w:val="79"/>
              </w:rPr>
              <w:t>67</w:t>
            </w:r>
          </w:p>
        </w:tc>
        <w:tc>
          <w:tcPr>
            <w:tcW w:w="200" w:type="dxa"/>
            <w:vAlign w:val="bottom"/>
            <w:tcBorders>
              <w:bottom w:val="single" w:sz="8" w:color="0000FF"/>
            </w:tcBorders>
            <w:gridSpan w:val="5"/>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8360" w:type="dxa"/>
            <w:vAlign w:val="bottom"/>
            <w:gridSpan w:val="55"/>
          </w:tcPr>
          <w:p>
            <w:pPr>
              <w:spacing w:after="0"/>
              <w:rPr>
                <w:sz w:val="19"/>
                <w:szCs w:val="19"/>
                <w:color w:val="auto"/>
              </w:rPr>
            </w:pPr>
          </w:p>
        </w:tc>
        <w:tc>
          <w:tcPr>
            <w:tcW w:w="0" w:type="dxa"/>
            <w:vAlign w:val="bottom"/>
          </w:tcPr>
          <w:p>
            <w:pPr>
              <w:spacing w:after="0"/>
              <w:rPr>
                <w:sz w:val="1"/>
                <w:szCs w:val="1"/>
                <w:color w:val="auto"/>
              </w:rPr>
            </w:pPr>
          </w:p>
        </w:tc>
      </w:tr>
      <w:tr>
        <w:trPr>
          <w:trHeight w:val="453"/>
        </w:trPr>
        <w:tc>
          <w:tcPr>
            <w:tcW w:w="2240" w:type="dxa"/>
            <w:vAlign w:val="bottom"/>
            <w:gridSpan w:val="8"/>
          </w:tcPr>
          <w:p>
            <w:pPr>
              <w:spacing w:after="0"/>
              <w:rPr>
                <w:sz w:val="20"/>
                <w:szCs w:val="20"/>
                <w:color w:val="auto"/>
              </w:rPr>
            </w:pPr>
            <w:r>
              <w:rPr>
                <w:rFonts w:ascii="Times New Roman" w:cs="Times New Roman" w:eastAsia="Times New Roman" w:hAnsi="Times New Roman"/>
                <w:sz w:val="20"/>
                <w:szCs w:val="20"/>
                <w:color w:val="auto"/>
              </w:rPr>
              <w:t>ARTICLE II The Credits</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FF0000"/>
                <w:strike w:val="1"/>
                <w:w w:val="74"/>
              </w:rPr>
              <w:t>67</w:t>
            </w:r>
          </w:p>
        </w:tc>
        <w:tc>
          <w:tcPr>
            <w:tcW w:w="320" w:type="dxa"/>
            <w:vAlign w:val="bottom"/>
            <w:gridSpan w:val="6"/>
          </w:tcPr>
          <w:p>
            <w:pPr>
              <w:jc w:val="right"/>
              <w:ind w:right="21"/>
              <w:spacing w:after="0"/>
              <w:rPr>
                <w:sz w:val="20"/>
                <w:szCs w:val="20"/>
                <w:color w:val="auto"/>
              </w:rPr>
            </w:pPr>
            <w:r>
              <w:rPr>
                <w:rFonts w:ascii="Times New Roman" w:cs="Times New Roman" w:eastAsia="Times New Roman" w:hAnsi="Times New Roman"/>
                <w:sz w:val="20"/>
                <w:szCs w:val="20"/>
                <w:b w:val="1"/>
                <w:bCs w:val="1"/>
                <w:color w:val="0000FF"/>
                <w:w w:val="89"/>
              </w:rPr>
              <w:t>68</w:t>
            </w:r>
          </w:p>
        </w:tc>
        <w:tc>
          <w:tcPr>
            <w:tcW w:w="200" w:type="dxa"/>
            <w:vAlign w:val="bottom"/>
            <w:gridSpan w:val="6"/>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0000FF"/>
                <w:w w:val="89"/>
              </w:rPr>
              <w:t>68</w:t>
            </w:r>
          </w:p>
        </w:tc>
        <w:tc>
          <w:tcPr>
            <w:tcW w:w="8340" w:type="dxa"/>
            <w:vAlign w:val="bottom"/>
            <w:gridSpan w:val="54"/>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480" w:type="dxa"/>
            <w:vAlign w:val="bottom"/>
            <w:tcBorders>
              <w:right w:val="single" w:sz="8" w:color="0000FF"/>
            </w:tcBorders>
            <w:gridSpan w:val="11"/>
          </w:tcPr>
          <w:p>
            <w:pPr>
              <w:spacing w:after="0" w:line="20" w:lineRule="exact"/>
              <w:rPr>
                <w:sz w:val="1"/>
                <w:szCs w:val="1"/>
                <w:color w:val="auto"/>
              </w:rPr>
            </w:pPr>
          </w:p>
        </w:tc>
        <w:tc>
          <w:tcPr>
            <w:tcW w:w="220" w:type="dxa"/>
            <w:vAlign w:val="bottom"/>
            <w:gridSpan w:val="5"/>
            <w:shd w:val="clear" w:color="auto" w:fill="0000FF"/>
          </w:tcPr>
          <w:p>
            <w:pPr>
              <w:spacing w:after="0" w:line="20" w:lineRule="exact"/>
              <w:rPr>
                <w:sz w:val="1"/>
                <w:szCs w:val="1"/>
                <w:color w:val="auto"/>
              </w:rPr>
            </w:pPr>
          </w:p>
        </w:tc>
        <w:tc>
          <w:tcPr>
            <w:tcW w:w="200" w:type="dxa"/>
            <w:vAlign w:val="bottom"/>
            <w:gridSpan w:val="6"/>
            <w:vMerge w:val="continue"/>
          </w:tcPr>
          <w:p>
            <w:pPr>
              <w:spacing w:after="0" w:line="20" w:lineRule="exact"/>
              <w:rPr>
                <w:sz w:val="1"/>
                <w:szCs w:val="1"/>
                <w:color w:val="auto"/>
              </w:rPr>
            </w:pPr>
          </w:p>
        </w:tc>
        <w:tc>
          <w:tcPr>
            <w:tcW w:w="8340" w:type="dxa"/>
            <w:vAlign w:val="bottom"/>
            <w:gridSpan w:val="5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3"/>
        </w:trPr>
        <w:tc>
          <w:tcPr>
            <w:tcW w:w="1080" w:type="dxa"/>
            <w:vAlign w:val="bottom"/>
          </w:tcPr>
          <w:p>
            <w:pPr>
              <w:spacing w:after="0"/>
              <w:rPr>
                <w:sz w:val="20"/>
                <w:szCs w:val="20"/>
                <w:color w:val="auto"/>
              </w:rPr>
            </w:pPr>
            <w:r>
              <w:rPr>
                <w:rFonts w:ascii="Times New Roman" w:cs="Times New Roman" w:eastAsia="Times New Roman" w:hAnsi="Times New Roman"/>
                <w:sz w:val="20"/>
                <w:szCs w:val="20"/>
                <w:color w:val="auto"/>
              </w:rPr>
              <w:t>Section 2.01</w:t>
            </w:r>
          </w:p>
        </w:tc>
        <w:tc>
          <w:tcPr>
            <w:tcW w:w="1300" w:type="dxa"/>
            <w:vAlign w:val="bottom"/>
            <w:gridSpan w:val="9"/>
          </w:tcPr>
          <w:p>
            <w:pPr>
              <w:ind w:left="100"/>
              <w:spacing w:after="0"/>
              <w:rPr>
                <w:sz w:val="20"/>
                <w:szCs w:val="20"/>
                <w:color w:val="auto"/>
              </w:rPr>
            </w:pPr>
            <w:r>
              <w:rPr>
                <w:rFonts w:ascii="Times New Roman" w:cs="Times New Roman" w:eastAsia="Times New Roman" w:hAnsi="Times New Roman"/>
                <w:sz w:val="20"/>
                <w:szCs w:val="20"/>
                <w:color w:val="auto"/>
              </w:rPr>
              <w:t>Commitments</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gridSpan w:val="4"/>
          </w:tcPr>
          <w:p>
            <w:pPr>
              <w:spacing w:after="0"/>
              <w:rPr>
                <w:sz w:val="20"/>
                <w:szCs w:val="20"/>
                <w:color w:val="auto"/>
              </w:rPr>
            </w:pPr>
            <w:r>
              <w:rPr>
                <w:rFonts w:ascii="Times New Roman" w:cs="Times New Roman" w:eastAsia="Times New Roman" w:hAnsi="Times New Roman"/>
                <w:sz w:val="20"/>
                <w:szCs w:val="20"/>
                <w:color w:val="FF0000"/>
                <w:strike w:val="1"/>
                <w:w w:val="89"/>
              </w:rPr>
              <w:t>67</w:t>
            </w:r>
          </w:p>
        </w:tc>
        <w:tc>
          <w:tcPr>
            <w:tcW w:w="200" w:type="dxa"/>
            <w:vAlign w:val="bottom"/>
            <w:tcBorders>
              <w:bottom w:val="single" w:sz="8" w:color="0000FF"/>
            </w:tcBorders>
            <w:gridSpan w:val="6"/>
            <w:vMerge w:val="continue"/>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gridSpan w:val="6"/>
            <w:vMerge w:val="restart"/>
          </w:tcPr>
          <w:p>
            <w:pPr>
              <w:spacing w:after="0"/>
              <w:rPr>
                <w:sz w:val="20"/>
                <w:szCs w:val="20"/>
                <w:color w:val="auto"/>
              </w:rPr>
            </w:pPr>
            <w:r>
              <w:rPr>
                <w:rFonts w:ascii="Times New Roman" w:cs="Times New Roman" w:eastAsia="Times New Roman" w:hAnsi="Times New Roman"/>
                <w:sz w:val="20"/>
                <w:szCs w:val="20"/>
                <w:b w:val="1"/>
                <w:bCs w:val="1"/>
                <w:color w:val="0000FF"/>
                <w:w w:val="99"/>
              </w:rPr>
              <w:t>69</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1080" w:type="dxa"/>
            <w:vAlign w:val="bottom"/>
          </w:tcPr>
          <w:p>
            <w:pPr>
              <w:spacing w:after="0"/>
              <w:rPr>
                <w:sz w:val="20"/>
                <w:szCs w:val="20"/>
                <w:color w:val="auto"/>
              </w:rPr>
            </w:pPr>
            <w:r>
              <w:rPr>
                <w:rFonts w:ascii="Times New Roman" w:cs="Times New Roman" w:eastAsia="Times New Roman" w:hAnsi="Times New Roman"/>
                <w:sz w:val="20"/>
                <w:szCs w:val="20"/>
                <w:color w:val="auto"/>
              </w:rPr>
              <w:t>Section 2.02</w:t>
            </w:r>
          </w:p>
        </w:tc>
        <w:tc>
          <w:tcPr>
            <w:tcW w:w="1900" w:type="dxa"/>
            <w:vAlign w:val="bottom"/>
            <w:gridSpan w:val="24"/>
          </w:tcPr>
          <w:p>
            <w:pPr>
              <w:ind w:left="100"/>
              <w:spacing w:after="0"/>
              <w:rPr>
                <w:sz w:val="20"/>
                <w:szCs w:val="20"/>
                <w:color w:val="auto"/>
              </w:rPr>
            </w:pPr>
            <w:r>
              <w:rPr>
                <w:rFonts w:ascii="Times New Roman" w:cs="Times New Roman" w:eastAsia="Times New Roman" w:hAnsi="Times New Roman"/>
                <w:sz w:val="20"/>
                <w:szCs w:val="20"/>
                <w:color w:val="auto"/>
                <w:w w:val="97"/>
              </w:rPr>
              <w:t>Loans and Borrowings</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FF0000"/>
                <w:strike w:val="1"/>
                <w:w w:val="89"/>
              </w:rPr>
              <w:t>68</w:t>
            </w:r>
          </w:p>
        </w:tc>
        <w:tc>
          <w:tcPr>
            <w:tcW w:w="240" w:type="dxa"/>
            <w:vAlign w:val="bottom"/>
            <w:tcBorders>
              <w:bottom w:val="single" w:sz="8" w:color="0000FF"/>
            </w:tcBorders>
            <w:gridSpan w:val="6"/>
            <w:vMerge w:val="continue"/>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080" w:type="dxa"/>
            <w:vAlign w:val="bottom"/>
          </w:tcPr>
          <w:p>
            <w:pPr>
              <w:spacing w:after="0"/>
              <w:rPr>
                <w:sz w:val="20"/>
                <w:szCs w:val="20"/>
                <w:color w:val="auto"/>
              </w:rPr>
            </w:pPr>
            <w:r>
              <w:rPr>
                <w:rFonts w:ascii="Times New Roman" w:cs="Times New Roman" w:eastAsia="Times New Roman" w:hAnsi="Times New Roman"/>
                <w:sz w:val="20"/>
                <w:szCs w:val="20"/>
                <w:color w:val="auto"/>
              </w:rPr>
              <w:t>Section 2.03</w:t>
            </w:r>
          </w:p>
        </w:tc>
        <w:tc>
          <w:tcPr>
            <w:tcW w:w="2300" w:type="dxa"/>
            <w:vAlign w:val="bottom"/>
            <w:gridSpan w:val="35"/>
          </w:tcPr>
          <w:p>
            <w:pPr>
              <w:ind w:left="100"/>
              <w:spacing w:after="0"/>
              <w:rPr>
                <w:sz w:val="20"/>
                <w:szCs w:val="20"/>
                <w:color w:val="auto"/>
              </w:rPr>
            </w:pPr>
            <w:r>
              <w:rPr>
                <w:rFonts w:ascii="Times New Roman" w:cs="Times New Roman" w:eastAsia="Times New Roman" w:hAnsi="Times New Roman"/>
                <w:sz w:val="20"/>
                <w:szCs w:val="20"/>
                <w:color w:val="auto"/>
              </w:rPr>
              <w:t>Requests for Borrowings</w:t>
            </w:r>
          </w:p>
        </w:tc>
        <w:tc>
          <w:tcPr>
            <w:tcW w:w="180" w:type="dxa"/>
            <w:vAlign w:val="bottom"/>
            <w:gridSpan w:val="5"/>
          </w:tcPr>
          <w:p>
            <w:pPr>
              <w:spacing w:after="0"/>
              <w:rPr>
                <w:sz w:val="20"/>
                <w:szCs w:val="20"/>
                <w:color w:val="auto"/>
              </w:rPr>
            </w:pPr>
            <w:r>
              <w:rPr>
                <w:rFonts w:ascii="Times New Roman" w:cs="Times New Roman" w:eastAsia="Times New Roman" w:hAnsi="Times New Roman"/>
                <w:sz w:val="20"/>
                <w:szCs w:val="20"/>
                <w:color w:val="FF0000"/>
                <w:strike w:val="1"/>
                <w:w w:val="79"/>
              </w:rPr>
              <w:t>68</w:t>
            </w:r>
          </w:p>
        </w:tc>
        <w:tc>
          <w:tcPr>
            <w:tcW w:w="220" w:type="dxa"/>
            <w:vAlign w:val="bottom"/>
            <w:gridSpan w:val="7"/>
          </w:tcPr>
          <w:p>
            <w:pPr>
              <w:jc w:val="right"/>
              <w:ind w:right="20"/>
              <w:spacing w:after="0"/>
              <w:rPr>
                <w:sz w:val="20"/>
                <w:szCs w:val="20"/>
                <w:color w:val="auto"/>
              </w:rPr>
            </w:pPr>
            <w:r>
              <w:rPr>
                <w:rFonts w:ascii="Times New Roman" w:cs="Times New Roman" w:eastAsia="Times New Roman" w:hAnsi="Times New Roman"/>
                <w:sz w:val="20"/>
                <w:szCs w:val="20"/>
                <w:b w:val="1"/>
                <w:bCs w:val="1"/>
                <w:color w:val="0000FF"/>
                <w:w w:val="89"/>
              </w:rPr>
              <w:t>70</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080" w:type="dxa"/>
            <w:vAlign w:val="bottom"/>
          </w:tcPr>
          <w:p>
            <w:pPr>
              <w:spacing w:after="0" w:line="223" w:lineRule="exact"/>
              <w:rPr>
                <w:sz w:val="20"/>
                <w:szCs w:val="20"/>
                <w:color w:val="auto"/>
              </w:rPr>
            </w:pPr>
            <w:r>
              <w:rPr>
                <w:rFonts w:ascii="Times New Roman" w:cs="Times New Roman" w:eastAsia="Times New Roman" w:hAnsi="Times New Roman"/>
                <w:sz w:val="20"/>
                <w:szCs w:val="20"/>
                <w:color w:val="auto"/>
              </w:rPr>
              <w:t>Section 2.04</w:t>
            </w:r>
          </w:p>
        </w:tc>
        <w:tc>
          <w:tcPr>
            <w:tcW w:w="1580" w:type="dxa"/>
            <w:vAlign w:val="bottom"/>
            <w:gridSpan w:val="14"/>
          </w:tcPr>
          <w:p>
            <w:pPr>
              <w:ind w:left="100"/>
              <w:spacing w:after="0" w:line="223" w:lineRule="exact"/>
              <w:rPr>
                <w:sz w:val="20"/>
                <w:szCs w:val="20"/>
                <w:color w:val="auto"/>
              </w:rPr>
            </w:pPr>
            <w:r>
              <w:rPr>
                <w:rFonts w:ascii="Times New Roman" w:cs="Times New Roman" w:eastAsia="Times New Roman" w:hAnsi="Times New Roman"/>
                <w:sz w:val="20"/>
                <w:szCs w:val="20"/>
                <w:color w:val="auto"/>
              </w:rPr>
              <w:t>Swingline Loans</w:t>
            </w:r>
          </w:p>
        </w:tc>
        <w:tc>
          <w:tcPr>
            <w:tcW w:w="40" w:type="dxa"/>
            <w:vAlign w:val="bottom"/>
          </w:tcPr>
          <w:p>
            <w:pPr>
              <w:spacing w:after="0"/>
              <w:rPr>
                <w:sz w:val="19"/>
                <w:szCs w:val="19"/>
                <w:color w:val="auto"/>
              </w:rPr>
            </w:pPr>
          </w:p>
        </w:tc>
        <w:tc>
          <w:tcPr>
            <w:tcW w:w="220" w:type="dxa"/>
            <w:vAlign w:val="bottom"/>
            <w:gridSpan w:val="7"/>
          </w:tcPr>
          <w:p>
            <w:pPr>
              <w:jc w:val="right"/>
              <w:spacing w:after="0" w:line="223" w:lineRule="exact"/>
              <w:rPr>
                <w:sz w:val="20"/>
                <w:szCs w:val="20"/>
                <w:color w:val="auto"/>
              </w:rPr>
            </w:pPr>
            <w:r>
              <w:rPr>
                <w:rFonts w:ascii="Times New Roman" w:cs="Times New Roman" w:eastAsia="Times New Roman" w:hAnsi="Times New Roman"/>
                <w:sz w:val="20"/>
                <w:szCs w:val="20"/>
                <w:color w:val="FF0000"/>
                <w:strike w:val="1"/>
                <w:w w:val="99"/>
              </w:rPr>
              <w:t>69</w:t>
            </w:r>
          </w:p>
        </w:tc>
        <w:tc>
          <w:tcPr>
            <w:tcW w:w="200" w:type="dxa"/>
            <w:vAlign w:val="bottom"/>
            <w:tcBorders>
              <w:bottom w:val="single" w:sz="8" w:color="0000FF"/>
            </w:tcBorders>
            <w:gridSpan w:val="7"/>
          </w:tcPr>
          <w:p>
            <w:pPr>
              <w:jc w:val="right"/>
              <w:spacing w:after="0" w:line="223" w:lineRule="exact"/>
              <w:rPr>
                <w:sz w:val="20"/>
                <w:szCs w:val="20"/>
                <w:color w:val="auto"/>
              </w:rPr>
            </w:pPr>
            <w:r>
              <w:rPr>
                <w:rFonts w:ascii="Times New Roman" w:cs="Times New Roman" w:eastAsia="Times New Roman" w:hAnsi="Times New Roman"/>
                <w:sz w:val="20"/>
                <w:szCs w:val="20"/>
                <w:b w:val="1"/>
                <w:bCs w:val="1"/>
                <w:color w:val="0000FF"/>
                <w:w w:val="79"/>
              </w:rPr>
              <w:t>71</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080" w:type="dxa"/>
            <w:vAlign w:val="bottom"/>
          </w:tcPr>
          <w:p>
            <w:pPr>
              <w:spacing w:after="0"/>
              <w:rPr>
                <w:sz w:val="20"/>
                <w:szCs w:val="20"/>
                <w:color w:val="auto"/>
              </w:rPr>
            </w:pPr>
            <w:r>
              <w:rPr>
                <w:rFonts w:ascii="Times New Roman" w:cs="Times New Roman" w:eastAsia="Times New Roman" w:hAnsi="Times New Roman"/>
                <w:sz w:val="20"/>
                <w:szCs w:val="20"/>
                <w:color w:val="auto"/>
              </w:rPr>
              <w:t>Section 2.05</w:t>
            </w:r>
          </w:p>
        </w:tc>
        <w:tc>
          <w:tcPr>
            <w:tcW w:w="1580" w:type="dxa"/>
            <w:vAlign w:val="bottom"/>
            <w:gridSpan w:val="14"/>
          </w:tcPr>
          <w:p>
            <w:pPr>
              <w:ind w:left="100"/>
              <w:spacing w:after="0"/>
              <w:rPr>
                <w:sz w:val="20"/>
                <w:szCs w:val="20"/>
                <w:color w:val="auto"/>
              </w:rPr>
            </w:pPr>
            <w:r>
              <w:rPr>
                <w:rFonts w:ascii="Times New Roman" w:cs="Times New Roman" w:eastAsia="Times New Roman" w:hAnsi="Times New Roman"/>
                <w:sz w:val="20"/>
                <w:szCs w:val="20"/>
                <w:color w:val="auto"/>
              </w:rPr>
              <w:t>Letters of Credit</w:t>
            </w:r>
          </w:p>
        </w:tc>
        <w:tc>
          <w:tcPr>
            <w:tcW w:w="220" w:type="dxa"/>
            <w:vAlign w:val="bottom"/>
            <w:gridSpan w:val="6"/>
          </w:tcPr>
          <w:p>
            <w:pPr>
              <w:jc w:val="right"/>
              <w:spacing w:after="0"/>
              <w:rPr>
                <w:sz w:val="20"/>
                <w:szCs w:val="20"/>
                <w:color w:val="auto"/>
              </w:rPr>
            </w:pPr>
            <w:r>
              <w:rPr>
                <w:rFonts w:ascii="Times New Roman" w:cs="Times New Roman" w:eastAsia="Times New Roman" w:hAnsi="Times New Roman"/>
                <w:sz w:val="20"/>
                <w:szCs w:val="20"/>
                <w:color w:val="FF0000"/>
                <w:strike w:val="1"/>
                <w:w w:val="99"/>
              </w:rPr>
              <w:t>71</w:t>
            </w:r>
          </w:p>
        </w:tc>
        <w:tc>
          <w:tcPr>
            <w:tcW w:w="220" w:type="dxa"/>
            <w:vAlign w:val="bottom"/>
            <w:tcBorders>
              <w:bottom w:val="single" w:sz="8" w:color="0000FF"/>
            </w:tcBorders>
            <w:gridSpan w:val="8"/>
          </w:tcPr>
          <w:p>
            <w:pPr>
              <w:jc w:val="right"/>
              <w:ind w:right="20"/>
              <w:spacing w:after="0"/>
              <w:rPr>
                <w:sz w:val="20"/>
                <w:szCs w:val="20"/>
                <w:color w:val="auto"/>
              </w:rPr>
            </w:pPr>
            <w:r>
              <w:rPr>
                <w:rFonts w:ascii="Times New Roman" w:cs="Times New Roman" w:eastAsia="Times New Roman" w:hAnsi="Times New Roman"/>
                <w:sz w:val="20"/>
                <w:szCs w:val="20"/>
                <w:b w:val="1"/>
                <w:bCs w:val="1"/>
                <w:color w:val="0000FF"/>
                <w:w w:val="89"/>
              </w:rPr>
              <w:t>72</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gridSpan w:val="6"/>
            <w:vMerge w:val="restart"/>
          </w:tcPr>
          <w:p>
            <w:pPr>
              <w:jc w:val="right"/>
              <w:ind w:right="20"/>
              <w:spacing w:after="0"/>
              <w:rPr>
                <w:sz w:val="20"/>
                <w:szCs w:val="20"/>
                <w:color w:val="auto"/>
              </w:rPr>
            </w:pPr>
            <w:r>
              <w:rPr>
                <w:rFonts w:ascii="Times New Roman" w:cs="Times New Roman" w:eastAsia="Times New Roman" w:hAnsi="Times New Roman"/>
                <w:sz w:val="20"/>
                <w:szCs w:val="20"/>
                <w:b w:val="1"/>
                <w:bCs w:val="1"/>
                <w:color w:val="0000FF"/>
                <w:w w:val="89"/>
              </w:rPr>
              <w:t>77</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080" w:type="dxa"/>
            <w:vAlign w:val="bottom"/>
          </w:tcPr>
          <w:p>
            <w:pPr>
              <w:spacing w:after="0" w:line="223" w:lineRule="exact"/>
              <w:rPr>
                <w:sz w:val="20"/>
                <w:szCs w:val="20"/>
                <w:color w:val="auto"/>
              </w:rPr>
            </w:pPr>
            <w:r>
              <w:rPr>
                <w:rFonts w:ascii="Times New Roman" w:cs="Times New Roman" w:eastAsia="Times New Roman" w:hAnsi="Times New Roman"/>
                <w:sz w:val="20"/>
                <w:szCs w:val="20"/>
                <w:color w:val="auto"/>
              </w:rPr>
              <w:t>Section 2.06</w:t>
            </w:r>
          </w:p>
        </w:tc>
        <w:tc>
          <w:tcPr>
            <w:tcW w:w="2160" w:type="dxa"/>
            <w:vAlign w:val="bottom"/>
            <w:gridSpan w:val="33"/>
          </w:tcPr>
          <w:p>
            <w:pPr>
              <w:ind w:left="100"/>
              <w:spacing w:after="0" w:line="223" w:lineRule="exact"/>
              <w:rPr>
                <w:sz w:val="20"/>
                <w:szCs w:val="20"/>
                <w:color w:val="auto"/>
              </w:rPr>
            </w:pPr>
            <w:r>
              <w:rPr>
                <w:rFonts w:ascii="Times New Roman" w:cs="Times New Roman" w:eastAsia="Times New Roman" w:hAnsi="Times New Roman"/>
                <w:sz w:val="20"/>
                <w:szCs w:val="20"/>
                <w:color w:val="auto"/>
              </w:rPr>
              <w:t>Funding of Borrowings</w:t>
            </w:r>
          </w:p>
        </w:tc>
        <w:tc>
          <w:tcPr>
            <w:tcW w:w="200" w:type="dxa"/>
            <w:vAlign w:val="bottom"/>
            <w:gridSpan w:val="4"/>
          </w:tcPr>
          <w:p>
            <w:pPr>
              <w:jc w:val="right"/>
              <w:spacing w:after="0" w:line="223" w:lineRule="exact"/>
              <w:rPr>
                <w:sz w:val="20"/>
                <w:szCs w:val="20"/>
                <w:color w:val="auto"/>
              </w:rPr>
            </w:pPr>
            <w:r>
              <w:rPr>
                <w:rFonts w:ascii="Times New Roman" w:cs="Times New Roman" w:eastAsia="Times New Roman" w:hAnsi="Times New Roman"/>
                <w:sz w:val="20"/>
                <w:szCs w:val="20"/>
                <w:color w:val="FF0000"/>
                <w:strike w:val="1"/>
                <w:w w:val="89"/>
              </w:rPr>
              <w:t>76</w:t>
            </w:r>
          </w:p>
        </w:tc>
        <w:tc>
          <w:tcPr>
            <w:tcW w:w="220" w:type="dxa"/>
            <w:vAlign w:val="bottom"/>
            <w:gridSpan w:val="6"/>
            <w:vMerge w:val="continue"/>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gridSpan w:val="2"/>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gridSpan w:val="2"/>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gridSpan w:val="2"/>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1080" w:type="dxa"/>
            <w:vAlign w:val="bottom"/>
          </w:tcPr>
          <w:p>
            <w:pPr>
              <w:spacing w:after="0"/>
              <w:rPr>
                <w:sz w:val="20"/>
                <w:szCs w:val="20"/>
                <w:color w:val="auto"/>
              </w:rPr>
            </w:pPr>
            <w:r>
              <w:rPr>
                <w:rFonts w:ascii="Times New Roman" w:cs="Times New Roman" w:eastAsia="Times New Roman" w:hAnsi="Times New Roman"/>
                <w:sz w:val="20"/>
                <w:szCs w:val="20"/>
                <w:color w:val="auto"/>
              </w:rPr>
              <w:t>Section 2.07</w:t>
            </w:r>
          </w:p>
        </w:tc>
        <w:tc>
          <w:tcPr>
            <w:tcW w:w="1580" w:type="dxa"/>
            <w:vAlign w:val="bottom"/>
            <w:gridSpan w:val="14"/>
          </w:tcPr>
          <w:p>
            <w:pPr>
              <w:ind w:left="100"/>
              <w:spacing w:after="0"/>
              <w:rPr>
                <w:sz w:val="20"/>
                <w:szCs w:val="20"/>
                <w:color w:val="auto"/>
              </w:rPr>
            </w:pPr>
            <w:r>
              <w:rPr>
                <w:rFonts w:ascii="Times New Roman" w:cs="Times New Roman" w:eastAsia="Times New Roman" w:hAnsi="Times New Roman"/>
                <w:sz w:val="20"/>
                <w:szCs w:val="20"/>
                <w:color w:val="auto"/>
              </w:rPr>
              <w:t>Interest Elections</w:t>
            </w:r>
          </w:p>
        </w:tc>
        <w:tc>
          <w:tcPr>
            <w:tcW w:w="40" w:type="dxa"/>
            <w:vAlign w:val="bottom"/>
          </w:tcPr>
          <w:p>
            <w:pPr>
              <w:spacing w:after="0"/>
              <w:rPr>
                <w:sz w:val="20"/>
                <w:szCs w:val="20"/>
                <w:color w:val="auto"/>
              </w:rPr>
            </w:pPr>
          </w:p>
        </w:tc>
        <w:tc>
          <w:tcPr>
            <w:tcW w:w="260" w:type="dxa"/>
            <w:vAlign w:val="bottom"/>
            <w:gridSpan w:val="8"/>
          </w:tcPr>
          <w:p>
            <w:pPr>
              <w:ind w:left="60"/>
              <w:spacing w:after="0"/>
              <w:rPr>
                <w:sz w:val="20"/>
                <w:szCs w:val="20"/>
                <w:color w:val="auto"/>
              </w:rPr>
            </w:pPr>
            <w:r>
              <w:rPr>
                <w:rFonts w:ascii="Times New Roman" w:cs="Times New Roman" w:eastAsia="Times New Roman" w:hAnsi="Times New Roman"/>
                <w:sz w:val="20"/>
                <w:szCs w:val="20"/>
                <w:color w:val="FF0000"/>
                <w:strike w:val="1"/>
                <w:w w:val="89"/>
              </w:rPr>
              <w:t>76</w:t>
            </w:r>
          </w:p>
        </w:tc>
        <w:tc>
          <w:tcPr>
            <w:tcW w:w="20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20"/>
                <w:szCs w:val="20"/>
                <w:b w:val="1"/>
                <w:bCs w:val="1"/>
                <w:color w:val="0000FF"/>
                <w:w w:val="89"/>
              </w:rPr>
              <w:t>78</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gridSpan w:val="3"/>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0000FF"/>
                <w:w w:val="89"/>
              </w:rPr>
              <w:t>79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1080" w:type="dxa"/>
            <w:vAlign w:val="bottom"/>
          </w:tcPr>
          <w:p>
            <w:pPr>
              <w:spacing w:after="0" w:line="223" w:lineRule="exact"/>
              <w:rPr>
                <w:sz w:val="20"/>
                <w:szCs w:val="20"/>
                <w:color w:val="auto"/>
              </w:rPr>
            </w:pPr>
            <w:r>
              <w:rPr>
                <w:rFonts w:ascii="Times New Roman" w:cs="Times New Roman" w:eastAsia="Times New Roman" w:hAnsi="Times New Roman"/>
                <w:sz w:val="20"/>
                <w:szCs w:val="20"/>
                <w:color w:val="auto"/>
              </w:rPr>
              <w:t>Section 2.08</w:t>
            </w:r>
          </w:p>
        </w:tc>
        <w:tc>
          <w:tcPr>
            <w:tcW w:w="3640" w:type="dxa"/>
            <w:vAlign w:val="bottom"/>
            <w:gridSpan w:val="60"/>
          </w:tcPr>
          <w:p>
            <w:pPr>
              <w:ind w:left="100"/>
              <w:spacing w:after="0" w:line="223" w:lineRule="exact"/>
              <w:rPr>
                <w:sz w:val="20"/>
                <w:szCs w:val="20"/>
                <w:color w:val="auto"/>
              </w:rPr>
            </w:pPr>
            <w:r>
              <w:rPr>
                <w:rFonts w:ascii="Times New Roman" w:cs="Times New Roman" w:eastAsia="Times New Roman" w:hAnsi="Times New Roman"/>
                <w:sz w:val="20"/>
                <w:szCs w:val="20"/>
                <w:color w:val="auto"/>
                <w:w w:val="97"/>
              </w:rPr>
              <w:t>Termination and Reduction of Commitments</w:t>
            </w:r>
          </w:p>
        </w:tc>
        <w:tc>
          <w:tcPr>
            <w:tcW w:w="200" w:type="dxa"/>
            <w:vAlign w:val="bottom"/>
            <w:gridSpan w:val="2"/>
          </w:tcPr>
          <w:p>
            <w:pPr>
              <w:spacing w:after="0"/>
              <w:rPr>
                <w:sz w:val="19"/>
                <w:szCs w:val="19"/>
                <w:color w:val="auto"/>
              </w:rPr>
            </w:pPr>
          </w:p>
        </w:tc>
        <w:tc>
          <w:tcPr>
            <w:tcW w:w="20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FF0000"/>
                <w:strike w:val="1"/>
                <w:w w:val="89"/>
              </w:rPr>
              <w:t>77</w:t>
            </w:r>
          </w:p>
        </w:tc>
        <w:tc>
          <w:tcPr>
            <w:tcW w:w="200" w:type="dxa"/>
            <w:vAlign w:val="bottom"/>
            <w:tcBorders>
              <w:bottom w:val="single" w:sz="8" w:color="0000FF"/>
            </w:tcBorders>
            <w:gridSpan w:val="3"/>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1080" w:type="dxa"/>
            <w:vAlign w:val="bottom"/>
          </w:tcPr>
          <w:p>
            <w:pPr>
              <w:spacing w:after="0"/>
              <w:rPr>
                <w:sz w:val="20"/>
                <w:szCs w:val="20"/>
                <w:color w:val="auto"/>
              </w:rPr>
            </w:pPr>
            <w:r>
              <w:rPr>
                <w:rFonts w:ascii="Times New Roman" w:cs="Times New Roman" w:eastAsia="Times New Roman" w:hAnsi="Times New Roman"/>
                <w:sz w:val="20"/>
                <w:szCs w:val="20"/>
                <w:color w:val="auto"/>
              </w:rPr>
              <w:t>Section 2.09</w:t>
            </w:r>
          </w:p>
        </w:tc>
        <w:tc>
          <w:tcPr>
            <w:tcW w:w="3400" w:type="dxa"/>
            <w:vAlign w:val="bottom"/>
            <w:gridSpan w:val="58"/>
          </w:tcPr>
          <w:p>
            <w:pPr>
              <w:ind w:left="100"/>
              <w:spacing w:after="0"/>
              <w:rPr>
                <w:sz w:val="20"/>
                <w:szCs w:val="20"/>
                <w:color w:val="auto"/>
              </w:rPr>
            </w:pPr>
            <w:r>
              <w:rPr>
                <w:rFonts w:ascii="Times New Roman" w:cs="Times New Roman" w:eastAsia="Times New Roman" w:hAnsi="Times New Roman"/>
                <w:sz w:val="20"/>
                <w:szCs w:val="20"/>
                <w:color w:val="auto"/>
              </w:rPr>
              <w:t>Repayment of Loans; Evidence of Debt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FF0000"/>
                <w:strike w:val="1"/>
              </w:rPr>
              <w:t>78</w:t>
            </w:r>
          </w:p>
        </w:tc>
        <w:tc>
          <w:tcPr>
            <w:tcW w:w="20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20"/>
                <w:szCs w:val="20"/>
                <w:b w:val="1"/>
                <w:bCs w:val="1"/>
                <w:color w:val="0000FF"/>
                <w:w w:val="89"/>
              </w:rPr>
              <w:t>79</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20"/>
                <w:szCs w:val="20"/>
                <w:b w:val="1"/>
                <w:bCs w:val="1"/>
                <w:color w:val="0000FF"/>
                <w:w w:val="89"/>
              </w:rPr>
              <w:t>80</w:t>
            </w:r>
          </w:p>
        </w:tc>
        <w:tc>
          <w:tcPr>
            <w:tcW w:w="20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080" w:type="dxa"/>
            <w:vAlign w:val="bottom"/>
          </w:tcPr>
          <w:p>
            <w:pPr>
              <w:spacing w:after="0"/>
              <w:rPr>
                <w:sz w:val="20"/>
                <w:szCs w:val="20"/>
                <w:color w:val="auto"/>
              </w:rPr>
            </w:pPr>
            <w:r>
              <w:rPr>
                <w:rFonts w:ascii="Times New Roman" w:cs="Times New Roman" w:eastAsia="Times New Roman" w:hAnsi="Times New Roman"/>
                <w:sz w:val="20"/>
                <w:szCs w:val="20"/>
                <w:color w:val="auto"/>
              </w:rPr>
              <w:t>Section 2.10</w:t>
            </w:r>
          </w:p>
        </w:tc>
        <w:tc>
          <w:tcPr>
            <w:tcW w:w="4800" w:type="dxa"/>
            <w:vAlign w:val="bottom"/>
            <w:gridSpan w:val="69"/>
          </w:tcPr>
          <w:p>
            <w:pPr>
              <w:ind w:left="100"/>
              <w:spacing w:after="0"/>
              <w:rPr>
                <w:sz w:val="20"/>
                <w:szCs w:val="20"/>
                <w:color w:val="auto"/>
              </w:rPr>
            </w:pPr>
            <w:r>
              <w:rPr>
                <w:rFonts w:ascii="Times New Roman" w:cs="Times New Roman" w:eastAsia="Times New Roman" w:hAnsi="Times New Roman"/>
                <w:sz w:val="20"/>
                <w:szCs w:val="20"/>
                <w:color w:val="auto"/>
              </w:rPr>
              <w:t>Repayment of Term Loans and Revolving Facility Loans</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FF0000"/>
                <w:strike w:val="1"/>
                <w:w w:val="89"/>
              </w:rPr>
              <w:t>79</w:t>
            </w:r>
          </w:p>
        </w:tc>
        <w:tc>
          <w:tcPr>
            <w:tcW w:w="340" w:type="dxa"/>
            <w:vAlign w:val="bottom"/>
            <w:gridSpan w:val="3"/>
            <w:vMerge w:val="continue"/>
          </w:tcPr>
          <w:p>
            <w:pPr>
              <w:spacing w:after="0"/>
              <w:rPr>
                <w:sz w:val="20"/>
                <w:szCs w:val="20"/>
                <w:color w:val="auto"/>
              </w:rPr>
            </w:pPr>
          </w:p>
        </w:tc>
        <w:tc>
          <w:tcPr>
            <w:tcW w:w="20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080" w:type="dxa"/>
            <w:vAlign w:val="bottom"/>
          </w:tcPr>
          <w:p>
            <w:pPr>
              <w:spacing w:after="0" w:line="223" w:lineRule="exact"/>
              <w:rPr>
                <w:sz w:val="20"/>
                <w:szCs w:val="20"/>
                <w:color w:val="auto"/>
              </w:rPr>
            </w:pPr>
            <w:r>
              <w:rPr>
                <w:rFonts w:ascii="Times New Roman" w:cs="Times New Roman" w:eastAsia="Times New Roman" w:hAnsi="Times New Roman"/>
                <w:sz w:val="20"/>
                <w:szCs w:val="20"/>
                <w:color w:val="auto"/>
              </w:rPr>
              <w:t>Section 2.11</w:t>
            </w:r>
          </w:p>
        </w:tc>
        <w:tc>
          <w:tcPr>
            <w:tcW w:w="1900" w:type="dxa"/>
            <w:vAlign w:val="bottom"/>
            <w:gridSpan w:val="24"/>
          </w:tcPr>
          <w:p>
            <w:pPr>
              <w:ind w:left="100"/>
              <w:spacing w:after="0" w:line="223" w:lineRule="exact"/>
              <w:rPr>
                <w:sz w:val="20"/>
                <w:szCs w:val="20"/>
                <w:color w:val="auto"/>
              </w:rPr>
            </w:pPr>
            <w:r>
              <w:rPr>
                <w:rFonts w:ascii="Times New Roman" w:cs="Times New Roman" w:eastAsia="Times New Roman" w:hAnsi="Times New Roman"/>
                <w:sz w:val="20"/>
                <w:szCs w:val="20"/>
                <w:color w:val="auto"/>
              </w:rPr>
              <w:t>Prepayment of Loans</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gridSpan w:val="8"/>
          </w:tcPr>
          <w:p>
            <w:pPr>
              <w:spacing w:after="0" w:line="223" w:lineRule="exact"/>
              <w:rPr>
                <w:sz w:val="20"/>
                <w:szCs w:val="20"/>
                <w:color w:val="auto"/>
              </w:rPr>
            </w:pPr>
            <w:r>
              <w:rPr>
                <w:rFonts w:ascii="Times New Roman" w:cs="Times New Roman" w:eastAsia="Times New Roman" w:hAnsi="Times New Roman"/>
                <w:sz w:val="20"/>
                <w:szCs w:val="20"/>
                <w:color w:val="FF0000"/>
                <w:strike w:val="1"/>
                <w:w w:val="89"/>
              </w:rPr>
              <w:t>80</w:t>
            </w:r>
          </w:p>
        </w:tc>
        <w:tc>
          <w:tcPr>
            <w:tcW w:w="240" w:type="dxa"/>
            <w:vAlign w:val="bottom"/>
            <w:gridSpan w:val="5"/>
          </w:tcPr>
          <w:p>
            <w:pPr>
              <w:jc w:val="right"/>
              <w:ind w:right="40"/>
              <w:spacing w:after="0" w:line="223" w:lineRule="exact"/>
              <w:rPr>
                <w:sz w:val="20"/>
                <w:szCs w:val="20"/>
                <w:color w:val="auto"/>
              </w:rPr>
            </w:pPr>
            <w:r>
              <w:rPr>
                <w:rFonts w:ascii="Times New Roman" w:cs="Times New Roman" w:eastAsia="Times New Roman" w:hAnsi="Times New Roman"/>
                <w:sz w:val="20"/>
                <w:szCs w:val="20"/>
                <w:b w:val="1"/>
                <w:bCs w:val="1"/>
                <w:color w:val="0000FF"/>
                <w:w w:val="89"/>
              </w:rPr>
              <w:t>81</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1080" w:type="dxa"/>
            <w:vAlign w:val="bottom"/>
          </w:tcPr>
          <w:p>
            <w:pPr>
              <w:spacing w:after="0"/>
              <w:rPr>
                <w:sz w:val="20"/>
                <w:szCs w:val="20"/>
                <w:color w:val="auto"/>
              </w:rPr>
            </w:pPr>
            <w:r>
              <w:rPr>
                <w:rFonts w:ascii="Times New Roman" w:cs="Times New Roman" w:eastAsia="Times New Roman" w:hAnsi="Times New Roman"/>
                <w:sz w:val="20"/>
                <w:szCs w:val="20"/>
                <w:color w:val="auto"/>
              </w:rPr>
              <w:t>Section 2.12</w:t>
            </w:r>
          </w:p>
        </w:tc>
        <w:tc>
          <w:tcPr>
            <w:tcW w:w="6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Fees</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FF0000"/>
                <w:strike w:val="1"/>
                <w:w w:val="89"/>
              </w:rPr>
              <w:t>82</w:t>
            </w:r>
          </w:p>
        </w:tc>
        <w:tc>
          <w:tcPr>
            <w:tcW w:w="200" w:type="dxa"/>
            <w:vAlign w:val="bottom"/>
            <w:tcBorders>
              <w:bottom w:val="single" w:sz="8" w:color="0000FF"/>
            </w:tcBorders>
            <w:gridSpan w:val="4"/>
          </w:tcPr>
          <w:p>
            <w:pPr>
              <w:jc w:val="right"/>
              <w:spacing w:after="0"/>
              <w:rPr>
                <w:sz w:val="20"/>
                <w:szCs w:val="20"/>
                <w:color w:val="auto"/>
              </w:rPr>
            </w:pPr>
            <w:r>
              <w:rPr>
                <w:rFonts w:ascii="Times New Roman" w:cs="Times New Roman" w:eastAsia="Times New Roman" w:hAnsi="Times New Roman"/>
                <w:sz w:val="20"/>
                <w:szCs w:val="20"/>
                <w:b w:val="1"/>
                <w:bCs w:val="1"/>
                <w:color w:val="0000FF"/>
                <w:w w:val="89"/>
              </w:rPr>
              <w:t>83</w:t>
            </w:r>
          </w:p>
        </w:tc>
        <w:tc>
          <w:tcPr>
            <w:tcW w:w="100" w:type="dxa"/>
            <w:vAlign w:val="bottom"/>
          </w:tcPr>
          <w:p>
            <w:pPr>
              <w:spacing w:after="0"/>
              <w:rPr>
                <w:sz w:val="20"/>
                <w:szCs w:val="20"/>
                <w:color w:val="auto"/>
              </w:rPr>
            </w:pPr>
          </w:p>
        </w:tc>
        <w:tc>
          <w:tcPr>
            <w:tcW w:w="240" w:type="dxa"/>
            <w:vAlign w:val="bottom"/>
            <w:gridSpan w:val="3"/>
            <w:vMerge w:val="restart"/>
          </w:tcPr>
          <w:p>
            <w:pPr>
              <w:jc w:val="right"/>
              <w:ind w:right="21"/>
              <w:spacing w:after="0"/>
              <w:rPr>
                <w:sz w:val="20"/>
                <w:szCs w:val="20"/>
                <w:color w:val="auto"/>
              </w:rPr>
            </w:pPr>
            <w:r>
              <w:rPr>
                <w:rFonts w:ascii="Times New Roman" w:cs="Times New Roman" w:eastAsia="Times New Roman" w:hAnsi="Times New Roman"/>
                <w:sz w:val="14"/>
                <w:szCs w:val="14"/>
                <w:b w:val="1"/>
                <w:bCs w:val="1"/>
                <w:color w:val="0000FF"/>
                <w:w w:val="71"/>
              </w:rPr>
              <w:t>85</w:t>
            </w:r>
          </w:p>
        </w:tc>
        <w:tc>
          <w:tcPr>
            <w:tcW w:w="780" w:type="dxa"/>
            <w:vAlign w:val="bottom"/>
            <w:gridSpan w:val="24"/>
          </w:tcPr>
          <w:p>
            <w:pPr>
              <w:spacing w:after="0"/>
              <w:rPr>
                <w:sz w:val="20"/>
                <w:szCs w:val="20"/>
                <w:color w:val="auto"/>
              </w:rPr>
            </w:pPr>
          </w:p>
        </w:tc>
        <w:tc>
          <w:tcPr>
            <w:tcW w:w="200" w:type="dxa"/>
            <w:vAlign w:val="bottom"/>
            <w:tcBorders>
              <w:top w:val="single" w:sz="8" w:color="0000FF"/>
            </w:tcBorders>
            <w:gridSpan w:val="4"/>
          </w:tcPr>
          <w:p>
            <w:pPr>
              <w:spacing w:after="0"/>
              <w:rPr>
                <w:sz w:val="20"/>
                <w:szCs w:val="20"/>
                <w:color w:val="auto"/>
              </w:rPr>
            </w:pPr>
          </w:p>
        </w:tc>
        <w:tc>
          <w:tcPr>
            <w:tcW w:w="7780" w:type="dxa"/>
            <w:vAlign w:val="bottom"/>
            <w:gridSpan w:val="37"/>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080" w:type="dxa"/>
            <w:vAlign w:val="bottom"/>
          </w:tcPr>
          <w:p>
            <w:pPr>
              <w:spacing w:after="0" w:line="223" w:lineRule="exact"/>
              <w:rPr>
                <w:sz w:val="20"/>
                <w:szCs w:val="20"/>
                <w:color w:val="auto"/>
              </w:rPr>
            </w:pPr>
            <w:r>
              <w:rPr>
                <w:rFonts w:ascii="Times New Roman" w:cs="Times New Roman" w:eastAsia="Times New Roman" w:hAnsi="Times New Roman"/>
                <w:sz w:val="20"/>
                <w:szCs w:val="20"/>
                <w:color w:val="auto"/>
              </w:rPr>
              <w:t>Section 2.13</w:t>
            </w:r>
          </w:p>
        </w:tc>
        <w:tc>
          <w:tcPr>
            <w:tcW w:w="900" w:type="dxa"/>
            <w:vAlign w:val="bottom"/>
            <w:gridSpan w:val="3"/>
          </w:tcPr>
          <w:p>
            <w:pPr>
              <w:ind w:left="100"/>
              <w:spacing w:after="0" w:line="223" w:lineRule="exact"/>
              <w:rPr>
                <w:sz w:val="20"/>
                <w:szCs w:val="20"/>
                <w:color w:val="auto"/>
              </w:rPr>
            </w:pPr>
            <w:r>
              <w:rPr>
                <w:rFonts w:ascii="Times New Roman" w:cs="Times New Roman" w:eastAsia="Times New Roman" w:hAnsi="Times New Roman"/>
                <w:sz w:val="20"/>
                <w:szCs w:val="20"/>
                <w:color w:val="auto"/>
              </w:rPr>
              <w:t>Interest</w:t>
            </w:r>
          </w:p>
        </w:tc>
        <w:tc>
          <w:tcPr>
            <w:tcW w:w="260" w:type="dxa"/>
            <w:vAlign w:val="bottom"/>
            <w:gridSpan w:val="4"/>
          </w:tcPr>
          <w:p>
            <w:pPr>
              <w:jc w:val="right"/>
              <w:ind w:right="80"/>
              <w:spacing w:after="0" w:line="223" w:lineRule="exact"/>
              <w:rPr>
                <w:sz w:val="20"/>
                <w:szCs w:val="20"/>
                <w:color w:val="auto"/>
              </w:rPr>
            </w:pPr>
            <w:r>
              <w:rPr>
                <w:rFonts w:ascii="Times New Roman" w:cs="Times New Roman" w:eastAsia="Times New Roman" w:hAnsi="Times New Roman"/>
                <w:sz w:val="20"/>
                <w:szCs w:val="20"/>
                <w:color w:val="FF0000"/>
                <w:strike w:val="1"/>
                <w:w w:val="79"/>
              </w:rPr>
              <w:t>83</w:t>
            </w:r>
          </w:p>
        </w:tc>
        <w:tc>
          <w:tcPr>
            <w:tcW w:w="240" w:type="dxa"/>
            <w:vAlign w:val="bottom"/>
            <w:gridSpan w:val="3"/>
            <w:vMerge w:val="continue"/>
          </w:tcPr>
          <w:p>
            <w:pPr>
              <w:spacing w:after="0"/>
              <w:rPr>
                <w:sz w:val="19"/>
                <w:szCs w:val="19"/>
                <w:color w:val="auto"/>
              </w:rPr>
            </w:pPr>
          </w:p>
        </w:tc>
        <w:tc>
          <w:tcPr>
            <w:tcW w:w="1140" w:type="dxa"/>
            <w:vAlign w:val="bottom"/>
            <w:gridSpan w:val="31"/>
          </w:tcPr>
          <w:p>
            <w:pPr>
              <w:spacing w:after="0"/>
              <w:rPr>
                <w:sz w:val="19"/>
                <w:szCs w:val="19"/>
                <w:color w:val="auto"/>
              </w:rPr>
            </w:pPr>
          </w:p>
        </w:tc>
        <w:tc>
          <w:tcPr>
            <w:tcW w:w="200" w:type="dxa"/>
            <w:vAlign w:val="bottom"/>
            <w:gridSpan w:val="7"/>
            <w:vMerge w:val="restart"/>
          </w:tcPr>
          <w:p>
            <w:pPr>
              <w:spacing w:after="0"/>
              <w:rPr>
                <w:sz w:val="20"/>
                <w:szCs w:val="20"/>
                <w:color w:val="auto"/>
              </w:rPr>
            </w:pPr>
            <w:r>
              <w:rPr>
                <w:rFonts w:ascii="Times New Roman" w:cs="Times New Roman" w:eastAsia="Times New Roman" w:hAnsi="Times New Roman"/>
                <w:sz w:val="20"/>
                <w:szCs w:val="20"/>
                <w:b w:val="1"/>
                <w:bCs w:val="1"/>
                <w:color w:val="0000FF"/>
                <w:w w:val="89"/>
              </w:rPr>
              <w:t>85</w:t>
            </w:r>
          </w:p>
        </w:tc>
        <w:tc>
          <w:tcPr>
            <w:tcW w:w="7420" w:type="dxa"/>
            <w:vAlign w:val="bottom"/>
            <w:gridSpan w:val="27"/>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right w:val="single" w:sz="8" w:color="0000FF"/>
            </w:tcBorders>
            <w:gridSpan w:val="2"/>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200" w:type="dxa"/>
            <w:vAlign w:val="bottom"/>
            <w:gridSpan w:val="7"/>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80" w:type="dxa"/>
            <w:vAlign w:val="bottom"/>
          </w:tcPr>
          <w:p>
            <w:pPr>
              <w:spacing w:after="0"/>
              <w:rPr>
                <w:sz w:val="20"/>
                <w:szCs w:val="20"/>
                <w:color w:val="auto"/>
              </w:rPr>
            </w:pPr>
            <w:r>
              <w:rPr>
                <w:rFonts w:ascii="Times New Roman" w:cs="Times New Roman" w:eastAsia="Times New Roman" w:hAnsi="Times New Roman"/>
                <w:sz w:val="20"/>
                <w:szCs w:val="20"/>
                <w:color w:val="auto"/>
              </w:rPr>
              <w:t>Section 2.14</w:t>
            </w:r>
          </w:p>
        </w:tc>
        <w:tc>
          <w:tcPr>
            <w:tcW w:w="2300" w:type="dxa"/>
            <w:vAlign w:val="bottom"/>
            <w:gridSpan w:val="35"/>
          </w:tcPr>
          <w:p>
            <w:pPr>
              <w:ind w:left="100"/>
              <w:spacing w:after="0"/>
              <w:rPr>
                <w:sz w:val="20"/>
                <w:szCs w:val="20"/>
                <w:color w:val="auto"/>
              </w:rPr>
            </w:pPr>
            <w:r>
              <w:rPr>
                <w:rFonts w:ascii="Times New Roman" w:cs="Times New Roman" w:eastAsia="Times New Roman" w:hAnsi="Times New Roman"/>
                <w:sz w:val="20"/>
                <w:szCs w:val="20"/>
                <w:color w:val="auto"/>
              </w:rPr>
              <w:t>Alternate Rate of Interest</w:t>
            </w:r>
          </w:p>
        </w:tc>
        <w:tc>
          <w:tcPr>
            <w:tcW w:w="240" w:type="dxa"/>
            <w:vAlign w:val="bottom"/>
            <w:gridSpan w:val="6"/>
          </w:tcPr>
          <w:p>
            <w:pPr>
              <w:spacing w:after="0"/>
              <w:rPr>
                <w:sz w:val="20"/>
                <w:szCs w:val="20"/>
                <w:color w:val="auto"/>
              </w:rPr>
            </w:pPr>
            <w:r>
              <w:rPr>
                <w:rFonts w:ascii="Times New Roman" w:cs="Times New Roman" w:eastAsia="Times New Roman" w:hAnsi="Times New Roman"/>
                <w:sz w:val="20"/>
                <w:szCs w:val="20"/>
                <w:color w:val="FF0000"/>
                <w:strike w:val="1"/>
                <w:w w:val="99"/>
              </w:rPr>
              <w:t>84</w:t>
            </w:r>
          </w:p>
        </w:tc>
        <w:tc>
          <w:tcPr>
            <w:tcW w:w="200" w:type="dxa"/>
            <w:vAlign w:val="bottom"/>
            <w:gridSpan w:val="7"/>
            <w:vMerge w:val="continue"/>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080" w:type="dxa"/>
            <w:vAlign w:val="bottom"/>
          </w:tcPr>
          <w:p>
            <w:pPr>
              <w:spacing w:after="0"/>
              <w:rPr>
                <w:sz w:val="20"/>
                <w:szCs w:val="20"/>
                <w:color w:val="auto"/>
              </w:rPr>
            </w:pPr>
            <w:r>
              <w:rPr>
                <w:rFonts w:ascii="Times New Roman" w:cs="Times New Roman" w:eastAsia="Times New Roman" w:hAnsi="Times New Roman"/>
                <w:sz w:val="20"/>
                <w:szCs w:val="20"/>
                <w:color w:val="auto"/>
              </w:rPr>
              <w:t>Section 2.15</w:t>
            </w:r>
          </w:p>
        </w:tc>
        <w:tc>
          <w:tcPr>
            <w:tcW w:w="1540" w:type="dxa"/>
            <w:vAlign w:val="bottom"/>
            <w:gridSpan w:val="13"/>
          </w:tcPr>
          <w:p>
            <w:pPr>
              <w:ind w:left="100"/>
              <w:spacing w:after="0"/>
              <w:rPr>
                <w:sz w:val="20"/>
                <w:szCs w:val="20"/>
                <w:color w:val="auto"/>
              </w:rPr>
            </w:pPr>
            <w:r>
              <w:rPr>
                <w:rFonts w:ascii="Times New Roman" w:cs="Times New Roman" w:eastAsia="Times New Roman" w:hAnsi="Times New Roman"/>
                <w:sz w:val="20"/>
                <w:szCs w:val="20"/>
                <w:color w:val="auto"/>
                <w:w w:val="99"/>
              </w:rPr>
              <w:t>Increased Costs</w:t>
            </w:r>
          </w:p>
        </w:tc>
        <w:tc>
          <w:tcPr>
            <w:tcW w:w="20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FF0000"/>
                <w:strike w:val="1"/>
                <w:w w:val="89"/>
              </w:rPr>
              <w:t>84</w:t>
            </w:r>
          </w:p>
        </w:tc>
        <w:tc>
          <w:tcPr>
            <w:tcW w:w="200" w:type="dxa"/>
            <w:vAlign w:val="bottom"/>
            <w:tcBorders>
              <w:bottom w:val="single" w:sz="8" w:color="0000FF"/>
            </w:tcBorders>
            <w:gridSpan w:val="7"/>
          </w:tcPr>
          <w:p>
            <w:pPr>
              <w:jc w:val="right"/>
              <w:spacing w:after="0"/>
              <w:rPr>
                <w:sz w:val="20"/>
                <w:szCs w:val="20"/>
                <w:color w:val="auto"/>
              </w:rPr>
            </w:pPr>
            <w:r>
              <w:rPr>
                <w:rFonts w:ascii="Times New Roman" w:cs="Times New Roman" w:eastAsia="Times New Roman" w:hAnsi="Times New Roman"/>
                <w:sz w:val="20"/>
                <w:szCs w:val="20"/>
                <w:b w:val="1"/>
                <w:bCs w:val="1"/>
                <w:color w:val="0000FF"/>
                <w:w w:val="89"/>
              </w:rPr>
              <w:t>86</w:t>
            </w:r>
          </w:p>
        </w:tc>
        <w:tc>
          <w:tcPr>
            <w:tcW w:w="600" w:type="dxa"/>
            <w:vAlign w:val="bottom"/>
            <w:gridSpan w:val="16"/>
          </w:tcPr>
          <w:p>
            <w:pPr>
              <w:spacing w:after="0"/>
              <w:rPr>
                <w:sz w:val="20"/>
                <w:szCs w:val="20"/>
                <w:color w:val="auto"/>
              </w:rPr>
            </w:pPr>
          </w:p>
        </w:tc>
        <w:tc>
          <w:tcPr>
            <w:tcW w:w="160" w:type="dxa"/>
            <w:vAlign w:val="bottom"/>
            <w:tcBorders>
              <w:top w:val="single" w:sz="8" w:color="0000FF"/>
            </w:tcBorders>
            <w:gridSpan w:val="6"/>
          </w:tcPr>
          <w:p>
            <w:pPr>
              <w:spacing w:after="0"/>
              <w:rPr>
                <w:sz w:val="20"/>
                <w:szCs w:val="20"/>
                <w:color w:val="auto"/>
              </w:rPr>
            </w:pPr>
          </w:p>
        </w:tc>
        <w:tc>
          <w:tcPr>
            <w:tcW w:w="7460" w:type="dxa"/>
            <w:vAlign w:val="bottom"/>
            <w:gridSpan w:val="28"/>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080" w:type="dxa"/>
            <w:vAlign w:val="bottom"/>
          </w:tcPr>
          <w:p>
            <w:pPr>
              <w:spacing w:after="0" w:line="223" w:lineRule="exact"/>
              <w:rPr>
                <w:sz w:val="20"/>
                <w:szCs w:val="20"/>
                <w:color w:val="auto"/>
              </w:rPr>
            </w:pPr>
            <w:r>
              <w:rPr>
                <w:rFonts w:ascii="Times New Roman" w:cs="Times New Roman" w:eastAsia="Times New Roman" w:hAnsi="Times New Roman"/>
                <w:sz w:val="20"/>
                <w:szCs w:val="20"/>
                <w:color w:val="auto"/>
              </w:rPr>
              <w:t>Section 2.16</w:t>
            </w:r>
          </w:p>
        </w:tc>
        <w:tc>
          <w:tcPr>
            <w:tcW w:w="2300" w:type="dxa"/>
            <w:vAlign w:val="bottom"/>
            <w:gridSpan w:val="35"/>
          </w:tcPr>
          <w:p>
            <w:pPr>
              <w:ind w:left="100"/>
              <w:spacing w:after="0" w:line="223" w:lineRule="exact"/>
              <w:rPr>
                <w:sz w:val="20"/>
                <w:szCs w:val="20"/>
                <w:color w:val="auto"/>
              </w:rPr>
            </w:pPr>
            <w:r>
              <w:rPr>
                <w:rFonts w:ascii="Times New Roman" w:cs="Times New Roman" w:eastAsia="Times New Roman" w:hAnsi="Times New Roman"/>
                <w:sz w:val="20"/>
                <w:szCs w:val="20"/>
                <w:color w:val="auto"/>
              </w:rPr>
              <w:t>Break Funding Payments</w:t>
            </w:r>
          </w:p>
        </w:tc>
        <w:tc>
          <w:tcPr>
            <w:tcW w:w="240" w:type="dxa"/>
            <w:vAlign w:val="bottom"/>
            <w:gridSpan w:val="6"/>
          </w:tcPr>
          <w:p>
            <w:pPr>
              <w:spacing w:after="0" w:line="223" w:lineRule="exact"/>
              <w:rPr>
                <w:sz w:val="20"/>
                <w:szCs w:val="20"/>
                <w:color w:val="auto"/>
              </w:rPr>
            </w:pPr>
            <w:r>
              <w:rPr>
                <w:rFonts w:ascii="Times New Roman" w:cs="Times New Roman" w:eastAsia="Times New Roman" w:hAnsi="Times New Roman"/>
                <w:sz w:val="20"/>
                <w:szCs w:val="20"/>
                <w:color w:val="FF0000"/>
                <w:strike w:val="1"/>
                <w:w w:val="99"/>
              </w:rPr>
              <w:t>86</w:t>
            </w:r>
          </w:p>
        </w:tc>
        <w:tc>
          <w:tcPr>
            <w:tcW w:w="16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9"/>
                <w:szCs w:val="19"/>
                <w:b w:val="1"/>
                <w:bCs w:val="1"/>
                <w:color w:val="0000FF"/>
                <w:w w:val="73"/>
              </w:rPr>
              <w:t>87</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1080" w:type="dxa"/>
            <w:vAlign w:val="bottom"/>
          </w:tcPr>
          <w:p>
            <w:pPr>
              <w:spacing w:after="0"/>
              <w:rPr>
                <w:sz w:val="20"/>
                <w:szCs w:val="20"/>
                <w:color w:val="auto"/>
              </w:rPr>
            </w:pPr>
            <w:r>
              <w:rPr>
                <w:rFonts w:ascii="Times New Roman" w:cs="Times New Roman" w:eastAsia="Times New Roman" w:hAnsi="Times New Roman"/>
                <w:sz w:val="20"/>
                <w:szCs w:val="20"/>
                <w:color w:val="auto"/>
              </w:rPr>
              <w:t>Section 2.17</w:t>
            </w:r>
          </w:p>
        </w:tc>
        <w:tc>
          <w:tcPr>
            <w:tcW w:w="6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Taxes</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FF0000"/>
                <w:strike w:val="1"/>
              </w:rPr>
              <w:t>86</w:t>
            </w:r>
          </w:p>
        </w:tc>
        <w:tc>
          <w:tcPr>
            <w:tcW w:w="200" w:type="dxa"/>
            <w:vAlign w:val="bottom"/>
            <w:tcBorders>
              <w:bottom w:val="single" w:sz="8" w:color="0000FF"/>
            </w:tcBorders>
            <w:gridSpan w:val="3"/>
          </w:tcPr>
          <w:p>
            <w:pPr>
              <w:jc w:val="right"/>
              <w:spacing w:after="0"/>
              <w:rPr>
                <w:sz w:val="20"/>
                <w:szCs w:val="20"/>
                <w:color w:val="auto"/>
              </w:rPr>
            </w:pPr>
            <w:r>
              <w:rPr>
                <w:rFonts w:ascii="Times New Roman" w:cs="Times New Roman" w:eastAsia="Times New Roman" w:hAnsi="Times New Roman"/>
                <w:sz w:val="20"/>
                <w:szCs w:val="20"/>
                <w:b w:val="1"/>
                <w:bCs w:val="1"/>
                <w:color w:val="0000FF"/>
                <w:w w:val="89"/>
              </w:rPr>
              <w:t>87</w:t>
            </w:r>
          </w:p>
        </w:tc>
        <w:tc>
          <w:tcPr>
            <w:tcW w:w="4180" w:type="dxa"/>
            <w:vAlign w:val="bottom"/>
            <w:gridSpan w:val="66"/>
          </w:tcPr>
          <w:p>
            <w:pPr>
              <w:spacing w:after="0"/>
              <w:rPr>
                <w:sz w:val="20"/>
                <w:szCs w:val="20"/>
                <w:color w:val="auto"/>
              </w:rPr>
            </w:pPr>
          </w:p>
        </w:tc>
        <w:tc>
          <w:tcPr>
            <w:tcW w:w="4820" w:type="dxa"/>
            <w:vAlign w:val="bottom"/>
            <w:gridSpan w:val="2"/>
            <w:vMerge w:val="restart"/>
          </w:tcPr>
          <w:p>
            <w:pPr>
              <w:jc w:val="right"/>
              <w:ind w:right="4620"/>
              <w:spacing w:after="0"/>
              <w:rPr>
                <w:sz w:val="20"/>
                <w:szCs w:val="20"/>
                <w:color w:val="auto"/>
              </w:rPr>
            </w:pPr>
            <w:r>
              <w:rPr>
                <w:rFonts w:ascii="Times New Roman" w:cs="Times New Roman" w:eastAsia="Times New Roman" w:hAnsi="Times New Roman"/>
                <w:sz w:val="20"/>
                <w:szCs w:val="20"/>
                <w:b w:val="1"/>
                <w:bCs w:val="1"/>
                <w:color w:val="0000FF"/>
                <w:w w:val="89"/>
              </w:rPr>
              <w:t>91</w:t>
            </w:r>
          </w:p>
        </w:tc>
        <w:tc>
          <w:tcPr>
            <w:tcW w:w="0" w:type="dxa"/>
            <w:vAlign w:val="bottom"/>
          </w:tcPr>
          <w:p>
            <w:pPr>
              <w:spacing w:after="0"/>
              <w:rPr>
                <w:sz w:val="1"/>
                <w:szCs w:val="1"/>
                <w:color w:val="auto"/>
              </w:rPr>
            </w:pPr>
          </w:p>
        </w:tc>
      </w:tr>
      <w:tr>
        <w:trPr>
          <w:trHeight w:val="223"/>
        </w:trPr>
        <w:tc>
          <w:tcPr>
            <w:tcW w:w="1080" w:type="dxa"/>
            <w:vAlign w:val="bottom"/>
          </w:tcPr>
          <w:p>
            <w:pPr>
              <w:spacing w:after="0" w:line="223" w:lineRule="exact"/>
              <w:rPr>
                <w:sz w:val="20"/>
                <w:szCs w:val="20"/>
                <w:color w:val="auto"/>
              </w:rPr>
            </w:pPr>
            <w:r>
              <w:rPr>
                <w:rFonts w:ascii="Times New Roman" w:cs="Times New Roman" w:eastAsia="Times New Roman" w:hAnsi="Times New Roman"/>
                <w:sz w:val="20"/>
                <w:szCs w:val="20"/>
                <w:color w:val="auto"/>
              </w:rPr>
              <w:t>Section 2.18</w:t>
            </w:r>
          </w:p>
        </w:tc>
        <w:tc>
          <w:tcPr>
            <w:tcW w:w="5160" w:type="dxa"/>
            <w:vAlign w:val="bottom"/>
            <w:gridSpan w:val="71"/>
          </w:tcPr>
          <w:p>
            <w:pPr>
              <w:ind w:left="100"/>
              <w:spacing w:after="0" w:line="223" w:lineRule="exact"/>
              <w:rPr>
                <w:sz w:val="20"/>
                <w:szCs w:val="20"/>
                <w:color w:val="auto"/>
              </w:rPr>
            </w:pPr>
            <w:r>
              <w:rPr>
                <w:rFonts w:ascii="Times New Roman" w:cs="Times New Roman" w:eastAsia="Times New Roman" w:hAnsi="Times New Roman"/>
                <w:sz w:val="20"/>
                <w:szCs w:val="20"/>
                <w:color w:val="auto"/>
              </w:rPr>
              <w:t>Payments Generally; Pro Rata Treatment; Sharing of Set-offs</w:t>
            </w:r>
          </w:p>
        </w:tc>
        <w:tc>
          <w:tcPr>
            <w:tcW w:w="18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FF0000"/>
                <w:strike w:val="1"/>
                <w:w w:val="79"/>
              </w:rPr>
              <w:t>89</w:t>
            </w:r>
          </w:p>
        </w:tc>
        <w:tc>
          <w:tcPr>
            <w:tcW w:w="48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080" w:type="dxa"/>
            <w:vAlign w:val="bottom"/>
          </w:tcPr>
          <w:p>
            <w:pPr>
              <w:spacing w:after="0"/>
              <w:rPr>
                <w:sz w:val="20"/>
                <w:szCs w:val="20"/>
                <w:color w:val="auto"/>
              </w:rPr>
            </w:pPr>
            <w:r>
              <w:rPr>
                <w:rFonts w:ascii="Times New Roman" w:cs="Times New Roman" w:eastAsia="Times New Roman" w:hAnsi="Times New Roman"/>
                <w:sz w:val="20"/>
                <w:szCs w:val="20"/>
                <w:color w:val="auto"/>
              </w:rPr>
              <w:t>Section 2.19</w:t>
            </w:r>
          </w:p>
        </w:tc>
        <w:tc>
          <w:tcPr>
            <w:tcW w:w="4140" w:type="dxa"/>
            <w:vAlign w:val="bottom"/>
            <w:gridSpan w:val="65"/>
          </w:tcPr>
          <w:p>
            <w:pPr>
              <w:ind w:left="100"/>
              <w:spacing w:after="0"/>
              <w:rPr>
                <w:sz w:val="20"/>
                <w:szCs w:val="20"/>
                <w:color w:val="auto"/>
              </w:rPr>
            </w:pPr>
            <w:r>
              <w:rPr>
                <w:rFonts w:ascii="Times New Roman" w:cs="Times New Roman" w:eastAsia="Times New Roman" w:hAnsi="Times New Roman"/>
                <w:sz w:val="20"/>
                <w:szCs w:val="20"/>
                <w:color w:val="auto"/>
              </w:rPr>
              <w:t>Mitigation Obligations; Replacement of Lenders</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FF0000"/>
                <w:strike w:val="1"/>
                <w:w w:val="89"/>
              </w:rPr>
              <w:t>91</w:t>
            </w:r>
          </w:p>
        </w:tc>
        <w:tc>
          <w:tcPr>
            <w:tcW w:w="1000" w:type="dxa"/>
            <w:vAlign w:val="bottom"/>
            <w:gridSpan w:val="6"/>
          </w:tcPr>
          <w:p>
            <w:pPr>
              <w:jc w:val="right"/>
              <w:ind w:right="800"/>
              <w:spacing w:after="0"/>
              <w:rPr>
                <w:sz w:val="20"/>
                <w:szCs w:val="20"/>
                <w:color w:val="auto"/>
              </w:rPr>
            </w:pPr>
            <w:r>
              <w:rPr>
                <w:rFonts w:ascii="Times New Roman" w:cs="Times New Roman" w:eastAsia="Times New Roman" w:hAnsi="Times New Roman"/>
                <w:sz w:val="20"/>
                <w:szCs w:val="20"/>
                <w:b w:val="1"/>
                <w:bCs w:val="1"/>
                <w:color w:val="0000FF"/>
                <w:w w:val="89"/>
              </w:rPr>
              <w:t>92</w:t>
            </w:r>
          </w:p>
        </w:tc>
        <w:tc>
          <w:tcPr>
            <w:tcW w:w="200" w:type="dxa"/>
            <w:vAlign w:val="bottom"/>
            <w:tcBorders>
              <w:top w:val="single" w:sz="8" w:color="0000FF"/>
            </w:tcBorders>
          </w:tcPr>
          <w:p>
            <w:pPr>
              <w:spacing w:after="0"/>
              <w:rPr>
                <w:sz w:val="20"/>
                <w:szCs w:val="20"/>
                <w:color w:val="auto"/>
              </w:rPr>
            </w:pPr>
          </w:p>
        </w:tc>
        <w:tc>
          <w:tcPr>
            <w:tcW w:w="4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080" w:type="dxa"/>
            <w:vAlign w:val="bottom"/>
          </w:tcPr>
          <w:p>
            <w:pPr>
              <w:spacing w:after="0"/>
              <w:rPr>
                <w:sz w:val="20"/>
                <w:szCs w:val="20"/>
                <w:color w:val="auto"/>
              </w:rPr>
            </w:pPr>
            <w:r>
              <w:rPr>
                <w:rFonts w:ascii="Times New Roman" w:cs="Times New Roman" w:eastAsia="Times New Roman" w:hAnsi="Times New Roman"/>
                <w:sz w:val="20"/>
                <w:szCs w:val="20"/>
                <w:color w:val="auto"/>
              </w:rPr>
              <w:t>Section 2.20</w:t>
            </w:r>
          </w:p>
        </w:tc>
        <w:tc>
          <w:tcPr>
            <w:tcW w:w="960" w:type="dxa"/>
            <w:vAlign w:val="bottom"/>
            <w:gridSpan w:val="4"/>
          </w:tcPr>
          <w:p>
            <w:pPr>
              <w:ind w:left="100"/>
              <w:spacing w:after="0"/>
              <w:rPr>
                <w:sz w:val="20"/>
                <w:szCs w:val="20"/>
                <w:color w:val="auto"/>
              </w:rPr>
            </w:pPr>
            <w:r>
              <w:rPr>
                <w:rFonts w:ascii="Times New Roman" w:cs="Times New Roman" w:eastAsia="Times New Roman" w:hAnsi="Times New Roman"/>
                <w:sz w:val="20"/>
                <w:szCs w:val="20"/>
                <w:color w:val="auto"/>
              </w:rPr>
              <w:t>Illegality</w:t>
            </w:r>
          </w:p>
        </w:tc>
        <w:tc>
          <w:tcPr>
            <w:tcW w:w="320" w:type="dxa"/>
            <w:vAlign w:val="bottom"/>
            <w:gridSpan w:val="4"/>
          </w:tcPr>
          <w:p>
            <w:pPr>
              <w:ind w:left="60"/>
              <w:spacing w:after="0"/>
              <w:rPr>
                <w:sz w:val="20"/>
                <w:szCs w:val="20"/>
                <w:color w:val="auto"/>
              </w:rPr>
            </w:pPr>
            <w:r>
              <w:rPr>
                <w:rFonts w:ascii="Times New Roman" w:cs="Times New Roman" w:eastAsia="Times New Roman" w:hAnsi="Times New Roman"/>
                <w:sz w:val="20"/>
                <w:szCs w:val="20"/>
                <w:color w:val="FF0000"/>
                <w:strike w:val="1"/>
              </w:rPr>
              <w:t>92</w:t>
            </w:r>
          </w:p>
        </w:tc>
        <w:tc>
          <w:tcPr>
            <w:tcW w:w="1340" w:type="dxa"/>
            <w:vAlign w:val="bottom"/>
            <w:gridSpan w:val="37"/>
          </w:tcPr>
          <w:p>
            <w:pPr>
              <w:spacing w:after="0"/>
              <w:rPr>
                <w:sz w:val="20"/>
                <w:szCs w:val="20"/>
                <w:color w:val="auto"/>
              </w:rPr>
            </w:pPr>
            <w:r>
              <w:rPr>
                <w:rFonts w:ascii="Times New Roman" w:cs="Times New Roman" w:eastAsia="Times New Roman" w:hAnsi="Times New Roman"/>
                <w:sz w:val="16"/>
                <w:szCs w:val="16"/>
                <w:b w:val="1"/>
                <w:bCs w:val="1"/>
                <w:color w:val="0000FF"/>
                <w:w w:val="74"/>
              </w:rPr>
              <w:t>94</w:t>
            </w:r>
          </w:p>
        </w:tc>
        <w:tc>
          <w:tcPr>
            <w:tcW w:w="200" w:type="dxa"/>
            <w:vAlign w:val="bottom"/>
            <w:gridSpan w:val="5"/>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0000FF"/>
                <w:w w:val="89"/>
              </w:rPr>
              <w:t>94</w:t>
            </w:r>
          </w:p>
        </w:tc>
        <w:tc>
          <w:tcPr>
            <w:tcW w:w="1520" w:type="dxa"/>
            <w:vAlign w:val="bottom"/>
            <w:gridSpan w:val="17"/>
          </w:tcPr>
          <w:p>
            <w:pPr>
              <w:spacing w:after="0"/>
              <w:rPr>
                <w:sz w:val="20"/>
                <w:szCs w:val="20"/>
                <w:color w:val="auto"/>
              </w:rPr>
            </w:pPr>
          </w:p>
        </w:tc>
        <w:tc>
          <w:tcPr>
            <w:tcW w:w="200" w:type="dxa"/>
            <w:vAlign w:val="bottom"/>
            <w:tcBorders>
              <w:top w:val="single" w:sz="8" w:color="0000FF"/>
            </w:tcBorders>
          </w:tcPr>
          <w:p>
            <w:pPr>
              <w:spacing w:after="0"/>
              <w:rPr>
                <w:sz w:val="20"/>
                <w:szCs w:val="20"/>
                <w:color w:val="auto"/>
              </w:rPr>
            </w:pPr>
          </w:p>
        </w:tc>
        <w:tc>
          <w:tcPr>
            <w:tcW w:w="5620" w:type="dxa"/>
            <w:vAlign w:val="bottom"/>
            <w:gridSpan w:val="7"/>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12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5"/>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1080" w:type="dxa"/>
            <w:vAlign w:val="bottom"/>
          </w:tcPr>
          <w:p>
            <w:pPr>
              <w:spacing w:after="0" w:line="223" w:lineRule="exact"/>
              <w:rPr>
                <w:sz w:val="20"/>
                <w:szCs w:val="20"/>
                <w:color w:val="auto"/>
              </w:rPr>
            </w:pPr>
            <w:r>
              <w:rPr>
                <w:rFonts w:ascii="Times New Roman" w:cs="Times New Roman" w:eastAsia="Times New Roman" w:hAnsi="Times New Roman"/>
                <w:sz w:val="20"/>
                <w:szCs w:val="20"/>
                <w:color w:val="auto"/>
              </w:rPr>
              <w:t>Section 2.21</w:t>
            </w:r>
          </w:p>
        </w:tc>
        <w:tc>
          <w:tcPr>
            <w:tcW w:w="2300" w:type="dxa"/>
            <w:vAlign w:val="bottom"/>
            <w:gridSpan w:val="35"/>
          </w:tcPr>
          <w:p>
            <w:pPr>
              <w:ind w:left="100"/>
              <w:spacing w:after="0" w:line="223" w:lineRule="exact"/>
              <w:rPr>
                <w:sz w:val="20"/>
                <w:szCs w:val="20"/>
                <w:color w:val="auto"/>
              </w:rPr>
            </w:pPr>
            <w:r>
              <w:rPr>
                <w:rFonts w:ascii="Times New Roman" w:cs="Times New Roman" w:eastAsia="Times New Roman" w:hAnsi="Times New Roman"/>
                <w:sz w:val="20"/>
                <w:szCs w:val="20"/>
                <w:color w:val="auto"/>
              </w:rPr>
              <w:t>Incremental Commitments</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gridSpan w:val="6"/>
          </w:tcPr>
          <w:p>
            <w:pPr>
              <w:jc w:val="right"/>
              <w:spacing w:after="0" w:line="223" w:lineRule="exact"/>
              <w:rPr>
                <w:sz w:val="20"/>
                <w:szCs w:val="20"/>
                <w:color w:val="auto"/>
              </w:rPr>
            </w:pPr>
            <w:r>
              <w:rPr>
                <w:rFonts w:ascii="Times New Roman" w:cs="Times New Roman" w:eastAsia="Times New Roman" w:hAnsi="Times New Roman"/>
                <w:sz w:val="20"/>
                <w:szCs w:val="20"/>
                <w:color w:val="FF0000"/>
                <w:strike w:val="1"/>
                <w:w w:val="89"/>
              </w:rPr>
              <w:t>92</w:t>
            </w:r>
          </w:p>
        </w:tc>
        <w:tc>
          <w:tcPr>
            <w:tcW w:w="200" w:type="dxa"/>
            <w:vAlign w:val="bottom"/>
            <w:tcBorders>
              <w:bottom w:val="single" w:sz="8" w:color="0000FF"/>
            </w:tcBorders>
            <w:gridSpan w:val="5"/>
            <w:vMerge w:val="continue"/>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1080" w:type="dxa"/>
            <w:vAlign w:val="bottom"/>
          </w:tcPr>
          <w:p>
            <w:pPr>
              <w:spacing w:after="0"/>
              <w:rPr>
                <w:sz w:val="20"/>
                <w:szCs w:val="20"/>
                <w:color w:val="auto"/>
              </w:rPr>
            </w:pPr>
            <w:r>
              <w:rPr>
                <w:rFonts w:ascii="Times New Roman" w:cs="Times New Roman" w:eastAsia="Times New Roman" w:hAnsi="Times New Roman"/>
                <w:sz w:val="20"/>
                <w:szCs w:val="20"/>
                <w:color w:val="auto"/>
              </w:rPr>
              <w:t>Section 2.22</w:t>
            </w:r>
          </w:p>
        </w:tc>
        <w:tc>
          <w:tcPr>
            <w:tcW w:w="1580" w:type="dxa"/>
            <w:vAlign w:val="bottom"/>
            <w:gridSpan w:val="14"/>
          </w:tcPr>
          <w:p>
            <w:pPr>
              <w:ind w:left="100"/>
              <w:spacing w:after="0"/>
              <w:rPr>
                <w:sz w:val="20"/>
                <w:szCs w:val="20"/>
                <w:color w:val="auto"/>
              </w:rPr>
            </w:pPr>
            <w:r>
              <w:rPr>
                <w:rFonts w:ascii="Times New Roman" w:cs="Times New Roman" w:eastAsia="Times New Roman" w:hAnsi="Times New Roman"/>
                <w:sz w:val="20"/>
                <w:szCs w:val="20"/>
                <w:color w:val="auto"/>
                <w:w w:val="99"/>
              </w:rPr>
              <w:t>Defaulting Lender</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gridSpan w:val="12"/>
          </w:tcPr>
          <w:p>
            <w:pPr>
              <w:jc w:val="right"/>
              <w:spacing w:after="0"/>
              <w:rPr>
                <w:sz w:val="20"/>
                <w:szCs w:val="20"/>
                <w:color w:val="auto"/>
              </w:rPr>
            </w:pPr>
            <w:r>
              <w:rPr>
                <w:rFonts w:ascii="Times New Roman" w:cs="Times New Roman" w:eastAsia="Times New Roman" w:hAnsi="Times New Roman"/>
                <w:sz w:val="20"/>
                <w:szCs w:val="20"/>
                <w:color w:val="FF0000"/>
                <w:strike w:val="1"/>
                <w:w w:val="99"/>
              </w:rPr>
              <w:t>101</w:t>
            </w:r>
          </w:p>
        </w:tc>
        <w:tc>
          <w:tcPr>
            <w:tcW w:w="300" w:type="dxa"/>
            <w:vAlign w:val="bottom"/>
            <w:gridSpan w:val="7"/>
          </w:tcPr>
          <w:p>
            <w:pPr>
              <w:jc w:val="right"/>
              <w:spacing w:after="0"/>
              <w:rPr>
                <w:sz w:val="20"/>
                <w:szCs w:val="20"/>
                <w:color w:val="auto"/>
              </w:rPr>
            </w:pPr>
            <w:r>
              <w:rPr>
                <w:rFonts w:ascii="Times New Roman" w:cs="Times New Roman" w:eastAsia="Times New Roman" w:hAnsi="Times New Roman"/>
                <w:sz w:val="20"/>
                <w:szCs w:val="20"/>
                <w:b w:val="1"/>
                <w:bCs w:val="1"/>
                <w:color w:val="0000FF"/>
                <w:w w:val="86"/>
              </w:rPr>
              <w:t>103</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gridSpan w:val="8"/>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0000FF"/>
                <w:w w:val="99"/>
              </w:rPr>
              <w:t>104</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40" w:type="dxa"/>
            <w:vAlign w:val="bottom"/>
            <w:tcBorders>
              <w:right w:val="single" w:sz="8" w:color="0000FF"/>
            </w:tcBorders>
            <w:gridSpan w:val="5"/>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00" w:type="dxa"/>
            <w:vAlign w:val="bottom"/>
            <w:gridSpan w:val="8"/>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1080" w:type="dxa"/>
            <w:vAlign w:val="bottom"/>
          </w:tcPr>
          <w:p>
            <w:pPr>
              <w:spacing w:after="0" w:line="223" w:lineRule="exact"/>
              <w:rPr>
                <w:sz w:val="20"/>
                <w:szCs w:val="20"/>
                <w:color w:val="auto"/>
              </w:rPr>
            </w:pPr>
            <w:r>
              <w:rPr>
                <w:rFonts w:ascii="Times New Roman" w:cs="Times New Roman" w:eastAsia="Times New Roman" w:hAnsi="Times New Roman"/>
                <w:sz w:val="20"/>
                <w:szCs w:val="20"/>
                <w:color w:val="auto"/>
              </w:rPr>
              <w:t>Section 2.23</w:t>
            </w:r>
          </w:p>
        </w:tc>
        <w:tc>
          <w:tcPr>
            <w:tcW w:w="2300" w:type="dxa"/>
            <w:vAlign w:val="bottom"/>
            <w:gridSpan w:val="35"/>
          </w:tcPr>
          <w:p>
            <w:pPr>
              <w:ind w:left="100"/>
              <w:spacing w:after="0" w:line="223" w:lineRule="exact"/>
              <w:rPr>
                <w:sz w:val="20"/>
                <w:szCs w:val="20"/>
                <w:color w:val="auto"/>
              </w:rPr>
            </w:pPr>
            <w:r>
              <w:rPr>
                <w:rFonts w:ascii="Times New Roman" w:cs="Times New Roman" w:eastAsia="Times New Roman" w:hAnsi="Times New Roman"/>
                <w:sz w:val="20"/>
                <w:szCs w:val="20"/>
                <w:color w:val="auto"/>
              </w:rPr>
              <w:t>Benchmark Replacement</w:t>
            </w:r>
          </w:p>
        </w:tc>
        <w:tc>
          <w:tcPr>
            <w:tcW w:w="280" w:type="dxa"/>
            <w:vAlign w:val="bottom"/>
            <w:gridSpan w:val="8"/>
          </w:tcPr>
          <w:p>
            <w:pPr>
              <w:spacing w:after="0" w:line="223" w:lineRule="exact"/>
              <w:rPr>
                <w:sz w:val="20"/>
                <w:szCs w:val="20"/>
                <w:color w:val="auto"/>
              </w:rPr>
            </w:pPr>
            <w:r>
              <w:rPr>
                <w:rFonts w:ascii="Times New Roman" w:cs="Times New Roman" w:eastAsia="Times New Roman" w:hAnsi="Times New Roman"/>
                <w:sz w:val="20"/>
                <w:szCs w:val="20"/>
                <w:color w:val="FF0000"/>
                <w:strike w:val="1"/>
                <w:w w:val="86"/>
              </w:rPr>
              <w:t>103</w:t>
            </w:r>
          </w:p>
        </w:tc>
        <w:tc>
          <w:tcPr>
            <w:tcW w:w="300" w:type="dxa"/>
            <w:vAlign w:val="bottom"/>
            <w:tcBorders>
              <w:bottom w:val="single" w:sz="8" w:color="0000FF"/>
            </w:tcBorders>
            <w:gridSpan w:val="8"/>
            <w:vMerge w:val="continue"/>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gridSpan w:val="4"/>
            <w:vMerge w:val="restart"/>
          </w:tcPr>
          <w:p>
            <w:pPr>
              <w:jc w:val="right"/>
              <w:ind w:right="60"/>
              <w:spacing w:after="0"/>
              <w:rPr>
                <w:sz w:val="20"/>
                <w:szCs w:val="20"/>
                <w:color w:val="auto"/>
              </w:rPr>
            </w:pPr>
            <w:r>
              <w:rPr>
                <w:rFonts w:ascii="Times New Roman" w:cs="Times New Roman" w:eastAsia="Times New Roman" w:hAnsi="Times New Roman"/>
                <w:sz w:val="20"/>
                <w:szCs w:val="20"/>
                <w:b w:val="1"/>
                <w:bCs w:val="1"/>
                <w:color w:val="0000FF"/>
                <w:w w:val="93"/>
              </w:rPr>
              <w:t>106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3"/>
        </w:trPr>
        <w:tc>
          <w:tcPr>
            <w:tcW w:w="3820" w:type="dxa"/>
            <w:vAlign w:val="bottom"/>
            <w:gridSpan w:val="49"/>
          </w:tcPr>
          <w:p>
            <w:pPr>
              <w:spacing w:after="0"/>
              <w:rPr>
                <w:sz w:val="20"/>
                <w:szCs w:val="20"/>
                <w:color w:val="auto"/>
              </w:rPr>
            </w:pPr>
            <w:r>
              <w:rPr>
                <w:rFonts w:ascii="Times New Roman" w:cs="Times New Roman" w:eastAsia="Times New Roman" w:hAnsi="Times New Roman"/>
                <w:sz w:val="20"/>
                <w:szCs w:val="20"/>
                <w:color w:val="auto"/>
              </w:rPr>
              <w:t>ARTICLE III Representations and Warranties</w:t>
            </w:r>
          </w:p>
        </w:tc>
        <w:tc>
          <w:tcPr>
            <w:tcW w:w="300" w:type="dxa"/>
            <w:vAlign w:val="bottom"/>
            <w:gridSpan w:val="6"/>
          </w:tcPr>
          <w:p>
            <w:pPr>
              <w:spacing w:after="0"/>
              <w:rPr>
                <w:sz w:val="20"/>
                <w:szCs w:val="20"/>
                <w:color w:val="auto"/>
              </w:rPr>
            </w:pPr>
            <w:r>
              <w:rPr>
                <w:rFonts w:ascii="Times New Roman" w:cs="Times New Roman" w:eastAsia="Times New Roman" w:hAnsi="Times New Roman"/>
                <w:sz w:val="20"/>
                <w:szCs w:val="20"/>
                <w:color w:val="FF0000"/>
                <w:strike w:val="1"/>
                <w:w w:val="93"/>
              </w:rPr>
              <w:t>104</w:t>
            </w:r>
          </w:p>
        </w:tc>
        <w:tc>
          <w:tcPr>
            <w:tcW w:w="360" w:type="dxa"/>
            <w:vAlign w:val="bottom"/>
            <w:gridSpan w:val="4"/>
            <w:vMerge w:val="continue"/>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1080" w:type="dxa"/>
            <w:vAlign w:val="bottom"/>
          </w:tcPr>
          <w:p>
            <w:pPr>
              <w:spacing w:after="0"/>
              <w:rPr>
                <w:sz w:val="20"/>
                <w:szCs w:val="20"/>
                <w:color w:val="auto"/>
              </w:rPr>
            </w:pPr>
            <w:r>
              <w:rPr>
                <w:rFonts w:ascii="Times New Roman" w:cs="Times New Roman" w:eastAsia="Times New Roman" w:hAnsi="Times New Roman"/>
                <w:sz w:val="20"/>
                <w:szCs w:val="20"/>
                <w:color w:val="auto"/>
              </w:rPr>
              <w:t>Section 3.01</w:t>
            </w:r>
          </w:p>
        </w:tc>
        <w:tc>
          <w:tcPr>
            <w:tcW w:w="1900" w:type="dxa"/>
            <w:vAlign w:val="bottom"/>
            <w:gridSpan w:val="24"/>
          </w:tcPr>
          <w:p>
            <w:pPr>
              <w:ind w:left="100"/>
              <w:spacing w:after="0"/>
              <w:rPr>
                <w:sz w:val="20"/>
                <w:szCs w:val="20"/>
                <w:color w:val="auto"/>
              </w:rPr>
            </w:pPr>
            <w:r>
              <w:rPr>
                <w:rFonts w:ascii="Times New Roman" w:cs="Times New Roman" w:eastAsia="Times New Roman" w:hAnsi="Times New Roman"/>
                <w:sz w:val="20"/>
                <w:szCs w:val="20"/>
                <w:color w:val="auto"/>
              </w:rPr>
              <w:t>Organization; Powers</w:t>
            </w:r>
          </w:p>
        </w:tc>
        <w:tc>
          <w:tcPr>
            <w:tcW w:w="40" w:type="dxa"/>
            <w:vAlign w:val="bottom"/>
          </w:tcPr>
          <w:p>
            <w:pPr>
              <w:spacing w:after="0"/>
              <w:rPr>
                <w:sz w:val="24"/>
                <w:szCs w:val="24"/>
                <w:color w:val="auto"/>
              </w:rPr>
            </w:pPr>
          </w:p>
        </w:tc>
        <w:tc>
          <w:tcPr>
            <w:tcW w:w="6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gridSpan w:val="8"/>
          </w:tcPr>
          <w:p>
            <w:pPr>
              <w:jc w:val="right"/>
              <w:spacing w:after="0"/>
              <w:rPr>
                <w:sz w:val="20"/>
                <w:szCs w:val="20"/>
                <w:color w:val="auto"/>
              </w:rPr>
            </w:pPr>
            <w:r>
              <w:rPr>
                <w:rFonts w:ascii="Times New Roman" w:cs="Times New Roman" w:eastAsia="Times New Roman" w:hAnsi="Times New Roman"/>
                <w:sz w:val="20"/>
                <w:szCs w:val="20"/>
                <w:color w:val="FF0000"/>
                <w:strike w:val="1"/>
                <w:w w:val="93"/>
              </w:rPr>
              <w:t>104</w:t>
            </w:r>
          </w:p>
        </w:tc>
        <w:tc>
          <w:tcPr>
            <w:tcW w:w="260" w:type="dxa"/>
            <w:vAlign w:val="bottom"/>
            <w:tcBorders>
              <w:bottom w:val="single" w:sz="8" w:color="0000FF"/>
            </w:tcBorders>
            <w:gridSpan w:val="8"/>
          </w:tcPr>
          <w:p>
            <w:pPr>
              <w:jc w:val="right"/>
              <w:spacing w:after="0"/>
              <w:rPr>
                <w:sz w:val="20"/>
                <w:szCs w:val="20"/>
                <w:color w:val="auto"/>
              </w:rPr>
            </w:pPr>
            <w:r>
              <w:rPr>
                <w:rFonts w:ascii="Times New Roman" w:cs="Times New Roman" w:eastAsia="Times New Roman" w:hAnsi="Times New Roman"/>
                <w:sz w:val="20"/>
                <w:szCs w:val="20"/>
                <w:b w:val="1"/>
                <w:bCs w:val="1"/>
                <w:color w:val="0000FF"/>
                <w:w w:val="79"/>
              </w:rPr>
              <w:t>106</w:t>
            </w:r>
          </w:p>
        </w:tc>
        <w:tc>
          <w:tcPr>
            <w:tcW w:w="20" w:type="dxa"/>
            <w:vAlign w:val="bottom"/>
            <w:tcBorders>
              <w:bottom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080" w:type="dxa"/>
            <w:vAlign w:val="bottom"/>
          </w:tcPr>
          <w:p>
            <w:pPr>
              <w:spacing w:after="0" w:line="223" w:lineRule="exact"/>
              <w:rPr>
                <w:sz w:val="20"/>
                <w:szCs w:val="20"/>
                <w:color w:val="auto"/>
              </w:rPr>
            </w:pPr>
            <w:r>
              <w:rPr>
                <w:rFonts w:ascii="Times New Roman" w:cs="Times New Roman" w:eastAsia="Times New Roman" w:hAnsi="Times New Roman"/>
                <w:sz w:val="20"/>
                <w:szCs w:val="20"/>
                <w:color w:val="auto"/>
              </w:rPr>
              <w:t>Section 3.02</w:t>
            </w:r>
          </w:p>
        </w:tc>
        <w:tc>
          <w:tcPr>
            <w:tcW w:w="1400" w:type="dxa"/>
            <w:vAlign w:val="bottom"/>
            <w:gridSpan w:val="10"/>
          </w:tcPr>
          <w:p>
            <w:pPr>
              <w:ind w:left="100"/>
              <w:spacing w:after="0" w:line="223" w:lineRule="exact"/>
              <w:rPr>
                <w:sz w:val="20"/>
                <w:szCs w:val="20"/>
                <w:color w:val="auto"/>
              </w:rPr>
            </w:pPr>
            <w:r>
              <w:rPr>
                <w:rFonts w:ascii="Times New Roman" w:cs="Times New Roman" w:eastAsia="Times New Roman" w:hAnsi="Times New Roman"/>
                <w:sz w:val="20"/>
                <w:szCs w:val="20"/>
                <w:color w:val="auto"/>
              </w:rPr>
              <w:t>Authorization</w:t>
            </w:r>
          </w:p>
        </w:tc>
        <w:tc>
          <w:tcPr>
            <w:tcW w:w="300" w:type="dxa"/>
            <w:vAlign w:val="bottom"/>
            <w:gridSpan w:val="6"/>
          </w:tcPr>
          <w:p>
            <w:pPr>
              <w:spacing w:after="0" w:line="223" w:lineRule="exact"/>
              <w:rPr>
                <w:sz w:val="20"/>
                <w:szCs w:val="20"/>
                <w:color w:val="auto"/>
              </w:rPr>
            </w:pPr>
            <w:r>
              <w:rPr>
                <w:rFonts w:ascii="Times New Roman" w:cs="Times New Roman" w:eastAsia="Times New Roman" w:hAnsi="Times New Roman"/>
                <w:sz w:val="20"/>
                <w:szCs w:val="20"/>
                <w:color w:val="FF0000"/>
                <w:strike w:val="1"/>
                <w:w w:val="93"/>
              </w:rPr>
              <w:t>104</w:t>
            </w:r>
          </w:p>
        </w:tc>
        <w:tc>
          <w:tcPr>
            <w:tcW w:w="300" w:type="dxa"/>
            <w:vAlign w:val="bottom"/>
            <w:tcBorders>
              <w:bottom w:val="single" w:sz="8" w:color="0000FF"/>
            </w:tcBorders>
            <w:gridSpan w:val="11"/>
          </w:tcPr>
          <w:p>
            <w:pPr>
              <w:spacing w:after="0" w:line="223" w:lineRule="exact"/>
              <w:rPr>
                <w:sz w:val="20"/>
                <w:szCs w:val="20"/>
                <w:color w:val="auto"/>
              </w:rPr>
            </w:pPr>
            <w:r>
              <w:rPr>
                <w:rFonts w:ascii="Times New Roman" w:cs="Times New Roman" w:eastAsia="Times New Roman" w:hAnsi="Times New Roman"/>
                <w:sz w:val="20"/>
                <w:szCs w:val="20"/>
                <w:b w:val="1"/>
                <w:bCs w:val="1"/>
                <w:color w:val="0000FF"/>
                <w:w w:val="93"/>
              </w:rPr>
              <w:t>106</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1080" w:type="dxa"/>
            <w:vAlign w:val="bottom"/>
          </w:tcPr>
          <w:p>
            <w:pPr>
              <w:spacing w:after="0"/>
              <w:rPr>
                <w:sz w:val="20"/>
                <w:szCs w:val="20"/>
                <w:color w:val="auto"/>
              </w:rPr>
            </w:pPr>
            <w:r>
              <w:rPr>
                <w:rFonts w:ascii="Times New Roman" w:cs="Times New Roman" w:eastAsia="Times New Roman" w:hAnsi="Times New Roman"/>
                <w:sz w:val="20"/>
                <w:szCs w:val="20"/>
                <w:color w:val="auto"/>
              </w:rPr>
              <w:t>Section 3.03</w:t>
            </w:r>
          </w:p>
        </w:tc>
        <w:tc>
          <w:tcPr>
            <w:tcW w:w="1400" w:type="dxa"/>
            <w:vAlign w:val="bottom"/>
            <w:gridSpan w:val="10"/>
          </w:tcPr>
          <w:p>
            <w:pPr>
              <w:ind w:left="100"/>
              <w:spacing w:after="0"/>
              <w:rPr>
                <w:sz w:val="20"/>
                <w:szCs w:val="20"/>
                <w:color w:val="auto"/>
              </w:rPr>
            </w:pPr>
            <w:r>
              <w:rPr>
                <w:rFonts w:ascii="Times New Roman" w:cs="Times New Roman" w:eastAsia="Times New Roman" w:hAnsi="Times New Roman"/>
                <w:sz w:val="20"/>
                <w:szCs w:val="20"/>
                <w:color w:val="auto"/>
              </w:rPr>
              <w:t>Enforceability</w:t>
            </w:r>
          </w:p>
        </w:tc>
        <w:tc>
          <w:tcPr>
            <w:tcW w:w="20" w:type="dxa"/>
            <w:vAlign w:val="bottom"/>
          </w:tcPr>
          <w:p>
            <w:pPr>
              <w:spacing w:after="0"/>
              <w:rPr>
                <w:sz w:val="20"/>
                <w:szCs w:val="20"/>
                <w:color w:val="auto"/>
              </w:rPr>
            </w:pPr>
          </w:p>
        </w:tc>
        <w:tc>
          <w:tcPr>
            <w:tcW w:w="300" w:type="dxa"/>
            <w:vAlign w:val="bottom"/>
            <w:gridSpan w:val="6"/>
          </w:tcPr>
          <w:p>
            <w:pPr>
              <w:jc w:val="right"/>
              <w:spacing w:after="0"/>
              <w:rPr>
                <w:sz w:val="20"/>
                <w:szCs w:val="20"/>
                <w:color w:val="auto"/>
              </w:rPr>
            </w:pPr>
            <w:r>
              <w:rPr>
                <w:rFonts w:ascii="Times New Roman" w:cs="Times New Roman" w:eastAsia="Times New Roman" w:hAnsi="Times New Roman"/>
                <w:sz w:val="20"/>
                <w:szCs w:val="20"/>
                <w:color w:val="FF0000"/>
                <w:strike w:val="1"/>
                <w:w w:val="93"/>
              </w:rPr>
              <w:t>105</w:t>
            </w:r>
          </w:p>
        </w:tc>
        <w:tc>
          <w:tcPr>
            <w:tcW w:w="300" w:type="dxa"/>
            <w:vAlign w:val="bottom"/>
            <w:tcBorders>
              <w:bottom w:val="single" w:sz="8" w:color="0000FF"/>
            </w:tcBorders>
            <w:gridSpan w:val="11"/>
          </w:tcPr>
          <w:p>
            <w:pPr>
              <w:jc w:val="right"/>
              <w:spacing w:after="0"/>
              <w:rPr>
                <w:sz w:val="20"/>
                <w:szCs w:val="20"/>
                <w:color w:val="auto"/>
              </w:rPr>
            </w:pPr>
            <w:r>
              <w:rPr>
                <w:rFonts w:ascii="Times New Roman" w:cs="Times New Roman" w:eastAsia="Times New Roman" w:hAnsi="Times New Roman"/>
                <w:sz w:val="20"/>
                <w:szCs w:val="20"/>
                <w:b w:val="1"/>
                <w:bCs w:val="1"/>
                <w:color w:val="0000FF"/>
                <w:w w:val="93"/>
              </w:rPr>
              <w:t>107</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gridSpan w:val="8"/>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0000FF"/>
                <w:w w:val="99"/>
              </w:rPr>
              <w:t>107</w:t>
            </w:r>
          </w:p>
        </w:tc>
        <w:tc>
          <w:tcPr>
            <w:tcW w:w="40" w:type="dxa"/>
            <w:vAlign w:val="bottom"/>
            <w:vMerge w:val="restart"/>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1080" w:type="dxa"/>
            <w:vAlign w:val="bottom"/>
          </w:tcPr>
          <w:p>
            <w:pPr>
              <w:spacing w:after="0" w:line="223" w:lineRule="exact"/>
              <w:rPr>
                <w:sz w:val="20"/>
                <w:szCs w:val="20"/>
                <w:color w:val="auto"/>
              </w:rPr>
            </w:pPr>
            <w:r>
              <w:rPr>
                <w:rFonts w:ascii="Times New Roman" w:cs="Times New Roman" w:eastAsia="Times New Roman" w:hAnsi="Times New Roman"/>
                <w:sz w:val="20"/>
                <w:szCs w:val="20"/>
                <w:color w:val="auto"/>
              </w:rPr>
              <w:t>Section 3.04</w:t>
            </w:r>
          </w:p>
        </w:tc>
        <w:tc>
          <w:tcPr>
            <w:tcW w:w="2300" w:type="dxa"/>
            <w:vAlign w:val="bottom"/>
            <w:gridSpan w:val="35"/>
          </w:tcPr>
          <w:p>
            <w:pPr>
              <w:ind w:left="100"/>
              <w:spacing w:after="0" w:line="223" w:lineRule="exact"/>
              <w:rPr>
                <w:sz w:val="20"/>
                <w:szCs w:val="20"/>
                <w:color w:val="auto"/>
              </w:rPr>
            </w:pPr>
            <w:r>
              <w:rPr>
                <w:rFonts w:ascii="Times New Roman" w:cs="Times New Roman" w:eastAsia="Times New Roman" w:hAnsi="Times New Roman"/>
                <w:sz w:val="20"/>
                <w:szCs w:val="20"/>
                <w:color w:val="auto"/>
              </w:rPr>
              <w:t>Governmental Approvals</w:t>
            </w:r>
          </w:p>
        </w:tc>
        <w:tc>
          <w:tcPr>
            <w:tcW w:w="300" w:type="dxa"/>
            <w:vAlign w:val="bottom"/>
            <w:gridSpan w:val="9"/>
          </w:tcPr>
          <w:p>
            <w:pPr>
              <w:spacing w:after="0" w:line="223" w:lineRule="exact"/>
              <w:rPr>
                <w:sz w:val="20"/>
                <w:szCs w:val="20"/>
                <w:color w:val="auto"/>
              </w:rPr>
            </w:pPr>
            <w:r>
              <w:rPr>
                <w:rFonts w:ascii="Times New Roman" w:cs="Times New Roman" w:eastAsia="Times New Roman" w:hAnsi="Times New Roman"/>
                <w:sz w:val="20"/>
                <w:szCs w:val="20"/>
                <w:color w:val="FF0000"/>
                <w:strike w:val="1"/>
                <w:w w:val="93"/>
              </w:rPr>
              <w:t>105</w:t>
            </w:r>
          </w:p>
        </w:tc>
        <w:tc>
          <w:tcPr>
            <w:tcW w:w="300" w:type="dxa"/>
            <w:vAlign w:val="bottom"/>
            <w:tcBorders>
              <w:bottom w:val="single" w:sz="8" w:color="0000FF"/>
            </w:tcBorders>
            <w:gridSpan w:val="8"/>
            <w:vMerge w:val="continue"/>
          </w:tcPr>
          <w:p>
            <w:pPr>
              <w:spacing w:after="0"/>
              <w:rPr>
                <w:sz w:val="19"/>
                <w:szCs w:val="19"/>
                <w:color w:val="auto"/>
              </w:rPr>
            </w:pPr>
          </w:p>
        </w:tc>
        <w:tc>
          <w:tcPr>
            <w:tcW w:w="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1080" w:type="dxa"/>
            <w:vAlign w:val="bottom"/>
          </w:tcPr>
          <w:p>
            <w:pPr>
              <w:spacing w:after="0"/>
              <w:rPr>
                <w:sz w:val="20"/>
                <w:szCs w:val="20"/>
                <w:color w:val="auto"/>
              </w:rPr>
            </w:pPr>
            <w:r>
              <w:rPr>
                <w:rFonts w:ascii="Times New Roman" w:cs="Times New Roman" w:eastAsia="Times New Roman" w:hAnsi="Times New Roman"/>
                <w:sz w:val="20"/>
                <w:szCs w:val="20"/>
                <w:color w:val="auto"/>
              </w:rPr>
              <w:t>Section 3.05</w:t>
            </w:r>
          </w:p>
        </w:tc>
        <w:tc>
          <w:tcPr>
            <w:tcW w:w="1900" w:type="dxa"/>
            <w:vAlign w:val="bottom"/>
            <w:gridSpan w:val="24"/>
          </w:tcPr>
          <w:p>
            <w:pPr>
              <w:ind w:left="100"/>
              <w:spacing w:after="0"/>
              <w:rPr>
                <w:sz w:val="20"/>
                <w:szCs w:val="20"/>
                <w:color w:val="auto"/>
              </w:rPr>
            </w:pPr>
            <w:r>
              <w:rPr>
                <w:rFonts w:ascii="Times New Roman" w:cs="Times New Roman" w:eastAsia="Times New Roman" w:hAnsi="Times New Roman"/>
                <w:sz w:val="20"/>
                <w:szCs w:val="20"/>
                <w:color w:val="auto"/>
              </w:rPr>
              <w:t>Financial Statements</w:t>
            </w:r>
          </w:p>
        </w:tc>
        <w:tc>
          <w:tcPr>
            <w:tcW w:w="40" w:type="dxa"/>
            <w:vAlign w:val="bottom"/>
          </w:tcPr>
          <w:p>
            <w:pPr>
              <w:spacing w:after="0"/>
              <w:rPr>
                <w:sz w:val="20"/>
                <w:szCs w:val="20"/>
                <w:color w:val="auto"/>
              </w:rPr>
            </w:pPr>
          </w:p>
        </w:tc>
        <w:tc>
          <w:tcPr>
            <w:tcW w:w="360" w:type="dxa"/>
            <w:vAlign w:val="bottom"/>
            <w:gridSpan w:val="10"/>
          </w:tcPr>
          <w:p>
            <w:pPr>
              <w:ind w:left="20"/>
              <w:spacing w:after="0"/>
              <w:rPr>
                <w:sz w:val="20"/>
                <w:szCs w:val="20"/>
                <w:color w:val="auto"/>
              </w:rPr>
            </w:pPr>
            <w:r>
              <w:rPr>
                <w:rFonts w:ascii="Times New Roman" w:cs="Times New Roman" w:eastAsia="Times New Roman" w:hAnsi="Times New Roman"/>
                <w:sz w:val="20"/>
                <w:szCs w:val="20"/>
                <w:color w:val="FF0000"/>
                <w:strike w:val="1"/>
                <w:w w:val="99"/>
              </w:rPr>
              <w:t>105</w:t>
            </w:r>
          </w:p>
        </w:tc>
        <w:tc>
          <w:tcPr>
            <w:tcW w:w="260" w:type="dxa"/>
            <w:vAlign w:val="bottom"/>
            <w:gridSpan w:val="7"/>
          </w:tcPr>
          <w:p>
            <w:pPr>
              <w:jc w:val="right"/>
              <w:spacing w:after="0"/>
              <w:rPr>
                <w:sz w:val="20"/>
                <w:szCs w:val="20"/>
                <w:color w:val="auto"/>
              </w:rPr>
            </w:pPr>
            <w:r>
              <w:rPr>
                <w:rFonts w:ascii="Times New Roman" w:cs="Times New Roman" w:eastAsia="Times New Roman" w:hAnsi="Times New Roman"/>
                <w:sz w:val="20"/>
                <w:szCs w:val="20"/>
                <w:b w:val="1"/>
                <w:bCs w:val="1"/>
                <w:color w:val="0000FF"/>
                <w:w w:val="73"/>
              </w:rPr>
              <w:t>107</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gridSpan w:val="6"/>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0000FF"/>
                <w:w w:val="93"/>
              </w:rPr>
              <w:t>107</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8"/>
          </w:tcPr>
          <w:p>
            <w:pPr>
              <w:spacing w:after="0" w:line="20" w:lineRule="exact"/>
              <w:rPr>
                <w:sz w:val="1"/>
                <w:szCs w:val="1"/>
                <w:color w:val="auto"/>
              </w:rPr>
            </w:pPr>
          </w:p>
        </w:tc>
        <w:tc>
          <w:tcPr>
            <w:tcW w:w="400" w:type="dxa"/>
            <w:vAlign w:val="bottom"/>
            <w:tcBorders>
              <w:right w:val="single" w:sz="8" w:color="0000FF"/>
            </w:tcBorders>
            <w:gridSpan w:val="11"/>
          </w:tcPr>
          <w:p>
            <w:pPr>
              <w:spacing w:after="0" w:line="20" w:lineRule="exact"/>
              <w:rPr>
                <w:sz w:val="1"/>
                <w:szCs w:val="1"/>
                <w:color w:val="auto"/>
              </w:rPr>
            </w:pPr>
          </w:p>
        </w:tc>
        <w:tc>
          <w:tcPr>
            <w:tcW w:w="120" w:type="dxa"/>
            <w:vAlign w:val="bottom"/>
            <w:gridSpan w:val="4"/>
            <w:shd w:val="clear" w:color="auto" w:fill="0000FF"/>
          </w:tcPr>
          <w:p>
            <w:pPr>
              <w:spacing w:after="0" w:line="20" w:lineRule="exact"/>
              <w:rPr>
                <w:sz w:val="1"/>
                <w:szCs w:val="1"/>
                <w:color w:val="auto"/>
              </w:rPr>
            </w:pPr>
          </w:p>
        </w:tc>
        <w:tc>
          <w:tcPr>
            <w:tcW w:w="12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gridSpan w:val="8"/>
          </w:tcPr>
          <w:p>
            <w:pPr>
              <w:spacing w:after="0" w:line="20" w:lineRule="exact"/>
              <w:rPr>
                <w:sz w:val="1"/>
                <w:szCs w:val="1"/>
                <w:color w:val="auto"/>
              </w:rPr>
            </w:pPr>
          </w:p>
        </w:tc>
        <w:tc>
          <w:tcPr>
            <w:tcW w:w="300" w:type="dxa"/>
            <w:vAlign w:val="bottom"/>
            <w:gridSpan w:val="6"/>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1080" w:type="dxa"/>
            <w:vAlign w:val="bottom"/>
          </w:tcPr>
          <w:p>
            <w:pPr>
              <w:spacing w:after="0"/>
              <w:rPr>
                <w:sz w:val="20"/>
                <w:szCs w:val="20"/>
                <w:color w:val="auto"/>
              </w:rPr>
            </w:pPr>
            <w:r>
              <w:rPr>
                <w:rFonts w:ascii="Times New Roman" w:cs="Times New Roman" w:eastAsia="Times New Roman" w:hAnsi="Times New Roman"/>
                <w:sz w:val="20"/>
                <w:szCs w:val="20"/>
                <w:color w:val="auto"/>
              </w:rPr>
              <w:t>Section 3.06</w:t>
            </w:r>
          </w:p>
        </w:tc>
        <w:tc>
          <w:tcPr>
            <w:tcW w:w="2420" w:type="dxa"/>
            <w:vAlign w:val="bottom"/>
            <w:gridSpan w:val="39"/>
          </w:tcPr>
          <w:p>
            <w:pPr>
              <w:ind w:left="100"/>
              <w:spacing w:after="0"/>
              <w:rPr>
                <w:sz w:val="20"/>
                <w:szCs w:val="20"/>
                <w:color w:val="auto"/>
              </w:rPr>
            </w:pPr>
            <w:r>
              <w:rPr>
                <w:rFonts w:ascii="Times New Roman" w:cs="Times New Roman" w:eastAsia="Times New Roman" w:hAnsi="Times New Roman"/>
                <w:sz w:val="20"/>
                <w:szCs w:val="20"/>
                <w:color w:val="auto"/>
              </w:rPr>
              <w:t>No Material Adverse Effect</w:t>
            </w:r>
          </w:p>
        </w:tc>
        <w:tc>
          <w:tcPr>
            <w:tcW w:w="120" w:type="dxa"/>
            <w:vAlign w:val="bottom"/>
            <w:gridSpan w:val="2"/>
          </w:tcPr>
          <w:p>
            <w:pPr>
              <w:spacing w:after="0"/>
              <w:rPr>
                <w:sz w:val="20"/>
                <w:szCs w:val="20"/>
                <w:color w:val="auto"/>
              </w:rPr>
            </w:pPr>
          </w:p>
        </w:tc>
        <w:tc>
          <w:tcPr>
            <w:tcW w:w="260" w:type="dxa"/>
            <w:vAlign w:val="bottom"/>
            <w:gridSpan w:val="8"/>
          </w:tcPr>
          <w:p>
            <w:pPr>
              <w:spacing w:after="0"/>
              <w:rPr>
                <w:sz w:val="20"/>
                <w:szCs w:val="20"/>
                <w:color w:val="auto"/>
              </w:rPr>
            </w:pPr>
            <w:r>
              <w:rPr>
                <w:rFonts w:ascii="Times New Roman" w:cs="Times New Roman" w:eastAsia="Times New Roman" w:hAnsi="Times New Roman"/>
                <w:sz w:val="20"/>
                <w:szCs w:val="20"/>
                <w:color w:val="FF0000"/>
                <w:strike w:val="1"/>
                <w:w w:val="79"/>
              </w:rPr>
              <w:t>106</w:t>
            </w:r>
          </w:p>
        </w:tc>
        <w:tc>
          <w:tcPr>
            <w:tcW w:w="300" w:type="dxa"/>
            <w:vAlign w:val="bottom"/>
            <w:tcBorders>
              <w:bottom w:val="single" w:sz="8" w:color="0000FF"/>
            </w:tcBorders>
            <w:gridSpan w:val="6"/>
            <w:vMerge w:val="continue"/>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1440" w:gutter="0" w:footer="0" w:header="0"/>
        </w:sectPr>
      </w:pPr>
    </w:p>
    <w:bookmarkStart w:id="183" w:name="page184"/>
    <w:bookmarkEnd w:id="183"/>
    <w:p>
      <w:pPr>
        <w:jc w:val="right"/>
        <w:spacing w:after="0"/>
        <w:rPr>
          <w:sz w:val="20"/>
          <w:szCs w:val="20"/>
          <w:color w:val="auto"/>
        </w:rPr>
      </w:pPr>
      <w:r>
        <w:rPr>
          <w:rFonts w:ascii="Times New Roman" w:cs="Times New Roman" w:eastAsia="Times New Roman" w:hAnsi="Times New Roman"/>
          <w:sz w:val="22"/>
          <w:szCs w:val="22"/>
          <w:color w:val="FF0000"/>
          <w:strike w:val="1"/>
        </w:rPr>
        <w:t>ANNEX</w:t>
      </w:r>
      <w:r>
        <w:rPr>
          <w:rFonts w:ascii="Times New Roman" w:cs="Times New Roman" w:eastAsia="Times New Roman" w:hAnsi="Times New Roman"/>
          <w:sz w:val="22"/>
          <w:szCs w:val="22"/>
          <w:b w:val="1"/>
          <w:bCs w:val="1"/>
          <w:u w:val="single" w:color="auto"/>
          <w:color w:val="0000FF"/>
        </w:rPr>
        <w:t>EXHIBIT</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10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Section 3.07</w:t>
            </w:r>
          </w:p>
        </w:tc>
        <w:tc>
          <w:tcPr>
            <w:tcW w:w="3820" w:type="dxa"/>
            <w:vAlign w:val="bottom"/>
            <w:gridSpan w:val="61"/>
            <w:vMerge w:val="restart"/>
          </w:tcPr>
          <w:p>
            <w:pPr>
              <w:ind w:left="100"/>
              <w:spacing w:after="0"/>
              <w:rPr>
                <w:sz w:val="20"/>
                <w:szCs w:val="20"/>
                <w:color w:val="auto"/>
              </w:rPr>
            </w:pPr>
            <w:r>
              <w:rPr>
                <w:rFonts w:ascii="Times New Roman" w:cs="Times New Roman" w:eastAsia="Times New Roman" w:hAnsi="Times New Roman"/>
                <w:sz w:val="20"/>
                <w:szCs w:val="20"/>
                <w:color w:val="auto"/>
              </w:rPr>
              <w:t>Title to Properties; Possession Under Leases</w:t>
            </w:r>
          </w:p>
        </w:tc>
        <w:tc>
          <w:tcPr>
            <w:tcW w:w="300" w:type="dxa"/>
            <w:vAlign w:val="bottom"/>
            <w:gridSpan w:val="4"/>
            <w:vMerge w:val="restart"/>
          </w:tcPr>
          <w:p>
            <w:pPr>
              <w:jc w:val="right"/>
              <w:spacing w:after="0"/>
              <w:rPr>
                <w:sz w:val="20"/>
                <w:szCs w:val="20"/>
                <w:color w:val="auto"/>
              </w:rPr>
            </w:pPr>
            <w:r>
              <w:rPr>
                <w:rFonts w:ascii="Times New Roman" w:cs="Times New Roman" w:eastAsia="Times New Roman" w:hAnsi="Times New Roman"/>
                <w:sz w:val="20"/>
                <w:szCs w:val="20"/>
                <w:color w:val="FF0000"/>
                <w:strike w:val="1"/>
                <w:w w:val="93"/>
              </w:rPr>
              <w:t>106</w:t>
            </w:r>
          </w:p>
        </w:tc>
        <w:tc>
          <w:tcPr>
            <w:tcW w:w="44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20"/>
                <w:szCs w:val="20"/>
                <w:b w:val="1"/>
                <w:bCs w:val="1"/>
                <w:color w:val="0000FF"/>
                <w:w w:val="86"/>
              </w:rPr>
              <w:t>107</w:t>
            </w:r>
          </w:p>
        </w:tc>
        <w:tc>
          <w:tcPr>
            <w:tcW w:w="360" w:type="dxa"/>
            <w:vAlign w:val="bottom"/>
            <w:vMerge w:val="restart"/>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1080" w:type="dxa"/>
            <w:vAlign w:val="bottom"/>
            <w:vMerge w:val="continue"/>
          </w:tcPr>
          <w:p>
            <w:pPr>
              <w:spacing w:after="0"/>
              <w:rPr>
                <w:sz w:val="16"/>
                <w:szCs w:val="16"/>
                <w:color w:val="auto"/>
              </w:rPr>
            </w:pPr>
          </w:p>
        </w:tc>
        <w:tc>
          <w:tcPr>
            <w:tcW w:w="3820" w:type="dxa"/>
            <w:vAlign w:val="bottom"/>
            <w:gridSpan w:val="61"/>
            <w:vMerge w:val="continue"/>
          </w:tcPr>
          <w:p>
            <w:pPr>
              <w:spacing w:after="0"/>
              <w:rPr>
                <w:sz w:val="16"/>
                <w:szCs w:val="16"/>
                <w:color w:val="auto"/>
              </w:rPr>
            </w:pPr>
          </w:p>
        </w:tc>
        <w:tc>
          <w:tcPr>
            <w:tcW w:w="300" w:type="dxa"/>
            <w:vAlign w:val="bottom"/>
            <w:gridSpan w:val="4"/>
            <w:vMerge w:val="continue"/>
          </w:tcPr>
          <w:p>
            <w:pPr>
              <w:spacing w:after="0"/>
              <w:rPr>
                <w:sz w:val="16"/>
                <w:szCs w:val="16"/>
                <w:color w:val="auto"/>
              </w:rPr>
            </w:pPr>
          </w:p>
        </w:tc>
        <w:tc>
          <w:tcPr>
            <w:tcW w:w="440" w:type="dxa"/>
            <w:vAlign w:val="bottom"/>
            <w:gridSpan w:val="3"/>
            <w:vMerge w:val="continue"/>
          </w:tcPr>
          <w:p>
            <w:pPr>
              <w:spacing w:after="0"/>
              <w:rPr>
                <w:sz w:val="16"/>
                <w:szCs w:val="16"/>
                <w:color w:val="auto"/>
              </w:rPr>
            </w:pPr>
          </w:p>
        </w:tc>
        <w:tc>
          <w:tcPr>
            <w:tcW w:w="36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1080" w:type="dxa"/>
            <w:vAlign w:val="bottom"/>
          </w:tcPr>
          <w:p>
            <w:pPr>
              <w:spacing w:after="0"/>
              <w:rPr>
                <w:sz w:val="20"/>
                <w:szCs w:val="20"/>
                <w:color w:val="auto"/>
              </w:rPr>
            </w:pPr>
            <w:r>
              <w:rPr>
                <w:rFonts w:ascii="Times New Roman" w:cs="Times New Roman" w:eastAsia="Times New Roman" w:hAnsi="Times New Roman"/>
                <w:sz w:val="20"/>
                <w:szCs w:val="20"/>
                <w:color w:val="auto"/>
              </w:rPr>
              <w:t>Section 3.08</w:t>
            </w:r>
          </w:p>
        </w:tc>
        <w:tc>
          <w:tcPr>
            <w:tcW w:w="1240" w:type="dxa"/>
            <w:vAlign w:val="bottom"/>
            <w:gridSpan w:val="5"/>
          </w:tcPr>
          <w:p>
            <w:pPr>
              <w:ind w:left="100"/>
              <w:spacing w:after="0"/>
              <w:rPr>
                <w:sz w:val="20"/>
                <w:szCs w:val="20"/>
                <w:color w:val="auto"/>
              </w:rPr>
            </w:pPr>
            <w:r>
              <w:rPr>
                <w:rFonts w:ascii="Times New Roman" w:cs="Times New Roman" w:eastAsia="Times New Roman" w:hAnsi="Times New Roman"/>
                <w:sz w:val="20"/>
                <w:szCs w:val="20"/>
                <w:color w:val="auto"/>
                <w:w w:val="96"/>
              </w:rPr>
              <w:t>Subsidiaries</w:t>
            </w:r>
          </w:p>
        </w:tc>
        <w:tc>
          <w:tcPr>
            <w:tcW w:w="32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FF0000"/>
                <w:strike w:val="1"/>
                <w:w w:val="93"/>
              </w:rPr>
              <w:t>106</w:t>
            </w:r>
          </w:p>
        </w:tc>
        <w:tc>
          <w:tcPr>
            <w:tcW w:w="32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20"/>
                <w:szCs w:val="20"/>
                <w:b w:val="1"/>
                <w:bCs w:val="1"/>
                <w:color w:val="0000FF"/>
                <w:w w:val="99"/>
              </w:rPr>
              <w:t>108</w:t>
            </w:r>
          </w:p>
        </w:tc>
        <w:tc>
          <w:tcPr>
            <w:tcW w:w="2240" w:type="dxa"/>
            <w:vAlign w:val="bottom"/>
            <w:gridSpan w:val="47"/>
          </w:tcPr>
          <w:p>
            <w:pPr>
              <w:spacing w:after="0"/>
              <w:rPr>
                <w:sz w:val="20"/>
                <w:szCs w:val="20"/>
                <w:color w:val="auto"/>
              </w:rPr>
            </w:pPr>
          </w:p>
        </w:tc>
        <w:tc>
          <w:tcPr>
            <w:tcW w:w="280" w:type="dxa"/>
            <w:vAlign w:val="bottom"/>
            <w:tcBorders>
              <w:top w:val="single" w:sz="8" w:color="0000FF"/>
            </w:tcBorders>
            <w:gridSpan w:val="2"/>
          </w:tcPr>
          <w:p>
            <w:pPr>
              <w:spacing w:after="0"/>
              <w:rPr>
                <w:sz w:val="20"/>
                <w:szCs w:val="20"/>
                <w:color w:val="auto"/>
              </w:rPr>
            </w:pPr>
          </w:p>
        </w:tc>
        <w:tc>
          <w:tcPr>
            <w:tcW w:w="1140" w:type="dxa"/>
            <w:vAlign w:val="bottom"/>
            <w:gridSpan w:val="6"/>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080" w:type="dxa"/>
            <w:vAlign w:val="bottom"/>
          </w:tcPr>
          <w:p>
            <w:pPr>
              <w:spacing w:after="0" w:line="223" w:lineRule="exact"/>
              <w:rPr>
                <w:sz w:val="20"/>
                <w:szCs w:val="20"/>
                <w:color w:val="auto"/>
              </w:rPr>
            </w:pPr>
            <w:r>
              <w:rPr>
                <w:rFonts w:ascii="Times New Roman" w:cs="Times New Roman" w:eastAsia="Times New Roman" w:hAnsi="Times New Roman"/>
                <w:sz w:val="20"/>
                <w:szCs w:val="20"/>
                <w:color w:val="auto"/>
              </w:rPr>
              <w:t>Section 3.09</w:t>
            </w:r>
          </w:p>
        </w:tc>
        <w:tc>
          <w:tcPr>
            <w:tcW w:w="2960" w:type="dxa"/>
            <w:vAlign w:val="bottom"/>
            <w:gridSpan w:val="44"/>
          </w:tcPr>
          <w:p>
            <w:pPr>
              <w:ind w:left="100"/>
              <w:spacing w:after="0" w:line="223" w:lineRule="exact"/>
              <w:rPr>
                <w:sz w:val="20"/>
                <w:szCs w:val="20"/>
                <w:color w:val="auto"/>
              </w:rPr>
            </w:pPr>
            <w:r>
              <w:rPr>
                <w:rFonts w:ascii="Times New Roman" w:cs="Times New Roman" w:eastAsia="Times New Roman" w:hAnsi="Times New Roman"/>
                <w:sz w:val="20"/>
                <w:szCs w:val="20"/>
                <w:color w:val="auto"/>
              </w:rPr>
              <w:t>Litigation; Compliance with Laws</w:t>
            </w:r>
          </w:p>
        </w:tc>
        <w:tc>
          <w:tcPr>
            <w:tcW w:w="360" w:type="dxa"/>
            <w:vAlign w:val="bottom"/>
            <w:gridSpan w:val="8"/>
          </w:tcPr>
          <w:p>
            <w:pPr>
              <w:jc w:val="right"/>
              <w:spacing w:after="0" w:line="223" w:lineRule="exact"/>
              <w:rPr>
                <w:sz w:val="20"/>
                <w:szCs w:val="20"/>
                <w:color w:val="auto"/>
              </w:rPr>
            </w:pPr>
            <w:r>
              <w:rPr>
                <w:rFonts w:ascii="Times New Roman" w:cs="Times New Roman" w:eastAsia="Times New Roman" w:hAnsi="Times New Roman"/>
                <w:sz w:val="20"/>
                <w:szCs w:val="20"/>
                <w:color w:val="FF0000"/>
                <w:strike w:val="1"/>
              </w:rPr>
              <w:t>106</w:t>
            </w:r>
          </w:p>
        </w:tc>
        <w:tc>
          <w:tcPr>
            <w:tcW w:w="300" w:type="dxa"/>
            <w:vAlign w:val="bottom"/>
            <w:tcBorders>
              <w:bottom w:val="single" w:sz="8" w:color="0000FF"/>
            </w:tcBorders>
            <w:gridSpan w:val="5"/>
          </w:tcPr>
          <w:p>
            <w:pPr>
              <w:jc w:val="right"/>
              <w:spacing w:after="0" w:line="223" w:lineRule="exact"/>
              <w:rPr>
                <w:sz w:val="20"/>
                <w:szCs w:val="20"/>
                <w:color w:val="auto"/>
              </w:rPr>
            </w:pPr>
            <w:r>
              <w:rPr>
                <w:rFonts w:ascii="Times New Roman" w:cs="Times New Roman" w:eastAsia="Times New Roman" w:hAnsi="Times New Roman"/>
                <w:sz w:val="20"/>
                <w:szCs w:val="20"/>
                <w:b w:val="1"/>
                <w:bCs w:val="1"/>
                <w:color w:val="0000FF"/>
                <w:w w:val="93"/>
              </w:rPr>
              <w:t>108</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080" w:type="dxa"/>
            <w:vAlign w:val="bottom"/>
          </w:tcPr>
          <w:p>
            <w:pPr>
              <w:spacing w:after="0"/>
              <w:rPr>
                <w:sz w:val="20"/>
                <w:szCs w:val="20"/>
                <w:color w:val="auto"/>
              </w:rPr>
            </w:pPr>
            <w:r>
              <w:rPr>
                <w:rFonts w:ascii="Times New Roman" w:cs="Times New Roman" w:eastAsia="Times New Roman" w:hAnsi="Times New Roman"/>
                <w:sz w:val="20"/>
                <w:szCs w:val="20"/>
                <w:color w:val="auto"/>
              </w:rPr>
              <w:t>Section 3.10</w:t>
            </w:r>
          </w:p>
        </w:tc>
        <w:tc>
          <w:tcPr>
            <w:tcW w:w="2500" w:type="dxa"/>
            <w:vAlign w:val="bottom"/>
            <w:gridSpan w:val="34"/>
          </w:tcPr>
          <w:p>
            <w:pPr>
              <w:ind w:left="100"/>
              <w:spacing w:after="0"/>
              <w:rPr>
                <w:sz w:val="20"/>
                <w:szCs w:val="20"/>
                <w:color w:val="auto"/>
              </w:rPr>
            </w:pPr>
            <w:r>
              <w:rPr>
                <w:rFonts w:ascii="Times New Roman" w:cs="Times New Roman" w:eastAsia="Times New Roman" w:hAnsi="Times New Roman"/>
                <w:sz w:val="20"/>
                <w:szCs w:val="20"/>
                <w:color w:val="auto"/>
              </w:rPr>
              <w:t>Federal Reserve Regulations</w:t>
            </w:r>
          </w:p>
        </w:tc>
        <w:tc>
          <w:tcPr>
            <w:tcW w:w="460" w:type="dxa"/>
            <w:vAlign w:val="bottom"/>
            <w:gridSpan w:val="10"/>
          </w:tcPr>
          <w:p>
            <w:pPr>
              <w:jc w:val="right"/>
              <w:ind w:right="1"/>
              <w:spacing w:after="0"/>
              <w:rPr>
                <w:sz w:val="20"/>
                <w:szCs w:val="20"/>
                <w:color w:val="auto"/>
              </w:rPr>
            </w:pPr>
            <w:r>
              <w:rPr>
                <w:rFonts w:ascii="Times New Roman" w:cs="Times New Roman" w:eastAsia="Times New Roman" w:hAnsi="Times New Roman"/>
                <w:sz w:val="20"/>
                <w:szCs w:val="20"/>
                <w:color w:val="FF0000"/>
                <w:strike w:val="1"/>
              </w:rPr>
              <w:t>107</w:t>
            </w:r>
          </w:p>
        </w:tc>
        <w:tc>
          <w:tcPr>
            <w:tcW w:w="300" w:type="dxa"/>
            <w:vAlign w:val="bottom"/>
            <w:gridSpan w:val="6"/>
          </w:tcPr>
          <w:p>
            <w:pPr>
              <w:jc w:val="right"/>
              <w:ind w:right="100"/>
              <w:spacing w:after="0"/>
              <w:rPr>
                <w:sz w:val="20"/>
                <w:szCs w:val="20"/>
                <w:color w:val="auto"/>
              </w:rPr>
            </w:pPr>
            <w:r>
              <w:rPr>
                <w:rFonts w:ascii="Times New Roman" w:cs="Times New Roman" w:eastAsia="Times New Roman" w:hAnsi="Times New Roman"/>
                <w:sz w:val="16"/>
                <w:szCs w:val="16"/>
                <w:b w:val="1"/>
                <w:bCs w:val="1"/>
                <w:color w:val="0000FF"/>
                <w:w w:val="74"/>
              </w:rPr>
              <w:t>109</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40" w:type="dxa"/>
            <w:vAlign w:val="bottom"/>
            <w:tcBorders>
              <w:right w:val="single" w:sz="8" w:color="0000FF"/>
            </w:tcBorders>
            <w:gridSpan w:val="45"/>
          </w:tcPr>
          <w:p>
            <w:pPr>
              <w:spacing w:after="0" w:line="20" w:lineRule="exact"/>
              <w:rPr>
                <w:sz w:val="1"/>
                <w:szCs w:val="1"/>
                <w:color w:val="auto"/>
              </w:rPr>
            </w:pPr>
          </w:p>
        </w:tc>
        <w:tc>
          <w:tcPr>
            <w:tcW w:w="200" w:type="dxa"/>
            <w:vAlign w:val="bottom"/>
            <w:tcBorders>
              <w:right w:val="single" w:sz="8" w:color="0000FF"/>
            </w:tcBorders>
            <w:gridSpan w:val="5"/>
            <w:shd w:val="clear" w:color="auto" w:fill="0000FF"/>
          </w:tcPr>
          <w:p>
            <w:pPr>
              <w:spacing w:after="0" w:line="20" w:lineRule="exact"/>
              <w:rPr>
                <w:sz w:val="1"/>
                <w:szCs w:val="1"/>
                <w:color w:val="auto"/>
              </w:rPr>
            </w:pPr>
          </w:p>
        </w:tc>
        <w:tc>
          <w:tcPr>
            <w:tcW w:w="2380" w:type="dxa"/>
            <w:vAlign w:val="bottom"/>
            <w:gridSpan w:val="2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80" w:type="dxa"/>
            <w:vAlign w:val="bottom"/>
          </w:tcPr>
          <w:p>
            <w:pPr>
              <w:spacing w:after="0" w:line="223" w:lineRule="exact"/>
              <w:rPr>
                <w:sz w:val="20"/>
                <w:szCs w:val="20"/>
                <w:color w:val="auto"/>
              </w:rPr>
            </w:pPr>
            <w:r>
              <w:rPr>
                <w:rFonts w:ascii="Times New Roman" w:cs="Times New Roman" w:eastAsia="Times New Roman" w:hAnsi="Times New Roman"/>
                <w:sz w:val="20"/>
                <w:szCs w:val="20"/>
                <w:color w:val="auto"/>
              </w:rPr>
              <w:t>Section 3.11</w:t>
            </w:r>
          </w:p>
        </w:tc>
        <w:tc>
          <w:tcPr>
            <w:tcW w:w="2320" w:type="dxa"/>
            <w:vAlign w:val="bottom"/>
            <w:gridSpan w:val="29"/>
          </w:tcPr>
          <w:p>
            <w:pPr>
              <w:ind w:left="100"/>
              <w:spacing w:after="0" w:line="223" w:lineRule="exact"/>
              <w:rPr>
                <w:sz w:val="20"/>
                <w:szCs w:val="20"/>
                <w:color w:val="auto"/>
              </w:rPr>
            </w:pPr>
            <w:r>
              <w:rPr>
                <w:rFonts w:ascii="Times New Roman" w:cs="Times New Roman" w:eastAsia="Times New Roman" w:hAnsi="Times New Roman"/>
                <w:sz w:val="20"/>
                <w:szCs w:val="20"/>
                <w:color w:val="auto"/>
              </w:rPr>
              <w:t>Investment Company Act</w:t>
            </w:r>
          </w:p>
        </w:tc>
        <w:tc>
          <w:tcPr>
            <w:tcW w:w="300" w:type="dxa"/>
            <w:vAlign w:val="bottom"/>
            <w:gridSpan w:val="7"/>
          </w:tcPr>
          <w:p>
            <w:pPr>
              <w:jc w:val="right"/>
              <w:spacing w:after="0" w:line="223" w:lineRule="exact"/>
              <w:rPr>
                <w:sz w:val="20"/>
                <w:szCs w:val="20"/>
                <w:color w:val="auto"/>
              </w:rPr>
            </w:pPr>
            <w:r>
              <w:rPr>
                <w:rFonts w:ascii="Times New Roman" w:cs="Times New Roman" w:eastAsia="Times New Roman" w:hAnsi="Times New Roman"/>
                <w:sz w:val="20"/>
                <w:szCs w:val="20"/>
                <w:color w:val="FF0000"/>
                <w:strike w:val="1"/>
                <w:w w:val="93"/>
              </w:rPr>
              <w:t>107</w:t>
            </w:r>
          </w:p>
        </w:tc>
        <w:tc>
          <w:tcPr>
            <w:tcW w:w="340" w:type="dxa"/>
            <w:vAlign w:val="bottom"/>
            <w:tcBorders>
              <w:bottom w:val="single" w:sz="8" w:color="0000FF"/>
            </w:tcBorders>
            <w:gridSpan w:val="8"/>
          </w:tcPr>
          <w:p>
            <w:pPr>
              <w:jc w:val="right"/>
              <w:spacing w:after="0" w:line="223" w:lineRule="exact"/>
              <w:rPr>
                <w:sz w:val="20"/>
                <w:szCs w:val="20"/>
                <w:color w:val="auto"/>
              </w:rPr>
            </w:pPr>
            <w:r>
              <w:rPr>
                <w:rFonts w:ascii="Times New Roman" w:cs="Times New Roman" w:eastAsia="Times New Roman" w:hAnsi="Times New Roman"/>
                <w:sz w:val="20"/>
                <w:szCs w:val="20"/>
                <w:b w:val="1"/>
                <w:bCs w:val="1"/>
                <w:color w:val="0000FF"/>
                <w:w w:val="93"/>
              </w:rPr>
              <w:t>109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1080" w:type="dxa"/>
            <w:vAlign w:val="bottom"/>
          </w:tcPr>
          <w:p>
            <w:pPr>
              <w:spacing w:after="0"/>
              <w:rPr>
                <w:sz w:val="20"/>
                <w:szCs w:val="20"/>
                <w:color w:val="auto"/>
              </w:rPr>
            </w:pPr>
            <w:r>
              <w:rPr>
                <w:rFonts w:ascii="Times New Roman" w:cs="Times New Roman" w:eastAsia="Times New Roman" w:hAnsi="Times New Roman"/>
                <w:sz w:val="20"/>
                <w:szCs w:val="20"/>
                <w:color w:val="auto"/>
              </w:rPr>
              <w:t>Section 3.12</w:t>
            </w:r>
          </w:p>
        </w:tc>
        <w:tc>
          <w:tcPr>
            <w:tcW w:w="1560" w:type="dxa"/>
            <w:vAlign w:val="bottom"/>
            <w:gridSpan w:val="8"/>
          </w:tcPr>
          <w:p>
            <w:pPr>
              <w:ind w:left="100"/>
              <w:spacing w:after="0"/>
              <w:rPr>
                <w:sz w:val="20"/>
                <w:szCs w:val="20"/>
                <w:color w:val="auto"/>
              </w:rPr>
            </w:pPr>
            <w:r>
              <w:rPr>
                <w:rFonts w:ascii="Times New Roman" w:cs="Times New Roman" w:eastAsia="Times New Roman" w:hAnsi="Times New Roman"/>
                <w:sz w:val="20"/>
                <w:szCs w:val="20"/>
                <w:color w:val="auto"/>
              </w:rPr>
              <w:t>Use of Proceeds</w:t>
            </w:r>
          </w:p>
        </w:tc>
        <w:tc>
          <w:tcPr>
            <w:tcW w:w="320" w:type="dxa"/>
            <w:vAlign w:val="bottom"/>
            <w:gridSpan w:val="10"/>
          </w:tcPr>
          <w:p>
            <w:pPr>
              <w:jc w:val="right"/>
              <w:spacing w:after="0"/>
              <w:rPr>
                <w:sz w:val="20"/>
                <w:szCs w:val="20"/>
                <w:color w:val="auto"/>
              </w:rPr>
            </w:pPr>
            <w:r>
              <w:rPr>
                <w:rFonts w:ascii="Times New Roman" w:cs="Times New Roman" w:eastAsia="Times New Roman" w:hAnsi="Times New Roman"/>
                <w:sz w:val="20"/>
                <w:szCs w:val="20"/>
                <w:color w:val="FF0000"/>
                <w:strike w:val="1"/>
                <w:w w:val="99"/>
              </w:rPr>
              <w:t>107</w:t>
            </w:r>
          </w:p>
        </w:tc>
        <w:tc>
          <w:tcPr>
            <w:tcW w:w="320" w:type="dxa"/>
            <w:vAlign w:val="bottom"/>
            <w:gridSpan w:val="8"/>
          </w:tcPr>
          <w:p>
            <w:pPr>
              <w:spacing w:after="0"/>
              <w:rPr>
                <w:sz w:val="20"/>
                <w:szCs w:val="20"/>
                <w:color w:val="auto"/>
              </w:rPr>
            </w:pPr>
            <w:r>
              <w:rPr>
                <w:rFonts w:ascii="Times New Roman" w:cs="Times New Roman" w:eastAsia="Times New Roman" w:hAnsi="Times New Roman"/>
                <w:sz w:val="20"/>
                <w:szCs w:val="20"/>
                <w:b w:val="1"/>
                <w:bCs w:val="1"/>
                <w:color w:val="0000FF"/>
                <w:w w:val="99"/>
              </w:rPr>
              <w:t>109</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080" w:type="dxa"/>
            <w:vAlign w:val="bottom"/>
          </w:tcPr>
          <w:p>
            <w:pPr>
              <w:spacing w:after="0"/>
              <w:rPr>
                <w:sz w:val="20"/>
                <w:szCs w:val="20"/>
                <w:color w:val="auto"/>
              </w:rPr>
            </w:pPr>
            <w:r>
              <w:rPr>
                <w:rFonts w:ascii="Times New Roman" w:cs="Times New Roman" w:eastAsia="Times New Roman" w:hAnsi="Times New Roman"/>
                <w:sz w:val="20"/>
                <w:szCs w:val="20"/>
                <w:color w:val="auto"/>
              </w:rPr>
              <w:t>Section 3.13</w:t>
            </w:r>
          </w:p>
        </w:tc>
        <w:tc>
          <w:tcPr>
            <w:tcW w:w="1240" w:type="dxa"/>
            <w:vAlign w:val="bottom"/>
            <w:gridSpan w:val="5"/>
          </w:tcPr>
          <w:p>
            <w:pPr>
              <w:ind w:left="100"/>
              <w:spacing w:after="0"/>
              <w:rPr>
                <w:sz w:val="20"/>
                <w:szCs w:val="20"/>
                <w:color w:val="auto"/>
              </w:rPr>
            </w:pPr>
            <w:r>
              <w:rPr>
                <w:rFonts w:ascii="Times New Roman" w:cs="Times New Roman" w:eastAsia="Times New Roman" w:hAnsi="Times New Roman"/>
                <w:sz w:val="20"/>
                <w:szCs w:val="20"/>
                <w:color w:val="auto"/>
                <w:w w:val="95"/>
              </w:rPr>
              <w:t>Tax Returns</w:t>
            </w:r>
          </w:p>
        </w:tc>
        <w:tc>
          <w:tcPr>
            <w:tcW w:w="32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FF0000"/>
                <w:strike w:val="1"/>
                <w:w w:val="93"/>
              </w:rPr>
              <w:t>107</w:t>
            </w:r>
          </w:p>
        </w:tc>
        <w:tc>
          <w:tcPr>
            <w:tcW w:w="30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20"/>
                <w:szCs w:val="20"/>
                <w:b w:val="1"/>
                <w:bCs w:val="1"/>
                <w:color w:val="0000FF"/>
                <w:w w:val="93"/>
              </w:rPr>
              <w:t>109</w:t>
            </w:r>
          </w:p>
        </w:tc>
        <w:tc>
          <w:tcPr>
            <w:tcW w:w="20" w:type="dxa"/>
            <w:vAlign w:val="bottom"/>
          </w:tcPr>
          <w:p>
            <w:pPr>
              <w:spacing w:after="0"/>
              <w:rPr>
                <w:sz w:val="20"/>
                <w:szCs w:val="20"/>
                <w:color w:val="auto"/>
              </w:rPr>
            </w:pPr>
          </w:p>
        </w:tc>
        <w:tc>
          <w:tcPr>
            <w:tcW w:w="300" w:type="dxa"/>
            <w:vAlign w:val="bottom"/>
            <w:tcBorders>
              <w:top w:val="single" w:sz="8" w:color="0000FF"/>
            </w:tcBorders>
            <w:gridSpan w:val="7"/>
          </w:tcPr>
          <w:p>
            <w:pPr>
              <w:spacing w:after="0"/>
              <w:rPr>
                <w:sz w:val="20"/>
                <w:szCs w:val="20"/>
                <w:color w:val="auto"/>
              </w:rPr>
            </w:pPr>
          </w:p>
        </w:tc>
        <w:tc>
          <w:tcPr>
            <w:tcW w:w="560" w:type="dxa"/>
            <w:vAlign w:val="bottom"/>
            <w:gridSpan w:val="15"/>
          </w:tcPr>
          <w:p>
            <w:pPr>
              <w:spacing w:after="0"/>
              <w:rPr>
                <w:sz w:val="20"/>
                <w:szCs w:val="20"/>
                <w:color w:val="auto"/>
              </w:rPr>
            </w:pPr>
          </w:p>
        </w:tc>
        <w:tc>
          <w:tcPr>
            <w:tcW w:w="300" w:type="dxa"/>
            <w:vAlign w:val="bottom"/>
            <w:gridSpan w:val="5"/>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0000FF"/>
                <w:w w:val="93"/>
              </w:rPr>
              <w:t>110</w:t>
            </w:r>
          </w:p>
        </w:tc>
        <w:tc>
          <w:tcPr>
            <w:tcW w:w="2500" w:type="dxa"/>
            <w:vAlign w:val="bottom"/>
            <w:gridSpan w:val="28"/>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1080" w:type="dxa"/>
            <w:vAlign w:val="bottom"/>
          </w:tcPr>
          <w:p>
            <w:pPr>
              <w:spacing w:after="0" w:line="223" w:lineRule="exact"/>
              <w:rPr>
                <w:sz w:val="20"/>
                <w:szCs w:val="20"/>
                <w:color w:val="auto"/>
              </w:rPr>
            </w:pPr>
            <w:r>
              <w:rPr>
                <w:rFonts w:ascii="Times New Roman" w:cs="Times New Roman" w:eastAsia="Times New Roman" w:hAnsi="Times New Roman"/>
                <w:sz w:val="20"/>
                <w:szCs w:val="20"/>
                <w:color w:val="auto"/>
              </w:rPr>
              <w:t>Section 3.14</w:t>
            </w:r>
          </w:p>
        </w:tc>
        <w:tc>
          <w:tcPr>
            <w:tcW w:w="2320" w:type="dxa"/>
            <w:vAlign w:val="bottom"/>
            <w:gridSpan w:val="29"/>
          </w:tcPr>
          <w:p>
            <w:pPr>
              <w:ind w:left="100"/>
              <w:spacing w:after="0" w:line="223" w:lineRule="exact"/>
              <w:rPr>
                <w:sz w:val="20"/>
                <w:szCs w:val="20"/>
                <w:color w:val="auto"/>
              </w:rPr>
            </w:pPr>
            <w:r>
              <w:rPr>
                <w:rFonts w:ascii="Times New Roman" w:cs="Times New Roman" w:eastAsia="Times New Roman" w:hAnsi="Times New Roman"/>
                <w:sz w:val="20"/>
                <w:szCs w:val="20"/>
                <w:color w:val="auto"/>
              </w:rPr>
              <w:t>No Material Misstatements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gridSpan w:val="8"/>
          </w:tcPr>
          <w:p>
            <w:pPr>
              <w:jc w:val="right"/>
              <w:spacing w:after="0" w:line="223" w:lineRule="exact"/>
              <w:rPr>
                <w:sz w:val="20"/>
                <w:szCs w:val="20"/>
                <w:color w:val="auto"/>
              </w:rPr>
            </w:pPr>
            <w:r>
              <w:rPr>
                <w:rFonts w:ascii="Times New Roman" w:cs="Times New Roman" w:eastAsia="Times New Roman" w:hAnsi="Times New Roman"/>
                <w:sz w:val="20"/>
                <w:szCs w:val="20"/>
                <w:color w:val="FF0000"/>
                <w:strike w:val="1"/>
                <w:w w:val="93"/>
              </w:rPr>
              <w:t>108</w:t>
            </w:r>
          </w:p>
        </w:tc>
        <w:tc>
          <w:tcPr>
            <w:tcW w:w="300" w:type="dxa"/>
            <w:vAlign w:val="bottom"/>
            <w:tcBorders>
              <w:bottom w:val="single" w:sz="8" w:color="0000FF"/>
            </w:tcBorders>
            <w:gridSpan w:val="5"/>
            <w:vMerge w:val="continue"/>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1080" w:type="dxa"/>
            <w:vAlign w:val="bottom"/>
          </w:tcPr>
          <w:p>
            <w:pPr>
              <w:spacing w:after="0"/>
              <w:rPr>
                <w:sz w:val="20"/>
                <w:szCs w:val="20"/>
                <w:color w:val="auto"/>
              </w:rPr>
            </w:pPr>
            <w:r>
              <w:rPr>
                <w:rFonts w:ascii="Times New Roman" w:cs="Times New Roman" w:eastAsia="Times New Roman" w:hAnsi="Times New Roman"/>
                <w:sz w:val="20"/>
                <w:szCs w:val="20"/>
                <w:color w:val="auto"/>
              </w:rPr>
              <w:t>Section 3.15</w:t>
            </w:r>
          </w:p>
        </w:tc>
        <w:tc>
          <w:tcPr>
            <w:tcW w:w="2040" w:type="dxa"/>
            <w:vAlign w:val="bottom"/>
            <w:gridSpan w:val="22"/>
          </w:tcPr>
          <w:p>
            <w:pPr>
              <w:ind w:left="100"/>
              <w:spacing w:after="0"/>
              <w:rPr>
                <w:sz w:val="20"/>
                <w:szCs w:val="20"/>
                <w:color w:val="auto"/>
              </w:rPr>
            </w:pPr>
            <w:r>
              <w:rPr>
                <w:rFonts w:ascii="Times New Roman" w:cs="Times New Roman" w:eastAsia="Times New Roman" w:hAnsi="Times New Roman"/>
                <w:sz w:val="20"/>
                <w:szCs w:val="20"/>
                <w:color w:val="auto"/>
                <w:w w:val="99"/>
              </w:rPr>
              <w:t>Employee Benefit Plans</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gridSpan w:val="2"/>
          </w:tcPr>
          <w:p>
            <w:pPr>
              <w:spacing w:after="0"/>
              <w:rPr>
                <w:sz w:val="20"/>
                <w:szCs w:val="20"/>
                <w:color w:val="auto"/>
              </w:rPr>
            </w:pPr>
          </w:p>
        </w:tc>
        <w:tc>
          <w:tcPr>
            <w:tcW w:w="300" w:type="dxa"/>
            <w:vAlign w:val="bottom"/>
            <w:gridSpan w:val="8"/>
          </w:tcPr>
          <w:p>
            <w:pPr>
              <w:jc w:val="right"/>
              <w:spacing w:after="0"/>
              <w:rPr>
                <w:sz w:val="20"/>
                <w:szCs w:val="20"/>
                <w:color w:val="auto"/>
              </w:rPr>
            </w:pPr>
            <w:r>
              <w:rPr>
                <w:rFonts w:ascii="Times New Roman" w:cs="Times New Roman" w:eastAsia="Times New Roman" w:hAnsi="Times New Roman"/>
                <w:sz w:val="20"/>
                <w:szCs w:val="20"/>
                <w:color w:val="FF0000"/>
                <w:strike w:val="1"/>
                <w:w w:val="93"/>
              </w:rPr>
              <w:t>108</w:t>
            </w:r>
          </w:p>
        </w:tc>
        <w:tc>
          <w:tcPr>
            <w:tcW w:w="300" w:type="dxa"/>
            <w:vAlign w:val="bottom"/>
            <w:tcBorders>
              <w:bottom w:val="single" w:sz="8" w:color="0000FF"/>
            </w:tcBorders>
            <w:gridSpan w:val="8"/>
          </w:tcPr>
          <w:p>
            <w:pPr>
              <w:jc w:val="right"/>
              <w:spacing w:after="0"/>
              <w:rPr>
                <w:sz w:val="20"/>
                <w:szCs w:val="20"/>
                <w:color w:val="auto"/>
              </w:rPr>
            </w:pPr>
            <w:r>
              <w:rPr>
                <w:rFonts w:ascii="Times New Roman" w:cs="Times New Roman" w:eastAsia="Times New Roman" w:hAnsi="Times New Roman"/>
                <w:sz w:val="20"/>
                <w:szCs w:val="20"/>
                <w:b w:val="1"/>
                <w:bCs w:val="1"/>
                <w:color w:val="0000FF"/>
                <w:w w:val="93"/>
              </w:rPr>
              <w:t>110</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080" w:type="dxa"/>
            <w:vAlign w:val="bottom"/>
          </w:tcPr>
          <w:p>
            <w:pPr>
              <w:spacing w:after="0" w:line="223" w:lineRule="exact"/>
              <w:rPr>
                <w:sz w:val="20"/>
                <w:szCs w:val="20"/>
                <w:color w:val="auto"/>
              </w:rPr>
            </w:pPr>
            <w:r>
              <w:rPr>
                <w:rFonts w:ascii="Times New Roman" w:cs="Times New Roman" w:eastAsia="Times New Roman" w:hAnsi="Times New Roman"/>
                <w:sz w:val="20"/>
                <w:szCs w:val="20"/>
                <w:color w:val="auto"/>
              </w:rPr>
              <w:t>Section 3.16</w:t>
            </w:r>
          </w:p>
        </w:tc>
        <w:tc>
          <w:tcPr>
            <w:tcW w:w="2040" w:type="dxa"/>
            <w:vAlign w:val="bottom"/>
            <w:gridSpan w:val="22"/>
          </w:tcPr>
          <w:p>
            <w:pPr>
              <w:ind w:left="100"/>
              <w:spacing w:after="0" w:line="223" w:lineRule="exact"/>
              <w:rPr>
                <w:sz w:val="20"/>
                <w:szCs w:val="20"/>
                <w:color w:val="auto"/>
              </w:rPr>
            </w:pPr>
            <w:r>
              <w:rPr>
                <w:rFonts w:ascii="Times New Roman" w:cs="Times New Roman" w:eastAsia="Times New Roman" w:hAnsi="Times New Roman"/>
                <w:sz w:val="20"/>
                <w:szCs w:val="20"/>
                <w:color w:val="auto"/>
              </w:rPr>
              <w:t>Environmental Matters</w:t>
            </w:r>
          </w:p>
        </w:tc>
        <w:tc>
          <w:tcPr>
            <w:tcW w:w="380" w:type="dxa"/>
            <w:vAlign w:val="bottom"/>
            <w:gridSpan w:val="9"/>
          </w:tcPr>
          <w:p>
            <w:pPr>
              <w:jc w:val="right"/>
              <w:spacing w:after="0" w:line="223" w:lineRule="exact"/>
              <w:rPr>
                <w:sz w:val="20"/>
                <w:szCs w:val="20"/>
                <w:color w:val="auto"/>
              </w:rPr>
            </w:pPr>
            <w:r>
              <w:rPr>
                <w:rFonts w:ascii="Times New Roman" w:cs="Times New Roman" w:eastAsia="Times New Roman" w:hAnsi="Times New Roman"/>
                <w:sz w:val="20"/>
                <w:szCs w:val="20"/>
                <w:color w:val="FF0000"/>
                <w:strike w:val="1"/>
              </w:rPr>
              <w:t>108</w:t>
            </w:r>
          </w:p>
        </w:tc>
        <w:tc>
          <w:tcPr>
            <w:tcW w:w="300" w:type="dxa"/>
            <w:vAlign w:val="bottom"/>
            <w:tcBorders>
              <w:bottom w:val="single" w:sz="8" w:color="0000FF"/>
            </w:tcBorders>
            <w:gridSpan w:val="8"/>
          </w:tcPr>
          <w:p>
            <w:pPr>
              <w:spacing w:after="0" w:line="223" w:lineRule="exact"/>
              <w:rPr>
                <w:sz w:val="20"/>
                <w:szCs w:val="20"/>
                <w:color w:val="auto"/>
              </w:rPr>
            </w:pPr>
            <w:r>
              <w:rPr>
                <w:rFonts w:ascii="Times New Roman" w:cs="Times New Roman" w:eastAsia="Times New Roman" w:hAnsi="Times New Roman"/>
                <w:sz w:val="20"/>
                <w:szCs w:val="20"/>
                <w:b w:val="1"/>
                <w:bCs w:val="1"/>
                <w:color w:val="0000FF"/>
                <w:w w:val="93"/>
              </w:rPr>
              <w:t>110</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080" w:type="dxa"/>
            <w:vAlign w:val="bottom"/>
          </w:tcPr>
          <w:p>
            <w:pPr>
              <w:spacing w:after="0"/>
              <w:rPr>
                <w:sz w:val="20"/>
                <w:szCs w:val="20"/>
                <w:color w:val="auto"/>
              </w:rPr>
            </w:pPr>
            <w:r>
              <w:rPr>
                <w:rFonts w:ascii="Times New Roman" w:cs="Times New Roman" w:eastAsia="Times New Roman" w:hAnsi="Times New Roman"/>
                <w:sz w:val="20"/>
                <w:szCs w:val="20"/>
                <w:color w:val="auto"/>
              </w:rPr>
              <w:t>Section 3.17</w:t>
            </w:r>
          </w:p>
        </w:tc>
        <w:tc>
          <w:tcPr>
            <w:tcW w:w="1860" w:type="dxa"/>
            <w:vAlign w:val="bottom"/>
            <w:gridSpan w:val="17"/>
          </w:tcPr>
          <w:p>
            <w:pPr>
              <w:ind w:left="100"/>
              <w:spacing w:after="0"/>
              <w:rPr>
                <w:sz w:val="20"/>
                <w:szCs w:val="20"/>
                <w:color w:val="auto"/>
              </w:rPr>
            </w:pPr>
            <w:r>
              <w:rPr>
                <w:rFonts w:ascii="Times New Roman" w:cs="Times New Roman" w:eastAsia="Times New Roman" w:hAnsi="Times New Roman"/>
                <w:sz w:val="20"/>
                <w:szCs w:val="20"/>
                <w:color w:val="auto"/>
              </w:rPr>
              <w:t>Security Documents</w:t>
            </w:r>
          </w:p>
        </w:tc>
        <w:tc>
          <w:tcPr>
            <w:tcW w:w="20" w:type="dxa"/>
            <w:vAlign w:val="bottom"/>
          </w:tcPr>
          <w:p>
            <w:pPr>
              <w:spacing w:after="0"/>
              <w:rPr>
                <w:sz w:val="20"/>
                <w:szCs w:val="20"/>
                <w:color w:val="auto"/>
              </w:rPr>
            </w:pPr>
          </w:p>
        </w:tc>
        <w:tc>
          <w:tcPr>
            <w:tcW w:w="320" w:type="dxa"/>
            <w:vAlign w:val="bottom"/>
            <w:gridSpan w:val="8"/>
          </w:tcPr>
          <w:p>
            <w:pPr>
              <w:jc w:val="right"/>
              <w:spacing w:after="0"/>
              <w:rPr>
                <w:sz w:val="20"/>
                <w:szCs w:val="20"/>
                <w:color w:val="auto"/>
              </w:rPr>
            </w:pPr>
            <w:r>
              <w:rPr>
                <w:rFonts w:ascii="Times New Roman" w:cs="Times New Roman" w:eastAsia="Times New Roman" w:hAnsi="Times New Roman"/>
                <w:sz w:val="20"/>
                <w:szCs w:val="20"/>
                <w:color w:val="FF0000"/>
                <w:strike w:val="1"/>
                <w:w w:val="99"/>
              </w:rPr>
              <w:t>109</w:t>
            </w:r>
          </w:p>
        </w:tc>
        <w:tc>
          <w:tcPr>
            <w:tcW w:w="280" w:type="dxa"/>
            <w:vAlign w:val="bottom"/>
            <w:tcBorders>
              <w:bottom w:val="single" w:sz="8" w:color="0000FF"/>
            </w:tcBorders>
            <w:gridSpan w:val="7"/>
          </w:tcPr>
          <w:p>
            <w:pPr>
              <w:jc w:val="right"/>
              <w:spacing w:after="0"/>
              <w:rPr>
                <w:sz w:val="20"/>
                <w:szCs w:val="20"/>
                <w:color w:val="auto"/>
              </w:rPr>
            </w:pPr>
            <w:r>
              <w:rPr>
                <w:rFonts w:ascii="Times New Roman" w:cs="Times New Roman" w:eastAsia="Times New Roman" w:hAnsi="Times New Roman"/>
                <w:sz w:val="20"/>
                <w:szCs w:val="20"/>
                <w:b w:val="1"/>
                <w:bCs w:val="1"/>
                <w:color w:val="0000FF"/>
                <w:w w:val="86"/>
              </w:rPr>
              <w:t>111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gridSpan w:val="7"/>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0000FF"/>
                <w:w w:val="93"/>
              </w:rPr>
              <w:t>112</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080" w:type="dxa"/>
            <w:vAlign w:val="bottom"/>
          </w:tcPr>
          <w:p>
            <w:pPr>
              <w:spacing w:after="0"/>
              <w:rPr>
                <w:sz w:val="20"/>
                <w:szCs w:val="20"/>
                <w:color w:val="auto"/>
              </w:rPr>
            </w:pPr>
            <w:r>
              <w:rPr>
                <w:rFonts w:ascii="Times New Roman" w:cs="Times New Roman" w:eastAsia="Times New Roman" w:hAnsi="Times New Roman"/>
                <w:sz w:val="20"/>
                <w:szCs w:val="20"/>
                <w:color w:val="auto"/>
              </w:rPr>
              <w:t>Section 3.18</w:t>
            </w:r>
          </w:p>
        </w:tc>
        <w:tc>
          <w:tcPr>
            <w:tcW w:w="2320" w:type="dxa"/>
            <w:vAlign w:val="bottom"/>
            <w:gridSpan w:val="29"/>
          </w:tcPr>
          <w:p>
            <w:pPr>
              <w:ind w:left="100"/>
              <w:spacing w:after="0"/>
              <w:rPr>
                <w:sz w:val="20"/>
                <w:szCs w:val="20"/>
                <w:color w:val="auto"/>
              </w:rPr>
            </w:pPr>
            <w:r>
              <w:rPr>
                <w:rFonts w:ascii="Times New Roman" w:cs="Times New Roman" w:eastAsia="Times New Roman" w:hAnsi="Times New Roman"/>
                <w:sz w:val="20"/>
                <w:szCs w:val="20"/>
                <w:color w:val="auto"/>
              </w:rPr>
              <w:t>Location of Real Property</w:t>
            </w:r>
          </w:p>
        </w:tc>
        <w:tc>
          <w:tcPr>
            <w:tcW w:w="20" w:type="dxa"/>
            <w:vAlign w:val="bottom"/>
          </w:tcPr>
          <w:p>
            <w:pPr>
              <w:spacing w:after="0"/>
              <w:rPr>
                <w:sz w:val="20"/>
                <w:szCs w:val="20"/>
                <w:color w:val="auto"/>
              </w:rPr>
            </w:pPr>
          </w:p>
        </w:tc>
        <w:tc>
          <w:tcPr>
            <w:tcW w:w="300" w:type="dxa"/>
            <w:vAlign w:val="bottom"/>
            <w:gridSpan w:val="7"/>
          </w:tcPr>
          <w:p>
            <w:pPr>
              <w:jc w:val="right"/>
              <w:spacing w:after="0"/>
              <w:rPr>
                <w:sz w:val="20"/>
                <w:szCs w:val="20"/>
                <w:color w:val="auto"/>
              </w:rPr>
            </w:pPr>
            <w:r>
              <w:rPr>
                <w:rFonts w:ascii="Times New Roman" w:cs="Times New Roman" w:eastAsia="Times New Roman" w:hAnsi="Times New Roman"/>
                <w:sz w:val="20"/>
                <w:szCs w:val="20"/>
                <w:color w:val="FF0000"/>
                <w:strike w:val="1"/>
                <w:w w:val="93"/>
              </w:rPr>
              <w:t>110</w:t>
            </w:r>
          </w:p>
        </w:tc>
        <w:tc>
          <w:tcPr>
            <w:tcW w:w="320" w:type="dxa"/>
            <w:vAlign w:val="bottom"/>
            <w:gridSpan w:val="7"/>
            <w:vMerge w:val="continue"/>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080" w:type="dxa"/>
            <w:vAlign w:val="bottom"/>
          </w:tcPr>
          <w:p>
            <w:pPr>
              <w:spacing w:after="0" w:line="223" w:lineRule="exact"/>
              <w:rPr>
                <w:sz w:val="20"/>
                <w:szCs w:val="20"/>
                <w:color w:val="auto"/>
              </w:rPr>
            </w:pPr>
            <w:r>
              <w:rPr>
                <w:rFonts w:ascii="Times New Roman" w:cs="Times New Roman" w:eastAsia="Times New Roman" w:hAnsi="Times New Roman"/>
                <w:sz w:val="20"/>
                <w:szCs w:val="20"/>
                <w:color w:val="auto"/>
              </w:rPr>
              <w:t>Section 3.19</w:t>
            </w:r>
          </w:p>
        </w:tc>
        <w:tc>
          <w:tcPr>
            <w:tcW w:w="1040" w:type="dxa"/>
            <w:vAlign w:val="bottom"/>
            <w:gridSpan w:val="2"/>
          </w:tcPr>
          <w:p>
            <w:pPr>
              <w:ind w:left="100"/>
              <w:spacing w:after="0" w:line="223" w:lineRule="exact"/>
              <w:rPr>
                <w:sz w:val="20"/>
                <w:szCs w:val="20"/>
                <w:color w:val="auto"/>
              </w:rPr>
            </w:pPr>
            <w:r>
              <w:rPr>
                <w:rFonts w:ascii="Times New Roman" w:cs="Times New Roman" w:eastAsia="Times New Roman" w:hAnsi="Times New Roman"/>
                <w:sz w:val="20"/>
                <w:szCs w:val="20"/>
                <w:color w:val="auto"/>
              </w:rPr>
              <w:t>Solvency</w:t>
            </w:r>
          </w:p>
        </w:tc>
        <w:tc>
          <w:tcPr>
            <w:tcW w:w="420" w:type="dxa"/>
            <w:vAlign w:val="bottom"/>
            <w:gridSpan w:val="4"/>
          </w:tcPr>
          <w:p>
            <w:pPr>
              <w:spacing w:after="0" w:line="223" w:lineRule="exact"/>
              <w:rPr>
                <w:sz w:val="20"/>
                <w:szCs w:val="20"/>
                <w:color w:val="auto"/>
              </w:rPr>
            </w:pPr>
            <w:r>
              <w:rPr>
                <w:rFonts w:ascii="Times New Roman" w:cs="Times New Roman" w:eastAsia="Times New Roman" w:hAnsi="Times New Roman"/>
                <w:sz w:val="20"/>
                <w:szCs w:val="20"/>
                <w:color w:val="FF0000"/>
                <w:strike w:val="1"/>
              </w:rPr>
              <w:t>110</w:t>
            </w:r>
          </w:p>
        </w:tc>
        <w:tc>
          <w:tcPr>
            <w:tcW w:w="260" w:type="dxa"/>
            <w:vAlign w:val="bottom"/>
            <w:gridSpan w:val="7"/>
          </w:tcPr>
          <w:p>
            <w:pPr>
              <w:jc w:val="right"/>
              <w:ind w:right="21"/>
              <w:spacing w:after="0"/>
              <w:rPr>
                <w:sz w:val="20"/>
                <w:szCs w:val="20"/>
                <w:color w:val="auto"/>
              </w:rPr>
            </w:pPr>
            <w:r>
              <w:rPr>
                <w:rFonts w:ascii="Times New Roman" w:cs="Times New Roman" w:eastAsia="Times New Roman" w:hAnsi="Times New Roman"/>
                <w:sz w:val="11"/>
                <w:szCs w:val="11"/>
                <w:b w:val="1"/>
                <w:bCs w:val="1"/>
                <w:color w:val="0000FF"/>
                <w:w w:val="72"/>
              </w:rPr>
              <w:t>112</w:t>
            </w:r>
          </w:p>
        </w:tc>
        <w:tc>
          <w:tcPr>
            <w:tcW w:w="280" w:type="dxa"/>
            <w:vAlign w:val="bottom"/>
            <w:gridSpan w:val="8"/>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0000FF"/>
                <w:w w:val="86"/>
              </w:rPr>
              <w:t>112</w:t>
            </w:r>
          </w:p>
        </w:tc>
        <w:tc>
          <w:tcPr>
            <w:tcW w:w="640" w:type="dxa"/>
            <w:vAlign w:val="bottom"/>
            <w:gridSpan w:val="16"/>
          </w:tcPr>
          <w:p>
            <w:pPr>
              <w:spacing w:after="0"/>
              <w:rPr>
                <w:sz w:val="19"/>
                <w:szCs w:val="19"/>
                <w:color w:val="auto"/>
              </w:rPr>
            </w:pPr>
          </w:p>
        </w:tc>
        <w:tc>
          <w:tcPr>
            <w:tcW w:w="320" w:type="dxa"/>
            <w:vAlign w:val="bottom"/>
            <w:tcBorders>
              <w:top w:val="single" w:sz="8" w:color="0000FF"/>
            </w:tcBorders>
            <w:gridSpan w:val="7"/>
          </w:tcPr>
          <w:p>
            <w:pPr>
              <w:spacing w:after="0"/>
              <w:rPr>
                <w:sz w:val="19"/>
                <w:szCs w:val="19"/>
                <w:color w:val="auto"/>
              </w:rPr>
            </w:pPr>
          </w:p>
        </w:tc>
        <w:tc>
          <w:tcPr>
            <w:tcW w:w="2580" w:type="dxa"/>
            <w:vAlign w:val="bottom"/>
            <w:gridSpan w:val="29"/>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540" w:type="dxa"/>
            <w:vAlign w:val="bottom"/>
            <w:tcBorders>
              <w:right w:val="single" w:sz="8" w:color="0000FF"/>
            </w:tcBorders>
            <w:gridSpan w:val="7"/>
          </w:tcPr>
          <w:p>
            <w:pPr>
              <w:spacing w:after="0" w:line="20" w:lineRule="exact"/>
              <w:rPr>
                <w:sz w:val="1"/>
                <w:szCs w:val="1"/>
                <w:color w:val="auto"/>
              </w:rPr>
            </w:pPr>
          </w:p>
        </w:tc>
        <w:tc>
          <w:tcPr>
            <w:tcW w:w="260" w:type="dxa"/>
            <w:vAlign w:val="bottom"/>
            <w:gridSpan w:val="7"/>
            <w:shd w:val="clear" w:color="auto" w:fill="0000FF"/>
          </w:tcPr>
          <w:p>
            <w:pPr>
              <w:spacing w:after="0" w:line="20" w:lineRule="exact"/>
              <w:rPr>
                <w:sz w:val="1"/>
                <w:szCs w:val="1"/>
                <w:color w:val="auto"/>
              </w:rPr>
            </w:pPr>
          </w:p>
        </w:tc>
        <w:tc>
          <w:tcPr>
            <w:tcW w:w="280" w:type="dxa"/>
            <w:vAlign w:val="bottom"/>
            <w:gridSpan w:val="8"/>
            <w:vMerge w:val="continue"/>
          </w:tcPr>
          <w:p>
            <w:pPr>
              <w:spacing w:after="0" w:line="20" w:lineRule="exact"/>
              <w:rPr>
                <w:sz w:val="1"/>
                <w:szCs w:val="1"/>
                <w:color w:val="auto"/>
              </w:rPr>
            </w:pPr>
          </w:p>
        </w:tc>
        <w:tc>
          <w:tcPr>
            <w:tcW w:w="3540" w:type="dxa"/>
            <w:vAlign w:val="bottom"/>
            <w:gridSpan w:val="5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1080" w:type="dxa"/>
            <w:vAlign w:val="bottom"/>
          </w:tcPr>
          <w:p>
            <w:pPr>
              <w:spacing w:after="0"/>
              <w:rPr>
                <w:sz w:val="20"/>
                <w:szCs w:val="20"/>
                <w:color w:val="auto"/>
              </w:rPr>
            </w:pPr>
            <w:r>
              <w:rPr>
                <w:rFonts w:ascii="Times New Roman" w:cs="Times New Roman" w:eastAsia="Times New Roman" w:hAnsi="Times New Roman"/>
                <w:sz w:val="20"/>
                <w:szCs w:val="20"/>
                <w:color w:val="auto"/>
              </w:rPr>
              <w:t>Section 3.20</w:t>
            </w:r>
          </w:p>
        </w:tc>
        <w:tc>
          <w:tcPr>
            <w:tcW w:w="1460" w:type="dxa"/>
            <w:vAlign w:val="bottom"/>
            <w:gridSpan w:val="6"/>
          </w:tcPr>
          <w:p>
            <w:pPr>
              <w:ind w:left="100"/>
              <w:spacing w:after="0"/>
              <w:rPr>
                <w:sz w:val="20"/>
                <w:szCs w:val="20"/>
                <w:color w:val="auto"/>
              </w:rPr>
            </w:pPr>
            <w:r>
              <w:rPr>
                <w:rFonts w:ascii="Times New Roman" w:cs="Times New Roman" w:eastAsia="Times New Roman" w:hAnsi="Times New Roman"/>
                <w:sz w:val="20"/>
                <w:szCs w:val="20"/>
                <w:color w:val="auto"/>
                <w:w w:val="98"/>
              </w:rPr>
              <w:t>Labor Matters</w:t>
            </w:r>
          </w:p>
        </w:tc>
        <w:tc>
          <w:tcPr>
            <w:tcW w:w="260" w:type="dxa"/>
            <w:vAlign w:val="bottom"/>
            <w:gridSpan w:val="7"/>
          </w:tcPr>
          <w:p>
            <w:pPr>
              <w:jc w:val="right"/>
              <w:spacing w:after="0"/>
              <w:rPr>
                <w:sz w:val="20"/>
                <w:szCs w:val="20"/>
                <w:color w:val="auto"/>
              </w:rPr>
            </w:pPr>
            <w:r>
              <w:rPr>
                <w:rFonts w:ascii="Times New Roman" w:cs="Times New Roman" w:eastAsia="Times New Roman" w:hAnsi="Times New Roman"/>
                <w:sz w:val="20"/>
                <w:szCs w:val="20"/>
                <w:color w:val="FF0000"/>
                <w:strike w:val="1"/>
                <w:w w:val="79"/>
              </w:rPr>
              <w:t>110</w:t>
            </w:r>
          </w:p>
        </w:tc>
        <w:tc>
          <w:tcPr>
            <w:tcW w:w="280" w:type="dxa"/>
            <w:vAlign w:val="bottom"/>
            <w:tcBorders>
              <w:bottom w:val="single" w:sz="8" w:color="0000FF"/>
            </w:tcBorders>
            <w:gridSpan w:val="8"/>
            <w:vMerge w:val="continue"/>
          </w:tcPr>
          <w:p>
            <w:pPr>
              <w:spacing w:after="0"/>
              <w:rPr>
                <w:sz w:val="20"/>
                <w:szCs w:val="20"/>
                <w:color w:val="auto"/>
              </w:rPr>
            </w:pPr>
          </w:p>
        </w:tc>
        <w:tc>
          <w:tcPr>
            <w:tcW w:w="3540" w:type="dxa"/>
            <w:vAlign w:val="bottom"/>
            <w:gridSpan w:val="52"/>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080" w:type="dxa"/>
            <w:vAlign w:val="bottom"/>
          </w:tcPr>
          <w:p>
            <w:pPr>
              <w:spacing w:after="0" w:line="223" w:lineRule="exact"/>
              <w:rPr>
                <w:sz w:val="20"/>
                <w:szCs w:val="20"/>
                <w:color w:val="auto"/>
              </w:rPr>
            </w:pPr>
            <w:r>
              <w:rPr>
                <w:rFonts w:ascii="Times New Roman" w:cs="Times New Roman" w:eastAsia="Times New Roman" w:hAnsi="Times New Roman"/>
                <w:sz w:val="20"/>
                <w:szCs w:val="20"/>
                <w:color w:val="auto"/>
              </w:rPr>
              <w:t>Section 3.21</w:t>
            </w:r>
          </w:p>
        </w:tc>
        <w:tc>
          <w:tcPr>
            <w:tcW w:w="1060" w:type="dxa"/>
            <w:vAlign w:val="bottom"/>
            <w:gridSpan w:val="3"/>
          </w:tcPr>
          <w:p>
            <w:pPr>
              <w:ind w:left="100"/>
              <w:spacing w:after="0" w:line="223" w:lineRule="exact"/>
              <w:rPr>
                <w:sz w:val="20"/>
                <w:szCs w:val="20"/>
                <w:color w:val="auto"/>
              </w:rPr>
            </w:pPr>
            <w:r>
              <w:rPr>
                <w:rFonts w:ascii="Times New Roman" w:cs="Times New Roman" w:eastAsia="Times New Roman" w:hAnsi="Times New Roman"/>
                <w:sz w:val="20"/>
                <w:szCs w:val="20"/>
                <w:color w:val="auto"/>
              </w:rPr>
              <w:t>Insurance</w:t>
            </w:r>
          </w:p>
        </w:tc>
        <w:tc>
          <w:tcPr>
            <w:tcW w:w="400" w:type="dxa"/>
            <w:vAlign w:val="bottom"/>
            <w:gridSpan w:val="3"/>
          </w:tcPr>
          <w:p>
            <w:pPr>
              <w:spacing w:after="0" w:line="223" w:lineRule="exact"/>
              <w:rPr>
                <w:sz w:val="20"/>
                <w:szCs w:val="20"/>
                <w:color w:val="auto"/>
              </w:rPr>
            </w:pPr>
            <w:r>
              <w:rPr>
                <w:rFonts w:ascii="Times New Roman" w:cs="Times New Roman" w:eastAsia="Times New Roman" w:hAnsi="Times New Roman"/>
                <w:sz w:val="20"/>
                <w:szCs w:val="20"/>
                <w:color w:val="FF0000"/>
                <w:strike w:val="1"/>
              </w:rPr>
              <w:t>111</w:t>
            </w:r>
          </w:p>
        </w:tc>
        <w:tc>
          <w:tcPr>
            <w:tcW w:w="180" w:type="dxa"/>
            <w:vAlign w:val="bottom"/>
            <w:tcBorders>
              <w:bottom w:val="single" w:sz="8" w:color="0000FF"/>
            </w:tcBorders>
            <w:gridSpan w:val="5"/>
          </w:tcPr>
          <w:p>
            <w:pPr>
              <w:jc w:val="right"/>
              <w:spacing w:after="0"/>
              <w:rPr>
                <w:sz w:val="20"/>
                <w:szCs w:val="20"/>
                <w:color w:val="auto"/>
              </w:rPr>
            </w:pPr>
            <w:r>
              <w:rPr>
                <w:rFonts w:ascii="Times New Roman" w:cs="Times New Roman" w:eastAsia="Times New Roman" w:hAnsi="Times New Roman"/>
                <w:sz w:val="15"/>
                <w:szCs w:val="15"/>
                <w:b w:val="1"/>
                <w:bCs w:val="1"/>
                <w:color w:val="0000FF"/>
                <w:w w:val="70"/>
              </w:rPr>
              <w:t>112</w:t>
            </w:r>
          </w:p>
        </w:tc>
        <w:tc>
          <w:tcPr>
            <w:tcW w:w="3900" w:type="dxa"/>
            <w:vAlign w:val="bottom"/>
            <w:gridSpan w:val="62"/>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1080" w:type="dxa"/>
            <w:vAlign w:val="bottom"/>
          </w:tcPr>
          <w:p>
            <w:pPr>
              <w:spacing w:after="0"/>
              <w:rPr>
                <w:sz w:val="20"/>
                <w:szCs w:val="20"/>
                <w:color w:val="auto"/>
              </w:rPr>
            </w:pPr>
            <w:r>
              <w:rPr>
                <w:rFonts w:ascii="Times New Roman" w:cs="Times New Roman" w:eastAsia="Times New Roman" w:hAnsi="Times New Roman"/>
                <w:sz w:val="20"/>
                <w:szCs w:val="20"/>
                <w:color w:val="auto"/>
              </w:rPr>
              <w:t>Section 3.22</w:t>
            </w:r>
          </w:p>
        </w:tc>
        <w:tc>
          <w:tcPr>
            <w:tcW w:w="1120" w:type="dxa"/>
            <w:vAlign w:val="bottom"/>
            <w:gridSpan w:val="4"/>
          </w:tcPr>
          <w:p>
            <w:pPr>
              <w:ind w:left="100"/>
              <w:spacing w:after="0"/>
              <w:rPr>
                <w:sz w:val="20"/>
                <w:szCs w:val="20"/>
                <w:color w:val="auto"/>
              </w:rPr>
            </w:pPr>
            <w:r>
              <w:rPr>
                <w:rFonts w:ascii="Times New Roman" w:cs="Times New Roman" w:eastAsia="Times New Roman" w:hAnsi="Times New Roman"/>
                <w:sz w:val="20"/>
                <w:szCs w:val="20"/>
                <w:color w:val="auto"/>
              </w:rPr>
              <w:t>No Default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FF0000"/>
                <w:strike w:val="1"/>
              </w:rPr>
              <w:t>111</w:t>
            </w:r>
          </w:p>
        </w:tc>
        <w:tc>
          <w:tcPr>
            <w:tcW w:w="30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20"/>
                <w:szCs w:val="20"/>
                <w:b w:val="1"/>
                <w:bCs w:val="1"/>
                <w:color w:val="0000FF"/>
                <w:w w:val="93"/>
              </w:rPr>
              <w:t>113</w:t>
            </w:r>
          </w:p>
        </w:tc>
        <w:tc>
          <w:tcPr>
            <w:tcW w:w="1640" w:type="dxa"/>
            <w:vAlign w:val="bottom"/>
            <w:gridSpan w:val="40"/>
          </w:tcPr>
          <w:p>
            <w:pPr>
              <w:spacing w:after="0"/>
              <w:rPr>
                <w:sz w:val="20"/>
                <w:szCs w:val="20"/>
                <w:color w:val="auto"/>
              </w:rPr>
            </w:pPr>
          </w:p>
        </w:tc>
        <w:tc>
          <w:tcPr>
            <w:tcW w:w="380" w:type="dxa"/>
            <w:vAlign w:val="bottom"/>
            <w:gridSpan w:val="5"/>
            <w:vMerge w:val="restart"/>
          </w:tcPr>
          <w:p>
            <w:pPr>
              <w:jc w:val="right"/>
              <w:ind w:right="80"/>
              <w:spacing w:after="0"/>
              <w:rPr>
                <w:sz w:val="20"/>
                <w:szCs w:val="20"/>
                <w:color w:val="auto"/>
              </w:rPr>
            </w:pPr>
            <w:r>
              <w:rPr>
                <w:rFonts w:ascii="Times New Roman" w:cs="Times New Roman" w:eastAsia="Times New Roman" w:hAnsi="Times New Roman"/>
                <w:sz w:val="20"/>
                <w:szCs w:val="20"/>
                <w:b w:val="1"/>
                <w:bCs w:val="1"/>
                <w:color w:val="0000FF"/>
                <w:w w:val="93"/>
              </w:rPr>
              <w:t>113</w:t>
            </w:r>
          </w:p>
        </w:tc>
        <w:tc>
          <w:tcPr>
            <w:tcW w:w="1760" w:type="dxa"/>
            <w:vAlign w:val="bottom"/>
            <w:gridSpan w:val="13"/>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200" w:type="dxa"/>
            <w:vAlign w:val="bottom"/>
            <w:gridSpan w:val="49"/>
          </w:tcPr>
          <w:p>
            <w:pPr>
              <w:spacing w:after="0"/>
              <w:rPr>
                <w:sz w:val="20"/>
                <w:szCs w:val="20"/>
                <w:color w:val="auto"/>
              </w:rPr>
            </w:pPr>
            <w:r>
              <w:rPr>
                <w:rFonts w:ascii="Times New Roman" w:cs="Times New Roman" w:eastAsia="Times New Roman" w:hAnsi="Times New Roman"/>
                <w:sz w:val="20"/>
                <w:szCs w:val="20"/>
                <w:color w:val="auto"/>
              </w:rPr>
              <w:t>Section 3.23  Intellectual Property; Licenses, Etc.</w:t>
            </w:r>
          </w:p>
        </w:tc>
        <w:tc>
          <w:tcPr>
            <w:tcW w:w="280" w:type="dxa"/>
            <w:vAlign w:val="bottom"/>
            <w:gridSpan w:val="7"/>
          </w:tcPr>
          <w:p>
            <w:pPr>
              <w:jc w:val="right"/>
              <w:spacing w:after="0"/>
              <w:rPr>
                <w:sz w:val="20"/>
                <w:szCs w:val="20"/>
                <w:color w:val="auto"/>
              </w:rPr>
            </w:pPr>
            <w:r>
              <w:rPr>
                <w:rFonts w:ascii="Times New Roman" w:cs="Times New Roman" w:eastAsia="Times New Roman" w:hAnsi="Times New Roman"/>
                <w:sz w:val="20"/>
                <w:szCs w:val="20"/>
                <w:color w:val="FF0000"/>
                <w:strike w:val="1"/>
                <w:w w:val="86"/>
              </w:rPr>
              <w:t>111</w:t>
            </w:r>
          </w:p>
        </w:tc>
        <w:tc>
          <w:tcPr>
            <w:tcW w:w="380" w:type="dxa"/>
            <w:vAlign w:val="bottom"/>
            <w:gridSpan w:val="5"/>
            <w:vMerge w:val="continue"/>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080" w:type="dxa"/>
            <w:vAlign w:val="bottom"/>
          </w:tcPr>
          <w:p>
            <w:pPr>
              <w:spacing w:after="0" w:line="223" w:lineRule="exact"/>
              <w:rPr>
                <w:sz w:val="20"/>
                <w:szCs w:val="20"/>
                <w:color w:val="auto"/>
              </w:rPr>
            </w:pPr>
            <w:r>
              <w:rPr>
                <w:rFonts w:ascii="Times New Roman" w:cs="Times New Roman" w:eastAsia="Times New Roman" w:hAnsi="Times New Roman"/>
                <w:sz w:val="20"/>
                <w:szCs w:val="20"/>
                <w:color w:val="auto"/>
              </w:rPr>
              <w:t>Section 3.24</w:t>
            </w:r>
          </w:p>
        </w:tc>
        <w:tc>
          <w:tcPr>
            <w:tcW w:w="1240" w:type="dxa"/>
            <w:vAlign w:val="bottom"/>
            <w:gridSpan w:val="5"/>
          </w:tcPr>
          <w:p>
            <w:pPr>
              <w:ind w:left="100"/>
              <w:spacing w:after="0" w:line="223" w:lineRule="exact"/>
              <w:rPr>
                <w:sz w:val="20"/>
                <w:szCs w:val="20"/>
                <w:color w:val="auto"/>
              </w:rPr>
            </w:pPr>
            <w:r>
              <w:rPr>
                <w:rFonts w:ascii="Times New Roman" w:cs="Times New Roman" w:eastAsia="Times New Roman" w:hAnsi="Times New Roman"/>
                <w:sz w:val="20"/>
                <w:szCs w:val="20"/>
                <w:color w:val="auto"/>
                <w:w w:val="97"/>
              </w:rPr>
              <w:t>Senior Debt</w:t>
            </w:r>
          </w:p>
        </w:tc>
        <w:tc>
          <w:tcPr>
            <w:tcW w:w="30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color w:val="FF0000"/>
                <w:strike w:val="1"/>
                <w:w w:val="93"/>
              </w:rPr>
              <w:t>111</w:t>
            </w:r>
          </w:p>
        </w:tc>
        <w:tc>
          <w:tcPr>
            <w:tcW w:w="280" w:type="dxa"/>
            <w:vAlign w:val="bottom"/>
            <w:tcBorders>
              <w:bottom w:val="single" w:sz="8" w:color="0000FF"/>
            </w:tcBorders>
            <w:gridSpan w:val="9"/>
          </w:tcPr>
          <w:p>
            <w:pPr>
              <w:jc w:val="right"/>
              <w:spacing w:after="0" w:line="223" w:lineRule="exact"/>
              <w:rPr>
                <w:sz w:val="20"/>
                <w:szCs w:val="20"/>
                <w:color w:val="auto"/>
              </w:rPr>
            </w:pPr>
            <w:r>
              <w:rPr>
                <w:rFonts w:ascii="Times New Roman" w:cs="Times New Roman" w:eastAsia="Times New Roman" w:hAnsi="Times New Roman"/>
                <w:sz w:val="20"/>
                <w:szCs w:val="20"/>
                <w:b w:val="1"/>
                <w:bCs w:val="1"/>
                <w:color w:val="0000FF"/>
                <w:w w:val="86"/>
              </w:rPr>
              <w:t>113</w:t>
            </w:r>
          </w:p>
        </w:tc>
        <w:tc>
          <w:tcPr>
            <w:tcW w:w="960" w:type="dxa"/>
            <w:vAlign w:val="bottom"/>
            <w:gridSpan w:val="25"/>
          </w:tcPr>
          <w:p>
            <w:pPr>
              <w:spacing w:after="0"/>
              <w:rPr>
                <w:sz w:val="19"/>
                <w:szCs w:val="19"/>
                <w:color w:val="auto"/>
              </w:rPr>
            </w:pPr>
          </w:p>
        </w:tc>
        <w:tc>
          <w:tcPr>
            <w:tcW w:w="280" w:type="dxa"/>
            <w:vAlign w:val="bottom"/>
            <w:gridSpan w:val="5"/>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0000FF"/>
                <w:w w:val="86"/>
              </w:rPr>
              <w:t>113</w:t>
            </w:r>
          </w:p>
        </w:tc>
        <w:tc>
          <w:tcPr>
            <w:tcW w:w="340" w:type="dxa"/>
            <w:vAlign w:val="bottom"/>
            <w:gridSpan w:val="9"/>
          </w:tcPr>
          <w:p>
            <w:pPr>
              <w:spacing w:after="0"/>
              <w:rPr>
                <w:sz w:val="19"/>
                <w:szCs w:val="19"/>
                <w:color w:val="auto"/>
              </w:rPr>
            </w:pPr>
          </w:p>
        </w:tc>
        <w:tc>
          <w:tcPr>
            <w:tcW w:w="300" w:type="dxa"/>
            <w:vAlign w:val="bottom"/>
            <w:tcBorders>
              <w:top w:val="single" w:sz="8" w:color="0000FF"/>
            </w:tcBorders>
            <w:gridSpan w:val="4"/>
          </w:tcPr>
          <w:p>
            <w:pPr>
              <w:spacing w:after="0"/>
              <w:rPr>
                <w:sz w:val="19"/>
                <w:szCs w:val="19"/>
                <w:color w:val="auto"/>
              </w:rPr>
            </w:pPr>
          </w:p>
        </w:tc>
        <w:tc>
          <w:tcPr>
            <w:tcW w:w="1840" w:type="dxa"/>
            <w:vAlign w:val="bottom"/>
            <w:gridSpan w:val="14"/>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1080" w:type="dxa"/>
            <w:vAlign w:val="bottom"/>
          </w:tcPr>
          <w:p>
            <w:pPr>
              <w:spacing w:after="0"/>
              <w:rPr>
                <w:sz w:val="20"/>
                <w:szCs w:val="20"/>
                <w:color w:val="auto"/>
              </w:rPr>
            </w:pPr>
            <w:r>
              <w:rPr>
                <w:rFonts w:ascii="Times New Roman" w:cs="Times New Roman" w:eastAsia="Times New Roman" w:hAnsi="Times New Roman"/>
                <w:sz w:val="20"/>
                <w:szCs w:val="20"/>
                <w:color w:val="auto"/>
              </w:rPr>
              <w:t>Section 3.25</w:t>
            </w:r>
          </w:p>
        </w:tc>
        <w:tc>
          <w:tcPr>
            <w:tcW w:w="2320" w:type="dxa"/>
            <w:vAlign w:val="bottom"/>
            <w:gridSpan w:val="29"/>
          </w:tcPr>
          <w:p>
            <w:pPr>
              <w:ind w:left="100"/>
              <w:spacing w:after="0"/>
              <w:rPr>
                <w:sz w:val="20"/>
                <w:szCs w:val="20"/>
                <w:color w:val="auto"/>
              </w:rPr>
            </w:pPr>
            <w:r>
              <w:rPr>
                <w:rFonts w:ascii="Times New Roman" w:cs="Times New Roman" w:eastAsia="Times New Roman" w:hAnsi="Times New Roman"/>
                <w:sz w:val="20"/>
                <w:szCs w:val="20"/>
                <w:color w:val="auto"/>
                <w:w w:val="96"/>
              </w:rPr>
              <w:t>USA PATRIOT Act; OFAC</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gridSpan w:val="7"/>
          </w:tcPr>
          <w:p>
            <w:pPr>
              <w:jc w:val="right"/>
              <w:spacing w:after="0"/>
              <w:rPr>
                <w:sz w:val="20"/>
                <w:szCs w:val="20"/>
                <w:color w:val="auto"/>
              </w:rPr>
            </w:pPr>
            <w:r>
              <w:rPr>
                <w:rFonts w:ascii="Times New Roman" w:cs="Times New Roman" w:eastAsia="Times New Roman" w:hAnsi="Times New Roman"/>
                <w:sz w:val="20"/>
                <w:szCs w:val="20"/>
                <w:color w:val="FF0000"/>
                <w:strike w:val="1"/>
                <w:w w:val="86"/>
              </w:rPr>
              <w:t>111</w:t>
            </w:r>
          </w:p>
        </w:tc>
        <w:tc>
          <w:tcPr>
            <w:tcW w:w="280" w:type="dxa"/>
            <w:vAlign w:val="bottom"/>
            <w:tcBorders>
              <w:bottom w:val="single" w:sz="8" w:color="0000FF"/>
            </w:tcBorders>
            <w:gridSpan w:val="5"/>
            <w:vMerge w:val="continue"/>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080" w:type="dxa"/>
            <w:vAlign w:val="bottom"/>
          </w:tcPr>
          <w:p>
            <w:pPr>
              <w:spacing w:after="0" w:line="223" w:lineRule="exact"/>
              <w:rPr>
                <w:sz w:val="20"/>
                <w:szCs w:val="20"/>
                <w:color w:val="auto"/>
              </w:rPr>
            </w:pPr>
            <w:r>
              <w:rPr>
                <w:rFonts w:ascii="Times New Roman" w:cs="Times New Roman" w:eastAsia="Times New Roman" w:hAnsi="Times New Roman"/>
                <w:sz w:val="20"/>
                <w:szCs w:val="20"/>
                <w:color w:val="auto"/>
              </w:rPr>
              <w:t>Section 3.26</w:t>
            </w:r>
          </w:p>
        </w:tc>
        <w:tc>
          <w:tcPr>
            <w:tcW w:w="2500" w:type="dxa"/>
            <w:vAlign w:val="bottom"/>
            <w:gridSpan w:val="34"/>
          </w:tcPr>
          <w:p>
            <w:pPr>
              <w:ind w:left="100"/>
              <w:spacing w:after="0" w:line="223" w:lineRule="exact"/>
              <w:rPr>
                <w:sz w:val="20"/>
                <w:szCs w:val="20"/>
                <w:color w:val="auto"/>
              </w:rPr>
            </w:pPr>
            <w:r>
              <w:rPr>
                <w:rFonts w:ascii="Times New Roman" w:cs="Times New Roman" w:eastAsia="Times New Roman" w:hAnsi="Times New Roman"/>
                <w:sz w:val="20"/>
                <w:szCs w:val="20"/>
                <w:color w:val="auto"/>
                <w:w w:val="98"/>
              </w:rPr>
              <w:t>Foreign Corrupt Practices Act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gridSpan w:val="7"/>
          </w:tcPr>
          <w:p>
            <w:pPr>
              <w:jc w:val="right"/>
              <w:spacing w:after="0" w:line="223" w:lineRule="exact"/>
              <w:rPr>
                <w:sz w:val="20"/>
                <w:szCs w:val="20"/>
                <w:color w:val="auto"/>
              </w:rPr>
            </w:pPr>
            <w:r>
              <w:rPr>
                <w:rFonts w:ascii="Times New Roman" w:cs="Times New Roman" w:eastAsia="Times New Roman" w:hAnsi="Times New Roman"/>
                <w:sz w:val="20"/>
                <w:szCs w:val="20"/>
                <w:color w:val="FF0000"/>
                <w:strike w:val="1"/>
                <w:w w:val="99"/>
              </w:rPr>
              <w:t>112</w:t>
            </w:r>
          </w:p>
        </w:tc>
        <w:tc>
          <w:tcPr>
            <w:tcW w:w="340" w:type="dxa"/>
            <w:vAlign w:val="bottom"/>
            <w:gridSpan w:val="7"/>
          </w:tcPr>
          <w:p>
            <w:pPr>
              <w:jc w:val="right"/>
              <w:ind w:right="40"/>
              <w:spacing w:after="0" w:line="223" w:lineRule="exact"/>
              <w:rPr>
                <w:sz w:val="20"/>
                <w:szCs w:val="20"/>
                <w:color w:val="auto"/>
              </w:rPr>
            </w:pPr>
            <w:r>
              <w:rPr>
                <w:rFonts w:ascii="Times New Roman" w:cs="Times New Roman" w:eastAsia="Times New Roman" w:hAnsi="Times New Roman"/>
                <w:sz w:val="20"/>
                <w:szCs w:val="20"/>
                <w:b w:val="1"/>
                <w:bCs w:val="1"/>
                <w:color w:val="0000FF"/>
                <w:w w:val="93"/>
              </w:rPr>
              <w:t>114</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3"/>
        </w:trPr>
        <w:tc>
          <w:tcPr>
            <w:tcW w:w="2940" w:type="dxa"/>
            <w:vAlign w:val="bottom"/>
            <w:gridSpan w:val="18"/>
          </w:tcPr>
          <w:p>
            <w:pPr>
              <w:spacing w:after="0"/>
              <w:rPr>
                <w:sz w:val="20"/>
                <w:szCs w:val="20"/>
                <w:color w:val="auto"/>
              </w:rPr>
            </w:pPr>
            <w:r>
              <w:rPr>
                <w:rFonts w:ascii="Times New Roman" w:cs="Times New Roman" w:eastAsia="Times New Roman" w:hAnsi="Times New Roman"/>
                <w:sz w:val="20"/>
                <w:szCs w:val="20"/>
                <w:color w:val="auto"/>
                <w:w w:val="98"/>
              </w:rPr>
              <w:t>ARTICLE IV Conditions of Lending</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gridSpan w:val="8"/>
          </w:tcPr>
          <w:p>
            <w:pPr>
              <w:jc w:val="right"/>
              <w:spacing w:after="0"/>
              <w:rPr>
                <w:sz w:val="20"/>
                <w:szCs w:val="20"/>
                <w:color w:val="auto"/>
              </w:rPr>
            </w:pPr>
            <w:r>
              <w:rPr>
                <w:rFonts w:ascii="Times New Roman" w:cs="Times New Roman" w:eastAsia="Times New Roman" w:hAnsi="Times New Roman"/>
                <w:sz w:val="20"/>
                <w:szCs w:val="20"/>
                <w:color w:val="FF0000"/>
                <w:strike w:val="1"/>
                <w:w w:val="93"/>
              </w:rPr>
              <w:t>112</w:t>
            </w:r>
          </w:p>
        </w:tc>
        <w:tc>
          <w:tcPr>
            <w:tcW w:w="300" w:type="dxa"/>
            <w:vAlign w:val="bottom"/>
            <w:tcBorders>
              <w:bottom w:val="single" w:sz="8" w:color="0000FF"/>
            </w:tcBorders>
            <w:gridSpan w:val="7"/>
          </w:tcPr>
          <w:p>
            <w:pPr>
              <w:jc w:val="right"/>
              <w:spacing w:after="0"/>
              <w:rPr>
                <w:sz w:val="20"/>
                <w:szCs w:val="20"/>
                <w:color w:val="auto"/>
              </w:rPr>
            </w:pPr>
            <w:r>
              <w:rPr>
                <w:rFonts w:ascii="Times New Roman" w:cs="Times New Roman" w:eastAsia="Times New Roman" w:hAnsi="Times New Roman"/>
                <w:sz w:val="20"/>
                <w:szCs w:val="20"/>
                <w:b w:val="1"/>
                <w:bCs w:val="1"/>
                <w:color w:val="0000FF"/>
                <w:w w:val="86"/>
              </w:rPr>
              <w:t>114</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080" w:type="dxa"/>
            <w:vAlign w:val="bottom"/>
          </w:tcPr>
          <w:p>
            <w:pPr>
              <w:spacing w:after="0"/>
              <w:rPr>
                <w:sz w:val="20"/>
                <w:szCs w:val="20"/>
                <w:color w:val="auto"/>
              </w:rPr>
            </w:pPr>
            <w:r>
              <w:rPr>
                <w:rFonts w:ascii="Times New Roman" w:cs="Times New Roman" w:eastAsia="Times New Roman" w:hAnsi="Times New Roman"/>
                <w:sz w:val="20"/>
                <w:szCs w:val="20"/>
                <w:color w:val="auto"/>
              </w:rPr>
              <w:t>Section 4.01</w:t>
            </w:r>
          </w:p>
        </w:tc>
        <w:tc>
          <w:tcPr>
            <w:tcW w:w="1560" w:type="dxa"/>
            <w:vAlign w:val="bottom"/>
            <w:gridSpan w:val="8"/>
          </w:tcPr>
          <w:p>
            <w:pPr>
              <w:ind w:left="100"/>
              <w:spacing w:after="0"/>
              <w:rPr>
                <w:sz w:val="20"/>
                <w:szCs w:val="20"/>
                <w:color w:val="auto"/>
              </w:rPr>
            </w:pPr>
            <w:r>
              <w:rPr>
                <w:rFonts w:ascii="Times New Roman" w:cs="Times New Roman" w:eastAsia="Times New Roman" w:hAnsi="Times New Roman"/>
                <w:sz w:val="20"/>
                <w:szCs w:val="20"/>
                <w:color w:val="auto"/>
              </w:rPr>
              <w:t>All Credit Events</w:t>
            </w:r>
          </w:p>
        </w:tc>
        <w:tc>
          <w:tcPr>
            <w:tcW w:w="6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gridSpan w:val="8"/>
          </w:tcPr>
          <w:p>
            <w:pPr>
              <w:jc w:val="right"/>
              <w:spacing w:after="0"/>
              <w:rPr>
                <w:sz w:val="20"/>
                <w:szCs w:val="20"/>
                <w:color w:val="auto"/>
              </w:rPr>
            </w:pPr>
            <w:r>
              <w:rPr>
                <w:rFonts w:ascii="Times New Roman" w:cs="Times New Roman" w:eastAsia="Times New Roman" w:hAnsi="Times New Roman"/>
                <w:sz w:val="20"/>
                <w:szCs w:val="20"/>
                <w:color w:val="FF0000"/>
                <w:strike w:val="1"/>
                <w:w w:val="93"/>
              </w:rPr>
              <w:t>112</w:t>
            </w:r>
          </w:p>
        </w:tc>
        <w:tc>
          <w:tcPr>
            <w:tcW w:w="320" w:type="dxa"/>
            <w:vAlign w:val="bottom"/>
            <w:gridSpan w:val="8"/>
          </w:tcPr>
          <w:p>
            <w:pPr>
              <w:spacing w:after="0"/>
              <w:rPr>
                <w:sz w:val="20"/>
                <w:szCs w:val="20"/>
                <w:color w:val="auto"/>
              </w:rPr>
            </w:pPr>
            <w:r>
              <w:rPr>
                <w:rFonts w:ascii="Times New Roman" w:cs="Times New Roman" w:eastAsia="Times New Roman" w:hAnsi="Times New Roman"/>
                <w:sz w:val="20"/>
                <w:szCs w:val="20"/>
                <w:b w:val="1"/>
                <w:bCs w:val="1"/>
                <w:color w:val="0000FF"/>
                <w:w w:val="99"/>
              </w:rPr>
              <w:t>114</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1080" w:type="dxa"/>
            <w:vAlign w:val="bottom"/>
          </w:tcPr>
          <w:p>
            <w:pPr>
              <w:spacing w:after="0"/>
              <w:rPr>
                <w:sz w:val="20"/>
                <w:szCs w:val="20"/>
                <w:color w:val="auto"/>
              </w:rPr>
            </w:pPr>
            <w:r>
              <w:rPr>
                <w:rFonts w:ascii="Times New Roman" w:cs="Times New Roman" w:eastAsia="Times New Roman" w:hAnsi="Times New Roman"/>
                <w:sz w:val="20"/>
                <w:szCs w:val="20"/>
                <w:color w:val="auto"/>
              </w:rPr>
              <w:t>Section 4.02</w:t>
            </w:r>
          </w:p>
        </w:tc>
        <w:tc>
          <w:tcPr>
            <w:tcW w:w="1120" w:type="dxa"/>
            <w:vAlign w:val="bottom"/>
            <w:gridSpan w:val="4"/>
          </w:tcPr>
          <w:p>
            <w:pPr>
              <w:ind w:left="100"/>
              <w:spacing w:after="0"/>
              <w:rPr>
                <w:sz w:val="20"/>
                <w:szCs w:val="20"/>
                <w:color w:val="auto"/>
              </w:rPr>
            </w:pPr>
            <w:r>
              <w:rPr>
                <w:rFonts w:ascii="Times New Roman" w:cs="Times New Roman" w:eastAsia="Times New Roman" w:hAnsi="Times New Roman"/>
                <w:sz w:val="20"/>
                <w:szCs w:val="20"/>
                <w:color w:val="auto"/>
              </w:rPr>
              <w:t>[Reserved]</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FF0000"/>
                <w:strike w:val="1"/>
              </w:rPr>
              <w:t>113</w:t>
            </w:r>
          </w:p>
        </w:tc>
        <w:tc>
          <w:tcPr>
            <w:tcW w:w="520" w:type="dxa"/>
            <w:vAlign w:val="bottom"/>
            <w:gridSpan w:val="14"/>
          </w:tcPr>
          <w:p>
            <w:pPr>
              <w:spacing w:after="0"/>
              <w:rPr>
                <w:sz w:val="20"/>
                <w:szCs w:val="20"/>
                <w:color w:val="auto"/>
              </w:rPr>
            </w:pPr>
            <w:r>
              <w:rPr>
                <w:rFonts w:ascii="Times New Roman" w:cs="Times New Roman" w:eastAsia="Times New Roman" w:hAnsi="Times New Roman"/>
                <w:sz w:val="20"/>
                <w:szCs w:val="20"/>
                <w:b w:val="1"/>
                <w:bCs w:val="1"/>
                <w:color w:val="0000FF"/>
                <w:w w:val="93"/>
              </w:rPr>
              <w:t>115</w:t>
            </w:r>
          </w:p>
        </w:tc>
        <w:tc>
          <w:tcPr>
            <w:tcW w:w="280" w:type="dxa"/>
            <w:vAlign w:val="bottom"/>
            <w:tcBorders>
              <w:top w:val="single" w:sz="8" w:color="0000FF"/>
            </w:tcBorders>
            <w:gridSpan w:val="7"/>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gridSpan w:val="7"/>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0000FF"/>
                <w:w w:val="86"/>
              </w:rPr>
              <w:t>115</w:t>
            </w:r>
          </w:p>
        </w:tc>
        <w:tc>
          <w:tcPr>
            <w:tcW w:w="40" w:type="dxa"/>
            <w:vAlign w:val="bottom"/>
            <w:vMerge w:val="restart"/>
          </w:tcPr>
          <w:p>
            <w:pPr>
              <w:spacing w:after="0"/>
              <w:rPr>
                <w:sz w:val="20"/>
                <w:szCs w:val="20"/>
                <w:color w:val="auto"/>
              </w:rPr>
            </w:pPr>
          </w:p>
        </w:tc>
        <w:tc>
          <w:tcPr>
            <w:tcW w:w="2920" w:type="dxa"/>
            <w:vAlign w:val="bottom"/>
            <w:gridSpan w:val="37"/>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8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6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80" w:type="dxa"/>
            <w:vAlign w:val="bottom"/>
            <w:gridSpan w:val="7"/>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8"/>
        </w:trPr>
        <w:tc>
          <w:tcPr>
            <w:tcW w:w="2940" w:type="dxa"/>
            <w:vAlign w:val="bottom"/>
            <w:gridSpan w:val="18"/>
          </w:tcPr>
          <w:p>
            <w:pPr>
              <w:spacing w:after="0"/>
              <w:rPr>
                <w:sz w:val="20"/>
                <w:szCs w:val="20"/>
                <w:color w:val="auto"/>
              </w:rPr>
            </w:pPr>
            <w:r>
              <w:rPr>
                <w:rFonts w:ascii="Times New Roman" w:cs="Times New Roman" w:eastAsia="Times New Roman" w:hAnsi="Times New Roman"/>
                <w:sz w:val="20"/>
                <w:szCs w:val="20"/>
                <w:color w:val="auto"/>
                <w:w w:val="99"/>
              </w:rPr>
              <w:t>ARTICLE V Affirmative Covenants</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gridSpan w:val="2"/>
          </w:tcPr>
          <w:p>
            <w:pPr>
              <w:spacing w:after="0"/>
              <w:rPr>
                <w:sz w:val="24"/>
                <w:szCs w:val="24"/>
                <w:color w:val="auto"/>
              </w:rPr>
            </w:pPr>
          </w:p>
        </w:tc>
        <w:tc>
          <w:tcPr>
            <w:tcW w:w="300" w:type="dxa"/>
            <w:vAlign w:val="bottom"/>
            <w:gridSpan w:val="7"/>
          </w:tcPr>
          <w:p>
            <w:pPr>
              <w:spacing w:after="0"/>
              <w:rPr>
                <w:sz w:val="20"/>
                <w:szCs w:val="20"/>
                <w:color w:val="auto"/>
              </w:rPr>
            </w:pPr>
            <w:r>
              <w:rPr>
                <w:rFonts w:ascii="Times New Roman" w:cs="Times New Roman" w:eastAsia="Times New Roman" w:hAnsi="Times New Roman"/>
                <w:sz w:val="20"/>
                <w:szCs w:val="20"/>
                <w:color w:val="FF0000"/>
                <w:strike w:val="1"/>
                <w:w w:val="93"/>
              </w:rPr>
              <w:t>113</w:t>
            </w:r>
          </w:p>
        </w:tc>
        <w:tc>
          <w:tcPr>
            <w:tcW w:w="280" w:type="dxa"/>
            <w:vAlign w:val="bottom"/>
            <w:tcBorders>
              <w:bottom w:val="single" w:sz="8" w:color="0000FF"/>
            </w:tcBorders>
            <w:gridSpan w:val="7"/>
            <w:vMerge w:val="continue"/>
          </w:tcPr>
          <w:p>
            <w:pPr>
              <w:spacing w:after="0"/>
              <w:rPr>
                <w:sz w:val="24"/>
                <w:szCs w:val="24"/>
                <w:color w:val="auto"/>
              </w:rPr>
            </w:pPr>
          </w:p>
        </w:tc>
        <w:tc>
          <w:tcPr>
            <w:tcW w:w="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gridSpan w:val="4"/>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0000FF"/>
                <w:w w:val="86"/>
              </w:rPr>
              <w:t>115</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1080" w:type="dxa"/>
            <w:vAlign w:val="bottom"/>
          </w:tcPr>
          <w:p>
            <w:pPr>
              <w:spacing w:after="0"/>
              <w:rPr>
                <w:sz w:val="20"/>
                <w:szCs w:val="20"/>
                <w:color w:val="auto"/>
              </w:rPr>
            </w:pPr>
            <w:r>
              <w:rPr>
                <w:rFonts w:ascii="Times New Roman" w:cs="Times New Roman" w:eastAsia="Times New Roman" w:hAnsi="Times New Roman"/>
                <w:sz w:val="20"/>
                <w:szCs w:val="20"/>
                <w:color w:val="auto"/>
              </w:rPr>
              <w:t>Section 5.01</w:t>
            </w:r>
          </w:p>
        </w:tc>
        <w:tc>
          <w:tcPr>
            <w:tcW w:w="2960" w:type="dxa"/>
            <w:vAlign w:val="bottom"/>
            <w:gridSpan w:val="44"/>
          </w:tcPr>
          <w:p>
            <w:pPr>
              <w:ind w:left="100"/>
              <w:spacing w:after="0"/>
              <w:rPr>
                <w:sz w:val="20"/>
                <w:szCs w:val="20"/>
                <w:color w:val="auto"/>
              </w:rPr>
            </w:pPr>
            <w:r>
              <w:rPr>
                <w:rFonts w:ascii="Times New Roman" w:cs="Times New Roman" w:eastAsia="Times New Roman" w:hAnsi="Times New Roman"/>
                <w:sz w:val="20"/>
                <w:szCs w:val="20"/>
                <w:color w:val="auto"/>
              </w:rPr>
              <w:t>Existence; Business and Properties</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gridSpan w:val="8"/>
          </w:tcPr>
          <w:p>
            <w:pPr>
              <w:jc w:val="right"/>
              <w:spacing w:after="0"/>
              <w:rPr>
                <w:sz w:val="20"/>
                <w:szCs w:val="20"/>
                <w:color w:val="auto"/>
              </w:rPr>
            </w:pPr>
            <w:r>
              <w:rPr>
                <w:rFonts w:ascii="Times New Roman" w:cs="Times New Roman" w:eastAsia="Times New Roman" w:hAnsi="Times New Roman"/>
                <w:sz w:val="20"/>
                <w:szCs w:val="20"/>
                <w:color w:val="FF0000"/>
                <w:strike w:val="1"/>
                <w:w w:val="93"/>
              </w:rPr>
              <w:t>113</w:t>
            </w:r>
          </w:p>
        </w:tc>
        <w:tc>
          <w:tcPr>
            <w:tcW w:w="280" w:type="dxa"/>
            <w:vAlign w:val="bottom"/>
            <w:tcBorders>
              <w:bottom w:val="single" w:sz="8" w:color="0000FF"/>
            </w:tcBorders>
            <w:gridSpan w:val="4"/>
            <w:vMerge w:val="continue"/>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080" w:type="dxa"/>
            <w:vAlign w:val="bottom"/>
          </w:tcPr>
          <w:p>
            <w:pPr>
              <w:spacing w:after="0"/>
              <w:rPr>
                <w:sz w:val="20"/>
                <w:szCs w:val="20"/>
                <w:color w:val="auto"/>
              </w:rPr>
            </w:pPr>
            <w:r>
              <w:rPr>
                <w:rFonts w:ascii="Times New Roman" w:cs="Times New Roman" w:eastAsia="Times New Roman" w:hAnsi="Times New Roman"/>
                <w:sz w:val="20"/>
                <w:szCs w:val="20"/>
                <w:color w:val="auto"/>
              </w:rPr>
              <w:t>Section 5.02</w:t>
            </w:r>
          </w:p>
        </w:tc>
        <w:tc>
          <w:tcPr>
            <w:tcW w:w="106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Insurance</w:t>
            </w:r>
          </w:p>
        </w:tc>
        <w:tc>
          <w:tcPr>
            <w:tcW w:w="400" w:type="dxa"/>
            <w:vAlign w:val="bottom"/>
            <w:gridSpan w:val="3"/>
          </w:tcPr>
          <w:p>
            <w:pPr>
              <w:spacing w:after="0"/>
              <w:rPr>
                <w:sz w:val="20"/>
                <w:szCs w:val="20"/>
                <w:color w:val="auto"/>
              </w:rPr>
            </w:pPr>
            <w:r>
              <w:rPr>
                <w:rFonts w:ascii="Times New Roman" w:cs="Times New Roman" w:eastAsia="Times New Roman" w:hAnsi="Times New Roman"/>
                <w:sz w:val="20"/>
                <w:szCs w:val="20"/>
                <w:color w:val="FF0000"/>
                <w:strike w:val="1"/>
              </w:rPr>
              <w:t>113</w:t>
            </w:r>
          </w:p>
        </w:tc>
        <w:tc>
          <w:tcPr>
            <w:tcW w:w="4080" w:type="dxa"/>
            <w:vAlign w:val="bottom"/>
            <w:gridSpan w:val="67"/>
          </w:tcPr>
          <w:p>
            <w:pPr>
              <w:jc w:val="right"/>
              <w:ind w:right="3900"/>
              <w:spacing w:after="0"/>
              <w:rPr>
                <w:sz w:val="20"/>
                <w:szCs w:val="20"/>
                <w:color w:val="auto"/>
              </w:rPr>
            </w:pPr>
            <w:r>
              <w:rPr>
                <w:rFonts w:ascii="Times New Roman" w:cs="Times New Roman" w:eastAsia="Times New Roman" w:hAnsi="Times New Roman"/>
                <w:sz w:val="15"/>
                <w:szCs w:val="15"/>
                <w:b w:val="1"/>
                <w:bCs w:val="1"/>
                <w:color w:val="0000FF"/>
                <w:w w:val="70"/>
              </w:rPr>
              <w:t>115</w:t>
            </w:r>
          </w:p>
        </w:tc>
        <w:tc>
          <w:tcPr>
            <w:tcW w:w="0" w:type="dxa"/>
            <w:vAlign w:val="bottom"/>
          </w:tcPr>
          <w:p>
            <w:pPr>
              <w:spacing w:after="0"/>
              <w:rPr>
                <w:sz w:val="1"/>
                <w:szCs w:val="1"/>
                <w:color w:val="auto"/>
              </w:rPr>
            </w:pPr>
          </w:p>
        </w:tc>
      </w:tr>
      <w:tr>
        <w:trPr>
          <w:trHeight w:val="223"/>
        </w:trPr>
        <w:tc>
          <w:tcPr>
            <w:tcW w:w="1080" w:type="dxa"/>
            <w:vAlign w:val="bottom"/>
          </w:tcPr>
          <w:p>
            <w:pPr>
              <w:spacing w:after="0" w:line="223" w:lineRule="exact"/>
              <w:rPr>
                <w:sz w:val="20"/>
                <w:szCs w:val="20"/>
                <w:color w:val="auto"/>
              </w:rPr>
            </w:pPr>
            <w:r>
              <w:rPr>
                <w:rFonts w:ascii="Times New Roman" w:cs="Times New Roman" w:eastAsia="Times New Roman" w:hAnsi="Times New Roman"/>
                <w:sz w:val="20"/>
                <w:szCs w:val="20"/>
                <w:color w:val="auto"/>
              </w:rPr>
              <w:t>Section 5.03</w:t>
            </w:r>
          </w:p>
        </w:tc>
        <w:tc>
          <w:tcPr>
            <w:tcW w:w="740" w:type="dxa"/>
            <w:vAlign w:val="bottom"/>
          </w:tcPr>
          <w:p>
            <w:pPr>
              <w:ind w:left="100"/>
              <w:spacing w:after="0" w:line="223" w:lineRule="exact"/>
              <w:rPr>
                <w:sz w:val="20"/>
                <w:szCs w:val="20"/>
                <w:color w:val="auto"/>
              </w:rPr>
            </w:pPr>
            <w:r>
              <w:rPr>
                <w:rFonts w:ascii="Times New Roman" w:cs="Times New Roman" w:eastAsia="Times New Roman" w:hAnsi="Times New Roman"/>
                <w:sz w:val="20"/>
                <w:szCs w:val="20"/>
                <w:color w:val="auto"/>
              </w:rPr>
              <w:t>Taxes</w:t>
            </w:r>
          </w:p>
        </w:tc>
        <w:tc>
          <w:tcPr>
            <w:tcW w:w="30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FF0000"/>
                <w:strike w:val="1"/>
                <w:w w:val="93"/>
              </w:rPr>
              <w:t>114</w:t>
            </w:r>
          </w:p>
        </w:tc>
        <w:tc>
          <w:tcPr>
            <w:tcW w:w="420" w:type="dxa"/>
            <w:vAlign w:val="bottom"/>
            <w:tcBorders>
              <w:bottom w:val="single" w:sz="8" w:color="0000FF"/>
            </w:tcBorders>
            <w:gridSpan w:val="4"/>
          </w:tcPr>
          <w:p>
            <w:pPr>
              <w:spacing w:after="0" w:line="223" w:lineRule="exact"/>
              <w:rPr>
                <w:sz w:val="20"/>
                <w:szCs w:val="20"/>
                <w:color w:val="auto"/>
              </w:rPr>
            </w:pPr>
            <w:r>
              <w:rPr>
                <w:rFonts w:ascii="Times New Roman" w:cs="Times New Roman" w:eastAsia="Times New Roman" w:hAnsi="Times New Roman"/>
                <w:sz w:val="20"/>
                <w:szCs w:val="20"/>
                <w:b w:val="1"/>
                <w:bCs w:val="1"/>
                <w:color w:val="0000FF"/>
              </w:rPr>
              <w:t>116</w:t>
            </w:r>
          </w:p>
        </w:tc>
        <w:tc>
          <w:tcPr>
            <w:tcW w:w="180" w:type="dxa"/>
            <w:vAlign w:val="bottom"/>
            <w:tcBorders>
              <w:top w:val="single" w:sz="8" w:color="0000FF"/>
            </w:tcBorders>
            <w:gridSpan w:val="5"/>
          </w:tcPr>
          <w:p>
            <w:pPr>
              <w:spacing w:after="0"/>
              <w:rPr>
                <w:sz w:val="19"/>
                <w:szCs w:val="19"/>
                <w:color w:val="auto"/>
              </w:rPr>
            </w:pPr>
          </w:p>
        </w:tc>
        <w:tc>
          <w:tcPr>
            <w:tcW w:w="1700" w:type="dxa"/>
            <w:vAlign w:val="bottom"/>
            <w:gridSpan w:val="42"/>
          </w:tcPr>
          <w:p>
            <w:pPr>
              <w:spacing w:after="0"/>
              <w:rPr>
                <w:sz w:val="19"/>
                <w:szCs w:val="19"/>
                <w:color w:val="auto"/>
              </w:rPr>
            </w:pPr>
          </w:p>
        </w:tc>
        <w:tc>
          <w:tcPr>
            <w:tcW w:w="300" w:type="dxa"/>
            <w:vAlign w:val="bottom"/>
            <w:gridSpan w:val="5"/>
            <w:vMerge w:val="restart"/>
          </w:tcPr>
          <w:p>
            <w:pPr>
              <w:jc w:val="right"/>
              <w:ind w:right="20"/>
              <w:spacing w:after="0"/>
              <w:rPr>
                <w:sz w:val="20"/>
                <w:szCs w:val="20"/>
                <w:color w:val="auto"/>
              </w:rPr>
            </w:pPr>
            <w:r>
              <w:rPr>
                <w:rFonts w:ascii="Times New Roman" w:cs="Times New Roman" w:eastAsia="Times New Roman" w:hAnsi="Times New Roman"/>
                <w:sz w:val="20"/>
                <w:szCs w:val="20"/>
                <w:b w:val="1"/>
                <w:bCs w:val="1"/>
                <w:color w:val="0000FF"/>
                <w:w w:val="86"/>
              </w:rPr>
              <w:t>116</w:t>
            </w:r>
          </w:p>
        </w:tc>
        <w:tc>
          <w:tcPr>
            <w:tcW w:w="1900" w:type="dxa"/>
            <w:vAlign w:val="bottom"/>
            <w:gridSpan w:val="15"/>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120" w:type="dxa"/>
            <w:vAlign w:val="bottom"/>
            <w:gridSpan w:val="46"/>
          </w:tcPr>
          <w:p>
            <w:pPr>
              <w:spacing w:after="0"/>
              <w:rPr>
                <w:sz w:val="20"/>
                <w:szCs w:val="20"/>
                <w:color w:val="auto"/>
              </w:rPr>
            </w:pPr>
            <w:r>
              <w:rPr>
                <w:rFonts w:ascii="Times New Roman" w:cs="Times New Roman" w:eastAsia="Times New Roman" w:hAnsi="Times New Roman"/>
                <w:sz w:val="20"/>
                <w:szCs w:val="20"/>
                <w:color w:val="auto"/>
              </w:rPr>
              <w:t>Section 5.04  Financial Statements, Reports, etc.</w:t>
            </w:r>
          </w:p>
        </w:tc>
        <w:tc>
          <w:tcPr>
            <w:tcW w:w="300" w:type="dxa"/>
            <w:vAlign w:val="bottom"/>
            <w:gridSpan w:val="8"/>
          </w:tcPr>
          <w:p>
            <w:pPr>
              <w:jc w:val="right"/>
              <w:spacing w:after="0"/>
              <w:rPr>
                <w:sz w:val="20"/>
                <w:szCs w:val="20"/>
                <w:color w:val="auto"/>
              </w:rPr>
            </w:pPr>
            <w:r>
              <w:rPr>
                <w:rFonts w:ascii="Times New Roman" w:cs="Times New Roman" w:eastAsia="Times New Roman" w:hAnsi="Times New Roman"/>
                <w:sz w:val="20"/>
                <w:szCs w:val="20"/>
                <w:color w:val="FF0000"/>
                <w:strike w:val="1"/>
                <w:w w:val="93"/>
              </w:rPr>
              <w:t>114</w:t>
            </w:r>
          </w:p>
        </w:tc>
        <w:tc>
          <w:tcPr>
            <w:tcW w:w="300" w:type="dxa"/>
            <w:vAlign w:val="bottom"/>
            <w:gridSpan w:val="5"/>
            <w:vMerge w:val="continue"/>
          </w:tcPr>
          <w:p>
            <w:pPr>
              <w:spacing w:after="0"/>
              <w:rPr>
                <w:sz w:val="20"/>
                <w:szCs w:val="20"/>
                <w:color w:val="auto"/>
              </w:rPr>
            </w:pPr>
          </w:p>
        </w:tc>
        <w:tc>
          <w:tcPr>
            <w:tcW w:w="140" w:type="dxa"/>
            <w:vAlign w:val="bottom"/>
            <w:gridSpan w:val="2"/>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080" w:type="dxa"/>
            <w:vAlign w:val="bottom"/>
          </w:tcPr>
          <w:p>
            <w:pPr>
              <w:spacing w:after="0"/>
              <w:rPr>
                <w:sz w:val="20"/>
                <w:szCs w:val="20"/>
                <w:color w:val="auto"/>
              </w:rPr>
            </w:pPr>
            <w:r>
              <w:rPr>
                <w:rFonts w:ascii="Times New Roman" w:cs="Times New Roman" w:eastAsia="Times New Roman" w:hAnsi="Times New Roman"/>
                <w:sz w:val="20"/>
                <w:szCs w:val="20"/>
                <w:color w:val="auto"/>
              </w:rPr>
              <w:t>Section 5.05</w:t>
            </w:r>
          </w:p>
        </w:tc>
        <w:tc>
          <w:tcPr>
            <w:tcW w:w="2500" w:type="dxa"/>
            <w:vAlign w:val="bottom"/>
            <w:gridSpan w:val="34"/>
          </w:tcPr>
          <w:p>
            <w:pPr>
              <w:ind w:left="100"/>
              <w:spacing w:after="0"/>
              <w:rPr>
                <w:sz w:val="20"/>
                <w:szCs w:val="20"/>
                <w:color w:val="auto"/>
              </w:rPr>
            </w:pPr>
            <w:r>
              <w:rPr>
                <w:rFonts w:ascii="Times New Roman" w:cs="Times New Roman" w:eastAsia="Times New Roman" w:hAnsi="Times New Roman"/>
                <w:sz w:val="20"/>
                <w:szCs w:val="20"/>
                <w:color w:val="auto"/>
              </w:rPr>
              <w:t>Litigation and Other Notices</w:t>
            </w:r>
          </w:p>
        </w:tc>
        <w:tc>
          <w:tcPr>
            <w:tcW w:w="460" w:type="dxa"/>
            <w:vAlign w:val="bottom"/>
            <w:gridSpan w:val="10"/>
          </w:tcPr>
          <w:p>
            <w:pPr>
              <w:jc w:val="right"/>
              <w:ind w:right="1"/>
              <w:spacing w:after="0"/>
              <w:rPr>
                <w:sz w:val="20"/>
                <w:szCs w:val="20"/>
                <w:color w:val="auto"/>
              </w:rPr>
            </w:pPr>
            <w:r>
              <w:rPr>
                <w:rFonts w:ascii="Times New Roman" w:cs="Times New Roman" w:eastAsia="Times New Roman" w:hAnsi="Times New Roman"/>
                <w:sz w:val="20"/>
                <w:szCs w:val="20"/>
                <w:color w:val="FF0000"/>
                <w:strike w:val="1"/>
              </w:rPr>
              <w:t>116</w:t>
            </w:r>
          </w:p>
        </w:tc>
        <w:tc>
          <w:tcPr>
            <w:tcW w:w="200" w:type="dxa"/>
            <w:vAlign w:val="bottom"/>
            <w:gridSpan w:val="5"/>
          </w:tcPr>
          <w:p>
            <w:pPr>
              <w:jc w:val="right"/>
              <w:spacing w:after="0"/>
              <w:rPr>
                <w:sz w:val="20"/>
                <w:szCs w:val="20"/>
                <w:color w:val="auto"/>
              </w:rPr>
            </w:pPr>
            <w:r>
              <w:rPr>
                <w:rFonts w:ascii="Times New Roman" w:cs="Times New Roman" w:eastAsia="Times New Roman" w:hAnsi="Times New Roman"/>
                <w:sz w:val="15"/>
                <w:szCs w:val="15"/>
                <w:b w:val="1"/>
                <w:bCs w:val="1"/>
                <w:color w:val="0000FF"/>
                <w:w w:val="70"/>
              </w:rPr>
              <w:t>118</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0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080" w:type="dxa"/>
            <w:vAlign w:val="bottom"/>
          </w:tcPr>
          <w:p>
            <w:pPr>
              <w:spacing w:after="0" w:line="223" w:lineRule="exact"/>
              <w:rPr>
                <w:sz w:val="20"/>
                <w:szCs w:val="20"/>
                <w:color w:val="auto"/>
              </w:rPr>
            </w:pPr>
            <w:r>
              <w:rPr>
                <w:rFonts w:ascii="Times New Roman" w:cs="Times New Roman" w:eastAsia="Times New Roman" w:hAnsi="Times New Roman"/>
                <w:sz w:val="20"/>
                <w:szCs w:val="20"/>
                <w:color w:val="auto"/>
              </w:rPr>
              <w:t>Section 5.06</w:t>
            </w:r>
          </w:p>
        </w:tc>
        <w:tc>
          <w:tcPr>
            <w:tcW w:w="2040" w:type="dxa"/>
            <w:vAlign w:val="bottom"/>
            <w:gridSpan w:val="22"/>
          </w:tcPr>
          <w:p>
            <w:pPr>
              <w:ind w:left="100"/>
              <w:spacing w:after="0" w:line="223" w:lineRule="exact"/>
              <w:rPr>
                <w:sz w:val="20"/>
                <w:szCs w:val="20"/>
                <w:color w:val="auto"/>
              </w:rPr>
            </w:pPr>
            <w:r>
              <w:rPr>
                <w:rFonts w:ascii="Times New Roman" w:cs="Times New Roman" w:eastAsia="Times New Roman" w:hAnsi="Times New Roman"/>
                <w:sz w:val="20"/>
                <w:szCs w:val="20"/>
                <w:color w:val="auto"/>
              </w:rPr>
              <w:t>Compliance with Laws</w:t>
            </w:r>
          </w:p>
        </w:tc>
        <w:tc>
          <w:tcPr>
            <w:tcW w:w="380" w:type="dxa"/>
            <w:vAlign w:val="bottom"/>
            <w:gridSpan w:val="9"/>
          </w:tcPr>
          <w:p>
            <w:pPr>
              <w:jc w:val="right"/>
              <w:spacing w:after="0" w:line="223" w:lineRule="exact"/>
              <w:rPr>
                <w:sz w:val="20"/>
                <w:szCs w:val="20"/>
                <w:color w:val="auto"/>
              </w:rPr>
            </w:pPr>
            <w:r>
              <w:rPr>
                <w:rFonts w:ascii="Times New Roman" w:cs="Times New Roman" w:eastAsia="Times New Roman" w:hAnsi="Times New Roman"/>
                <w:sz w:val="20"/>
                <w:szCs w:val="20"/>
                <w:color w:val="FF0000"/>
                <w:strike w:val="1"/>
              </w:rPr>
              <w:t>117</w:t>
            </w:r>
          </w:p>
        </w:tc>
        <w:tc>
          <w:tcPr>
            <w:tcW w:w="280" w:type="dxa"/>
            <w:vAlign w:val="bottom"/>
            <w:tcBorders>
              <w:bottom w:val="single" w:sz="8" w:color="0000FF"/>
            </w:tcBorders>
            <w:gridSpan w:val="7"/>
          </w:tcPr>
          <w:p>
            <w:pPr>
              <w:spacing w:after="0" w:line="223" w:lineRule="exact"/>
              <w:rPr>
                <w:sz w:val="20"/>
                <w:szCs w:val="20"/>
                <w:color w:val="auto"/>
              </w:rPr>
            </w:pPr>
            <w:r>
              <w:rPr>
                <w:rFonts w:ascii="Times New Roman" w:cs="Times New Roman" w:eastAsia="Times New Roman" w:hAnsi="Times New Roman"/>
                <w:sz w:val="20"/>
                <w:szCs w:val="20"/>
                <w:b w:val="1"/>
                <w:bCs w:val="1"/>
                <w:color w:val="0000FF"/>
                <w:w w:val="86"/>
              </w:rPr>
              <w:t>119</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0000FF"/>
                <w:w w:val="86"/>
              </w:rPr>
              <w:t>119</w:t>
            </w:r>
          </w:p>
        </w:tc>
        <w:tc>
          <w:tcPr>
            <w:tcW w:w="0" w:type="dxa"/>
            <w:vAlign w:val="bottom"/>
          </w:tcPr>
          <w:p>
            <w:pPr>
              <w:spacing w:after="0"/>
              <w:rPr>
                <w:sz w:val="1"/>
                <w:szCs w:val="1"/>
                <w:color w:val="auto"/>
              </w:rPr>
            </w:pPr>
          </w:p>
        </w:tc>
      </w:tr>
      <w:tr>
        <w:trPr>
          <w:trHeight w:val="242"/>
        </w:trPr>
        <w:tc>
          <w:tcPr>
            <w:tcW w:w="1080" w:type="dxa"/>
            <w:vAlign w:val="bottom"/>
          </w:tcPr>
          <w:p>
            <w:pPr>
              <w:spacing w:after="0"/>
              <w:rPr>
                <w:sz w:val="20"/>
                <w:szCs w:val="20"/>
                <w:color w:val="auto"/>
              </w:rPr>
            </w:pPr>
            <w:r>
              <w:rPr>
                <w:rFonts w:ascii="Times New Roman" w:cs="Times New Roman" w:eastAsia="Times New Roman" w:hAnsi="Times New Roman"/>
                <w:sz w:val="20"/>
                <w:szCs w:val="20"/>
                <w:color w:val="auto"/>
              </w:rPr>
              <w:t>Section 5.07</w:t>
            </w:r>
          </w:p>
        </w:tc>
        <w:tc>
          <w:tcPr>
            <w:tcW w:w="4920" w:type="dxa"/>
            <w:vAlign w:val="bottom"/>
            <w:gridSpan w:val="69"/>
          </w:tcPr>
          <w:p>
            <w:pPr>
              <w:ind w:left="100"/>
              <w:spacing w:after="0"/>
              <w:rPr>
                <w:sz w:val="20"/>
                <w:szCs w:val="20"/>
                <w:color w:val="auto"/>
              </w:rPr>
            </w:pPr>
            <w:r>
              <w:rPr>
                <w:rFonts w:ascii="Times New Roman" w:cs="Times New Roman" w:eastAsia="Times New Roman" w:hAnsi="Times New Roman"/>
                <w:sz w:val="20"/>
                <w:szCs w:val="20"/>
                <w:color w:val="auto"/>
              </w:rPr>
              <w:t>Maintaining Records; Access to Properties and Inspections</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FF0000"/>
                <w:strike w:val="1"/>
              </w:rPr>
              <w:t>117</w:t>
            </w:r>
          </w:p>
        </w:tc>
        <w:tc>
          <w:tcPr>
            <w:tcW w:w="280" w:type="dxa"/>
            <w:vAlign w:val="bottom"/>
            <w:tcBorders>
              <w:bottom w:val="single" w:sz="8" w:color="0000FF"/>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080" w:type="dxa"/>
            <w:vAlign w:val="bottom"/>
          </w:tcPr>
          <w:p>
            <w:pPr>
              <w:spacing w:after="0" w:line="223" w:lineRule="exact"/>
              <w:rPr>
                <w:sz w:val="20"/>
                <w:szCs w:val="20"/>
                <w:color w:val="auto"/>
              </w:rPr>
            </w:pPr>
            <w:r>
              <w:rPr>
                <w:rFonts w:ascii="Times New Roman" w:cs="Times New Roman" w:eastAsia="Times New Roman" w:hAnsi="Times New Roman"/>
                <w:sz w:val="20"/>
                <w:szCs w:val="20"/>
                <w:color w:val="auto"/>
              </w:rPr>
              <w:t>Section 5.08</w:t>
            </w:r>
          </w:p>
        </w:tc>
        <w:tc>
          <w:tcPr>
            <w:tcW w:w="1560" w:type="dxa"/>
            <w:vAlign w:val="bottom"/>
            <w:gridSpan w:val="8"/>
          </w:tcPr>
          <w:p>
            <w:pPr>
              <w:ind w:left="100"/>
              <w:spacing w:after="0" w:line="223" w:lineRule="exact"/>
              <w:rPr>
                <w:sz w:val="20"/>
                <w:szCs w:val="20"/>
                <w:color w:val="auto"/>
              </w:rPr>
            </w:pPr>
            <w:r>
              <w:rPr>
                <w:rFonts w:ascii="Times New Roman" w:cs="Times New Roman" w:eastAsia="Times New Roman" w:hAnsi="Times New Roman"/>
                <w:sz w:val="20"/>
                <w:szCs w:val="20"/>
                <w:color w:val="auto"/>
              </w:rPr>
              <w:t>Use of Proceeds</w:t>
            </w:r>
          </w:p>
        </w:tc>
        <w:tc>
          <w:tcPr>
            <w:tcW w:w="320" w:type="dxa"/>
            <w:vAlign w:val="bottom"/>
            <w:gridSpan w:val="10"/>
          </w:tcPr>
          <w:p>
            <w:pPr>
              <w:jc w:val="right"/>
              <w:spacing w:after="0" w:line="223" w:lineRule="exact"/>
              <w:rPr>
                <w:sz w:val="20"/>
                <w:szCs w:val="20"/>
                <w:color w:val="auto"/>
              </w:rPr>
            </w:pPr>
            <w:r>
              <w:rPr>
                <w:rFonts w:ascii="Times New Roman" w:cs="Times New Roman" w:eastAsia="Times New Roman" w:hAnsi="Times New Roman"/>
                <w:sz w:val="20"/>
                <w:szCs w:val="20"/>
                <w:color w:val="FF0000"/>
                <w:strike w:val="1"/>
                <w:w w:val="99"/>
              </w:rPr>
              <w:t>117</w:t>
            </w:r>
          </w:p>
        </w:tc>
        <w:tc>
          <w:tcPr>
            <w:tcW w:w="280" w:type="dxa"/>
            <w:vAlign w:val="bottom"/>
            <w:tcBorders>
              <w:bottom w:val="single" w:sz="8" w:color="0000FF"/>
            </w:tcBorders>
            <w:gridSpan w:val="6"/>
          </w:tcPr>
          <w:p>
            <w:pPr>
              <w:spacing w:after="0" w:line="223" w:lineRule="exact"/>
              <w:rPr>
                <w:sz w:val="20"/>
                <w:szCs w:val="20"/>
                <w:color w:val="auto"/>
              </w:rPr>
            </w:pPr>
            <w:r>
              <w:rPr>
                <w:rFonts w:ascii="Times New Roman" w:cs="Times New Roman" w:eastAsia="Times New Roman" w:hAnsi="Times New Roman"/>
                <w:sz w:val="20"/>
                <w:szCs w:val="20"/>
                <w:b w:val="1"/>
                <w:bCs w:val="1"/>
                <w:color w:val="0000FF"/>
                <w:w w:val="86"/>
              </w:rPr>
              <w:t>119</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gridSpan w:val="4"/>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0000FF"/>
                <w:w w:val="93"/>
              </w:rPr>
              <w:t>119</w:t>
            </w:r>
          </w:p>
        </w:tc>
        <w:tc>
          <w:tcPr>
            <w:tcW w:w="20" w:type="dxa"/>
            <w:vAlign w:val="bottom"/>
            <w:vMerge w:val="restart"/>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1080" w:type="dxa"/>
            <w:vAlign w:val="bottom"/>
          </w:tcPr>
          <w:p>
            <w:pPr>
              <w:spacing w:after="0"/>
              <w:rPr>
                <w:sz w:val="20"/>
                <w:szCs w:val="20"/>
                <w:color w:val="auto"/>
              </w:rPr>
            </w:pPr>
            <w:r>
              <w:rPr>
                <w:rFonts w:ascii="Times New Roman" w:cs="Times New Roman" w:eastAsia="Times New Roman" w:hAnsi="Times New Roman"/>
                <w:sz w:val="20"/>
                <w:szCs w:val="20"/>
                <w:color w:val="auto"/>
              </w:rPr>
              <w:t>Section 5.09</w:t>
            </w:r>
          </w:p>
        </w:tc>
        <w:tc>
          <w:tcPr>
            <w:tcW w:w="3320" w:type="dxa"/>
            <w:vAlign w:val="bottom"/>
            <w:gridSpan w:val="52"/>
          </w:tcPr>
          <w:p>
            <w:pPr>
              <w:ind w:left="100"/>
              <w:spacing w:after="0"/>
              <w:rPr>
                <w:sz w:val="20"/>
                <w:szCs w:val="20"/>
                <w:color w:val="auto"/>
              </w:rPr>
            </w:pPr>
            <w:r>
              <w:rPr>
                <w:rFonts w:ascii="Times New Roman" w:cs="Times New Roman" w:eastAsia="Times New Roman" w:hAnsi="Times New Roman"/>
                <w:sz w:val="20"/>
                <w:szCs w:val="20"/>
                <w:color w:val="auto"/>
              </w:rPr>
              <w:t>Compliance with Environmental Laws</w:t>
            </w:r>
          </w:p>
        </w:tc>
        <w:tc>
          <w:tcPr>
            <w:tcW w:w="40" w:type="dxa"/>
            <w:vAlign w:val="bottom"/>
            <w:gridSpan w:val="2"/>
          </w:tcPr>
          <w:p>
            <w:pPr>
              <w:spacing w:after="0"/>
              <w:rPr>
                <w:sz w:val="20"/>
                <w:szCs w:val="20"/>
                <w:color w:val="auto"/>
              </w:rPr>
            </w:pPr>
          </w:p>
        </w:tc>
        <w:tc>
          <w:tcPr>
            <w:tcW w:w="28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FF0000"/>
                <w:strike w:val="1"/>
                <w:w w:val="86"/>
              </w:rPr>
              <w:t>117</w:t>
            </w:r>
          </w:p>
        </w:tc>
        <w:tc>
          <w:tcPr>
            <w:tcW w:w="300" w:type="dxa"/>
            <w:vAlign w:val="bottom"/>
            <w:tcBorders>
              <w:bottom w:val="single" w:sz="8" w:color="0000FF"/>
            </w:tcBorders>
            <w:gridSpan w:val="4"/>
            <w:vMerge w:val="continue"/>
          </w:tcPr>
          <w:p>
            <w:pPr>
              <w:spacing w:after="0"/>
              <w:rPr>
                <w:sz w:val="20"/>
                <w:szCs w:val="20"/>
                <w:color w:val="auto"/>
              </w:rPr>
            </w:pPr>
          </w:p>
        </w:tc>
        <w:tc>
          <w:tcPr>
            <w:tcW w:w="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080" w:type="dxa"/>
            <w:vAlign w:val="bottom"/>
          </w:tcPr>
          <w:p>
            <w:pPr>
              <w:spacing w:after="0"/>
              <w:rPr>
                <w:sz w:val="20"/>
                <w:szCs w:val="20"/>
                <w:color w:val="auto"/>
              </w:rPr>
            </w:pPr>
            <w:r>
              <w:rPr>
                <w:rFonts w:ascii="Times New Roman" w:cs="Times New Roman" w:eastAsia="Times New Roman" w:hAnsi="Times New Roman"/>
                <w:sz w:val="20"/>
                <w:szCs w:val="20"/>
                <w:color w:val="auto"/>
              </w:rPr>
              <w:t>Section 5.10</w:t>
            </w:r>
          </w:p>
        </w:tc>
        <w:tc>
          <w:tcPr>
            <w:tcW w:w="3320" w:type="dxa"/>
            <w:vAlign w:val="bottom"/>
            <w:gridSpan w:val="52"/>
          </w:tcPr>
          <w:p>
            <w:pPr>
              <w:ind w:left="100"/>
              <w:spacing w:after="0"/>
              <w:rPr>
                <w:sz w:val="20"/>
                <w:szCs w:val="20"/>
                <w:color w:val="auto"/>
              </w:rPr>
            </w:pPr>
            <w:r>
              <w:rPr>
                <w:rFonts w:ascii="Times New Roman" w:cs="Times New Roman" w:eastAsia="Times New Roman" w:hAnsi="Times New Roman"/>
                <w:sz w:val="20"/>
                <w:szCs w:val="20"/>
                <w:color w:val="auto"/>
                <w:w w:val="99"/>
              </w:rPr>
              <w:t>Further Assurances; Additional Security</w:t>
            </w:r>
          </w:p>
        </w:tc>
        <w:tc>
          <w:tcPr>
            <w:tcW w:w="80" w:type="dxa"/>
            <w:vAlign w:val="bottom"/>
            <w:gridSpan w:val="3"/>
          </w:tcPr>
          <w:p>
            <w:pPr>
              <w:spacing w:after="0"/>
              <w:rPr>
                <w:sz w:val="20"/>
                <w:szCs w:val="20"/>
                <w:color w:val="auto"/>
              </w:rPr>
            </w:pPr>
          </w:p>
        </w:tc>
        <w:tc>
          <w:tcPr>
            <w:tcW w:w="38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FF0000"/>
                <w:strike w:val="1"/>
              </w:rPr>
              <w:t>117</w:t>
            </w:r>
          </w:p>
        </w:tc>
        <w:tc>
          <w:tcPr>
            <w:tcW w:w="340" w:type="dxa"/>
            <w:vAlign w:val="bottom"/>
            <w:gridSpan w:val="5"/>
          </w:tcPr>
          <w:p>
            <w:pPr>
              <w:jc w:val="right"/>
              <w:ind w:right="40"/>
              <w:spacing w:after="0"/>
              <w:rPr>
                <w:sz w:val="20"/>
                <w:szCs w:val="20"/>
                <w:color w:val="auto"/>
              </w:rPr>
            </w:pPr>
            <w:r>
              <w:rPr>
                <w:rFonts w:ascii="Times New Roman" w:cs="Times New Roman" w:eastAsia="Times New Roman" w:hAnsi="Times New Roman"/>
                <w:sz w:val="20"/>
                <w:szCs w:val="20"/>
                <w:b w:val="1"/>
                <w:bCs w:val="1"/>
                <w:color w:val="0000FF"/>
                <w:w w:val="93"/>
              </w:rPr>
              <w:t>120</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080" w:type="dxa"/>
            <w:vAlign w:val="bottom"/>
          </w:tcPr>
          <w:p>
            <w:pPr>
              <w:spacing w:after="0" w:line="223" w:lineRule="exact"/>
              <w:rPr>
                <w:sz w:val="20"/>
                <w:szCs w:val="20"/>
                <w:color w:val="auto"/>
              </w:rPr>
            </w:pPr>
            <w:r>
              <w:rPr>
                <w:rFonts w:ascii="Times New Roman" w:cs="Times New Roman" w:eastAsia="Times New Roman" w:hAnsi="Times New Roman"/>
                <w:sz w:val="20"/>
                <w:szCs w:val="20"/>
                <w:color w:val="auto"/>
              </w:rPr>
              <w:t>Section 5.11</w:t>
            </w:r>
          </w:p>
        </w:tc>
        <w:tc>
          <w:tcPr>
            <w:tcW w:w="740" w:type="dxa"/>
            <w:vAlign w:val="bottom"/>
          </w:tcPr>
          <w:p>
            <w:pPr>
              <w:ind w:left="100"/>
              <w:spacing w:after="0" w:line="223" w:lineRule="exact"/>
              <w:rPr>
                <w:sz w:val="20"/>
                <w:szCs w:val="20"/>
                <w:color w:val="auto"/>
              </w:rPr>
            </w:pPr>
            <w:r>
              <w:rPr>
                <w:rFonts w:ascii="Times New Roman" w:cs="Times New Roman" w:eastAsia="Times New Roman" w:hAnsi="Times New Roman"/>
                <w:sz w:val="20"/>
                <w:szCs w:val="20"/>
                <w:color w:val="auto"/>
              </w:rPr>
              <w:t>Rating</w:t>
            </w:r>
          </w:p>
        </w:tc>
        <w:tc>
          <w:tcPr>
            <w:tcW w:w="380" w:type="dxa"/>
            <w:vAlign w:val="bottom"/>
            <w:gridSpan w:val="3"/>
          </w:tcPr>
          <w:p>
            <w:pPr>
              <w:jc w:val="right"/>
              <w:spacing w:after="0" w:line="223" w:lineRule="exact"/>
              <w:rPr>
                <w:sz w:val="20"/>
                <w:szCs w:val="20"/>
                <w:color w:val="auto"/>
              </w:rPr>
            </w:pPr>
            <w:r>
              <w:rPr>
                <w:rFonts w:ascii="Times New Roman" w:cs="Times New Roman" w:eastAsia="Times New Roman" w:hAnsi="Times New Roman"/>
                <w:sz w:val="20"/>
                <w:szCs w:val="20"/>
                <w:color w:val="FF0000"/>
                <w:strike w:val="1"/>
              </w:rPr>
              <w:t>120</w:t>
            </w:r>
          </w:p>
        </w:tc>
        <w:tc>
          <w:tcPr>
            <w:tcW w:w="340" w:type="dxa"/>
            <w:vAlign w:val="bottom"/>
            <w:tcBorders>
              <w:bottom w:val="single" w:sz="8" w:color="0000FF"/>
            </w:tcBorders>
            <w:gridSpan w:val="2"/>
          </w:tcPr>
          <w:p>
            <w:pPr>
              <w:jc w:val="right"/>
              <w:spacing w:after="0" w:line="223" w:lineRule="exact"/>
              <w:rPr>
                <w:sz w:val="20"/>
                <w:szCs w:val="20"/>
                <w:color w:val="auto"/>
              </w:rPr>
            </w:pPr>
            <w:r>
              <w:rPr>
                <w:rFonts w:ascii="Times New Roman" w:cs="Times New Roman" w:eastAsia="Times New Roman" w:hAnsi="Times New Roman"/>
                <w:sz w:val="20"/>
                <w:szCs w:val="20"/>
                <w:b w:val="1"/>
                <w:bCs w:val="1"/>
                <w:color w:val="0000FF"/>
                <w:w w:val="93"/>
              </w:rPr>
              <w:t>122</w:t>
            </w:r>
          </w:p>
        </w:tc>
        <w:tc>
          <w:tcPr>
            <w:tcW w:w="160" w:type="dxa"/>
            <w:vAlign w:val="bottom"/>
            <w:gridSpan w:val="4"/>
          </w:tcPr>
          <w:p>
            <w:pPr>
              <w:spacing w:after="0"/>
              <w:rPr>
                <w:sz w:val="19"/>
                <w:szCs w:val="19"/>
                <w:color w:val="auto"/>
              </w:rPr>
            </w:pPr>
          </w:p>
        </w:tc>
        <w:tc>
          <w:tcPr>
            <w:tcW w:w="300" w:type="dxa"/>
            <w:vAlign w:val="bottom"/>
            <w:gridSpan w:val="9"/>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0000FF"/>
                <w:w w:val="93"/>
              </w:rPr>
              <w:t>123</w:t>
            </w:r>
          </w:p>
        </w:tc>
        <w:tc>
          <w:tcPr>
            <w:tcW w:w="1860" w:type="dxa"/>
            <w:vAlign w:val="bottom"/>
            <w:gridSpan w:val="41"/>
          </w:tcPr>
          <w:p>
            <w:pPr>
              <w:spacing w:after="0"/>
              <w:rPr>
                <w:sz w:val="19"/>
                <w:szCs w:val="19"/>
                <w:color w:val="auto"/>
              </w:rPr>
            </w:pPr>
          </w:p>
        </w:tc>
        <w:tc>
          <w:tcPr>
            <w:tcW w:w="300" w:type="dxa"/>
            <w:vAlign w:val="bottom"/>
            <w:tcBorders>
              <w:top w:val="single" w:sz="8" w:color="0000FF"/>
            </w:tcBorders>
            <w:gridSpan w:val="4"/>
          </w:tcPr>
          <w:p>
            <w:pPr>
              <w:spacing w:after="0"/>
              <w:rPr>
                <w:sz w:val="19"/>
                <w:szCs w:val="19"/>
                <w:color w:val="auto"/>
              </w:rPr>
            </w:pPr>
          </w:p>
        </w:tc>
        <w:tc>
          <w:tcPr>
            <w:tcW w:w="1460" w:type="dxa"/>
            <w:vAlign w:val="bottom"/>
            <w:gridSpan w:val="9"/>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1080" w:type="dxa"/>
            <w:vAlign w:val="bottom"/>
          </w:tcPr>
          <w:p>
            <w:pPr>
              <w:spacing w:after="0"/>
              <w:rPr>
                <w:sz w:val="20"/>
                <w:szCs w:val="20"/>
                <w:color w:val="auto"/>
              </w:rPr>
            </w:pPr>
            <w:r>
              <w:rPr>
                <w:rFonts w:ascii="Times New Roman" w:cs="Times New Roman" w:eastAsia="Times New Roman" w:hAnsi="Times New Roman"/>
                <w:sz w:val="20"/>
                <w:szCs w:val="20"/>
                <w:color w:val="auto"/>
              </w:rPr>
              <w:t>Section 5.12</w:t>
            </w:r>
          </w:p>
        </w:tc>
        <w:tc>
          <w:tcPr>
            <w:tcW w:w="1460" w:type="dxa"/>
            <w:vAlign w:val="bottom"/>
            <w:gridSpan w:val="6"/>
          </w:tcPr>
          <w:p>
            <w:pPr>
              <w:ind w:left="100"/>
              <w:spacing w:after="0"/>
              <w:rPr>
                <w:sz w:val="20"/>
                <w:szCs w:val="20"/>
                <w:color w:val="auto"/>
              </w:rPr>
            </w:pPr>
            <w:r>
              <w:rPr>
                <w:rFonts w:ascii="Times New Roman" w:cs="Times New Roman" w:eastAsia="Times New Roman" w:hAnsi="Times New Roman"/>
                <w:sz w:val="20"/>
                <w:szCs w:val="20"/>
                <w:color w:val="auto"/>
              </w:rPr>
              <w:t>Post-Closing</w:t>
            </w:r>
          </w:p>
        </w:tc>
        <w:tc>
          <w:tcPr>
            <w:tcW w:w="160" w:type="dxa"/>
            <w:vAlign w:val="bottom"/>
            <w:gridSpan w:val="4"/>
          </w:tcPr>
          <w:p>
            <w:pPr>
              <w:jc w:val="right"/>
              <w:spacing w:after="0"/>
              <w:rPr>
                <w:sz w:val="20"/>
                <w:szCs w:val="20"/>
                <w:color w:val="auto"/>
              </w:rPr>
            </w:pPr>
            <w:r>
              <w:rPr>
                <w:rFonts w:ascii="Times New Roman" w:cs="Times New Roman" w:eastAsia="Times New Roman" w:hAnsi="Times New Roman"/>
                <w:sz w:val="13"/>
                <w:szCs w:val="13"/>
                <w:color w:val="FF0000"/>
                <w:strike w:val="1"/>
                <w:w w:val="71"/>
              </w:rPr>
              <w:t>120</w:t>
            </w:r>
          </w:p>
        </w:tc>
        <w:tc>
          <w:tcPr>
            <w:tcW w:w="300" w:type="dxa"/>
            <w:vAlign w:val="bottom"/>
            <w:tcBorders>
              <w:bottom w:val="single" w:sz="8" w:color="0000FF"/>
            </w:tcBorders>
            <w:gridSpan w:val="9"/>
            <w:vMerge w:val="continue"/>
          </w:tcPr>
          <w:p>
            <w:pPr>
              <w:spacing w:after="0"/>
              <w:rPr>
                <w:sz w:val="20"/>
                <w:szCs w:val="20"/>
                <w:color w:val="auto"/>
              </w:rPr>
            </w:pPr>
          </w:p>
        </w:tc>
        <w:tc>
          <w:tcPr>
            <w:tcW w:w="80" w:type="dxa"/>
            <w:vAlign w:val="bottom"/>
            <w:gridSpan w:val="2"/>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gridSpan w:val="9"/>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0000FF"/>
                <w:w w:val="93"/>
              </w:rPr>
              <w:t>123</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2940" w:type="dxa"/>
            <w:vAlign w:val="bottom"/>
            <w:gridSpan w:val="18"/>
          </w:tcPr>
          <w:p>
            <w:pPr>
              <w:spacing w:after="0"/>
              <w:rPr>
                <w:sz w:val="20"/>
                <w:szCs w:val="20"/>
                <w:color w:val="auto"/>
              </w:rPr>
            </w:pPr>
            <w:r>
              <w:rPr>
                <w:rFonts w:ascii="Times New Roman" w:cs="Times New Roman" w:eastAsia="Times New Roman" w:hAnsi="Times New Roman"/>
                <w:sz w:val="20"/>
                <w:szCs w:val="20"/>
                <w:color w:val="auto"/>
              </w:rPr>
              <w:t>ARTICLE VI Negative Covenants</w:t>
            </w:r>
          </w:p>
        </w:tc>
        <w:tc>
          <w:tcPr>
            <w:tcW w:w="280" w:type="dxa"/>
            <w:vAlign w:val="bottom"/>
            <w:gridSpan w:val="6"/>
          </w:tcPr>
          <w:p>
            <w:pPr>
              <w:jc w:val="right"/>
              <w:spacing w:after="0"/>
              <w:rPr>
                <w:sz w:val="20"/>
                <w:szCs w:val="20"/>
                <w:color w:val="auto"/>
              </w:rPr>
            </w:pPr>
            <w:r>
              <w:rPr>
                <w:rFonts w:ascii="Times New Roman" w:cs="Times New Roman" w:eastAsia="Times New Roman" w:hAnsi="Times New Roman"/>
                <w:sz w:val="20"/>
                <w:szCs w:val="20"/>
                <w:color w:val="FF0000"/>
                <w:strike w:val="1"/>
                <w:w w:val="86"/>
              </w:rPr>
              <w:t>120</w:t>
            </w:r>
          </w:p>
        </w:tc>
        <w:tc>
          <w:tcPr>
            <w:tcW w:w="300" w:type="dxa"/>
            <w:vAlign w:val="bottom"/>
            <w:tcBorders>
              <w:bottom w:val="single" w:sz="8" w:color="0000FF"/>
            </w:tcBorders>
            <w:gridSpan w:val="9"/>
            <w:vMerge w:val="continue"/>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1080" w:type="dxa"/>
            <w:vAlign w:val="bottom"/>
          </w:tcPr>
          <w:p>
            <w:pPr>
              <w:spacing w:after="0"/>
              <w:rPr>
                <w:sz w:val="20"/>
                <w:szCs w:val="20"/>
                <w:color w:val="auto"/>
              </w:rPr>
            </w:pPr>
            <w:r>
              <w:rPr>
                <w:rFonts w:ascii="Times New Roman" w:cs="Times New Roman" w:eastAsia="Times New Roman" w:hAnsi="Times New Roman"/>
                <w:sz w:val="20"/>
                <w:szCs w:val="20"/>
                <w:color w:val="auto"/>
              </w:rPr>
              <w:t>Section 6.01</w:t>
            </w:r>
          </w:p>
        </w:tc>
        <w:tc>
          <w:tcPr>
            <w:tcW w:w="1460" w:type="dxa"/>
            <w:vAlign w:val="bottom"/>
            <w:gridSpan w:val="6"/>
          </w:tcPr>
          <w:p>
            <w:pPr>
              <w:ind w:left="100"/>
              <w:spacing w:after="0"/>
              <w:rPr>
                <w:sz w:val="20"/>
                <w:szCs w:val="20"/>
                <w:color w:val="auto"/>
              </w:rPr>
            </w:pPr>
            <w:r>
              <w:rPr>
                <w:rFonts w:ascii="Times New Roman" w:cs="Times New Roman" w:eastAsia="Times New Roman" w:hAnsi="Times New Roman"/>
                <w:sz w:val="20"/>
                <w:szCs w:val="20"/>
                <w:color w:val="auto"/>
              </w:rPr>
              <w:t>Indebtedness</w:t>
            </w:r>
          </w:p>
        </w:tc>
        <w:tc>
          <w:tcPr>
            <w:tcW w:w="160" w:type="dxa"/>
            <w:vAlign w:val="bottom"/>
            <w:gridSpan w:val="4"/>
          </w:tcPr>
          <w:p>
            <w:pPr>
              <w:jc w:val="right"/>
              <w:spacing w:after="0"/>
              <w:rPr>
                <w:sz w:val="20"/>
                <w:szCs w:val="20"/>
                <w:color w:val="auto"/>
              </w:rPr>
            </w:pPr>
            <w:r>
              <w:rPr>
                <w:rFonts w:ascii="Times New Roman" w:cs="Times New Roman" w:eastAsia="Times New Roman" w:hAnsi="Times New Roman"/>
                <w:sz w:val="13"/>
                <w:szCs w:val="13"/>
                <w:color w:val="FF0000"/>
                <w:strike w:val="1"/>
                <w:w w:val="71"/>
              </w:rPr>
              <w:t>121</w:t>
            </w:r>
          </w:p>
        </w:tc>
        <w:tc>
          <w:tcPr>
            <w:tcW w:w="3920" w:type="dxa"/>
            <w:vAlign w:val="bottom"/>
            <w:gridSpan w:val="63"/>
          </w:tcPr>
          <w:p>
            <w:pPr>
              <w:jc w:val="right"/>
              <w:ind w:right="3620"/>
              <w:spacing w:after="0"/>
              <w:rPr>
                <w:sz w:val="20"/>
                <w:szCs w:val="20"/>
                <w:color w:val="auto"/>
              </w:rPr>
            </w:pPr>
            <w:r>
              <w:rPr>
                <w:rFonts w:ascii="Times New Roman" w:cs="Times New Roman" w:eastAsia="Times New Roman" w:hAnsi="Times New Roman"/>
                <w:sz w:val="20"/>
                <w:szCs w:val="20"/>
                <w:b w:val="1"/>
                <w:bCs w:val="1"/>
                <w:color w:val="0000FF"/>
                <w:w w:val="93"/>
              </w:rPr>
              <w:t>123</w:t>
            </w:r>
          </w:p>
        </w:tc>
        <w:tc>
          <w:tcPr>
            <w:tcW w:w="0" w:type="dxa"/>
            <w:vAlign w:val="bottom"/>
          </w:tcPr>
          <w:p>
            <w:pPr>
              <w:spacing w:after="0"/>
              <w:rPr>
                <w:sz w:val="1"/>
                <w:szCs w:val="1"/>
                <w:color w:val="auto"/>
              </w:rPr>
            </w:pPr>
          </w:p>
        </w:tc>
      </w:tr>
      <w:tr>
        <w:trPr>
          <w:trHeight w:val="236"/>
        </w:trPr>
        <w:tc>
          <w:tcPr>
            <w:tcW w:w="1080" w:type="dxa"/>
            <w:vAlign w:val="bottom"/>
          </w:tcPr>
          <w:p>
            <w:pPr>
              <w:spacing w:after="0"/>
              <w:rPr>
                <w:sz w:val="20"/>
                <w:szCs w:val="20"/>
                <w:color w:val="auto"/>
              </w:rPr>
            </w:pPr>
            <w:r>
              <w:rPr>
                <w:rFonts w:ascii="Times New Roman" w:cs="Times New Roman" w:eastAsia="Times New Roman" w:hAnsi="Times New Roman"/>
                <w:sz w:val="20"/>
                <w:szCs w:val="20"/>
                <w:color w:val="auto"/>
              </w:rPr>
              <w:t>Section 6.02</w:t>
            </w:r>
          </w:p>
        </w:tc>
        <w:tc>
          <w:tcPr>
            <w:tcW w:w="7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Liens</w:t>
            </w:r>
          </w:p>
        </w:tc>
        <w:tc>
          <w:tcPr>
            <w:tcW w:w="300" w:type="dxa"/>
            <w:vAlign w:val="bottom"/>
          </w:tcPr>
          <w:p>
            <w:pPr>
              <w:jc w:val="right"/>
              <w:spacing w:after="0"/>
              <w:rPr>
                <w:sz w:val="20"/>
                <w:szCs w:val="20"/>
                <w:color w:val="auto"/>
              </w:rPr>
            </w:pPr>
            <w:r>
              <w:rPr>
                <w:rFonts w:ascii="Times New Roman" w:cs="Times New Roman" w:eastAsia="Times New Roman" w:hAnsi="Times New Roman"/>
                <w:sz w:val="20"/>
                <w:szCs w:val="20"/>
                <w:color w:val="FF0000"/>
                <w:strike w:val="1"/>
                <w:w w:val="93"/>
              </w:rPr>
              <w:t>127</w:t>
            </w:r>
          </w:p>
        </w:tc>
        <w:tc>
          <w:tcPr>
            <w:tcW w:w="4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20"/>
                <w:szCs w:val="20"/>
                <w:b w:val="1"/>
                <w:bCs w:val="1"/>
                <w:color w:val="0000FF"/>
              </w:rPr>
              <w:t>129</w:t>
            </w:r>
          </w:p>
        </w:tc>
        <w:tc>
          <w:tcPr>
            <w:tcW w:w="160" w:type="dxa"/>
            <w:vAlign w:val="bottom"/>
            <w:gridSpan w:val="4"/>
          </w:tcPr>
          <w:p>
            <w:pPr>
              <w:spacing w:after="0"/>
              <w:rPr>
                <w:sz w:val="20"/>
                <w:szCs w:val="20"/>
                <w:color w:val="auto"/>
              </w:rPr>
            </w:pPr>
          </w:p>
        </w:tc>
        <w:tc>
          <w:tcPr>
            <w:tcW w:w="300" w:type="dxa"/>
            <w:vAlign w:val="bottom"/>
            <w:tcBorders>
              <w:top w:val="single" w:sz="8" w:color="0000FF"/>
            </w:tcBorders>
            <w:gridSpan w:val="9"/>
          </w:tcPr>
          <w:p>
            <w:pPr>
              <w:spacing w:after="0"/>
              <w:rPr>
                <w:sz w:val="20"/>
                <w:szCs w:val="20"/>
                <w:color w:val="auto"/>
              </w:rPr>
            </w:pPr>
          </w:p>
        </w:tc>
        <w:tc>
          <w:tcPr>
            <w:tcW w:w="1380" w:type="dxa"/>
            <w:vAlign w:val="bottom"/>
            <w:gridSpan w:val="32"/>
          </w:tcPr>
          <w:p>
            <w:pPr>
              <w:spacing w:after="0"/>
              <w:rPr>
                <w:sz w:val="20"/>
                <w:szCs w:val="20"/>
                <w:color w:val="auto"/>
              </w:rPr>
            </w:pPr>
          </w:p>
        </w:tc>
        <w:tc>
          <w:tcPr>
            <w:tcW w:w="300" w:type="dxa"/>
            <w:vAlign w:val="bottom"/>
            <w:gridSpan w:val="5"/>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0000FF"/>
                <w:w w:val="93"/>
              </w:rPr>
              <w:t>135</w:t>
            </w:r>
          </w:p>
        </w:tc>
        <w:tc>
          <w:tcPr>
            <w:tcW w:w="1940" w:type="dxa"/>
            <w:vAlign w:val="bottom"/>
            <w:gridSpan w:val="17"/>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080" w:type="dxa"/>
            <w:vAlign w:val="bottom"/>
          </w:tcPr>
          <w:p>
            <w:pPr>
              <w:spacing w:after="0" w:line="223" w:lineRule="exact"/>
              <w:rPr>
                <w:sz w:val="20"/>
                <w:szCs w:val="20"/>
                <w:color w:val="auto"/>
              </w:rPr>
            </w:pPr>
            <w:r>
              <w:rPr>
                <w:rFonts w:ascii="Times New Roman" w:cs="Times New Roman" w:eastAsia="Times New Roman" w:hAnsi="Times New Roman"/>
                <w:sz w:val="20"/>
                <w:szCs w:val="20"/>
                <w:color w:val="auto"/>
              </w:rPr>
              <w:t>Section 6.03</w:t>
            </w:r>
          </w:p>
        </w:tc>
        <w:tc>
          <w:tcPr>
            <w:tcW w:w="2960" w:type="dxa"/>
            <w:vAlign w:val="bottom"/>
            <w:gridSpan w:val="44"/>
          </w:tcPr>
          <w:p>
            <w:pPr>
              <w:ind w:left="100"/>
              <w:spacing w:after="0" w:line="223" w:lineRule="exact"/>
              <w:rPr>
                <w:sz w:val="20"/>
                <w:szCs w:val="20"/>
                <w:color w:val="auto"/>
              </w:rPr>
            </w:pPr>
            <w:r>
              <w:rPr>
                <w:rFonts w:ascii="Times New Roman" w:cs="Times New Roman" w:eastAsia="Times New Roman" w:hAnsi="Times New Roman"/>
                <w:sz w:val="20"/>
                <w:szCs w:val="20"/>
                <w:color w:val="auto"/>
              </w:rPr>
              <w:t>Sale and Lease-Back Transactions</w:t>
            </w:r>
          </w:p>
        </w:tc>
        <w:tc>
          <w:tcPr>
            <w:tcW w:w="340" w:type="dxa"/>
            <w:vAlign w:val="bottom"/>
            <w:gridSpan w:val="7"/>
          </w:tcPr>
          <w:p>
            <w:pPr>
              <w:jc w:val="right"/>
              <w:spacing w:after="0" w:line="223" w:lineRule="exact"/>
              <w:rPr>
                <w:sz w:val="20"/>
                <w:szCs w:val="20"/>
                <w:color w:val="auto"/>
              </w:rPr>
            </w:pPr>
            <w:r>
              <w:rPr>
                <w:rFonts w:ascii="Times New Roman" w:cs="Times New Roman" w:eastAsia="Times New Roman" w:hAnsi="Times New Roman"/>
                <w:sz w:val="20"/>
                <w:szCs w:val="20"/>
                <w:color w:val="FF0000"/>
                <w:strike w:val="1"/>
              </w:rPr>
              <w:t>132</w:t>
            </w:r>
          </w:p>
        </w:tc>
        <w:tc>
          <w:tcPr>
            <w:tcW w:w="300" w:type="dxa"/>
            <w:vAlign w:val="bottom"/>
            <w:tcBorders>
              <w:bottom w:val="single" w:sz="8" w:color="0000FF"/>
            </w:tcBorders>
            <w:gridSpan w:val="5"/>
            <w:vMerge w:val="continue"/>
          </w:tcPr>
          <w:p>
            <w:pPr>
              <w:spacing w:after="0"/>
              <w:rPr>
                <w:sz w:val="19"/>
                <w:szCs w:val="19"/>
                <w:color w:val="auto"/>
              </w:rPr>
            </w:pPr>
          </w:p>
        </w:tc>
        <w:tc>
          <w:tcPr>
            <w:tcW w:w="20" w:type="dxa"/>
            <w:vAlign w:val="bottom"/>
            <w:tcBorders>
              <w:bottom w:val="single" w:sz="8" w:color="0000FF"/>
            </w:tcBorders>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1080" w:type="dxa"/>
            <w:vAlign w:val="bottom"/>
          </w:tcPr>
          <w:p>
            <w:pPr>
              <w:spacing w:after="0"/>
              <w:rPr>
                <w:sz w:val="20"/>
                <w:szCs w:val="20"/>
                <w:color w:val="auto"/>
              </w:rPr>
            </w:pPr>
            <w:r>
              <w:rPr>
                <w:rFonts w:ascii="Times New Roman" w:cs="Times New Roman" w:eastAsia="Times New Roman" w:hAnsi="Times New Roman"/>
                <w:sz w:val="20"/>
                <w:szCs w:val="20"/>
                <w:color w:val="auto"/>
              </w:rPr>
              <w:t>Section 6.04</w:t>
            </w:r>
          </w:p>
        </w:tc>
        <w:tc>
          <w:tcPr>
            <w:tcW w:w="2960" w:type="dxa"/>
            <w:vAlign w:val="bottom"/>
            <w:gridSpan w:val="44"/>
          </w:tcPr>
          <w:p>
            <w:pPr>
              <w:ind w:left="100"/>
              <w:spacing w:after="0"/>
              <w:rPr>
                <w:sz w:val="20"/>
                <w:szCs w:val="20"/>
                <w:color w:val="auto"/>
              </w:rPr>
            </w:pPr>
            <w:r>
              <w:rPr>
                <w:rFonts w:ascii="Times New Roman" w:cs="Times New Roman" w:eastAsia="Times New Roman" w:hAnsi="Times New Roman"/>
                <w:sz w:val="20"/>
                <w:szCs w:val="20"/>
                <w:color w:val="auto"/>
              </w:rPr>
              <w:t>Investments, Loans and Advances</w:t>
            </w:r>
          </w:p>
        </w:tc>
        <w:tc>
          <w:tcPr>
            <w:tcW w:w="340" w:type="dxa"/>
            <w:vAlign w:val="bottom"/>
            <w:gridSpan w:val="7"/>
          </w:tcPr>
          <w:p>
            <w:pPr>
              <w:jc w:val="right"/>
              <w:spacing w:after="0"/>
              <w:rPr>
                <w:sz w:val="20"/>
                <w:szCs w:val="20"/>
                <w:color w:val="auto"/>
              </w:rPr>
            </w:pPr>
            <w:r>
              <w:rPr>
                <w:rFonts w:ascii="Times New Roman" w:cs="Times New Roman" w:eastAsia="Times New Roman" w:hAnsi="Times New Roman"/>
                <w:sz w:val="20"/>
                <w:szCs w:val="20"/>
                <w:color w:val="FF0000"/>
                <w:strike w:val="1"/>
              </w:rPr>
              <w:t>133</w:t>
            </w:r>
          </w:p>
        </w:tc>
        <w:tc>
          <w:tcPr>
            <w:tcW w:w="300" w:type="dxa"/>
            <w:vAlign w:val="bottom"/>
            <w:tcBorders>
              <w:bottom w:val="single" w:sz="8" w:color="0000FF"/>
            </w:tcBorders>
            <w:gridSpan w:val="5"/>
          </w:tcPr>
          <w:p>
            <w:pPr>
              <w:jc w:val="right"/>
              <w:spacing w:after="0"/>
              <w:rPr>
                <w:sz w:val="20"/>
                <w:szCs w:val="20"/>
                <w:color w:val="auto"/>
              </w:rPr>
            </w:pPr>
            <w:r>
              <w:rPr>
                <w:rFonts w:ascii="Times New Roman" w:cs="Times New Roman" w:eastAsia="Times New Roman" w:hAnsi="Times New Roman"/>
                <w:sz w:val="20"/>
                <w:szCs w:val="20"/>
                <w:b w:val="1"/>
                <w:bCs w:val="1"/>
                <w:color w:val="0000FF"/>
                <w:w w:val="93"/>
              </w:rPr>
              <w:t>135</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20"/>
                <w:szCs w:val="20"/>
                <w:b w:val="1"/>
                <w:bCs w:val="1"/>
                <w:color w:val="0000FF"/>
                <w:w w:val="93"/>
              </w:rPr>
              <w:t>139</w:t>
            </w:r>
          </w:p>
        </w:tc>
        <w:tc>
          <w:tcPr>
            <w:tcW w:w="0" w:type="dxa"/>
            <w:vAlign w:val="bottom"/>
          </w:tcPr>
          <w:p>
            <w:pPr>
              <w:spacing w:after="0"/>
              <w:rPr>
                <w:sz w:val="1"/>
                <w:szCs w:val="1"/>
                <w:color w:val="auto"/>
              </w:rPr>
            </w:pPr>
          </w:p>
        </w:tc>
      </w:tr>
      <w:tr>
        <w:trPr>
          <w:trHeight w:val="223"/>
        </w:trPr>
        <w:tc>
          <w:tcPr>
            <w:tcW w:w="1080" w:type="dxa"/>
            <w:vAlign w:val="bottom"/>
          </w:tcPr>
          <w:p>
            <w:pPr>
              <w:spacing w:after="0" w:line="223" w:lineRule="exact"/>
              <w:rPr>
                <w:sz w:val="20"/>
                <w:szCs w:val="20"/>
                <w:color w:val="auto"/>
              </w:rPr>
            </w:pPr>
            <w:r>
              <w:rPr>
                <w:rFonts w:ascii="Times New Roman" w:cs="Times New Roman" w:eastAsia="Times New Roman" w:hAnsi="Times New Roman"/>
                <w:sz w:val="20"/>
                <w:szCs w:val="20"/>
                <w:color w:val="auto"/>
              </w:rPr>
              <w:t>Section 6.05</w:t>
            </w:r>
          </w:p>
        </w:tc>
        <w:tc>
          <w:tcPr>
            <w:tcW w:w="4920" w:type="dxa"/>
            <w:vAlign w:val="bottom"/>
            <w:gridSpan w:val="69"/>
          </w:tcPr>
          <w:p>
            <w:pPr>
              <w:ind w:left="100"/>
              <w:spacing w:after="0" w:line="223" w:lineRule="exact"/>
              <w:rPr>
                <w:sz w:val="20"/>
                <w:szCs w:val="20"/>
                <w:color w:val="auto"/>
              </w:rPr>
            </w:pPr>
            <w:r>
              <w:rPr>
                <w:rFonts w:ascii="Times New Roman" w:cs="Times New Roman" w:eastAsia="Times New Roman" w:hAnsi="Times New Roman"/>
                <w:sz w:val="20"/>
                <w:szCs w:val="20"/>
                <w:color w:val="auto"/>
              </w:rPr>
              <w:t>Mergers, Consolidations, Sales of Assets and Acquisitions</w:t>
            </w:r>
          </w:p>
        </w:tc>
        <w:tc>
          <w:tcPr>
            <w:tcW w:w="30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FF0000"/>
                <w:strike w:val="1"/>
                <w:w w:val="93"/>
              </w:rPr>
              <w:t>137</w:t>
            </w:r>
          </w:p>
        </w:tc>
        <w:tc>
          <w:tcPr>
            <w:tcW w:w="32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1080" w:type="dxa"/>
            <w:vAlign w:val="bottom"/>
          </w:tcPr>
          <w:p>
            <w:pPr>
              <w:spacing w:after="0"/>
              <w:rPr>
                <w:sz w:val="20"/>
                <w:szCs w:val="20"/>
                <w:color w:val="auto"/>
              </w:rPr>
            </w:pPr>
            <w:r>
              <w:rPr>
                <w:rFonts w:ascii="Times New Roman" w:cs="Times New Roman" w:eastAsia="Times New Roman" w:hAnsi="Times New Roman"/>
                <w:sz w:val="20"/>
                <w:szCs w:val="20"/>
                <w:color w:val="auto"/>
              </w:rPr>
              <w:t>Section 6.06</w:t>
            </w:r>
          </w:p>
        </w:tc>
        <w:tc>
          <w:tcPr>
            <w:tcW w:w="2500" w:type="dxa"/>
            <w:vAlign w:val="bottom"/>
            <w:gridSpan w:val="34"/>
          </w:tcPr>
          <w:p>
            <w:pPr>
              <w:ind w:left="100"/>
              <w:spacing w:after="0"/>
              <w:rPr>
                <w:sz w:val="20"/>
                <w:szCs w:val="20"/>
                <w:color w:val="auto"/>
              </w:rPr>
            </w:pPr>
            <w:r>
              <w:rPr>
                <w:rFonts w:ascii="Times New Roman" w:cs="Times New Roman" w:eastAsia="Times New Roman" w:hAnsi="Times New Roman"/>
                <w:sz w:val="20"/>
                <w:szCs w:val="20"/>
                <w:color w:val="auto"/>
              </w:rPr>
              <w:t>Dividends and Distributions</w:t>
            </w:r>
          </w:p>
        </w:tc>
        <w:tc>
          <w:tcPr>
            <w:tcW w:w="320" w:type="dxa"/>
            <w:vAlign w:val="bottom"/>
            <w:gridSpan w:val="9"/>
          </w:tcPr>
          <w:p>
            <w:pPr>
              <w:jc w:val="right"/>
              <w:spacing w:after="0"/>
              <w:rPr>
                <w:sz w:val="20"/>
                <w:szCs w:val="20"/>
                <w:color w:val="auto"/>
              </w:rPr>
            </w:pPr>
            <w:r>
              <w:rPr>
                <w:rFonts w:ascii="Times New Roman" w:cs="Times New Roman" w:eastAsia="Times New Roman" w:hAnsi="Times New Roman"/>
                <w:sz w:val="20"/>
                <w:szCs w:val="20"/>
                <w:color w:val="FF0000"/>
                <w:strike w:val="1"/>
                <w:w w:val="99"/>
              </w:rPr>
              <w:t>140</w:t>
            </w:r>
          </w:p>
        </w:tc>
        <w:tc>
          <w:tcPr>
            <w:tcW w:w="300" w:type="dxa"/>
            <w:vAlign w:val="bottom"/>
            <w:tcBorders>
              <w:bottom w:val="single" w:sz="8" w:color="0000FF"/>
            </w:tcBorders>
            <w:gridSpan w:val="5"/>
          </w:tcPr>
          <w:p>
            <w:pPr>
              <w:jc w:val="right"/>
              <w:spacing w:after="0"/>
              <w:rPr>
                <w:sz w:val="20"/>
                <w:szCs w:val="20"/>
                <w:color w:val="auto"/>
              </w:rPr>
            </w:pPr>
            <w:r>
              <w:rPr>
                <w:rFonts w:ascii="Times New Roman" w:cs="Times New Roman" w:eastAsia="Times New Roman" w:hAnsi="Times New Roman"/>
                <w:sz w:val="20"/>
                <w:szCs w:val="20"/>
                <w:b w:val="1"/>
                <w:bCs w:val="1"/>
                <w:color w:val="0000FF"/>
                <w:w w:val="93"/>
              </w:rPr>
              <w:t>142</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6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080" w:type="dxa"/>
            <w:vAlign w:val="bottom"/>
          </w:tcPr>
          <w:p>
            <w:pPr>
              <w:spacing w:after="0"/>
              <w:rPr>
                <w:sz w:val="20"/>
                <w:szCs w:val="20"/>
                <w:color w:val="auto"/>
              </w:rPr>
            </w:pPr>
            <w:r>
              <w:rPr>
                <w:rFonts w:ascii="Times New Roman" w:cs="Times New Roman" w:eastAsia="Times New Roman" w:hAnsi="Times New Roman"/>
                <w:sz w:val="20"/>
                <w:szCs w:val="20"/>
                <w:color w:val="auto"/>
              </w:rPr>
              <w:t>Section 6.07</w:t>
            </w:r>
          </w:p>
        </w:tc>
        <w:tc>
          <w:tcPr>
            <w:tcW w:w="2320" w:type="dxa"/>
            <w:vAlign w:val="bottom"/>
            <w:gridSpan w:val="29"/>
          </w:tcPr>
          <w:p>
            <w:pPr>
              <w:ind w:left="100"/>
              <w:spacing w:after="0"/>
              <w:rPr>
                <w:sz w:val="20"/>
                <w:szCs w:val="20"/>
                <w:color w:val="auto"/>
              </w:rPr>
            </w:pPr>
            <w:r>
              <w:rPr>
                <w:rFonts w:ascii="Times New Roman" w:cs="Times New Roman" w:eastAsia="Times New Roman" w:hAnsi="Times New Roman"/>
                <w:sz w:val="20"/>
                <w:szCs w:val="20"/>
                <w:color w:val="auto"/>
                <w:w w:val="98"/>
              </w:rPr>
              <w:t>Transactions with Affiliates</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gridSpan w:val="8"/>
          </w:tcPr>
          <w:p>
            <w:pPr>
              <w:jc w:val="right"/>
              <w:spacing w:after="0"/>
              <w:rPr>
                <w:sz w:val="20"/>
                <w:szCs w:val="20"/>
                <w:color w:val="auto"/>
              </w:rPr>
            </w:pPr>
            <w:r>
              <w:rPr>
                <w:rFonts w:ascii="Times New Roman" w:cs="Times New Roman" w:eastAsia="Times New Roman" w:hAnsi="Times New Roman"/>
                <w:sz w:val="20"/>
                <w:szCs w:val="20"/>
                <w:color w:val="FF0000"/>
                <w:strike w:val="1"/>
                <w:w w:val="93"/>
              </w:rPr>
              <w:t>142</w:t>
            </w:r>
          </w:p>
        </w:tc>
        <w:tc>
          <w:tcPr>
            <w:tcW w:w="320" w:type="dxa"/>
            <w:vAlign w:val="bottom"/>
            <w:gridSpan w:val="6"/>
          </w:tcPr>
          <w:p>
            <w:pPr>
              <w:jc w:val="right"/>
              <w:ind w:right="40"/>
              <w:spacing w:after="0"/>
              <w:rPr>
                <w:sz w:val="20"/>
                <w:szCs w:val="20"/>
                <w:color w:val="auto"/>
              </w:rPr>
            </w:pPr>
            <w:r>
              <w:rPr>
                <w:rFonts w:ascii="Times New Roman" w:cs="Times New Roman" w:eastAsia="Times New Roman" w:hAnsi="Times New Roman"/>
                <w:sz w:val="20"/>
                <w:szCs w:val="20"/>
                <w:b w:val="1"/>
                <w:bCs w:val="1"/>
                <w:color w:val="0000FF"/>
                <w:w w:val="86"/>
              </w:rPr>
              <w:t>145</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0000FF"/>
                <w:w w:val="93"/>
              </w:rPr>
              <w:t>148</w:t>
            </w:r>
          </w:p>
        </w:tc>
        <w:tc>
          <w:tcPr>
            <w:tcW w:w="360" w:type="dxa"/>
            <w:vAlign w:val="bottom"/>
            <w:vMerge w:val="restart"/>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12"/>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740" w:type="dxa"/>
            <w:vAlign w:val="bottom"/>
            <w:gridSpan w:val="1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300" w:type="dxa"/>
            <w:vAlign w:val="bottom"/>
            <w:gridSpan w:val="2"/>
            <w:vMerge w:val="continue"/>
          </w:tcPr>
          <w:p>
            <w:pPr>
              <w:spacing w:after="0" w:line="20" w:lineRule="exact"/>
              <w:rPr>
                <w:sz w:val="1"/>
                <w:szCs w:val="1"/>
                <w:color w:val="auto"/>
              </w:rPr>
            </w:pPr>
          </w:p>
        </w:tc>
        <w:tc>
          <w:tcPr>
            <w:tcW w:w="360" w:type="dxa"/>
            <w:vAlign w:val="bottom"/>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1080" w:type="dxa"/>
            <w:vAlign w:val="bottom"/>
          </w:tcPr>
          <w:p>
            <w:pPr>
              <w:spacing w:after="0" w:line="223" w:lineRule="exact"/>
              <w:rPr>
                <w:sz w:val="20"/>
                <w:szCs w:val="20"/>
                <w:color w:val="auto"/>
              </w:rPr>
            </w:pPr>
            <w:r>
              <w:rPr>
                <w:rFonts w:ascii="Times New Roman" w:cs="Times New Roman" w:eastAsia="Times New Roman" w:hAnsi="Times New Roman"/>
                <w:sz w:val="20"/>
                <w:szCs w:val="20"/>
                <w:color w:val="auto"/>
              </w:rPr>
              <w:t>Section 6.08</w:t>
            </w:r>
          </w:p>
        </w:tc>
        <w:tc>
          <w:tcPr>
            <w:tcW w:w="3820" w:type="dxa"/>
            <w:vAlign w:val="bottom"/>
            <w:gridSpan w:val="61"/>
          </w:tcPr>
          <w:p>
            <w:pPr>
              <w:ind w:left="100"/>
              <w:spacing w:after="0" w:line="223" w:lineRule="exact"/>
              <w:rPr>
                <w:sz w:val="20"/>
                <w:szCs w:val="20"/>
                <w:color w:val="auto"/>
              </w:rPr>
            </w:pPr>
            <w:r>
              <w:rPr>
                <w:rFonts w:ascii="Times New Roman" w:cs="Times New Roman" w:eastAsia="Times New Roman" w:hAnsi="Times New Roman"/>
                <w:sz w:val="20"/>
                <w:szCs w:val="20"/>
                <w:color w:val="auto"/>
                <w:w w:val="99"/>
              </w:rPr>
              <w:t>Business of the Borrower and the Subsidiaries</w:t>
            </w:r>
          </w:p>
        </w:tc>
        <w:tc>
          <w:tcPr>
            <w:tcW w:w="140" w:type="dxa"/>
            <w:vAlign w:val="bottom"/>
            <w:gridSpan w:val="2"/>
          </w:tcPr>
          <w:p>
            <w:pPr>
              <w:spacing w:after="0"/>
              <w:rPr>
                <w:sz w:val="19"/>
                <w:szCs w:val="19"/>
                <w:color w:val="auto"/>
              </w:rPr>
            </w:pPr>
          </w:p>
        </w:tc>
        <w:tc>
          <w:tcPr>
            <w:tcW w:w="300" w:type="dxa"/>
            <w:vAlign w:val="bottom"/>
            <w:gridSpan w:val="3"/>
          </w:tcPr>
          <w:p>
            <w:pPr>
              <w:jc w:val="right"/>
              <w:spacing w:after="0" w:line="223" w:lineRule="exact"/>
              <w:rPr>
                <w:sz w:val="20"/>
                <w:szCs w:val="20"/>
                <w:color w:val="auto"/>
              </w:rPr>
            </w:pPr>
            <w:r>
              <w:rPr>
                <w:rFonts w:ascii="Times New Roman" w:cs="Times New Roman" w:eastAsia="Times New Roman" w:hAnsi="Times New Roman"/>
                <w:sz w:val="20"/>
                <w:szCs w:val="20"/>
                <w:color w:val="FF0000"/>
                <w:strike w:val="1"/>
                <w:w w:val="93"/>
              </w:rPr>
              <w:t>145</w:t>
            </w:r>
          </w:p>
        </w:tc>
        <w:tc>
          <w:tcPr>
            <w:tcW w:w="300" w:type="dxa"/>
            <w:vAlign w:val="bottom"/>
            <w:tcBorders>
              <w:bottom w:val="single" w:sz="8" w:color="0000FF"/>
            </w:tcBorders>
            <w:gridSpan w:val="2"/>
            <w:vMerge w:val="continue"/>
          </w:tcPr>
          <w:p>
            <w:pPr>
              <w:spacing w:after="0"/>
              <w:rPr>
                <w:sz w:val="19"/>
                <w:szCs w:val="19"/>
                <w:color w:val="auto"/>
              </w:rPr>
            </w:pPr>
          </w:p>
        </w:tc>
        <w:tc>
          <w:tcPr>
            <w:tcW w:w="36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1440" w:gutter="0" w:footer="0" w:header="0"/>
        </w:sectPr>
      </w:pPr>
    </w:p>
    <w:bookmarkStart w:id="184" w:name="page185"/>
    <w:bookmarkEnd w:id="184"/>
    <w:p>
      <w:pPr>
        <w:jc w:val="right"/>
        <w:spacing w:after="0"/>
        <w:rPr>
          <w:sz w:val="20"/>
          <w:szCs w:val="20"/>
          <w:color w:val="auto"/>
        </w:rPr>
      </w:pPr>
      <w:r>
        <w:rPr>
          <w:rFonts w:ascii="Times New Roman" w:cs="Times New Roman" w:eastAsia="Times New Roman" w:hAnsi="Times New Roman"/>
          <w:sz w:val="22"/>
          <w:szCs w:val="22"/>
          <w:color w:val="FF0000"/>
          <w:strike w:val="1"/>
        </w:rPr>
        <w:t>ANNEX</w:t>
      </w:r>
      <w:r>
        <w:rPr>
          <w:rFonts w:ascii="Times New Roman" w:cs="Times New Roman" w:eastAsia="Times New Roman" w:hAnsi="Times New Roman"/>
          <w:sz w:val="22"/>
          <w:szCs w:val="22"/>
          <w:b w:val="1"/>
          <w:bCs w:val="1"/>
          <w:u w:val="single" w:color="auto"/>
          <w:color w:val="0000FF"/>
        </w:rPr>
        <w:t>EXHIBIT</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20"/>
          <w:szCs w:val="20"/>
          <w:color w:val="auto"/>
        </w:rPr>
        <w:t>Section 6.09</w:t>
      </w:r>
      <w:r>
        <w:rPr>
          <w:sz w:val="20"/>
          <w:szCs w:val="20"/>
          <w:color w:val="auto"/>
        </w:rPr>
        <w:tab/>
      </w:r>
      <w:r>
        <w:rPr>
          <w:rFonts w:ascii="Times New Roman" w:cs="Times New Roman" w:eastAsia="Times New Roman" w:hAnsi="Times New Roman"/>
          <w:sz w:val="19"/>
          <w:szCs w:val="19"/>
          <w:color w:val="auto"/>
        </w:rPr>
        <w:t>Limitation on Payments and Modifications of Indebtedness; Modifications of Certificate of Incorporation, By-</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1020" w:type="dxa"/>
            <w:vAlign w:val="bottom"/>
          </w:tcPr>
          <w:p>
            <w:pPr>
              <w:spacing w:after="0"/>
              <w:rPr>
                <w:sz w:val="3"/>
                <w:szCs w:val="3"/>
                <w:color w:val="auto"/>
              </w:rPr>
            </w:pPr>
          </w:p>
        </w:tc>
        <w:tc>
          <w:tcPr>
            <w:tcW w:w="180" w:type="dxa"/>
            <w:vAlign w:val="bottom"/>
            <w:vMerge w:val="restart"/>
          </w:tcPr>
          <w:p>
            <w:pPr>
              <w:spacing w:after="0"/>
              <w:rPr>
                <w:sz w:val="3"/>
                <w:szCs w:val="3"/>
                <w:color w:val="auto"/>
              </w:rPr>
            </w:pPr>
          </w:p>
        </w:tc>
        <w:tc>
          <w:tcPr>
            <w:tcW w:w="4240" w:type="dxa"/>
            <w:vAlign w:val="bottom"/>
            <w:gridSpan w:val="51"/>
            <w:vMerge w:val="restart"/>
          </w:tcPr>
          <w:p>
            <w:pPr>
              <w:jc w:val="center"/>
              <w:ind w:left="461"/>
              <w:spacing w:after="0"/>
              <w:rPr>
                <w:sz w:val="20"/>
                <w:szCs w:val="20"/>
                <w:color w:val="auto"/>
              </w:rPr>
            </w:pPr>
            <w:r>
              <w:rPr>
                <w:rFonts w:ascii="Times New Roman" w:cs="Times New Roman" w:eastAsia="Times New Roman" w:hAnsi="Times New Roman"/>
                <w:sz w:val="20"/>
                <w:szCs w:val="20"/>
                <w:color w:val="auto"/>
                <w:w w:val="98"/>
              </w:rPr>
              <w:t>Laws and Certain Other Agreements; etc.</w:t>
            </w:r>
          </w:p>
        </w:tc>
        <w:tc>
          <w:tcPr>
            <w:tcW w:w="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FF0000"/>
                <w:strike w:val="1"/>
                <w:w w:val="93"/>
              </w:rPr>
              <w:t>145</w:t>
            </w:r>
          </w:p>
        </w:tc>
        <w:tc>
          <w:tcPr>
            <w:tcW w:w="540" w:type="dxa"/>
            <w:vAlign w:val="bottom"/>
            <w:gridSpan w:val="3"/>
            <w:vMerge w:val="restart"/>
          </w:tcPr>
          <w:p>
            <w:pPr>
              <w:jc w:val="right"/>
              <w:ind w:right="260"/>
              <w:spacing w:after="0"/>
              <w:rPr>
                <w:sz w:val="20"/>
                <w:szCs w:val="20"/>
                <w:color w:val="auto"/>
              </w:rPr>
            </w:pPr>
            <w:r>
              <w:rPr>
                <w:rFonts w:ascii="Times New Roman" w:cs="Times New Roman" w:eastAsia="Times New Roman" w:hAnsi="Times New Roman"/>
                <w:sz w:val="20"/>
                <w:szCs w:val="20"/>
                <w:b w:val="1"/>
                <w:bCs w:val="1"/>
                <w:color w:val="0000FF"/>
                <w:w w:val="86"/>
              </w:rPr>
              <w:t>148</w:t>
            </w:r>
          </w:p>
        </w:tc>
        <w:tc>
          <w:tcPr>
            <w:tcW w:w="860" w:type="dxa"/>
            <w:vAlign w:val="bottom"/>
            <w:vMerge w:val="restart"/>
          </w:tcPr>
          <w:p>
            <w:pPr>
              <w:spacing w:after="0"/>
              <w:rPr>
                <w:sz w:val="3"/>
                <w:szCs w:val="3"/>
                <w:color w:val="auto"/>
              </w:rPr>
            </w:pPr>
          </w:p>
        </w:tc>
        <w:tc>
          <w:tcPr>
            <w:tcW w:w="300" w:type="dxa"/>
            <w:vAlign w:val="bottom"/>
            <w:vMerge w:val="restart"/>
          </w:tcPr>
          <w:p>
            <w:pPr>
              <w:spacing w:after="0"/>
              <w:rPr>
                <w:sz w:val="3"/>
                <w:szCs w:val="3"/>
                <w:color w:val="auto"/>
              </w:rPr>
            </w:pPr>
          </w:p>
        </w:tc>
        <w:tc>
          <w:tcPr>
            <w:tcW w:w="280" w:type="dxa"/>
            <w:vAlign w:val="bottom"/>
            <w:vMerge w:val="restart"/>
          </w:tcPr>
          <w:p>
            <w:pPr>
              <w:spacing w:after="0"/>
              <w:rPr>
                <w:sz w:val="3"/>
                <w:szCs w:val="3"/>
                <w:color w:val="auto"/>
              </w:rPr>
            </w:pPr>
          </w:p>
        </w:tc>
        <w:tc>
          <w:tcPr>
            <w:tcW w:w="160" w:type="dxa"/>
            <w:vAlign w:val="bottom"/>
            <w:vMerge w:val="restart"/>
          </w:tcPr>
          <w:p>
            <w:pPr>
              <w:spacing w:after="0"/>
              <w:rPr>
                <w:sz w:val="3"/>
                <w:szCs w:val="3"/>
                <w:color w:val="auto"/>
              </w:rPr>
            </w:pPr>
          </w:p>
        </w:tc>
        <w:tc>
          <w:tcPr>
            <w:tcW w:w="280" w:type="dxa"/>
            <w:vAlign w:val="bottom"/>
            <w:vMerge w:val="restart"/>
          </w:tcPr>
          <w:p>
            <w:pPr>
              <w:spacing w:after="0"/>
              <w:rPr>
                <w:sz w:val="3"/>
                <w:szCs w:val="3"/>
                <w:color w:val="auto"/>
              </w:rPr>
            </w:pPr>
          </w:p>
        </w:tc>
        <w:tc>
          <w:tcPr>
            <w:tcW w:w="30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1020" w:type="dxa"/>
            <w:vAlign w:val="bottom"/>
          </w:tcPr>
          <w:p>
            <w:pPr>
              <w:spacing w:after="0"/>
              <w:rPr>
                <w:sz w:val="16"/>
                <w:szCs w:val="16"/>
                <w:color w:val="auto"/>
              </w:rPr>
            </w:pPr>
          </w:p>
        </w:tc>
        <w:tc>
          <w:tcPr>
            <w:tcW w:w="180" w:type="dxa"/>
            <w:vAlign w:val="bottom"/>
            <w:vMerge w:val="continue"/>
          </w:tcPr>
          <w:p>
            <w:pPr>
              <w:spacing w:after="0"/>
              <w:rPr>
                <w:sz w:val="16"/>
                <w:szCs w:val="16"/>
                <w:color w:val="auto"/>
              </w:rPr>
            </w:pPr>
          </w:p>
        </w:tc>
        <w:tc>
          <w:tcPr>
            <w:tcW w:w="4240" w:type="dxa"/>
            <w:vAlign w:val="bottom"/>
            <w:gridSpan w:val="51"/>
            <w:vMerge w:val="continue"/>
          </w:tcPr>
          <w:p>
            <w:pPr>
              <w:spacing w:after="0"/>
              <w:rPr>
                <w:sz w:val="16"/>
                <w:szCs w:val="16"/>
                <w:color w:val="auto"/>
              </w:rPr>
            </w:pPr>
          </w:p>
        </w:tc>
        <w:tc>
          <w:tcPr>
            <w:tcW w:w="300" w:type="dxa"/>
            <w:vAlign w:val="bottom"/>
            <w:gridSpan w:val="2"/>
            <w:vMerge w:val="continue"/>
          </w:tcPr>
          <w:p>
            <w:pPr>
              <w:spacing w:after="0"/>
              <w:rPr>
                <w:sz w:val="16"/>
                <w:szCs w:val="16"/>
                <w:color w:val="auto"/>
              </w:rPr>
            </w:pPr>
          </w:p>
        </w:tc>
        <w:tc>
          <w:tcPr>
            <w:tcW w:w="540" w:type="dxa"/>
            <w:vAlign w:val="bottom"/>
            <w:gridSpan w:val="3"/>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300" w:type="dxa"/>
            <w:vAlign w:val="bottom"/>
            <w:vMerge w:val="continue"/>
          </w:tcPr>
          <w:p>
            <w:pPr>
              <w:spacing w:after="0"/>
              <w:rPr>
                <w:sz w:val="16"/>
                <w:szCs w:val="16"/>
                <w:color w:val="auto"/>
              </w:rPr>
            </w:pPr>
          </w:p>
        </w:tc>
        <w:tc>
          <w:tcPr>
            <w:tcW w:w="280" w:type="dxa"/>
            <w:vAlign w:val="bottom"/>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280" w:type="dxa"/>
            <w:vAlign w:val="bottom"/>
            <w:vMerge w:val="continue"/>
          </w:tcPr>
          <w:p>
            <w:pPr>
              <w:spacing w:after="0"/>
              <w:rPr>
                <w:sz w:val="16"/>
                <w:szCs w:val="16"/>
                <w:color w:val="auto"/>
              </w:rPr>
            </w:pPr>
          </w:p>
        </w:tc>
        <w:tc>
          <w:tcPr>
            <w:tcW w:w="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020" w:type="dxa"/>
            <w:vAlign w:val="bottom"/>
          </w:tcPr>
          <w:p>
            <w:pPr>
              <w:spacing w:after="0" w:line="209" w:lineRule="exact"/>
              <w:rPr>
                <w:sz w:val="20"/>
                <w:szCs w:val="20"/>
                <w:color w:val="auto"/>
              </w:rPr>
            </w:pPr>
            <w:r>
              <w:rPr>
                <w:rFonts w:ascii="Times New Roman" w:cs="Times New Roman" w:eastAsia="Times New Roman" w:hAnsi="Times New Roman"/>
                <w:sz w:val="20"/>
                <w:szCs w:val="20"/>
                <w:color w:val="auto"/>
                <w:w w:val="99"/>
              </w:rPr>
              <w:t>Section 6.10</w:t>
            </w:r>
          </w:p>
        </w:tc>
        <w:tc>
          <w:tcPr>
            <w:tcW w:w="1240" w:type="dxa"/>
            <w:vAlign w:val="bottom"/>
            <w:gridSpan w:val="3"/>
          </w:tcPr>
          <w:p>
            <w:pPr>
              <w:ind w:left="160"/>
              <w:spacing w:after="0" w:line="209" w:lineRule="exact"/>
              <w:rPr>
                <w:sz w:val="20"/>
                <w:szCs w:val="20"/>
                <w:color w:val="auto"/>
              </w:rPr>
            </w:pPr>
            <w:r>
              <w:rPr>
                <w:rFonts w:ascii="Times New Roman" w:cs="Times New Roman" w:eastAsia="Times New Roman" w:hAnsi="Times New Roman"/>
                <w:sz w:val="20"/>
                <w:szCs w:val="20"/>
                <w:color w:val="auto"/>
              </w:rPr>
              <w:t>Fiscal Year</w:t>
            </w:r>
          </w:p>
        </w:tc>
        <w:tc>
          <w:tcPr>
            <w:tcW w:w="300" w:type="dxa"/>
            <w:vAlign w:val="bottom"/>
            <w:gridSpan w:val="3"/>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w w:val="93"/>
              </w:rPr>
              <w:t>148</w:t>
            </w:r>
          </w:p>
        </w:tc>
        <w:tc>
          <w:tcPr>
            <w:tcW w:w="300" w:type="dxa"/>
            <w:vAlign w:val="bottom"/>
            <w:tcBorders>
              <w:bottom w:val="single" w:sz="8" w:color="0000FF"/>
            </w:tcBorders>
            <w:gridSpan w:val="8"/>
          </w:tcPr>
          <w:p>
            <w:pPr>
              <w:jc w:val="right"/>
              <w:spacing w:after="0" w:line="209" w:lineRule="exact"/>
              <w:rPr>
                <w:sz w:val="20"/>
                <w:szCs w:val="20"/>
                <w:color w:val="auto"/>
              </w:rPr>
            </w:pPr>
            <w:r>
              <w:rPr>
                <w:rFonts w:ascii="Times New Roman" w:cs="Times New Roman" w:eastAsia="Times New Roman" w:hAnsi="Times New Roman"/>
                <w:sz w:val="20"/>
                <w:szCs w:val="20"/>
                <w:b w:val="1"/>
                <w:bCs w:val="1"/>
                <w:color w:val="0000FF"/>
                <w:w w:val="93"/>
              </w:rPr>
              <w:t>151</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0000FF"/>
                <w:w w:val="72"/>
              </w:rPr>
              <w:t>151</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020" w:type="dxa"/>
            <w:vAlign w:val="bottom"/>
          </w:tcPr>
          <w:p>
            <w:pPr>
              <w:spacing w:after="0"/>
              <w:rPr>
                <w:sz w:val="20"/>
                <w:szCs w:val="20"/>
                <w:color w:val="auto"/>
              </w:rPr>
            </w:pPr>
            <w:r>
              <w:rPr>
                <w:rFonts w:ascii="Times New Roman" w:cs="Times New Roman" w:eastAsia="Times New Roman" w:hAnsi="Times New Roman"/>
                <w:sz w:val="20"/>
                <w:szCs w:val="20"/>
                <w:color w:val="auto"/>
                <w:w w:val="99"/>
              </w:rPr>
              <w:t>Section 6.11</w:t>
            </w:r>
          </w:p>
        </w:tc>
        <w:tc>
          <w:tcPr>
            <w:tcW w:w="1900" w:type="dxa"/>
            <w:vAlign w:val="bottom"/>
            <w:gridSpan w:val="16"/>
          </w:tcPr>
          <w:p>
            <w:pPr>
              <w:ind w:left="160"/>
              <w:spacing w:after="0"/>
              <w:rPr>
                <w:sz w:val="20"/>
                <w:szCs w:val="20"/>
                <w:color w:val="auto"/>
              </w:rPr>
            </w:pPr>
            <w:r>
              <w:rPr>
                <w:rFonts w:ascii="Times New Roman" w:cs="Times New Roman" w:eastAsia="Times New Roman" w:hAnsi="Times New Roman"/>
                <w:sz w:val="20"/>
                <w:szCs w:val="20"/>
                <w:color w:val="auto"/>
              </w:rPr>
              <w:t>Financial Covenant</w:t>
            </w:r>
          </w:p>
        </w:tc>
        <w:tc>
          <w:tcPr>
            <w:tcW w:w="440" w:type="dxa"/>
            <w:vAlign w:val="bottom"/>
            <w:gridSpan w:val="7"/>
          </w:tcPr>
          <w:p>
            <w:pPr>
              <w:spacing w:after="0"/>
              <w:rPr>
                <w:sz w:val="20"/>
                <w:szCs w:val="20"/>
                <w:color w:val="auto"/>
              </w:rPr>
            </w:pPr>
            <w:r>
              <w:rPr>
                <w:rFonts w:ascii="Times New Roman" w:cs="Times New Roman" w:eastAsia="Times New Roman" w:hAnsi="Times New Roman"/>
                <w:sz w:val="20"/>
                <w:szCs w:val="20"/>
                <w:color w:val="FF0000"/>
                <w:strike w:val="1"/>
              </w:rPr>
              <w:t>148</w:t>
            </w:r>
          </w:p>
        </w:tc>
        <w:tc>
          <w:tcPr>
            <w:tcW w:w="160" w:type="dxa"/>
            <w:vAlign w:val="bottom"/>
            <w:gridSpan w:val="3"/>
            <w:vMerge w:val="continue"/>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360" w:type="dxa"/>
            <w:vAlign w:val="bottom"/>
            <w:tcBorders>
              <w:right w:val="single" w:sz="8" w:color="0000FF"/>
            </w:tcBorders>
            <w:gridSpan w:val="24"/>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960" w:type="dxa"/>
            <w:vAlign w:val="bottom"/>
            <w:gridSpan w:val="3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620" w:type="dxa"/>
            <w:vAlign w:val="bottom"/>
            <w:gridSpan w:val="8"/>
          </w:tcPr>
          <w:p>
            <w:pPr>
              <w:spacing w:after="0"/>
              <w:rPr>
                <w:sz w:val="20"/>
                <w:szCs w:val="20"/>
                <w:color w:val="auto"/>
              </w:rPr>
            </w:pPr>
            <w:r>
              <w:rPr>
                <w:rFonts w:ascii="Times New Roman" w:cs="Times New Roman" w:eastAsia="Times New Roman" w:hAnsi="Times New Roman"/>
                <w:sz w:val="20"/>
                <w:szCs w:val="20"/>
                <w:color w:val="auto"/>
                <w:w w:val="98"/>
              </w:rPr>
              <w:t>ARTICLE VII Events of Default</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gridSpan w:val="10"/>
          </w:tcPr>
          <w:p>
            <w:pPr>
              <w:jc w:val="right"/>
              <w:spacing w:after="0"/>
              <w:rPr>
                <w:sz w:val="20"/>
                <w:szCs w:val="20"/>
                <w:color w:val="auto"/>
              </w:rPr>
            </w:pPr>
            <w:r>
              <w:rPr>
                <w:rFonts w:ascii="Times New Roman" w:cs="Times New Roman" w:eastAsia="Times New Roman" w:hAnsi="Times New Roman"/>
                <w:sz w:val="20"/>
                <w:szCs w:val="20"/>
                <w:color w:val="FF0000"/>
                <w:strike w:val="1"/>
                <w:w w:val="99"/>
              </w:rPr>
              <w:t>149</w:t>
            </w:r>
          </w:p>
        </w:tc>
        <w:tc>
          <w:tcPr>
            <w:tcW w:w="2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5"/>
                <w:szCs w:val="15"/>
                <w:b w:val="1"/>
                <w:bCs w:val="1"/>
                <w:color w:val="0000FF"/>
                <w:w w:val="70"/>
              </w:rPr>
              <w:t>151</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1020" w:type="dxa"/>
            <w:vAlign w:val="bottom"/>
          </w:tcPr>
          <w:p>
            <w:pPr>
              <w:spacing w:after="0"/>
              <w:rPr>
                <w:sz w:val="20"/>
                <w:szCs w:val="20"/>
                <w:color w:val="auto"/>
              </w:rPr>
            </w:pPr>
            <w:r>
              <w:rPr>
                <w:rFonts w:ascii="Times New Roman" w:cs="Times New Roman" w:eastAsia="Times New Roman" w:hAnsi="Times New Roman"/>
                <w:sz w:val="20"/>
                <w:szCs w:val="20"/>
                <w:color w:val="auto"/>
                <w:w w:val="99"/>
              </w:rPr>
              <w:t>Section 7.01</w:t>
            </w:r>
          </w:p>
        </w:tc>
        <w:tc>
          <w:tcPr>
            <w:tcW w:w="1600" w:type="dxa"/>
            <w:vAlign w:val="bottom"/>
            <w:gridSpan w:val="7"/>
          </w:tcPr>
          <w:p>
            <w:pPr>
              <w:ind w:left="160"/>
              <w:spacing w:after="0"/>
              <w:rPr>
                <w:sz w:val="20"/>
                <w:szCs w:val="20"/>
                <w:color w:val="auto"/>
              </w:rPr>
            </w:pPr>
            <w:r>
              <w:rPr>
                <w:rFonts w:ascii="Times New Roman" w:cs="Times New Roman" w:eastAsia="Times New Roman" w:hAnsi="Times New Roman"/>
                <w:sz w:val="20"/>
                <w:szCs w:val="20"/>
                <w:color w:val="auto"/>
              </w:rPr>
              <w:t>Events of Default</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gridSpan w:val="11"/>
          </w:tcPr>
          <w:p>
            <w:pPr>
              <w:jc w:val="right"/>
              <w:spacing w:after="0"/>
              <w:rPr>
                <w:sz w:val="20"/>
                <w:szCs w:val="20"/>
                <w:color w:val="auto"/>
              </w:rPr>
            </w:pPr>
            <w:r>
              <w:rPr>
                <w:rFonts w:ascii="Times New Roman" w:cs="Times New Roman" w:eastAsia="Times New Roman" w:hAnsi="Times New Roman"/>
                <w:sz w:val="20"/>
                <w:szCs w:val="20"/>
                <w:color w:val="FF0000"/>
                <w:strike w:val="1"/>
                <w:w w:val="99"/>
              </w:rPr>
              <w:t>149</w:t>
            </w:r>
          </w:p>
        </w:tc>
        <w:tc>
          <w:tcPr>
            <w:tcW w:w="200" w:type="dxa"/>
            <w:vAlign w:val="bottom"/>
          </w:tcPr>
          <w:p>
            <w:pPr>
              <w:spacing w:after="0"/>
              <w:rPr>
                <w:sz w:val="20"/>
                <w:szCs w:val="20"/>
                <w:color w:val="auto"/>
              </w:rPr>
            </w:pPr>
            <w:r>
              <w:rPr>
                <w:rFonts w:ascii="Times New Roman" w:cs="Times New Roman" w:eastAsia="Times New Roman" w:hAnsi="Times New Roman"/>
                <w:sz w:val="15"/>
                <w:szCs w:val="15"/>
                <w:b w:val="1"/>
                <w:bCs w:val="1"/>
                <w:color w:val="0000FF"/>
                <w:w w:val="70"/>
              </w:rPr>
              <w:t>151</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gridSpan w:val="5"/>
            <w:vMerge w:val="restart"/>
          </w:tcPr>
          <w:p>
            <w:pPr>
              <w:jc w:val="right"/>
              <w:ind w:right="80"/>
              <w:spacing w:after="0"/>
              <w:rPr>
                <w:sz w:val="20"/>
                <w:szCs w:val="20"/>
                <w:color w:val="auto"/>
              </w:rPr>
            </w:pPr>
            <w:r>
              <w:rPr>
                <w:rFonts w:ascii="Times New Roman" w:cs="Times New Roman" w:eastAsia="Times New Roman" w:hAnsi="Times New Roman"/>
                <w:sz w:val="20"/>
                <w:szCs w:val="20"/>
                <w:b w:val="1"/>
                <w:bCs w:val="1"/>
                <w:color w:val="0000FF"/>
                <w:w w:val="93"/>
              </w:rPr>
              <w:t>154</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160" w:type="dxa"/>
            <w:vAlign w:val="bottom"/>
            <w:tcBorders>
              <w:right w:val="single" w:sz="8" w:color="0000FF"/>
            </w:tcBorders>
            <w:gridSpan w:val="23"/>
          </w:tcPr>
          <w:p>
            <w:pPr>
              <w:spacing w:after="0" w:line="20" w:lineRule="exact"/>
              <w:rPr>
                <w:sz w:val="1"/>
                <w:szCs w:val="1"/>
                <w:color w:val="auto"/>
              </w:rPr>
            </w:pPr>
          </w:p>
        </w:tc>
        <w:tc>
          <w:tcPr>
            <w:tcW w:w="2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780" w:type="dxa"/>
            <w:vAlign w:val="bottom"/>
            <w:gridSpan w:val="16"/>
          </w:tcPr>
          <w:p>
            <w:pPr>
              <w:spacing w:after="0" w:line="20" w:lineRule="exact"/>
              <w:rPr>
                <w:sz w:val="1"/>
                <w:szCs w:val="1"/>
                <w:color w:val="auto"/>
              </w:rPr>
            </w:pPr>
          </w:p>
        </w:tc>
        <w:tc>
          <w:tcPr>
            <w:tcW w:w="380" w:type="dxa"/>
            <w:vAlign w:val="bottom"/>
            <w:gridSpan w:val="5"/>
            <w:vMerge w:val="continue"/>
          </w:tcPr>
          <w:p>
            <w:pPr>
              <w:spacing w:after="0" w:line="20" w:lineRule="exact"/>
              <w:rPr>
                <w:sz w:val="1"/>
                <w:szCs w:val="1"/>
                <w:color w:val="auto"/>
              </w:rPr>
            </w:pPr>
          </w:p>
        </w:tc>
        <w:tc>
          <w:tcPr>
            <w:tcW w:w="3940" w:type="dxa"/>
            <w:vAlign w:val="bottom"/>
            <w:gridSpan w:val="1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20" w:type="dxa"/>
            <w:vAlign w:val="bottom"/>
          </w:tcPr>
          <w:p>
            <w:pPr>
              <w:spacing w:after="0"/>
              <w:rPr>
                <w:sz w:val="20"/>
                <w:szCs w:val="20"/>
                <w:color w:val="auto"/>
              </w:rPr>
            </w:pPr>
            <w:r>
              <w:rPr>
                <w:rFonts w:ascii="Times New Roman" w:cs="Times New Roman" w:eastAsia="Times New Roman" w:hAnsi="Times New Roman"/>
                <w:sz w:val="20"/>
                <w:szCs w:val="20"/>
                <w:color w:val="auto"/>
                <w:w w:val="99"/>
              </w:rPr>
              <w:t>Section 7.02</w:t>
            </w:r>
          </w:p>
        </w:tc>
        <w:tc>
          <w:tcPr>
            <w:tcW w:w="2840" w:type="dxa"/>
            <w:vAlign w:val="bottom"/>
            <w:gridSpan w:val="35"/>
          </w:tcPr>
          <w:p>
            <w:pPr>
              <w:ind w:left="160"/>
              <w:spacing w:after="0"/>
              <w:rPr>
                <w:sz w:val="20"/>
                <w:szCs w:val="20"/>
                <w:color w:val="auto"/>
              </w:rPr>
            </w:pPr>
            <w:r>
              <w:rPr>
                <w:rFonts w:ascii="Times New Roman" w:cs="Times New Roman" w:eastAsia="Times New Roman" w:hAnsi="Times New Roman"/>
                <w:sz w:val="20"/>
                <w:szCs w:val="20"/>
                <w:color w:val="auto"/>
              </w:rPr>
              <w:t>Treatment of Certain Payments</w:t>
            </w:r>
          </w:p>
        </w:tc>
        <w:tc>
          <w:tcPr>
            <w:tcW w:w="28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FF0000"/>
                <w:strike w:val="1"/>
                <w:w w:val="86"/>
              </w:rPr>
              <w:t>152</w:t>
            </w:r>
          </w:p>
        </w:tc>
        <w:tc>
          <w:tcPr>
            <w:tcW w:w="380" w:type="dxa"/>
            <w:vAlign w:val="bottom"/>
            <w:gridSpan w:val="5"/>
            <w:vMerge w:val="continue"/>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020" w:type="dxa"/>
            <w:vAlign w:val="bottom"/>
          </w:tcPr>
          <w:p>
            <w:pPr>
              <w:spacing w:after="0" w:line="223" w:lineRule="exact"/>
              <w:rPr>
                <w:sz w:val="20"/>
                <w:szCs w:val="20"/>
                <w:color w:val="auto"/>
              </w:rPr>
            </w:pPr>
            <w:r>
              <w:rPr>
                <w:rFonts w:ascii="Times New Roman" w:cs="Times New Roman" w:eastAsia="Times New Roman" w:hAnsi="Times New Roman"/>
                <w:sz w:val="20"/>
                <w:szCs w:val="20"/>
                <w:color w:val="auto"/>
                <w:w w:val="99"/>
              </w:rPr>
              <w:t>Section 7.03</w:t>
            </w:r>
          </w:p>
        </w:tc>
        <w:tc>
          <w:tcPr>
            <w:tcW w:w="1240" w:type="dxa"/>
            <w:vAlign w:val="bottom"/>
            <w:gridSpan w:val="3"/>
          </w:tcPr>
          <w:p>
            <w:pPr>
              <w:ind w:left="160"/>
              <w:spacing w:after="0" w:line="223" w:lineRule="exact"/>
              <w:rPr>
                <w:sz w:val="20"/>
                <w:szCs w:val="20"/>
                <w:color w:val="auto"/>
              </w:rPr>
            </w:pPr>
            <w:r>
              <w:rPr>
                <w:rFonts w:ascii="Times New Roman" w:cs="Times New Roman" w:eastAsia="Times New Roman" w:hAnsi="Times New Roman"/>
                <w:sz w:val="20"/>
                <w:szCs w:val="20"/>
                <w:color w:val="auto"/>
                <w:w w:val="97"/>
              </w:rPr>
              <w:t>Right to Cure</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gridSpan w:val="6"/>
          </w:tcPr>
          <w:p>
            <w:pPr>
              <w:jc w:val="right"/>
              <w:spacing w:after="0" w:line="223" w:lineRule="exact"/>
              <w:rPr>
                <w:sz w:val="20"/>
                <w:szCs w:val="20"/>
                <w:color w:val="auto"/>
              </w:rPr>
            </w:pPr>
            <w:r>
              <w:rPr>
                <w:rFonts w:ascii="Times New Roman" w:cs="Times New Roman" w:eastAsia="Times New Roman" w:hAnsi="Times New Roman"/>
                <w:sz w:val="20"/>
                <w:szCs w:val="20"/>
                <w:color w:val="FF0000"/>
                <w:strike w:val="1"/>
              </w:rPr>
              <w:t>152</w:t>
            </w:r>
          </w:p>
        </w:tc>
        <w:tc>
          <w:tcPr>
            <w:tcW w:w="280" w:type="dxa"/>
            <w:vAlign w:val="bottom"/>
            <w:tcBorders>
              <w:bottom w:val="single" w:sz="8" w:color="0000FF"/>
            </w:tcBorders>
            <w:gridSpan w:val="10"/>
          </w:tcPr>
          <w:p>
            <w:pPr>
              <w:spacing w:after="0" w:line="223" w:lineRule="exact"/>
              <w:rPr>
                <w:sz w:val="20"/>
                <w:szCs w:val="20"/>
                <w:color w:val="auto"/>
              </w:rPr>
            </w:pPr>
            <w:r>
              <w:rPr>
                <w:rFonts w:ascii="Times New Roman" w:cs="Times New Roman" w:eastAsia="Times New Roman" w:hAnsi="Times New Roman"/>
                <w:sz w:val="20"/>
                <w:szCs w:val="20"/>
                <w:b w:val="1"/>
                <w:bCs w:val="1"/>
                <w:color w:val="0000FF"/>
                <w:w w:val="86"/>
              </w:rPr>
              <w:t>155</w:t>
            </w:r>
          </w:p>
        </w:tc>
        <w:tc>
          <w:tcPr>
            <w:tcW w:w="120" w:type="dxa"/>
            <w:vAlign w:val="bottom"/>
            <w:tcBorders>
              <w:bottom w:val="single" w:sz="8" w:color="0000FF"/>
            </w:tcBorders>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3"/>
        </w:trPr>
        <w:tc>
          <w:tcPr>
            <w:tcW w:w="226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ARTICLE VIII The Agents</w:t>
            </w:r>
          </w:p>
        </w:tc>
        <w:tc>
          <w:tcPr>
            <w:tcW w:w="120" w:type="dxa"/>
            <w:vAlign w:val="bottom"/>
          </w:tcPr>
          <w:p>
            <w:pPr>
              <w:spacing w:after="0"/>
              <w:rPr>
                <w:sz w:val="24"/>
                <w:szCs w:val="24"/>
                <w:color w:val="auto"/>
              </w:rPr>
            </w:pPr>
          </w:p>
        </w:tc>
        <w:tc>
          <w:tcPr>
            <w:tcW w:w="30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FF0000"/>
                <w:strike w:val="1"/>
                <w:w w:val="93"/>
              </w:rPr>
              <w:t>153</w:t>
            </w:r>
          </w:p>
        </w:tc>
        <w:tc>
          <w:tcPr>
            <w:tcW w:w="300" w:type="dxa"/>
            <w:vAlign w:val="bottom"/>
            <w:tcBorders>
              <w:bottom w:val="single" w:sz="8" w:color="0000FF"/>
            </w:tcBorders>
            <w:gridSpan w:val="9"/>
          </w:tcPr>
          <w:p>
            <w:pPr>
              <w:jc w:val="right"/>
              <w:spacing w:after="0"/>
              <w:rPr>
                <w:sz w:val="20"/>
                <w:szCs w:val="20"/>
                <w:color w:val="auto"/>
              </w:rPr>
            </w:pPr>
            <w:r>
              <w:rPr>
                <w:rFonts w:ascii="Times New Roman" w:cs="Times New Roman" w:eastAsia="Times New Roman" w:hAnsi="Times New Roman"/>
                <w:sz w:val="20"/>
                <w:szCs w:val="20"/>
                <w:b w:val="1"/>
                <w:bCs w:val="1"/>
                <w:color w:val="0000FF"/>
                <w:w w:val="93"/>
              </w:rPr>
              <w:t>155</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020" w:type="dxa"/>
            <w:vAlign w:val="bottom"/>
          </w:tcPr>
          <w:p>
            <w:pPr>
              <w:spacing w:after="0"/>
              <w:rPr>
                <w:sz w:val="20"/>
                <w:szCs w:val="20"/>
                <w:color w:val="auto"/>
              </w:rPr>
            </w:pPr>
            <w:r>
              <w:rPr>
                <w:rFonts w:ascii="Times New Roman" w:cs="Times New Roman" w:eastAsia="Times New Roman" w:hAnsi="Times New Roman"/>
                <w:sz w:val="20"/>
                <w:szCs w:val="20"/>
                <w:color w:val="auto"/>
                <w:w w:val="99"/>
              </w:rPr>
              <w:t>Section 8.01</w:t>
            </w:r>
          </w:p>
        </w:tc>
        <w:tc>
          <w:tcPr>
            <w:tcW w:w="124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rPr>
              <w:t>Appointment</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FF0000"/>
                <w:strike w:val="1"/>
                <w:w w:val="93"/>
              </w:rPr>
              <w:t>153</w:t>
            </w:r>
          </w:p>
        </w:tc>
        <w:tc>
          <w:tcPr>
            <w:tcW w:w="300" w:type="dxa"/>
            <w:vAlign w:val="bottom"/>
            <w:tcBorders>
              <w:bottom w:val="single" w:sz="8" w:color="0000FF"/>
            </w:tcBorders>
            <w:gridSpan w:val="10"/>
          </w:tcPr>
          <w:p>
            <w:pPr>
              <w:jc w:val="right"/>
              <w:spacing w:after="0"/>
              <w:rPr>
                <w:sz w:val="20"/>
                <w:szCs w:val="20"/>
                <w:color w:val="auto"/>
              </w:rPr>
            </w:pPr>
            <w:r>
              <w:rPr>
                <w:rFonts w:ascii="Times New Roman" w:cs="Times New Roman" w:eastAsia="Times New Roman" w:hAnsi="Times New Roman"/>
                <w:sz w:val="20"/>
                <w:szCs w:val="20"/>
                <w:b w:val="1"/>
                <w:bCs w:val="1"/>
                <w:color w:val="0000FF"/>
                <w:w w:val="93"/>
              </w:rPr>
              <w:t>155</w:t>
            </w:r>
          </w:p>
        </w:tc>
        <w:tc>
          <w:tcPr>
            <w:tcW w:w="20" w:type="dxa"/>
            <w:vAlign w:val="bottom"/>
            <w:tcBorders>
              <w:bottom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gridSpan w:val="5"/>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0000FF"/>
                <w:w w:val="79"/>
              </w:rPr>
              <w:t>156</w:t>
            </w:r>
          </w:p>
        </w:tc>
        <w:tc>
          <w:tcPr>
            <w:tcW w:w="20" w:type="dxa"/>
            <w:vAlign w:val="bottom"/>
            <w:vMerge w:val="restart"/>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1020" w:type="dxa"/>
            <w:vAlign w:val="bottom"/>
          </w:tcPr>
          <w:p>
            <w:pPr>
              <w:spacing w:after="0"/>
              <w:rPr>
                <w:sz w:val="20"/>
                <w:szCs w:val="20"/>
                <w:color w:val="auto"/>
              </w:rPr>
            </w:pPr>
            <w:r>
              <w:rPr>
                <w:rFonts w:ascii="Times New Roman" w:cs="Times New Roman" w:eastAsia="Times New Roman" w:hAnsi="Times New Roman"/>
                <w:sz w:val="20"/>
                <w:szCs w:val="20"/>
                <w:color w:val="auto"/>
                <w:w w:val="99"/>
              </w:rPr>
              <w:t>Section 8.02</w:t>
            </w:r>
          </w:p>
        </w:tc>
        <w:tc>
          <w:tcPr>
            <w:tcW w:w="1900" w:type="dxa"/>
            <w:vAlign w:val="bottom"/>
            <w:gridSpan w:val="16"/>
          </w:tcPr>
          <w:p>
            <w:pPr>
              <w:ind w:left="160"/>
              <w:spacing w:after="0"/>
              <w:rPr>
                <w:sz w:val="20"/>
                <w:szCs w:val="20"/>
                <w:color w:val="auto"/>
              </w:rPr>
            </w:pPr>
            <w:r>
              <w:rPr>
                <w:rFonts w:ascii="Times New Roman" w:cs="Times New Roman" w:eastAsia="Times New Roman" w:hAnsi="Times New Roman"/>
                <w:sz w:val="20"/>
                <w:szCs w:val="20"/>
                <w:color w:val="auto"/>
              </w:rPr>
              <w:t>Delegation of Duties</w:t>
            </w:r>
          </w:p>
        </w:tc>
        <w:tc>
          <w:tcPr>
            <w:tcW w:w="40" w:type="dxa"/>
            <w:vAlign w:val="bottom"/>
          </w:tcPr>
          <w:p>
            <w:pPr>
              <w:spacing w:after="0"/>
              <w:rPr>
                <w:sz w:val="20"/>
                <w:szCs w:val="20"/>
                <w:color w:val="auto"/>
              </w:rPr>
            </w:pPr>
          </w:p>
        </w:tc>
        <w:tc>
          <w:tcPr>
            <w:tcW w:w="40" w:type="dxa"/>
            <w:vAlign w:val="bottom"/>
            <w:gridSpan w:val="2"/>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FF0000"/>
                <w:strike w:val="1"/>
                <w:w w:val="93"/>
              </w:rPr>
              <w:t>153</w:t>
            </w:r>
          </w:p>
        </w:tc>
        <w:tc>
          <w:tcPr>
            <w:tcW w:w="260" w:type="dxa"/>
            <w:vAlign w:val="bottom"/>
            <w:tcBorders>
              <w:bottom w:val="single" w:sz="8" w:color="0000FF"/>
            </w:tcBorders>
            <w:gridSpan w:val="5"/>
            <w:vMerge w:val="continue"/>
          </w:tcPr>
          <w:p>
            <w:pPr>
              <w:spacing w:after="0"/>
              <w:rPr>
                <w:sz w:val="20"/>
                <w:szCs w:val="20"/>
                <w:color w:val="auto"/>
              </w:rPr>
            </w:pPr>
          </w:p>
        </w:tc>
        <w:tc>
          <w:tcPr>
            <w:tcW w:w="2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020" w:type="dxa"/>
            <w:vAlign w:val="bottom"/>
          </w:tcPr>
          <w:p>
            <w:pPr>
              <w:spacing w:after="0"/>
              <w:rPr>
                <w:sz w:val="20"/>
                <w:szCs w:val="20"/>
                <w:color w:val="auto"/>
              </w:rPr>
            </w:pPr>
            <w:r>
              <w:rPr>
                <w:rFonts w:ascii="Times New Roman" w:cs="Times New Roman" w:eastAsia="Times New Roman" w:hAnsi="Times New Roman"/>
                <w:sz w:val="20"/>
                <w:szCs w:val="20"/>
                <w:color w:val="auto"/>
                <w:w w:val="99"/>
              </w:rPr>
              <w:t>Section 8.03</w:t>
            </w:r>
          </w:p>
        </w:tc>
        <w:tc>
          <w:tcPr>
            <w:tcW w:w="2140" w:type="dxa"/>
            <w:vAlign w:val="bottom"/>
            <w:gridSpan w:val="22"/>
          </w:tcPr>
          <w:p>
            <w:pPr>
              <w:ind w:left="160"/>
              <w:spacing w:after="0"/>
              <w:rPr>
                <w:sz w:val="20"/>
                <w:szCs w:val="20"/>
                <w:color w:val="auto"/>
              </w:rPr>
            </w:pPr>
            <w:r>
              <w:rPr>
                <w:rFonts w:ascii="Times New Roman" w:cs="Times New Roman" w:eastAsia="Times New Roman" w:hAnsi="Times New Roman"/>
                <w:sz w:val="20"/>
                <w:szCs w:val="20"/>
                <w:color w:val="auto"/>
              </w:rPr>
              <w:t>Exculpatory Provisions</w:t>
            </w:r>
          </w:p>
        </w:tc>
        <w:tc>
          <w:tcPr>
            <w:tcW w:w="200" w:type="dxa"/>
            <w:vAlign w:val="bottom"/>
          </w:tcPr>
          <w:p>
            <w:pPr>
              <w:spacing w:after="0"/>
              <w:rPr>
                <w:sz w:val="20"/>
                <w:szCs w:val="20"/>
                <w:color w:val="auto"/>
              </w:rPr>
            </w:pPr>
          </w:p>
        </w:tc>
        <w:tc>
          <w:tcPr>
            <w:tcW w:w="16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FF0000"/>
                <w:strike w:val="1"/>
                <w:w w:val="71"/>
              </w:rPr>
              <w:t>154</w:t>
            </w:r>
          </w:p>
        </w:tc>
        <w:tc>
          <w:tcPr>
            <w:tcW w:w="300" w:type="dxa"/>
            <w:vAlign w:val="bottom"/>
            <w:tcBorders>
              <w:bottom w:val="single" w:sz="8" w:color="0000FF"/>
            </w:tcBorders>
            <w:gridSpan w:val="8"/>
          </w:tcPr>
          <w:p>
            <w:pPr>
              <w:jc w:val="right"/>
              <w:spacing w:after="0"/>
              <w:rPr>
                <w:sz w:val="20"/>
                <w:szCs w:val="20"/>
                <w:color w:val="auto"/>
              </w:rPr>
            </w:pPr>
            <w:r>
              <w:rPr>
                <w:rFonts w:ascii="Times New Roman" w:cs="Times New Roman" w:eastAsia="Times New Roman" w:hAnsi="Times New Roman"/>
                <w:sz w:val="20"/>
                <w:szCs w:val="20"/>
                <w:b w:val="1"/>
                <w:bCs w:val="1"/>
                <w:color w:val="0000FF"/>
                <w:w w:val="93"/>
              </w:rPr>
              <w:t>157</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020" w:type="dxa"/>
            <w:vAlign w:val="bottom"/>
          </w:tcPr>
          <w:p>
            <w:pPr>
              <w:spacing w:after="0" w:line="223" w:lineRule="exact"/>
              <w:rPr>
                <w:sz w:val="20"/>
                <w:szCs w:val="20"/>
                <w:color w:val="auto"/>
              </w:rPr>
            </w:pPr>
            <w:r>
              <w:rPr>
                <w:rFonts w:ascii="Times New Roman" w:cs="Times New Roman" w:eastAsia="Times New Roman" w:hAnsi="Times New Roman"/>
                <w:sz w:val="20"/>
                <w:szCs w:val="20"/>
                <w:color w:val="auto"/>
                <w:w w:val="99"/>
              </w:rPr>
              <w:t>Section 8.04</w:t>
            </w:r>
          </w:p>
        </w:tc>
        <w:tc>
          <w:tcPr>
            <w:tcW w:w="1900" w:type="dxa"/>
            <w:vAlign w:val="bottom"/>
            <w:gridSpan w:val="16"/>
          </w:tcPr>
          <w:p>
            <w:pPr>
              <w:ind w:left="160"/>
              <w:spacing w:after="0" w:line="223" w:lineRule="exact"/>
              <w:rPr>
                <w:sz w:val="20"/>
                <w:szCs w:val="20"/>
                <w:color w:val="auto"/>
              </w:rPr>
            </w:pPr>
            <w:r>
              <w:rPr>
                <w:rFonts w:ascii="Times New Roman" w:cs="Times New Roman" w:eastAsia="Times New Roman" w:hAnsi="Times New Roman"/>
                <w:sz w:val="20"/>
                <w:szCs w:val="20"/>
                <w:color w:val="auto"/>
              </w:rPr>
              <w:t>Reliance by Agents</w:t>
            </w:r>
          </w:p>
        </w:tc>
        <w:tc>
          <w:tcPr>
            <w:tcW w:w="440" w:type="dxa"/>
            <w:vAlign w:val="bottom"/>
            <w:gridSpan w:val="7"/>
          </w:tcPr>
          <w:p>
            <w:pPr>
              <w:spacing w:after="0" w:line="223" w:lineRule="exact"/>
              <w:rPr>
                <w:sz w:val="20"/>
                <w:szCs w:val="20"/>
                <w:color w:val="auto"/>
              </w:rPr>
            </w:pPr>
            <w:r>
              <w:rPr>
                <w:rFonts w:ascii="Times New Roman" w:cs="Times New Roman" w:eastAsia="Times New Roman" w:hAnsi="Times New Roman"/>
                <w:sz w:val="20"/>
                <w:szCs w:val="20"/>
                <w:color w:val="FF0000"/>
                <w:strike w:val="1"/>
              </w:rPr>
              <w:t>155</w:t>
            </w:r>
          </w:p>
        </w:tc>
        <w:tc>
          <w:tcPr>
            <w:tcW w:w="160" w:type="dxa"/>
            <w:vAlign w:val="bottom"/>
            <w:tcBorders>
              <w:bottom w:val="single" w:sz="8" w:color="0000FF"/>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0000FF"/>
                <w:w w:val="71"/>
              </w:rPr>
              <w:t>158</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020" w:type="dxa"/>
            <w:vAlign w:val="bottom"/>
          </w:tcPr>
          <w:p>
            <w:pPr>
              <w:spacing w:after="0"/>
              <w:rPr>
                <w:sz w:val="20"/>
                <w:szCs w:val="20"/>
                <w:color w:val="auto"/>
              </w:rPr>
            </w:pPr>
            <w:r>
              <w:rPr>
                <w:rFonts w:ascii="Times New Roman" w:cs="Times New Roman" w:eastAsia="Times New Roman" w:hAnsi="Times New Roman"/>
                <w:sz w:val="20"/>
                <w:szCs w:val="20"/>
                <w:color w:val="auto"/>
                <w:w w:val="99"/>
              </w:rPr>
              <w:t>Section 8.05</w:t>
            </w:r>
          </w:p>
        </w:tc>
        <w:tc>
          <w:tcPr>
            <w:tcW w:w="1600" w:type="dxa"/>
            <w:vAlign w:val="bottom"/>
            <w:gridSpan w:val="7"/>
          </w:tcPr>
          <w:p>
            <w:pPr>
              <w:ind w:left="160"/>
              <w:spacing w:after="0"/>
              <w:rPr>
                <w:sz w:val="20"/>
                <w:szCs w:val="20"/>
                <w:color w:val="auto"/>
              </w:rPr>
            </w:pPr>
            <w:r>
              <w:rPr>
                <w:rFonts w:ascii="Times New Roman" w:cs="Times New Roman" w:eastAsia="Times New Roman" w:hAnsi="Times New Roman"/>
                <w:sz w:val="20"/>
                <w:szCs w:val="20"/>
                <w:color w:val="auto"/>
              </w:rPr>
              <w:t>Notice of Default</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gridSpan w:val="11"/>
          </w:tcPr>
          <w:p>
            <w:pPr>
              <w:spacing w:after="0"/>
              <w:rPr>
                <w:sz w:val="20"/>
                <w:szCs w:val="20"/>
                <w:color w:val="auto"/>
              </w:rPr>
            </w:pPr>
            <w:r>
              <w:rPr>
                <w:rFonts w:ascii="Times New Roman" w:cs="Times New Roman" w:eastAsia="Times New Roman" w:hAnsi="Times New Roman"/>
                <w:sz w:val="20"/>
                <w:szCs w:val="20"/>
                <w:color w:val="FF0000"/>
                <w:strike w:val="1"/>
              </w:rPr>
              <w:t>156</w:t>
            </w:r>
          </w:p>
        </w:tc>
        <w:tc>
          <w:tcPr>
            <w:tcW w:w="2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6"/>
                <w:szCs w:val="16"/>
                <w:b w:val="1"/>
                <w:bCs w:val="1"/>
                <w:color w:val="0000FF"/>
                <w:w w:val="74"/>
              </w:rPr>
              <w:t>159</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gridSpan w:val="4"/>
            <w:vMerge w:val="restart"/>
          </w:tcPr>
          <w:p>
            <w:pPr>
              <w:jc w:val="right"/>
              <w:ind w:right="161"/>
              <w:spacing w:after="0"/>
              <w:rPr>
                <w:sz w:val="20"/>
                <w:szCs w:val="20"/>
                <w:color w:val="auto"/>
              </w:rPr>
            </w:pPr>
            <w:r>
              <w:rPr>
                <w:rFonts w:ascii="Times New Roman" w:cs="Times New Roman" w:eastAsia="Times New Roman" w:hAnsi="Times New Roman"/>
                <w:sz w:val="20"/>
                <w:szCs w:val="20"/>
                <w:b w:val="1"/>
                <w:bCs w:val="1"/>
                <w:color w:val="0000FF"/>
                <w:w w:val="86"/>
              </w:rPr>
              <w:t>159</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020" w:type="dxa"/>
            <w:vAlign w:val="bottom"/>
          </w:tcPr>
          <w:p>
            <w:pPr>
              <w:spacing w:after="0" w:line="223" w:lineRule="exact"/>
              <w:rPr>
                <w:sz w:val="20"/>
                <w:szCs w:val="20"/>
                <w:color w:val="auto"/>
              </w:rPr>
            </w:pPr>
            <w:r>
              <w:rPr>
                <w:rFonts w:ascii="Times New Roman" w:cs="Times New Roman" w:eastAsia="Times New Roman" w:hAnsi="Times New Roman"/>
                <w:sz w:val="20"/>
                <w:szCs w:val="20"/>
                <w:color w:val="auto"/>
                <w:w w:val="99"/>
              </w:rPr>
              <w:t>Section 8.06</w:t>
            </w:r>
          </w:p>
        </w:tc>
        <w:tc>
          <w:tcPr>
            <w:tcW w:w="3660" w:type="dxa"/>
            <w:vAlign w:val="bottom"/>
            <w:gridSpan w:val="46"/>
          </w:tcPr>
          <w:p>
            <w:pPr>
              <w:ind w:left="160"/>
              <w:spacing w:after="0" w:line="223" w:lineRule="exact"/>
              <w:rPr>
                <w:sz w:val="20"/>
                <w:szCs w:val="20"/>
                <w:color w:val="auto"/>
              </w:rPr>
            </w:pPr>
            <w:r>
              <w:rPr>
                <w:rFonts w:ascii="Times New Roman" w:cs="Times New Roman" w:eastAsia="Times New Roman" w:hAnsi="Times New Roman"/>
                <w:sz w:val="20"/>
                <w:szCs w:val="20"/>
                <w:color w:val="auto"/>
                <w:w w:val="98"/>
              </w:rPr>
              <w:t>Non-Reliance on Agents and Other Lenders</w:t>
            </w:r>
          </w:p>
        </w:tc>
        <w:tc>
          <w:tcPr>
            <w:tcW w:w="480" w:type="dxa"/>
            <w:vAlign w:val="bottom"/>
            <w:gridSpan w:val="3"/>
          </w:tcPr>
          <w:p>
            <w:pPr>
              <w:jc w:val="right"/>
              <w:spacing w:after="0" w:line="223" w:lineRule="exact"/>
              <w:rPr>
                <w:sz w:val="20"/>
                <w:szCs w:val="20"/>
                <w:color w:val="auto"/>
              </w:rPr>
            </w:pPr>
            <w:r>
              <w:rPr>
                <w:rFonts w:ascii="Times New Roman" w:cs="Times New Roman" w:eastAsia="Times New Roman" w:hAnsi="Times New Roman"/>
                <w:sz w:val="20"/>
                <w:szCs w:val="20"/>
                <w:color w:val="FF0000"/>
                <w:strike w:val="1"/>
              </w:rPr>
              <w:t>156</w:t>
            </w:r>
          </w:p>
        </w:tc>
        <w:tc>
          <w:tcPr>
            <w:tcW w:w="540" w:type="dxa"/>
            <w:vAlign w:val="bottom"/>
            <w:gridSpan w:val="4"/>
            <w:vMerge w:val="continue"/>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1020" w:type="dxa"/>
            <w:vAlign w:val="bottom"/>
          </w:tcPr>
          <w:p>
            <w:pPr>
              <w:spacing w:after="0"/>
              <w:rPr>
                <w:sz w:val="20"/>
                <w:szCs w:val="20"/>
                <w:color w:val="auto"/>
              </w:rPr>
            </w:pPr>
            <w:r>
              <w:rPr>
                <w:rFonts w:ascii="Times New Roman" w:cs="Times New Roman" w:eastAsia="Times New Roman" w:hAnsi="Times New Roman"/>
                <w:sz w:val="20"/>
                <w:szCs w:val="20"/>
                <w:color w:val="auto"/>
                <w:w w:val="99"/>
              </w:rPr>
              <w:t>Section 8.07</w:t>
            </w:r>
          </w:p>
        </w:tc>
        <w:tc>
          <w:tcPr>
            <w:tcW w:w="1600" w:type="dxa"/>
            <w:vAlign w:val="bottom"/>
            <w:gridSpan w:val="7"/>
          </w:tcPr>
          <w:p>
            <w:pPr>
              <w:ind w:left="160"/>
              <w:spacing w:after="0"/>
              <w:rPr>
                <w:sz w:val="20"/>
                <w:szCs w:val="20"/>
                <w:color w:val="auto"/>
              </w:rPr>
            </w:pPr>
            <w:r>
              <w:rPr>
                <w:rFonts w:ascii="Times New Roman" w:cs="Times New Roman" w:eastAsia="Times New Roman" w:hAnsi="Times New Roman"/>
                <w:sz w:val="20"/>
                <w:szCs w:val="20"/>
                <w:color w:val="auto"/>
              </w:rPr>
              <w:t>Indemnification</w:t>
            </w:r>
          </w:p>
        </w:tc>
        <w:tc>
          <w:tcPr>
            <w:tcW w:w="20" w:type="dxa"/>
            <w:vAlign w:val="bottom"/>
          </w:tcPr>
          <w:p>
            <w:pPr>
              <w:spacing w:after="0"/>
              <w:rPr>
                <w:sz w:val="20"/>
                <w:szCs w:val="20"/>
                <w:color w:val="auto"/>
              </w:rPr>
            </w:pPr>
          </w:p>
        </w:tc>
        <w:tc>
          <w:tcPr>
            <w:tcW w:w="320" w:type="dxa"/>
            <w:vAlign w:val="bottom"/>
            <w:gridSpan w:val="9"/>
          </w:tcPr>
          <w:p>
            <w:pPr>
              <w:spacing w:after="0"/>
              <w:rPr>
                <w:sz w:val="20"/>
                <w:szCs w:val="20"/>
                <w:color w:val="auto"/>
              </w:rPr>
            </w:pPr>
            <w:r>
              <w:rPr>
                <w:rFonts w:ascii="Times New Roman" w:cs="Times New Roman" w:eastAsia="Times New Roman" w:hAnsi="Times New Roman"/>
                <w:sz w:val="20"/>
                <w:szCs w:val="20"/>
                <w:color w:val="FF0000"/>
                <w:strike w:val="1"/>
                <w:w w:val="93"/>
              </w:rPr>
              <w:t>157</w:t>
            </w:r>
          </w:p>
        </w:tc>
        <w:tc>
          <w:tcPr>
            <w:tcW w:w="400" w:type="dxa"/>
            <w:vAlign w:val="bottom"/>
            <w:tcBorders>
              <w:bottom w:val="single" w:sz="8" w:color="0000FF"/>
            </w:tcBorders>
            <w:gridSpan w:val="6"/>
          </w:tcPr>
          <w:p>
            <w:pPr>
              <w:jc w:val="right"/>
              <w:ind w:right="36"/>
              <w:spacing w:after="0"/>
              <w:rPr>
                <w:sz w:val="20"/>
                <w:szCs w:val="20"/>
                <w:color w:val="auto"/>
              </w:rPr>
            </w:pPr>
            <w:r>
              <w:rPr>
                <w:rFonts w:ascii="Times New Roman" w:cs="Times New Roman" w:eastAsia="Times New Roman" w:hAnsi="Times New Roman"/>
                <w:sz w:val="20"/>
                <w:szCs w:val="20"/>
                <w:b w:val="1"/>
                <w:bCs w:val="1"/>
                <w:color w:val="0000FF"/>
                <w:w w:val="86"/>
              </w:rPr>
              <w:t>160</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gridSpan w:val="3"/>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0000FF"/>
                <w:w w:val="93"/>
              </w:rPr>
              <w:t>160</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1020" w:type="dxa"/>
            <w:vAlign w:val="bottom"/>
          </w:tcPr>
          <w:p>
            <w:pPr>
              <w:spacing w:after="0"/>
              <w:rPr>
                <w:sz w:val="20"/>
                <w:szCs w:val="20"/>
                <w:color w:val="auto"/>
              </w:rPr>
            </w:pPr>
            <w:r>
              <w:rPr>
                <w:rFonts w:ascii="Times New Roman" w:cs="Times New Roman" w:eastAsia="Times New Roman" w:hAnsi="Times New Roman"/>
                <w:sz w:val="20"/>
                <w:szCs w:val="20"/>
                <w:color w:val="auto"/>
                <w:w w:val="99"/>
              </w:rPr>
              <w:t>Section 8.08</w:t>
            </w:r>
          </w:p>
        </w:tc>
        <w:tc>
          <w:tcPr>
            <w:tcW w:w="2840" w:type="dxa"/>
            <w:vAlign w:val="bottom"/>
            <w:gridSpan w:val="35"/>
          </w:tcPr>
          <w:p>
            <w:pPr>
              <w:ind w:left="160"/>
              <w:spacing w:after="0"/>
              <w:rPr>
                <w:sz w:val="20"/>
                <w:szCs w:val="20"/>
                <w:color w:val="auto"/>
              </w:rPr>
            </w:pPr>
            <w:r>
              <w:rPr>
                <w:rFonts w:ascii="Times New Roman" w:cs="Times New Roman" w:eastAsia="Times New Roman" w:hAnsi="Times New Roman"/>
                <w:sz w:val="20"/>
                <w:szCs w:val="20"/>
                <w:color w:val="auto"/>
              </w:rPr>
              <w:t>Agent in Its Individual Capacity</w:t>
            </w:r>
          </w:p>
        </w:tc>
        <w:tc>
          <w:tcPr>
            <w:tcW w:w="40" w:type="dxa"/>
            <w:vAlign w:val="bottom"/>
          </w:tcPr>
          <w:p>
            <w:pPr>
              <w:spacing w:after="0"/>
              <w:rPr>
                <w:sz w:val="20"/>
                <w:szCs w:val="20"/>
                <w:color w:val="auto"/>
              </w:rPr>
            </w:pPr>
          </w:p>
        </w:tc>
        <w:tc>
          <w:tcPr>
            <w:tcW w:w="32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FF0000"/>
                <w:strike w:val="1"/>
                <w:w w:val="99"/>
              </w:rPr>
              <w:t>157</w:t>
            </w:r>
          </w:p>
        </w:tc>
        <w:tc>
          <w:tcPr>
            <w:tcW w:w="300" w:type="dxa"/>
            <w:vAlign w:val="bottom"/>
            <w:tcBorders>
              <w:bottom w:val="single" w:sz="8" w:color="0000FF"/>
            </w:tcBorders>
            <w:gridSpan w:val="3"/>
            <w:vMerge w:val="continue"/>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020" w:type="dxa"/>
            <w:vAlign w:val="bottom"/>
          </w:tcPr>
          <w:p>
            <w:pPr>
              <w:spacing w:after="0" w:line="223" w:lineRule="exact"/>
              <w:rPr>
                <w:sz w:val="20"/>
                <w:szCs w:val="20"/>
                <w:color w:val="auto"/>
              </w:rPr>
            </w:pPr>
            <w:r>
              <w:rPr>
                <w:rFonts w:ascii="Times New Roman" w:cs="Times New Roman" w:eastAsia="Times New Roman" w:hAnsi="Times New Roman"/>
                <w:sz w:val="20"/>
                <w:szCs w:val="20"/>
                <w:color w:val="auto"/>
                <w:w w:val="99"/>
              </w:rPr>
              <w:t>Section 8.09</w:t>
            </w:r>
          </w:p>
        </w:tc>
        <w:tc>
          <w:tcPr>
            <w:tcW w:w="1600" w:type="dxa"/>
            <w:vAlign w:val="bottom"/>
            <w:gridSpan w:val="7"/>
          </w:tcPr>
          <w:p>
            <w:pPr>
              <w:ind w:left="160"/>
              <w:spacing w:after="0" w:line="223" w:lineRule="exact"/>
              <w:rPr>
                <w:sz w:val="20"/>
                <w:szCs w:val="20"/>
                <w:color w:val="auto"/>
              </w:rPr>
            </w:pPr>
            <w:r>
              <w:rPr>
                <w:rFonts w:ascii="Times New Roman" w:cs="Times New Roman" w:eastAsia="Times New Roman" w:hAnsi="Times New Roman"/>
                <w:sz w:val="20"/>
                <w:szCs w:val="20"/>
                <w:color w:val="auto"/>
              </w:rPr>
              <w:t>Successor Agent</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gridSpan w:val="10"/>
          </w:tcPr>
          <w:p>
            <w:pPr>
              <w:jc w:val="right"/>
              <w:spacing w:after="0" w:line="223" w:lineRule="exact"/>
              <w:rPr>
                <w:sz w:val="20"/>
                <w:szCs w:val="20"/>
                <w:color w:val="auto"/>
              </w:rPr>
            </w:pPr>
            <w:r>
              <w:rPr>
                <w:rFonts w:ascii="Times New Roman" w:cs="Times New Roman" w:eastAsia="Times New Roman" w:hAnsi="Times New Roman"/>
                <w:sz w:val="20"/>
                <w:szCs w:val="20"/>
                <w:color w:val="FF0000"/>
                <w:strike w:val="1"/>
                <w:w w:val="99"/>
              </w:rPr>
              <w:t>157</w:t>
            </w:r>
          </w:p>
        </w:tc>
        <w:tc>
          <w:tcPr>
            <w:tcW w:w="360" w:type="dxa"/>
            <w:vAlign w:val="bottom"/>
            <w:tcBorders>
              <w:bottom w:val="single" w:sz="8" w:color="0000FF"/>
            </w:tcBorders>
            <w:gridSpan w:val="4"/>
          </w:tcPr>
          <w:p>
            <w:pPr>
              <w:jc w:val="right"/>
              <w:spacing w:after="0" w:line="223" w:lineRule="exact"/>
              <w:rPr>
                <w:sz w:val="20"/>
                <w:szCs w:val="20"/>
                <w:color w:val="auto"/>
              </w:rPr>
            </w:pPr>
            <w:r>
              <w:rPr>
                <w:rFonts w:ascii="Times New Roman" w:cs="Times New Roman" w:eastAsia="Times New Roman" w:hAnsi="Times New Roman"/>
                <w:sz w:val="20"/>
                <w:szCs w:val="20"/>
                <w:b w:val="1"/>
                <w:bCs w:val="1"/>
                <w:color w:val="0000FF"/>
                <w:w w:val="93"/>
              </w:rPr>
              <w:t>160</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20"/>
                <w:szCs w:val="20"/>
                <w:b w:val="1"/>
                <w:bCs w:val="1"/>
                <w:color w:val="0000FF"/>
                <w:w w:val="93"/>
              </w:rPr>
              <w:t>161</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1020" w:type="dxa"/>
            <w:vAlign w:val="bottom"/>
          </w:tcPr>
          <w:p>
            <w:pPr>
              <w:spacing w:after="0"/>
              <w:rPr>
                <w:sz w:val="20"/>
                <w:szCs w:val="20"/>
                <w:color w:val="auto"/>
              </w:rPr>
            </w:pPr>
            <w:r>
              <w:rPr>
                <w:rFonts w:ascii="Times New Roman" w:cs="Times New Roman" w:eastAsia="Times New Roman" w:hAnsi="Times New Roman"/>
                <w:sz w:val="20"/>
                <w:szCs w:val="20"/>
                <w:color w:val="auto"/>
                <w:w w:val="99"/>
              </w:rPr>
              <w:t>Section 8.10</w:t>
            </w:r>
          </w:p>
        </w:tc>
        <w:tc>
          <w:tcPr>
            <w:tcW w:w="6120" w:type="dxa"/>
            <w:vAlign w:val="bottom"/>
            <w:gridSpan w:val="58"/>
          </w:tcPr>
          <w:p>
            <w:pPr>
              <w:ind w:left="160"/>
              <w:spacing w:after="0"/>
              <w:rPr>
                <w:sz w:val="20"/>
                <w:szCs w:val="20"/>
                <w:color w:val="auto"/>
              </w:rPr>
            </w:pPr>
            <w:r>
              <w:rPr>
                <w:rFonts w:ascii="Times New Roman" w:cs="Times New Roman" w:eastAsia="Times New Roman" w:hAnsi="Times New Roman"/>
                <w:sz w:val="20"/>
                <w:szCs w:val="20"/>
                <w:color w:val="auto"/>
              </w:rPr>
              <w:t>Arrangers, Syndication Agents, Documentation Agents and Co-Manager</w:t>
            </w:r>
          </w:p>
        </w:tc>
        <w:tc>
          <w:tcPr>
            <w:tcW w:w="300" w:type="dxa"/>
            <w:vAlign w:val="bottom"/>
          </w:tcPr>
          <w:p>
            <w:pPr>
              <w:jc w:val="right"/>
              <w:spacing w:after="0"/>
              <w:rPr>
                <w:sz w:val="20"/>
                <w:szCs w:val="20"/>
                <w:color w:val="auto"/>
              </w:rPr>
            </w:pPr>
            <w:r>
              <w:rPr>
                <w:rFonts w:ascii="Times New Roman" w:cs="Times New Roman" w:eastAsia="Times New Roman" w:hAnsi="Times New Roman"/>
                <w:sz w:val="20"/>
                <w:szCs w:val="20"/>
                <w:color w:val="FF0000"/>
                <w:strike w:val="1"/>
                <w:w w:val="93"/>
              </w:rPr>
              <w:t>158</w:t>
            </w:r>
          </w:p>
        </w:tc>
        <w:tc>
          <w:tcPr>
            <w:tcW w:w="440" w:type="dxa"/>
            <w:vAlign w:val="bottom"/>
            <w:gridSpan w:val="2"/>
            <w:vMerge w:val="continue"/>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020" w:type="dxa"/>
            <w:vAlign w:val="bottom"/>
          </w:tcPr>
          <w:p>
            <w:pPr>
              <w:spacing w:after="0" w:line="223" w:lineRule="exact"/>
              <w:rPr>
                <w:sz w:val="20"/>
                <w:szCs w:val="20"/>
                <w:color w:val="auto"/>
              </w:rPr>
            </w:pPr>
            <w:r>
              <w:rPr>
                <w:rFonts w:ascii="Times New Roman" w:cs="Times New Roman" w:eastAsia="Times New Roman" w:hAnsi="Times New Roman"/>
                <w:sz w:val="20"/>
                <w:szCs w:val="20"/>
                <w:color w:val="auto"/>
                <w:w w:val="99"/>
              </w:rPr>
              <w:t>Section 8.11</w:t>
            </w:r>
          </w:p>
        </w:tc>
        <w:tc>
          <w:tcPr>
            <w:tcW w:w="3660" w:type="dxa"/>
            <w:vAlign w:val="bottom"/>
            <w:gridSpan w:val="46"/>
          </w:tcPr>
          <w:p>
            <w:pPr>
              <w:ind w:left="160"/>
              <w:spacing w:after="0" w:line="223" w:lineRule="exact"/>
              <w:rPr>
                <w:sz w:val="20"/>
                <w:szCs w:val="20"/>
                <w:color w:val="auto"/>
              </w:rPr>
            </w:pPr>
            <w:r>
              <w:rPr>
                <w:rFonts w:ascii="Times New Roman" w:cs="Times New Roman" w:eastAsia="Times New Roman" w:hAnsi="Times New Roman"/>
                <w:sz w:val="20"/>
                <w:szCs w:val="20"/>
                <w:color w:val="auto"/>
              </w:rPr>
              <w:t>Security Documents and Collateral Agent</w:t>
            </w:r>
          </w:p>
        </w:tc>
        <w:tc>
          <w:tcPr>
            <w:tcW w:w="30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FF0000"/>
                <w:strike w:val="1"/>
                <w:w w:val="93"/>
              </w:rPr>
              <w:t>158</w:t>
            </w:r>
          </w:p>
        </w:tc>
        <w:tc>
          <w:tcPr>
            <w:tcW w:w="300" w:type="dxa"/>
            <w:vAlign w:val="bottom"/>
            <w:tcBorders>
              <w:bottom w:val="single" w:sz="8" w:color="0000FF"/>
            </w:tcBorders>
            <w:gridSpan w:val="3"/>
          </w:tcPr>
          <w:p>
            <w:pPr>
              <w:jc w:val="right"/>
              <w:spacing w:after="0" w:line="223" w:lineRule="exact"/>
              <w:rPr>
                <w:sz w:val="20"/>
                <w:szCs w:val="20"/>
                <w:color w:val="auto"/>
              </w:rPr>
            </w:pPr>
            <w:r>
              <w:rPr>
                <w:rFonts w:ascii="Times New Roman" w:cs="Times New Roman" w:eastAsia="Times New Roman" w:hAnsi="Times New Roman"/>
                <w:sz w:val="20"/>
                <w:szCs w:val="20"/>
                <w:b w:val="1"/>
                <w:bCs w:val="1"/>
                <w:color w:val="0000FF"/>
                <w:w w:val="93"/>
              </w:rPr>
              <w:t>161</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0000FF"/>
                <w:w w:val="93"/>
              </w:rPr>
              <w:t>162</w:t>
            </w: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Borders>
              <w:top w:val="single" w:sz="8" w:color="0000FF"/>
            </w:tcBorders>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1020" w:type="dxa"/>
            <w:vAlign w:val="bottom"/>
          </w:tcPr>
          <w:p>
            <w:pPr>
              <w:spacing w:after="0"/>
              <w:rPr>
                <w:sz w:val="20"/>
                <w:szCs w:val="20"/>
                <w:color w:val="auto"/>
              </w:rPr>
            </w:pPr>
            <w:r>
              <w:rPr>
                <w:rFonts w:ascii="Times New Roman" w:cs="Times New Roman" w:eastAsia="Times New Roman" w:hAnsi="Times New Roman"/>
                <w:sz w:val="20"/>
                <w:szCs w:val="20"/>
                <w:color w:val="auto"/>
                <w:w w:val="99"/>
              </w:rPr>
              <w:t>Section 8.12</w:t>
            </w:r>
          </w:p>
        </w:tc>
        <w:tc>
          <w:tcPr>
            <w:tcW w:w="4680" w:type="dxa"/>
            <w:vAlign w:val="bottom"/>
            <w:gridSpan w:val="53"/>
          </w:tcPr>
          <w:p>
            <w:pPr>
              <w:ind w:left="160"/>
              <w:spacing w:after="0"/>
              <w:rPr>
                <w:sz w:val="20"/>
                <w:szCs w:val="20"/>
                <w:color w:val="auto"/>
              </w:rPr>
            </w:pPr>
            <w:r>
              <w:rPr>
                <w:rFonts w:ascii="Times New Roman" w:cs="Times New Roman" w:eastAsia="Times New Roman" w:hAnsi="Times New Roman"/>
                <w:sz w:val="20"/>
                <w:szCs w:val="20"/>
                <w:color w:val="auto"/>
              </w:rPr>
              <w:t>Right to Realize on Collateral and Enforce Guarantees</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FF0000"/>
                <w:strike w:val="1"/>
                <w:w w:val="86"/>
              </w:rPr>
              <w:t>159</w:t>
            </w:r>
          </w:p>
        </w:tc>
        <w:tc>
          <w:tcPr>
            <w:tcW w:w="300" w:type="dxa"/>
            <w:vAlign w:val="bottom"/>
            <w:tcBorders>
              <w:bottom w:val="single" w:sz="8" w:color="0000FF"/>
            </w:tcBorders>
            <w:gridSpan w:val="2"/>
            <w:vMerge w:val="continue"/>
          </w:tcPr>
          <w:p>
            <w:pPr>
              <w:spacing w:after="0"/>
              <w:rPr>
                <w:sz w:val="20"/>
                <w:szCs w:val="20"/>
                <w:color w:val="auto"/>
              </w:rPr>
            </w:pPr>
          </w:p>
        </w:tc>
        <w:tc>
          <w:tcPr>
            <w:tcW w:w="1600" w:type="dxa"/>
            <w:vAlign w:val="bottom"/>
            <w:gridSpan w:val="4"/>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020" w:type="dxa"/>
            <w:vAlign w:val="bottom"/>
          </w:tcPr>
          <w:p>
            <w:pPr>
              <w:spacing w:after="0" w:line="223" w:lineRule="exact"/>
              <w:rPr>
                <w:sz w:val="20"/>
                <w:szCs w:val="20"/>
                <w:color w:val="auto"/>
              </w:rPr>
            </w:pPr>
            <w:r>
              <w:rPr>
                <w:rFonts w:ascii="Times New Roman" w:cs="Times New Roman" w:eastAsia="Times New Roman" w:hAnsi="Times New Roman"/>
                <w:sz w:val="20"/>
                <w:szCs w:val="20"/>
                <w:color w:val="auto"/>
                <w:w w:val="99"/>
              </w:rPr>
              <w:t>Section 8.13</w:t>
            </w:r>
          </w:p>
        </w:tc>
        <w:tc>
          <w:tcPr>
            <w:tcW w:w="1600" w:type="dxa"/>
            <w:vAlign w:val="bottom"/>
            <w:gridSpan w:val="7"/>
          </w:tcPr>
          <w:p>
            <w:pPr>
              <w:ind w:left="160"/>
              <w:spacing w:after="0" w:line="223" w:lineRule="exact"/>
              <w:rPr>
                <w:sz w:val="20"/>
                <w:szCs w:val="20"/>
                <w:color w:val="auto"/>
              </w:rPr>
            </w:pPr>
            <w:r>
              <w:rPr>
                <w:rFonts w:ascii="Times New Roman" w:cs="Times New Roman" w:eastAsia="Times New Roman" w:hAnsi="Times New Roman"/>
                <w:sz w:val="20"/>
                <w:szCs w:val="20"/>
                <w:color w:val="auto"/>
              </w:rPr>
              <w:t>Withholding Tax</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gridSpan w:val="11"/>
          </w:tcPr>
          <w:p>
            <w:pPr>
              <w:jc w:val="right"/>
              <w:spacing w:after="0" w:line="223" w:lineRule="exact"/>
              <w:rPr>
                <w:sz w:val="20"/>
                <w:szCs w:val="20"/>
                <w:color w:val="auto"/>
              </w:rPr>
            </w:pPr>
            <w:r>
              <w:rPr>
                <w:rFonts w:ascii="Times New Roman" w:cs="Times New Roman" w:eastAsia="Times New Roman" w:hAnsi="Times New Roman"/>
                <w:sz w:val="20"/>
                <w:szCs w:val="20"/>
                <w:color w:val="FF0000"/>
                <w:strike w:val="1"/>
              </w:rPr>
              <w:t>160</w:t>
            </w:r>
          </w:p>
        </w:tc>
        <w:tc>
          <w:tcPr>
            <w:tcW w:w="340" w:type="dxa"/>
            <w:vAlign w:val="bottom"/>
            <w:tcBorders>
              <w:bottom w:val="single" w:sz="8" w:color="0000FF"/>
            </w:tcBorders>
            <w:gridSpan w:val="3"/>
          </w:tcPr>
          <w:p>
            <w:pPr>
              <w:jc w:val="right"/>
              <w:spacing w:after="0" w:line="223" w:lineRule="exact"/>
              <w:rPr>
                <w:sz w:val="20"/>
                <w:szCs w:val="20"/>
                <w:color w:val="auto"/>
              </w:rPr>
            </w:pPr>
            <w:r>
              <w:rPr>
                <w:rFonts w:ascii="Times New Roman" w:cs="Times New Roman" w:eastAsia="Times New Roman" w:hAnsi="Times New Roman"/>
                <w:sz w:val="20"/>
                <w:szCs w:val="20"/>
                <w:b w:val="1"/>
                <w:bCs w:val="1"/>
                <w:color w:val="0000FF"/>
                <w:w w:val="86"/>
              </w:rPr>
              <w:t>163</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1020" w:type="dxa"/>
            <w:vAlign w:val="bottom"/>
          </w:tcPr>
          <w:p>
            <w:pPr>
              <w:spacing w:after="0"/>
              <w:rPr>
                <w:sz w:val="20"/>
                <w:szCs w:val="20"/>
                <w:color w:val="auto"/>
              </w:rPr>
            </w:pPr>
            <w:r>
              <w:rPr>
                <w:rFonts w:ascii="Times New Roman" w:cs="Times New Roman" w:eastAsia="Times New Roman" w:hAnsi="Times New Roman"/>
                <w:sz w:val="20"/>
                <w:szCs w:val="20"/>
                <w:b w:val="1"/>
                <w:bCs w:val="1"/>
                <w:color w:val="0000FF"/>
                <w:w w:val="97"/>
              </w:rPr>
              <w:t>Section 8.14</w:t>
            </w:r>
          </w:p>
        </w:tc>
        <w:tc>
          <w:tcPr>
            <w:tcW w:w="180" w:type="dxa"/>
            <w:vAlign w:val="bottom"/>
          </w:tcPr>
          <w:p>
            <w:pPr>
              <w:spacing w:after="0"/>
              <w:rPr>
                <w:sz w:val="20"/>
                <w:szCs w:val="20"/>
                <w:color w:val="auto"/>
              </w:rPr>
            </w:pPr>
          </w:p>
        </w:tc>
        <w:tc>
          <w:tcPr>
            <w:tcW w:w="1960" w:type="dxa"/>
            <w:vAlign w:val="bottom"/>
            <w:gridSpan w:val="21"/>
          </w:tcPr>
          <w:p>
            <w:pPr>
              <w:spacing w:after="0"/>
              <w:rPr>
                <w:sz w:val="20"/>
                <w:szCs w:val="20"/>
                <w:color w:val="auto"/>
              </w:rPr>
            </w:pPr>
            <w:r>
              <w:rPr>
                <w:rFonts w:ascii="Times New Roman" w:cs="Times New Roman" w:eastAsia="Times New Roman" w:hAnsi="Times New Roman"/>
                <w:sz w:val="20"/>
                <w:szCs w:val="20"/>
                <w:b w:val="1"/>
                <w:bCs w:val="1"/>
                <w:color w:val="0000FF"/>
              </w:rPr>
              <w:t>Erroneous Payments</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0000FF"/>
                <w:w w:val="93"/>
              </w:rPr>
              <w:t>163</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960" w:type="dxa"/>
            <w:vAlign w:val="bottom"/>
            <w:tcBorders>
              <w:right w:val="single" w:sz="8" w:color="0000FF"/>
            </w:tcBorders>
            <w:gridSpan w:val="18"/>
            <w:shd w:val="clear" w:color="auto" w:fill="0000FF"/>
          </w:tcPr>
          <w:p>
            <w:pPr>
              <w:spacing w:after="0" w:line="20" w:lineRule="exact"/>
              <w:rPr>
                <w:sz w:val="1"/>
                <w:szCs w:val="1"/>
                <w:color w:val="auto"/>
              </w:rPr>
            </w:pPr>
          </w:p>
        </w:tc>
        <w:tc>
          <w:tcPr>
            <w:tcW w:w="200" w:type="dxa"/>
            <w:vAlign w:val="bottom"/>
            <w:tcBorders>
              <w:right w:val="single" w:sz="8" w:color="0000FF"/>
            </w:tcBorders>
            <w:gridSpan w:val="5"/>
          </w:tcPr>
          <w:p>
            <w:pPr>
              <w:spacing w:after="0" w:line="20" w:lineRule="exact"/>
              <w:rPr>
                <w:sz w:val="1"/>
                <w:szCs w:val="1"/>
                <w:color w:val="auto"/>
              </w:rPr>
            </w:pPr>
          </w:p>
        </w:tc>
        <w:tc>
          <w:tcPr>
            <w:tcW w:w="2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000" w:type="dxa"/>
            <w:vAlign w:val="bottom"/>
            <w:gridSpan w:val="3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238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ARTICLE IX Miscellaneous</w:t>
            </w:r>
          </w:p>
        </w:tc>
        <w:tc>
          <w:tcPr>
            <w:tcW w:w="40" w:type="dxa"/>
            <w:vAlign w:val="bottom"/>
          </w:tcPr>
          <w:p>
            <w:pPr>
              <w:spacing w:after="0"/>
              <w:rPr>
                <w:sz w:val="24"/>
                <w:szCs w:val="24"/>
                <w:color w:val="auto"/>
              </w:rPr>
            </w:pPr>
          </w:p>
        </w:tc>
        <w:tc>
          <w:tcPr>
            <w:tcW w:w="360" w:type="dxa"/>
            <w:vAlign w:val="bottom"/>
            <w:gridSpan w:val="7"/>
          </w:tcPr>
          <w:p>
            <w:pPr>
              <w:jc w:val="right"/>
              <w:spacing w:after="0"/>
              <w:rPr>
                <w:sz w:val="20"/>
                <w:szCs w:val="20"/>
                <w:color w:val="auto"/>
              </w:rPr>
            </w:pPr>
            <w:r>
              <w:rPr>
                <w:rFonts w:ascii="Times New Roman" w:cs="Times New Roman" w:eastAsia="Times New Roman" w:hAnsi="Times New Roman"/>
                <w:sz w:val="20"/>
                <w:szCs w:val="20"/>
                <w:color w:val="FF0000"/>
                <w:strike w:val="1"/>
              </w:rPr>
              <w:t>160</w:t>
            </w:r>
          </w:p>
        </w:tc>
        <w:tc>
          <w:tcPr>
            <w:tcW w:w="380" w:type="dxa"/>
            <w:vAlign w:val="bottom"/>
            <w:tcBorders>
              <w:bottom w:val="single" w:sz="8" w:color="0000FF"/>
            </w:tcBorders>
            <w:gridSpan w:val="10"/>
          </w:tcPr>
          <w:p>
            <w:pPr>
              <w:jc w:val="right"/>
              <w:spacing w:after="0"/>
              <w:rPr>
                <w:sz w:val="20"/>
                <w:szCs w:val="20"/>
                <w:color w:val="auto"/>
              </w:rPr>
            </w:pPr>
            <w:r>
              <w:rPr>
                <w:rFonts w:ascii="Times New Roman" w:cs="Times New Roman" w:eastAsia="Times New Roman" w:hAnsi="Times New Roman"/>
                <w:sz w:val="20"/>
                <w:szCs w:val="20"/>
                <w:b w:val="1"/>
                <w:bCs w:val="1"/>
                <w:color w:val="0000FF"/>
                <w:w w:val="93"/>
              </w:rPr>
              <w:t>165</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gridSpan w:val="6"/>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0000FF"/>
                <w:w w:val="93"/>
              </w:rPr>
              <w:t>165</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1020" w:type="dxa"/>
            <w:vAlign w:val="bottom"/>
          </w:tcPr>
          <w:p>
            <w:pPr>
              <w:spacing w:after="0"/>
              <w:rPr>
                <w:sz w:val="20"/>
                <w:szCs w:val="20"/>
                <w:color w:val="auto"/>
              </w:rPr>
            </w:pPr>
            <w:r>
              <w:rPr>
                <w:rFonts w:ascii="Times New Roman" w:cs="Times New Roman" w:eastAsia="Times New Roman" w:hAnsi="Times New Roman"/>
                <w:sz w:val="20"/>
                <w:szCs w:val="20"/>
                <w:color w:val="auto"/>
                <w:w w:val="99"/>
              </w:rPr>
              <w:t>Section 9.01</w:t>
            </w:r>
          </w:p>
        </w:tc>
        <w:tc>
          <w:tcPr>
            <w:tcW w:w="2440" w:type="dxa"/>
            <w:vAlign w:val="bottom"/>
            <w:gridSpan w:val="24"/>
          </w:tcPr>
          <w:p>
            <w:pPr>
              <w:ind w:left="160"/>
              <w:spacing w:after="0"/>
              <w:rPr>
                <w:sz w:val="20"/>
                <w:szCs w:val="20"/>
                <w:color w:val="auto"/>
              </w:rPr>
            </w:pPr>
            <w:r>
              <w:rPr>
                <w:rFonts w:ascii="Times New Roman" w:cs="Times New Roman" w:eastAsia="Times New Roman" w:hAnsi="Times New Roman"/>
                <w:sz w:val="20"/>
                <w:szCs w:val="20"/>
                <w:color w:val="auto"/>
              </w:rPr>
              <w:t>Notices; Communications</w:t>
            </w:r>
          </w:p>
        </w:tc>
        <w:tc>
          <w:tcPr>
            <w:tcW w:w="280" w:type="dxa"/>
            <w:vAlign w:val="bottom"/>
            <w:gridSpan w:val="8"/>
          </w:tcPr>
          <w:p>
            <w:pPr>
              <w:jc w:val="right"/>
              <w:spacing w:after="0"/>
              <w:rPr>
                <w:sz w:val="20"/>
                <w:szCs w:val="20"/>
                <w:color w:val="auto"/>
              </w:rPr>
            </w:pPr>
            <w:r>
              <w:rPr>
                <w:rFonts w:ascii="Times New Roman" w:cs="Times New Roman" w:eastAsia="Times New Roman" w:hAnsi="Times New Roman"/>
                <w:sz w:val="20"/>
                <w:szCs w:val="20"/>
                <w:color w:val="FF0000"/>
                <w:strike w:val="1"/>
                <w:w w:val="86"/>
              </w:rPr>
              <w:t>160</w:t>
            </w:r>
          </w:p>
        </w:tc>
        <w:tc>
          <w:tcPr>
            <w:tcW w:w="300" w:type="dxa"/>
            <w:vAlign w:val="bottom"/>
            <w:tcBorders>
              <w:bottom w:val="single" w:sz="8" w:color="0000FF"/>
            </w:tcBorders>
            <w:gridSpan w:val="6"/>
            <w:vMerge w:val="continue"/>
          </w:tcPr>
          <w:p>
            <w:pPr>
              <w:spacing w:after="0"/>
              <w:rPr>
                <w:sz w:val="24"/>
                <w:szCs w:val="24"/>
                <w:color w:val="auto"/>
              </w:rPr>
            </w:pPr>
          </w:p>
        </w:tc>
        <w:tc>
          <w:tcPr>
            <w:tcW w:w="160" w:type="dxa"/>
            <w:vAlign w:val="bottom"/>
            <w:gridSpan w:val="2"/>
          </w:tcPr>
          <w:p>
            <w:pPr>
              <w:spacing w:after="0"/>
              <w:rPr>
                <w:sz w:val="24"/>
                <w:szCs w:val="24"/>
                <w:color w:val="auto"/>
              </w:rPr>
            </w:pPr>
          </w:p>
        </w:tc>
        <w:tc>
          <w:tcPr>
            <w:tcW w:w="120" w:type="dxa"/>
            <w:vAlign w:val="bottom"/>
            <w:gridSpan w:val="2"/>
          </w:tcPr>
          <w:p>
            <w:pPr>
              <w:spacing w:after="0"/>
              <w:rPr>
                <w:sz w:val="24"/>
                <w:szCs w:val="24"/>
                <w:color w:val="auto"/>
              </w:rPr>
            </w:pPr>
          </w:p>
        </w:tc>
        <w:tc>
          <w:tcPr>
            <w:tcW w:w="240" w:type="dxa"/>
            <w:vAlign w:val="bottom"/>
            <w:gridSpan w:val="3"/>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020" w:type="dxa"/>
            <w:vAlign w:val="bottom"/>
          </w:tcPr>
          <w:p>
            <w:pPr>
              <w:spacing w:after="0"/>
              <w:rPr>
                <w:sz w:val="20"/>
                <w:szCs w:val="20"/>
                <w:color w:val="auto"/>
              </w:rPr>
            </w:pPr>
            <w:r>
              <w:rPr>
                <w:rFonts w:ascii="Times New Roman" w:cs="Times New Roman" w:eastAsia="Times New Roman" w:hAnsi="Times New Roman"/>
                <w:sz w:val="20"/>
                <w:szCs w:val="20"/>
                <w:color w:val="auto"/>
                <w:w w:val="99"/>
              </w:rPr>
              <w:t>Section 9.02</w:t>
            </w:r>
          </w:p>
        </w:tc>
        <w:tc>
          <w:tcPr>
            <w:tcW w:w="2140" w:type="dxa"/>
            <w:vAlign w:val="bottom"/>
            <w:gridSpan w:val="22"/>
          </w:tcPr>
          <w:p>
            <w:pPr>
              <w:ind w:left="160"/>
              <w:spacing w:after="0"/>
              <w:rPr>
                <w:sz w:val="20"/>
                <w:szCs w:val="20"/>
                <w:color w:val="auto"/>
              </w:rPr>
            </w:pPr>
            <w:r>
              <w:rPr>
                <w:rFonts w:ascii="Times New Roman" w:cs="Times New Roman" w:eastAsia="Times New Roman" w:hAnsi="Times New Roman"/>
                <w:sz w:val="20"/>
                <w:szCs w:val="20"/>
                <w:color w:val="auto"/>
              </w:rPr>
              <w:t>Survival of Agreement</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FF0000"/>
                <w:strike w:val="1"/>
                <w:w w:val="99"/>
              </w:rPr>
              <w:t>161</w:t>
            </w:r>
          </w:p>
        </w:tc>
        <w:tc>
          <w:tcPr>
            <w:tcW w:w="280" w:type="dxa"/>
            <w:vAlign w:val="bottom"/>
            <w:tcBorders>
              <w:bottom w:val="single" w:sz="8" w:color="0000FF"/>
            </w:tcBorders>
            <w:gridSpan w:val="8"/>
          </w:tcPr>
          <w:p>
            <w:pPr>
              <w:jc w:val="right"/>
              <w:spacing w:after="0"/>
              <w:rPr>
                <w:sz w:val="20"/>
                <w:szCs w:val="20"/>
                <w:color w:val="auto"/>
              </w:rPr>
            </w:pPr>
            <w:r>
              <w:rPr>
                <w:rFonts w:ascii="Times New Roman" w:cs="Times New Roman" w:eastAsia="Times New Roman" w:hAnsi="Times New Roman"/>
                <w:sz w:val="20"/>
                <w:szCs w:val="20"/>
                <w:b w:val="1"/>
                <w:bCs w:val="1"/>
                <w:color w:val="0000FF"/>
                <w:w w:val="86"/>
              </w:rPr>
              <w:t>166</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020" w:type="dxa"/>
            <w:vAlign w:val="bottom"/>
          </w:tcPr>
          <w:p>
            <w:pPr>
              <w:spacing w:after="0" w:line="223" w:lineRule="exact"/>
              <w:rPr>
                <w:sz w:val="20"/>
                <w:szCs w:val="20"/>
                <w:color w:val="auto"/>
              </w:rPr>
            </w:pPr>
            <w:r>
              <w:rPr>
                <w:rFonts w:ascii="Times New Roman" w:cs="Times New Roman" w:eastAsia="Times New Roman" w:hAnsi="Times New Roman"/>
                <w:sz w:val="20"/>
                <w:szCs w:val="20"/>
                <w:color w:val="auto"/>
                <w:w w:val="99"/>
              </w:rPr>
              <w:t>Section 9.03</w:t>
            </w:r>
          </w:p>
        </w:tc>
        <w:tc>
          <w:tcPr>
            <w:tcW w:w="1360" w:type="dxa"/>
            <w:vAlign w:val="bottom"/>
            <w:gridSpan w:val="4"/>
          </w:tcPr>
          <w:p>
            <w:pPr>
              <w:ind w:left="160"/>
              <w:spacing w:after="0" w:line="223" w:lineRule="exact"/>
              <w:rPr>
                <w:sz w:val="20"/>
                <w:szCs w:val="20"/>
                <w:color w:val="auto"/>
              </w:rPr>
            </w:pPr>
            <w:r>
              <w:rPr>
                <w:rFonts w:ascii="Times New Roman" w:cs="Times New Roman" w:eastAsia="Times New Roman" w:hAnsi="Times New Roman"/>
                <w:sz w:val="20"/>
                <w:szCs w:val="20"/>
                <w:color w:val="auto"/>
                <w:w w:val="99"/>
              </w:rPr>
              <w:t>Binding Effect</w:t>
            </w:r>
          </w:p>
        </w:tc>
        <w:tc>
          <w:tcPr>
            <w:tcW w:w="40" w:type="dxa"/>
            <w:vAlign w:val="bottom"/>
          </w:tcPr>
          <w:p>
            <w:pPr>
              <w:spacing w:after="0"/>
              <w:rPr>
                <w:sz w:val="19"/>
                <w:szCs w:val="19"/>
                <w:color w:val="auto"/>
              </w:rPr>
            </w:pPr>
          </w:p>
        </w:tc>
        <w:tc>
          <w:tcPr>
            <w:tcW w:w="420" w:type="dxa"/>
            <w:vAlign w:val="bottom"/>
            <w:gridSpan w:val="8"/>
          </w:tcPr>
          <w:p>
            <w:pPr>
              <w:jc w:val="right"/>
              <w:spacing w:after="0" w:line="223" w:lineRule="exact"/>
              <w:rPr>
                <w:sz w:val="20"/>
                <w:szCs w:val="20"/>
                <w:color w:val="auto"/>
              </w:rPr>
            </w:pPr>
            <w:r>
              <w:rPr>
                <w:rFonts w:ascii="Times New Roman" w:cs="Times New Roman" w:eastAsia="Times New Roman" w:hAnsi="Times New Roman"/>
                <w:sz w:val="20"/>
                <w:szCs w:val="20"/>
                <w:color w:val="FF0000"/>
                <w:strike w:val="1"/>
              </w:rPr>
              <w:t>161</w:t>
            </w:r>
          </w:p>
        </w:tc>
        <w:tc>
          <w:tcPr>
            <w:tcW w:w="320" w:type="dxa"/>
            <w:vAlign w:val="bottom"/>
            <w:tcBorders>
              <w:bottom w:val="single" w:sz="8" w:color="0000FF"/>
            </w:tcBorders>
            <w:gridSpan w:val="9"/>
          </w:tcPr>
          <w:p>
            <w:pPr>
              <w:jc w:val="right"/>
              <w:spacing w:after="0" w:line="223" w:lineRule="exact"/>
              <w:rPr>
                <w:sz w:val="20"/>
                <w:szCs w:val="20"/>
                <w:color w:val="auto"/>
              </w:rPr>
            </w:pPr>
            <w:r>
              <w:rPr>
                <w:rFonts w:ascii="Times New Roman" w:cs="Times New Roman" w:eastAsia="Times New Roman" w:hAnsi="Times New Roman"/>
                <w:sz w:val="20"/>
                <w:szCs w:val="20"/>
                <w:b w:val="1"/>
                <w:bCs w:val="1"/>
                <w:color w:val="0000FF"/>
                <w:w w:val="93"/>
              </w:rPr>
              <w:t>166</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1020" w:type="dxa"/>
            <w:vAlign w:val="bottom"/>
          </w:tcPr>
          <w:p>
            <w:pPr>
              <w:spacing w:after="0"/>
              <w:rPr>
                <w:sz w:val="20"/>
                <w:szCs w:val="20"/>
                <w:color w:val="auto"/>
              </w:rPr>
            </w:pPr>
            <w:r>
              <w:rPr>
                <w:rFonts w:ascii="Times New Roman" w:cs="Times New Roman" w:eastAsia="Times New Roman" w:hAnsi="Times New Roman"/>
                <w:sz w:val="20"/>
                <w:szCs w:val="20"/>
                <w:color w:val="auto"/>
                <w:w w:val="99"/>
              </w:rPr>
              <w:t>Section 9.04</w:t>
            </w:r>
          </w:p>
        </w:tc>
        <w:tc>
          <w:tcPr>
            <w:tcW w:w="2140" w:type="dxa"/>
            <w:vAlign w:val="bottom"/>
            <w:gridSpan w:val="22"/>
          </w:tcPr>
          <w:p>
            <w:pPr>
              <w:ind w:left="160"/>
              <w:spacing w:after="0"/>
              <w:rPr>
                <w:sz w:val="20"/>
                <w:szCs w:val="20"/>
                <w:color w:val="auto"/>
              </w:rPr>
            </w:pPr>
            <w:r>
              <w:rPr>
                <w:rFonts w:ascii="Times New Roman" w:cs="Times New Roman" w:eastAsia="Times New Roman" w:hAnsi="Times New Roman"/>
                <w:sz w:val="20"/>
                <w:szCs w:val="20"/>
                <w:color w:val="auto"/>
              </w:rPr>
              <w:t>Successors and Assigns</w:t>
            </w:r>
          </w:p>
        </w:tc>
        <w:tc>
          <w:tcPr>
            <w:tcW w:w="200" w:type="dxa"/>
            <w:vAlign w:val="bottom"/>
          </w:tcPr>
          <w:p>
            <w:pPr>
              <w:spacing w:after="0"/>
              <w:rPr>
                <w:sz w:val="20"/>
                <w:szCs w:val="20"/>
                <w:color w:val="auto"/>
              </w:rPr>
            </w:pPr>
          </w:p>
        </w:tc>
        <w:tc>
          <w:tcPr>
            <w:tcW w:w="20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FF0000"/>
                <w:strike w:val="1"/>
                <w:w w:val="74"/>
              </w:rPr>
              <w:t>161</w:t>
            </w:r>
          </w:p>
        </w:tc>
        <w:tc>
          <w:tcPr>
            <w:tcW w:w="30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20"/>
                <w:szCs w:val="20"/>
                <w:b w:val="1"/>
                <w:bCs w:val="1"/>
                <w:color w:val="0000FF"/>
                <w:w w:val="93"/>
              </w:rPr>
              <w:t>166</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020" w:type="dxa"/>
            <w:vAlign w:val="bottom"/>
          </w:tcPr>
          <w:p>
            <w:pPr>
              <w:spacing w:after="0"/>
              <w:rPr>
                <w:sz w:val="20"/>
                <w:szCs w:val="20"/>
                <w:color w:val="auto"/>
              </w:rPr>
            </w:pPr>
            <w:r>
              <w:rPr>
                <w:rFonts w:ascii="Times New Roman" w:cs="Times New Roman" w:eastAsia="Times New Roman" w:hAnsi="Times New Roman"/>
                <w:sz w:val="20"/>
                <w:szCs w:val="20"/>
                <w:color w:val="auto"/>
                <w:w w:val="99"/>
              </w:rPr>
              <w:t>Section 9.05</w:t>
            </w:r>
          </w:p>
        </w:tc>
        <w:tc>
          <w:tcPr>
            <w:tcW w:w="1900" w:type="dxa"/>
            <w:vAlign w:val="bottom"/>
            <w:gridSpan w:val="16"/>
          </w:tcPr>
          <w:p>
            <w:pPr>
              <w:ind w:left="160"/>
              <w:spacing w:after="0"/>
              <w:rPr>
                <w:sz w:val="20"/>
                <w:szCs w:val="20"/>
                <w:color w:val="auto"/>
              </w:rPr>
            </w:pPr>
            <w:r>
              <w:rPr>
                <w:rFonts w:ascii="Times New Roman" w:cs="Times New Roman" w:eastAsia="Times New Roman" w:hAnsi="Times New Roman"/>
                <w:sz w:val="20"/>
                <w:szCs w:val="20"/>
                <w:color w:val="auto"/>
              </w:rPr>
              <w:t>Expenses; Indemnity</w:t>
            </w:r>
          </w:p>
        </w:tc>
        <w:tc>
          <w:tcPr>
            <w:tcW w:w="40" w:type="dxa"/>
            <w:vAlign w:val="bottom"/>
          </w:tcPr>
          <w:p>
            <w:pPr>
              <w:spacing w:after="0"/>
              <w:rPr>
                <w:sz w:val="20"/>
                <w:szCs w:val="20"/>
                <w:color w:val="auto"/>
              </w:rPr>
            </w:pPr>
          </w:p>
        </w:tc>
        <w:tc>
          <w:tcPr>
            <w:tcW w:w="80" w:type="dxa"/>
            <w:vAlign w:val="bottom"/>
            <w:gridSpan w:val="4"/>
          </w:tcPr>
          <w:p>
            <w:pPr>
              <w:spacing w:after="0"/>
              <w:rPr>
                <w:sz w:val="20"/>
                <w:szCs w:val="20"/>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FF0000"/>
                <w:strike w:val="1"/>
                <w:w w:val="93"/>
              </w:rPr>
              <w:t>167</w:t>
            </w:r>
          </w:p>
        </w:tc>
        <w:tc>
          <w:tcPr>
            <w:tcW w:w="340" w:type="dxa"/>
            <w:vAlign w:val="bottom"/>
            <w:gridSpan w:val="7"/>
          </w:tcPr>
          <w:p>
            <w:pPr>
              <w:jc w:val="right"/>
              <w:ind w:right="60"/>
              <w:spacing w:after="0"/>
              <w:rPr>
                <w:sz w:val="20"/>
                <w:szCs w:val="20"/>
                <w:color w:val="auto"/>
              </w:rPr>
            </w:pPr>
            <w:r>
              <w:rPr>
                <w:rFonts w:ascii="Times New Roman" w:cs="Times New Roman" w:eastAsia="Times New Roman" w:hAnsi="Times New Roman"/>
                <w:sz w:val="20"/>
                <w:szCs w:val="20"/>
                <w:b w:val="1"/>
                <w:bCs w:val="1"/>
                <w:color w:val="0000FF"/>
                <w:w w:val="86"/>
              </w:rPr>
              <w:t>172</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020" w:type="dxa"/>
            <w:vAlign w:val="bottom"/>
          </w:tcPr>
          <w:p>
            <w:pPr>
              <w:spacing w:after="0" w:line="223" w:lineRule="exact"/>
              <w:rPr>
                <w:sz w:val="20"/>
                <w:szCs w:val="20"/>
                <w:color w:val="auto"/>
              </w:rPr>
            </w:pPr>
            <w:r>
              <w:rPr>
                <w:rFonts w:ascii="Times New Roman" w:cs="Times New Roman" w:eastAsia="Times New Roman" w:hAnsi="Times New Roman"/>
                <w:sz w:val="20"/>
                <w:szCs w:val="20"/>
                <w:color w:val="auto"/>
                <w:w w:val="99"/>
              </w:rPr>
              <w:t>Section 9.06</w:t>
            </w:r>
          </w:p>
        </w:tc>
        <w:tc>
          <w:tcPr>
            <w:tcW w:w="1600" w:type="dxa"/>
            <w:vAlign w:val="bottom"/>
            <w:gridSpan w:val="7"/>
          </w:tcPr>
          <w:p>
            <w:pPr>
              <w:ind w:left="160"/>
              <w:spacing w:after="0" w:line="223" w:lineRule="exact"/>
              <w:rPr>
                <w:sz w:val="20"/>
                <w:szCs w:val="20"/>
                <w:color w:val="auto"/>
              </w:rPr>
            </w:pPr>
            <w:r>
              <w:rPr>
                <w:rFonts w:ascii="Times New Roman" w:cs="Times New Roman" w:eastAsia="Times New Roman" w:hAnsi="Times New Roman"/>
                <w:sz w:val="20"/>
                <w:szCs w:val="20"/>
                <w:color w:val="auto"/>
              </w:rPr>
              <w:t>Right of Set-off</w:t>
            </w:r>
          </w:p>
        </w:tc>
        <w:tc>
          <w:tcPr>
            <w:tcW w:w="300" w:type="dxa"/>
            <w:vAlign w:val="bottom"/>
            <w:gridSpan w:val="9"/>
          </w:tcPr>
          <w:p>
            <w:pPr>
              <w:jc w:val="right"/>
              <w:spacing w:after="0" w:line="223" w:lineRule="exact"/>
              <w:rPr>
                <w:sz w:val="20"/>
                <w:szCs w:val="20"/>
                <w:color w:val="auto"/>
              </w:rPr>
            </w:pPr>
            <w:r>
              <w:rPr>
                <w:rFonts w:ascii="Times New Roman" w:cs="Times New Roman" w:eastAsia="Times New Roman" w:hAnsi="Times New Roman"/>
                <w:sz w:val="20"/>
                <w:szCs w:val="20"/>
                <w:color w:val="FF0000"/>
                <w:strike w:val="1"/>
                <w:w w:val="93"/>
              </w:rPr>
              <w:t>168</w:t>
            </w:r>
          </w:p>
        </w:tc>
        <w:tc>
          <w:tcPr>
            <w:tcW w:w="440" w:type="dxa"/>
            <w:vAlign w:val="bottom"/>
            <w:tcBorders>
              <w:bottom w:val="single" w:sz="8" w:color="0000FF"/>
            </w:tcBorders>
            <w:gridSpan w:val="7"/>
          </w:tcPr>
          <w:p>
            <w:pPr>
              <w:spacing w:after="0" w:line="223" w:lineRule="exact"/>
              <w:rPr>
                <w:sz w:val="20"/>
                <w:szCs w:val="20"/>
                <w:color w:val="auto"/>
              </w:rPr>
            </w:pPr>
            <w:r>
              <w:rPr>
                <w:rFonts w:ascii="Times New Roman" w:cs="Times New Roman" w:eastAsia="Times New Roman" w:hAnsi="Times New Roman"/>
                <w:sz w:val="20"/>
                <w:szCs w:val="20"/>
                <w:b w:val="1"/>
                <w:bCs w:val="1"/>
                <w:color w:val="0000FF"/>
              </w:rPr>
              <w:t>173</w:t>
            </w:r>
          </w:p>
        </w:tc>
        <w:tc>
          <w:tcPr>
            <w:tcW w:w="10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020" w:type="dxa"/>
            <w:vAlign w:val="bottom"/>
          </w:tcPr>
          <w:p>
            <w:pPr>
              <w:spacing w:after="0"/>
              <w:rPr>
                <w:sz w:val="20"/>
                <w:szCs w:val="20"/>
                <w:color w:val="auto"/>
              </w:rPr>
            </w:pPr>
            <w:r>
              <w:rPr>
                <w:rFonts w:ascii="Times New Roman" w:cs="Times New Roman" w:eastAsia="Times New Roman" w:hAnsi="Times New Roman"/>
                <w:sz w:val="20"/>
                <w:szCs w:val="20"/>
                <w:color w:val="auto"/>
                <w:w w:val="99"/>
              </w:rPr>
              <w:t>Section 9.07</w:t>
            </w:r>
          </w:p>
        </w:tc>
        <w:tc>
          <w:tcPr>
            <w:tcW w:w="1600" w:type="dxa"/>
            <w:vAlign w:val="bottom"/>
            <w:gridSpan w:val="7"/>
          </w:tcPr>
          <w:p>
            <w:pPr>
              <w:ind w:left="160"/>
              <w:spacing w:after="0"/>
              <w:rPr>
                <w:sz w:val="20"/>
                <w:szCs w:val="20"/>
                <w:color w:val="auto"/>
              </w:rPr>
            </w:pPr>
            <w:r>
              <w:rPr>
                <w:rFonts w:ascii="Times New Roman" w:cs="Times New Roman" w:eastAsia="Times New Roman" w:hAnsi="Times New Roman"/>
                <w:sz w:val="20"/>
                <w:szCs w:val="20"/>
                <w:color w:val="auto"/>
              </w:rPr>
              <w:t>Applicable Law</w:t>
            </w:r>
          </w:p>
        </w:tc>
        <w:tc>
          <w:tcPr>
            <w:tcW w:w="20" w:type="dxa"/>
            <w:vAlign w:val="bottom"/>
          </w:tcPr>
          <w:p>
            <w:pPr>
              <w:spacing w:after="0"/>
              <w:rPr>
                <w:sz w:val="20"/>
                <w:szCs w:val="20"/>
                <w:color w:val="auto"/>
              </w:rPr>
            </w:pPr>
          </w:p>
        </w:tc>
        <w:tc>
          <w:tcPr>
            <w:tcW w:w="320" w:type="dxa"/>
            <w:vAlign w:val="bottom"/>
            <w:gridSpan w:val="9"/>
          </w:tcPr>
          <w:p>
            <w:pPr>
              <w:spacing w:after="0"/>
              <w:rPr>
                <w:sz w:val="20"/>
                <w:szCs w:val="20"/>
                <w:color w:val="auto"/>
              </w:rPr>
            </w:pPr>
            <w:r>
              <w:rPr>
                <w:rFonts w:ascii="Times New Roman" w:cs="Times New Roman" w:eastAsia="Times New Roman" w:hAnsi="Times New Roman"/>
                <w:sz w:val="20"/>
                <w:szCs w:val="20"/>
                <w:color w:val="FF0000"/>
                <w:strike w:val="1"/>
                <w:w w:val="93"/>
              </w:rPr>
              <w:t>169</w:t>
            </w:r>
          </w:p>
        </w:tc>
        <w:tc>
          <w:tcPr>
            <w:tcW w:w="400" w:type="dxa"/>
            <w:vAlign w:val="bottom"/>
            <w:tcBorders>
              <w:bottom w:val="single" w:sz="8" w:color="0000FF"/>
            </w:tcBorders>
            <w:gridSpan w:val="6"/>
          </w:tcPr>
          <w:p>
            <w:pPr>
              <w:jc w:val="right"/>
              <w:ind w:right="36"/>
              <w:spacing w:after="0"/>
              <w:rPr>
                <w:sz w:val="20"/>
                <w:szCs w:val="20"/>
                <w:color w:val="auto"/>
              </w:rPr>
            </w:pPr>
            <w:r>
              <w:rPr>
                <w:rFonts w:ascii="Times New Roman" w:cs="Times New Roman" w:eastAsia="Times New Roman" w:hAnsi="Times New Roman"/>
                <w:sz w:val="20"/>
                <w:szCs w:val="20"/>
                <w:b w:val="1"/>
                <w:bCs w:val="1"/>
                <w:color w:val="0000FF"/>
                <w:w w:val="86"/>
              </w:rPr>
              <w:t>174</w:t>
            </w:r>
          </w:p>
        </w:tc>
        <w:tc>
          <w:tcPr>
            <w:tcW w:w="340" w:type="dxa"/>
            <w:vAlign w:val="bottom"/>
            <w:gridSpan w:val="7"/>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0000FF"/>
              </w:rPr>
              <w:t>174</w:t>
            </w:r>
          </w:p>
        </w:tc>
        <w:tc>
          <w:tcPr>
            <w:tcW w:w="20" w:type="dxa"/>
            <w:vAlign w:val="bottom"/>
            <w:vMerge w:val="restart"/>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1020" w:type="dxa"/>
            <w:vAlign w:val="bottom"/>
          </w:tcPr>
          <w:p>
            <w:pPr>
              <w:spacing w:after="0" w:line="223" w:lineRule="exact"/>
              <w:rPr>
                <w:sz w:val="20"/>
                <w:szCs w:val="20"/>
                <w:color w:val="auto"/>
              </w:rPr>
            </w:pPr>
            <w:r>
              <w:rPr>
                <w:rFonts w:ascii="Times New Roman" w:cs="Times New Roman" w:eastAsia="Times New Roman" w:hAnsi="Times New Roman"/>
                <w:sz w:val="20"/>
                <w:szCs w:val="20"/>
                <w:color w:val="auto"/>
                <w:w w:val="99"/>
              </w:rPr>
              <w:t>Section 9.08</w:t>
            </w:r>
          </w:p>
        </w:tc>
        <w:tc>
          <w:tcPr>
            <w:tcW w:w="1900" w:type="dxa"/>
            <w:vAlign w:val="bottom"/>
            <w:gridSpan w:val="16"/>
          </w:tcPr>
          <w:p>
            <w:pPr>
              <w:ind w:left="160"/>
              <w:spacing w:after="0" w:line="223" w:lineRule="exact"/>
              <w:rPr>
                <w:sz w:val="20"/>
                <w:szCs w:val="20"/>
                <w:color w:val="auto"/>
              </w:rPr>
            </w:pPr>
            <w:r>
              <w:rPr>
                <w:rFonts w:ascii="Times New Roman" w:cs="Times New Roman" w:eastAsia="Times New Roman" w:hAnsi="Times New Roman"/>
                <w:sz w:val="20"/>
                <w:szCs w:val="20"/>
                <w:color w:val="auto"/>
                <w:w w:val="97"/>
              </w:rPr>
              <w:t>Waivers; Amendment</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5"/>
                <w:szCs w:val="15"/>
                <w:color w:val="FF0000"/>
                <w:strike w:val="1"/>
                <w:w w:val="70"/>
              </w:rPr>
              <w:t>169</w:t>
            </w:r>
          </w:p>
        </w:tc>
        <w:tc>
          <w:tcPr>
            <w:tcW w:w="340" w:type="dxa"/>
            <w:vAlign w:val="bottom"/>
            <w:tcBorders>
              <w:bottom w:val="single" w:sz="8" w:color="0000FF"/>
            </w:tcBorders>
            <w:gridSpan w:val="7"/>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1020" w:type="dxa"/>
            <w:vAlign w:val="bottom"/>
          </w:tcPr>
          <w:p>
            <w:pPr>
              <w:spacing w:after="0"/>
              <w:rPr>
                <w:sz w:val="20"/>
                <w:szCs w:val="20"/>
                <w:color w:val="auto"/>
              </w:rPr>
            </w:pPr>
            <w:r>
              <w:rPr>
                <w:rFonts w:ascii="Times New Roman" w:cs="Times New Roman" w:eastAsia="Times New Roman" w:hAnsi="Times New Roman"/>
                <w:sz w:val="20"/>
                <w:szCs w:val="20"/>
                <w:color w:val="auto"/>
                <w:w w:val="99"/>
              </w:rPr>
              <w:t>Section 9.09</w:t>
            </w:r>
          </w:p>
        </w:tc>
        <w:tc>
          <w:tcPr>
            <w:tcW w:w="2140" w:type="dxa"/>
            <w:vAlign w:val="bottom"/>
            <w:gridSpan w:val="22"/>
          </w:tcPr>
          <w:p>
            <w:pPr>
              <w:ind w:left="160"/>
              <w:spacing w:after="0"/>
              <w:rPr>
                <w:sz w:val="20"/>
                <w:szCs w:val="20"/>
                <w:color w:val="auto"/>
              </w:rPr>
            </w:pPr>
            <w:r>
              <w:rPr>
                <w:rFonts w:ascii="Times New Roman" w:cs="Times New Roman" w:eastAsia="Times New Roman" w:hAnsi="Times New Roman"/>
                <w:sz w:val="20"/>
                <w:szCs w:val="20"/>
                <w:color w:val="auto"/>
              </w:rPr>
              <w:t>Interest Rate Limitation</w:t>
            </w:r>
          </w:p>
        </w:tc>
        <w:tc>
          <w:tcPr>
            <w:tcW w:w="200" w:type="dxa"/>
            <w:vAlign w:val="bottom"/>
          </w:tcPr>
          <w:p>
            <w:pPr>
              <w:spacing w:after="0"/>
              <w:rPr>
                <w:sz w:val="20"/>
                <w:szCs w:val="20"/>
                <w:color w:val="auto"/>
              </w:rPr>
            </w:pPr>
          </w:p>
        </w:tc>
        <w:tc>
          <w:tcPr>
            <w:tcW w:w="20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FF0000"/>
                <w:strike w:val="1"/>
                <w:w w:val="74"/>
              </w:rPr>
              <w:t>172</w:t>
            </w:r>
          </w:p>
        </w:tc>
        <w:tc>
          <w:tcPr>
            <w:tcW w:w="30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20"/>
                <w:szCs w:val="20"/>
                <w:b w:val="1"/>
                <w:bCs w:val="1"/>
                <w:color w:val="0000FF"/>
                <w:w w:val="93"/>
              </w:rPr>
              <w:t>177</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020" w:type="dxa"/>
            <w:vAlign w:val="bottom"/>
          </w:tcPr>
          <w:p>
            <w:pPr>
              <w:spacing w:after="0"/>
              <w:rPr>
                <w:sz w:val="20"/>
                <w:szCs w:val="20"/>
                <w:color w:val="auto"/>
              </w:rPr>
            </w:pPr>
            <w:r>
              <w:rPr>
                <w:rFonts w:ascii="Times New Roman" w:cs="Times New Roman" w:eastAsia="Times New Roman" w:hAnsi="Times New Roman"/>
                <w:sz w:val="20"/>
                <w:szCs w:val="20"/>
                <w:color w:val="auto"/>
                <w:w w:val="99"/>
              </w:rPr>
              <w:t>Section 9.10</w:t>
            </w:r>
          </w:p>
        </w:tc>
        <w:tc>
          <w:tcPr>
            <w:tcW w:w="1600" w:type="dxa"/>
            <w:vAlign w:val="bottom"/>
            <w:gridSpan w:val="7"/>
          </w:tcPr>
          <w:p>
            <w:pPr>
              <w:ind w:left="160"/>
              <w:spacing w:after="0"/>
              <w:rPr>
                <w:sz w:val="20"/>
                <w:szCs w:val="20"/>
                <w:color w:val="auto"/>
              </w:rPr>
            </w:pPr>
            <w:r>
              <w:rPr>
                <w:rFonts w:ascii="Times New Roman" w:cs="Times New Roman" w:eastAsia="Times New Roman" w:hAnsi="Times New Roman"/>
                <w:sz w:val="20"/>
                <w:szCs w:val="20"/>
                <w:color w:val="auto"/>
                <w:w w:val="99"/>
              </w:rPr>
              <w:t>Entire Agreement</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gridSpan w:val="10"/>
          </w:tcPr>
          <w:p>
            <w:pPr>
              <w:jc w:val="right"/>
              <w:spacing w:after="0"/>
              <w:rPr>
                <w:sz w:val="20"/>
                <w:szCs w:val="20"/>
                <w:color w:val="auto"/>
              </w:rPr>
            </w:pPr>
            <w:r>
              <w:rPr>
                <w:rFonts w:ascii="Times New Roman" w:cs="Times New Roman" w:eastAsia="Times New Roman" w:hAnsi="Times New Roman"/>
                <w:sz w:val="20"/>
                <w:szCs w:val="20"/>
                <w:color w:val="FF0000"/>
                <w:strike w:val="1"/>
                <w:w w:val="93"/>
              </w:rPr>
              <w:t>173</w:t>
            </w:r>
          </w:p>
        </w:tc>
        <w:tc>
          <w:tcPr>
            <w:tcW w:w="2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5"/>
                <w:szCs w:val="15"/>
                <w:b w:val="1"/>
                <w:bCs w:val="1"/>
                <w:color w:val="0000FF"/>
                <w:w w:val="70"/>
              </w:rPr>
              <w:t>178</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gridSpan w:val="4"/>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0000FF"/>
                <w:w w:val="93"/>
              </w:rPr>
              <w:t>178</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1020" w:type="dxa"/>
            <w:vAlign w:val="bottom"/>
          </w:tcPr>
          <w:p>
            <w:pPr>
              <w:spacing w:after="0" w:line="223" w:lineRule="exact"/>
              <w:rPr>
                <w:sz w:val="20"/>
                <w:szCs w:val="20"/>
                <w:color w:val="auto"/>
              </w:rPr>
            </w:pPr>
            <w:r>
              <w:rPr>
                <w:rFonts w:ascii="Times New Roman" w:cs="Times New Roman" w:eastAsia="Times New Roman" w:hAnsi="Times New Roman"/>
                <w:sz w:val="20"/>
                <w:szCs w:val="20"/>
                <w:color w:val="auto"/>
                <w:w w:val="99"/>
              </w:rPr>
              <w:t>Section 9.11</w:t>
            </w:r>
          </w:p>
        </w:tc>
        <w:tc>
          <w:tcPr>
            <w:tcW w:w="2540" w:type="dxa"/>
            <w:vAlign w:val="bottom"/>
            <w:gridSpan w:val="27"/>
          </w:tcPr>
          <w:p>
            <w:pPr>
              <w:ind w:left="160"/>
              <w:spacing w:after="0" w:line="223" w:lineRule="exact"/>
              <w:rPr>
                <w:sz w:val="20"/>
                <w:szCs w:val="20"/>
                <w:color w:val="auto"/>
              </w:rPr>
            </w:pPr>
            <w:r>
              <w:rPr>
                <w:rFonts w:ascii="Times New Roman" w:cs="Times New Roman" w:eastAsia="Times New Roman" w:hAnsi="Times New Roman"/>
                <w:sz w:val="20"/>
                <w:szCs w:val="20"/>
                <w:color w:val="auto"/>
              </w:rPr>
              <w:t>WAIVER OF JURY TRIAL</w:t>
            </w:r>
          </w:p>
        </w:tc>
        <w:tc>
          <w:tcPr>
            <w:tcW w:w="340" w:type="dxa"/>
            <w:vAlign w:val="bottom"/>
            <w:gridSpan w:val="9"/>
          </w:tcPr>
          <w:p>
            <w:pPr>
              <w:jc w:val="right"/>
              <w:spacing w:after="0" w:line="223" w:lineRule="exact"/>
              <w:rPr>
                <w:sz w:val="20"/>
                <w:szCs w:val="20"/>
                <w:color w:val="auto"/>
              </w:rPr>
            </w:pPr>
            <w:r>
              <w:rPr>
                <w:rFonts w:ascii="Times New Roman" w:cs="Times New Roman" w:eastAsia="Times New Roman" w:hAnsi="Times New Roman"/>
                <w:sz w:val="20"/>
                <w:szCs w:val="20"/>
                <w:color w:val="FF0000"/>
                <w:strike w:val="1"/>
              </w:rPr>
              <w:t>173</w:t>
            </w:r>
          </w:p>
        </w:tc>
        <w:tc>
          <w:tcPr>
            <w:tcW w:w="300" w:type="dxa"/>
            <w:vAlign w:val="bottom"/>
            <w:tcBorders>
              <w:bottom w:val="single" w:sz="8" w:color="0000FF"/>
            </w:tcBorders>
            <w:gridSpan w:val="4"/>
            <w:vMerge w:val="continue"/>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020" w:type="dxa"/>
            <w:vAlign w:val="bottom"/>
          </w:tcPr>
          <w:p>
            <w:pPr>
              <w:spacing w:after="0"/>
              <w:rPr>
                <w:sz w:val="20"/>
                <w:szCs w:val="20"/>
                <w:color w:val="auto"/>
              </w:rPr>
            </w:pPr>
            <w:r>
              <w:rPr>
                <w:rFonts w:ascii="Times New Roman" w:cs="Times New Roman" w:eastAsia="Times New Roman" w:hAnsi="Times New Roman"/>
                <w:sz w:val="20"/>
                <w:szCs w:val="20"/>
                <w:color w:val="auto"/>
                <w:w w:val="99"/>
              </w:rPr>
              <w:t>Section 9.12</w:t>
            </w:r>
          </w:p>
        </w:tc>
        <w:tc>
          <w:tcPr>
            <w:tcW w:w="124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rPr>
              <w:t>Severability</w:t>
            </w:r>
          </w:p>
        </w:tc>
        <w:tc>
          <w:tcPr>
            <w:tcW w:w="38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FF0000"/>
                <w:strike w:val="1"/>
              </w:rPr>
              <w:t>173</w:t>
            </w:r>
          </w:p>
        </w:tc>
        <w:tc>
          <w:tcPr>
            <w:tcW w:w="32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20"/>
                <w:szCs w:val="20"/>
                <w:b w:val="1"/>
                <w:bCs w:val="1"/>
                <w:color w:val="0000FF"/>
                <w:w w:val="93"/>
              </w:rPr>
              <w:t>178</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0000FF"/>
                <w:w w:val="93"/>
              </w:rPr>
              <w:t>178</w:t>
            </w:r>
          </w:p>
        </w:tc>
        <w:tc>
          <w:tcPr>
            <w:tcW w:w="0" w:type="dxa"/>
            <w:vAlign w:val="bottom"/>
          </w:tcPr>
          <w:p>
            <w:pPr>
              <w:spacing w:after="0"/>
              <w:rPr>
                <w:sz w:val="1"/>
                <w:szCs w:val="1"/>
                <w:color w:val="auto"/>
              </w:rPr>
            </w:pPr>
          </w:p>
        </w:tc>
      </w:tr>
      <w:tr>
        <w:trPr>
          <w:trHeight w:val="228"/>
        </w:trPr>
        <w:tc>
          <w:tcPr>
            <w:tcW w:w="1020" w:type="dxa"/>
            <w:vAlign w:val="bottom"/>
          </w:tcPr>
          <w:p>
            <w:pPr>
              <w:spacing w:after="0" w:line="223" w:lineRule="exact"/>
              <w:rPr>
                <w:sz w:val="20"/>
                <w:szCs w:val="20"/>
                <w:color w:val="auto"/>
              </w:rPr>
            </w:pPr>
            <w:r>
              <w:rPr>
                <w:rFonts w:ascii="Times New Roman" w:cs="Times New Roman" w:eastAsia="Times New Roman" w:hAnsi="Times New Roman"/>
                <w:sz w:val="20"/>
                <w:szCs w:val="20"/>
                <w:color w:val="auto"/>
                <w:w w:val="99"/>
              </w:rPr>
              <w:t>Section 9.13</w:t>
            </w:r>
          </w:p>
        </w:tc>
        <w:tc>
          <w:tcPr>
            <w:tcW w:w="6860" w:type="dxa"/>
            <w:vAlign w:val="bottom"/>
            <w:gridSpan w:val="61"/>
          </w:tcPr>
          <w:p>
            <w:pPr>
              <w:ind w:left="160"/>
              <w:spacing w:after="0" w:line="223" w:lineRule="exact"/>
              <w:rPr>
                <w:sz w:val="20"/>
                <w:szCs w:val="20"/>
                <w:color w:val="auto"/>
              </w:rPr>
            </w:pPr>
            <w:r>
              <w:rPr>
                <w:rFonts w:ascii="Times New Roman" w:cs="Times New Roman" w:eastAsia="Times New Roman" w:hAnsi="Times New Roman"/>
                <w:sz w:val="20"/>
                <w:szCs w:val="20"/>
                <w:color w:val="auto"/>
              </w:rPr>
              <w:t>Counterparts; Electronic Execution of Assignments and Certain Other Documents</w:t>
            </w:r>
          </w:p>
        </w:tc>
        <w:tc>
          <w:tcPr>
            <w:tcW w:w="2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FF0000"/>
                <w:strike w:val="1"/>
                <w:w w:val="86"/>
              </w:rPr>
              <w:t>173</w:t>
            </w:r>
          </w:p>
        </w:tc>
        <w:tc>
          <w:tcPr>
            <w:tcW w:w="300" w:type="dxa"/>
            <w:vAlign w:val="bottom"/>
            <w:tcBorders>
              <w:bottom w:val="single" w:sz="8" w:color="0000FF"/>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1020" w:type="dxa"/>
            <w:vAlign w:val="bottom"/>
          </w:tcPr>
          <w:p>
            <w:pPr>
              <w:spacing w:after="0"/>
              <w:rPr>
                <w:sz w:val="20"/>
                <w:szCs w:val="20"/>
                <w:color w:val="auto"/>
              </w:rPr>
            </w:pPr>
            <w:r>
              <w:rPr>
                <w:rFonts w:ascii="Times New Roman" w:cs="Times New Roman" w:eastAsia="Times New Roman" w:hAnsi="Times New Roman"/>
                <w:sz w:val="20"/>
                <w:szCs w:val="20"/>
                <w:color w:val="auto"/>
                <w:w w:val="99"/>
              </w:rPr>
              <w:t>Section 9.14</w:t>
            </w:r>
          </w:p>
        </w:tc>
        <w:tc>
          <w:tcPr>
            <w:tcW w:w="110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Headings</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FF0000"/>
                <w:strike w:val="1"/>
                <w:w w:val="93"/>
              </w:rPr>
              <w:t>174</w:t>
            </w:r>
          </w:p>
        </w:tc>
        <w:tc>
          <w:tcPr>
            <w:tcW w:w="300" w:type="dxa"/>
            <w:vAlign w:val="bottom"/>
            <w:tcBorders>
              <w:bottom w:val="single" w:sz="8" w:color="0000FF"/>
            </w:tcBorders>
            <w:gridSpan w:val="5"/>
          </w:tcPr>
          <w:p>
            <w:pPr>
              <w:jc w:val="right"/>
              <w:spacing w:after="0"/>
              <w:rPr>
                <w:sz w:val="20"/>
                <w:szCs w:val="20"/>
                <w:color w:val="auto"/>
              </w:rPr>
            </w:pPr>
            <w:r>
              <w:rPr>
                <w:rFonts w:ascii="Times New Roman" w:cs="Times New Roman" w:eastAsia="Times New Roman" w:hAnsi="Times New Roman"/>
                <w:sz w:val="20"/>
                <w:szCs w:val="20"/>
                <w:b w:val="1"/>
                <w:bCs w:val="1"/>
                <w:color w:val="0000FF"/>
                <w:w w:val="93"/>
              </w:rPr>
              <w:t>179</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gridSpan w:val="3"/>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gridSpan w:val="3"/>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0000FF"/>
                <w:w w:val="93"/>
              </w:rPr>
              <w:t>179</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1020" w:type="dxa"/>
            <w:vAlign w:val="bottom"/>
          </w:tcPr>
          <w:p>
            <w:pPr>
              <w:spacing w:after="0"/>
              <w:rPr>
                <w:sz w:val="20"/>
                <w:szCs w:val="20"/>
                <w:color w:val="auto"/>
              </w:rPr>
            </w:pPr>
            <w:r>
              <w:rPr>
                <w:rFonts w:ascii="Times New Roman" w:cs="Times New Roman" w:eastAsia="Times New Roman" w:hAnsi="Times New Roman"/>
                <w:sz w:val="20"/>
                <w:szCs w:val="20"/>
                <w:color w:val="auto"/>
                <w:w w:val="99"/>
              </w:rPr>
              <w:t>Section 9.15</w:t>
            </w:r>
          </w:p>
        </w:tc>
        <w:tc>
          <w:tcPr>
            <w:tcW w:w="3660" w:type="dxa"/>
            <w:vAlign w:val="bottom"/>
            <w:gridSpan w:val="46"/>
          </w:tcPr>
          <w:p>
            <w:pPr>
              <w:ind w:left="160"/>
              <w:spacing w:after="0"/>
              <w:rPr>
                <w:sz w:val="20"/>
                <w:szCs w:val="20"/>
                <w:color w:val="auto"/>
              </w:rPr>
            </w:pPr>
            <w:r>
              <w:rPr>
                <w:rFonts w:ascii="Times New Roman" w:cs="Times New Roman" w:eastAsia="Times New Roman" w:hAnsi="Times New Roman"/>
                <w:sz w:val="20"/>
                <w:szCs w:val="20"/>
                <w:color w:val="auto"/>
              </w:rPr>
              <w:t>Jurisdiction; Consent to Service of Process</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FF0000"/>
                <w:strike w:val="1"/>
              </w:rPr>
              <w:t>174</w:t>
            </w:r>
          </w:p>
        </w:tc>
        <w:tc>
          <w:tcPr>
            <w:tcW w:w="300" w:type="dxa"/>
            <w:vAlign w:val="bottom"/>
            <w:tcBorders>
              <w:bottom w:val="single" w:sz="8" w:color="0000FF"/>
            </w:tcBorders>
            <w:gridSpan w:val="3"/>
            <w:vMerge w:val="continue"/>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020" w:type="dxa"/>
            <w:vAlign w:val="bottom"/>
          </w:tcPr>
          <w:p>
            <w:pPr>
              <w:spacing w:after="0" w:line="223" w:lineRule="exact"/>
              <w:rPr>
                <w:sz w:val="20"/>
                <w:szCs w:val="20"/>
                <w:color w:val="auto"/>
              </w:rPr>
            </w:pPr>
            <w:r>
              <w:rPr>
                <w:rFonts w:ascii="Times New Roman" w:cs="Times New Roman" w:eastAsia="Times New Roman" w:hAnsi="Times New Roman"/>
                <w:sz w:val="20"/>
                <w:szCs w:val="20"/>
                <w:color w:val="auto"/>
                <w:w w:val="99"/>
              </w:rPr>
              <w:t>Section 9.16</w:t>
            </w:r>
          </w:p>
        </w:tc>
        <w:tc>
          <w:tcPr>
            <w:tcW w:w="1360" w:type="dxa"/>
            <w:vAlign w:val="bottom"/>
            <w:gridSpan w:val="4"/>
          </w:tcPr>
          <w:p>
            <w:pPr>
              <w:ind w:left="160"/>
              <w:spacing w:after="0" w:line="223" w:lineRule="exact"/>
              <w:rPr>
                <w:sz w:val="20"/>
                <w:szCs w:val="20"/>
                <w:color w:val="auto"/>
              </w:rPr>
            </w:pPr>
            <w:r>
              <w:rPr>
                <w:rFonts w:ascii="Times New Roman" w:cs="Times New Roman" w:eastAsia="Times New Roman" w:hAnsi="Times New Roman"/>
                <w:sz w:val="20"/>
                <w:szCs w:val="20"/>
                <w:color w:val="auto"/>
                <w:w w:val="97"/>
              </w:rPr>
              <w:t>Confidentiality</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gridSpan w:val="9"/>
          </w:tcPr>
          <w:p>
            <w:pPr>
              <w:jc w:val="right"/>
              <w:spacing w:after="0" w:line="223" w:lineRule="exact"/>
              <w:rPr>
                <w:sz w:val="20"/>
                <w:szCs w:val="20"/>
                <w:color w:val="auto"/>
              </w:rPr>
            </w:pPr>
            <w:r>
              <w:rPr>
                <w:rFonts w:ascii="Times New Roman" w:cs="Times New Roman" w:eastAsia="Times New Roman" w:hAnsi="Times New Roman"/>
                <w:sz w:val="20"/>
                <w:szCs w:val="20"/>
                <w:color w:val="FF0000"/>
                <w:strike w:val="1"/>
                <w:w w:val="99"/>
              </w:rPr>
              <w:t>174</w:t>
            </w:r>
          </w:p>
        </w:tc>
        <w:tc>
          <w:tcPr>
            <w:tcW w:w="280" w:type="dxa"/>
            <w:vAlign w:val="bottom"/>
            <w:gridSpan w:val="7"/>
          </w:tcPr>
          <w:p>
            <w:pPr>
              <w:jc w:val="right"/>
              <w:spacing w:after="0" w:line="223" w:lineRule="exact"/>
              <w:rPr>
                <w:sz w:val="20"/>
                <w:szCs w:val="20"/>
                <w:color w:val="auto"/>
              </w:rPr>
            </w:pPr>
            <w:r>
              <w:rPr>
                <w:rFonts w:ascii="Times New Roman" w:cs="Times New Roman" w:eastAsia="Times New Roman" w:hAnsi="Times New Roman"/>
                <w:sz w:val="20"/>
                <w:szCs w:val="20"/>
                <w:b w:val="1"/>
                <w:bCs w:val="1"/>
                <w:color w:val="0000FF"/>
                <w:w w:val="86"/>
              </w:rPr>
              <w:t>179</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gridSpan w:val="6"/>
            <w:vMerge w:val="restart"/>
          </w:tcPr>
          <w:p>
            <w:pPr>
              <w:jc w:val="right"/>
              <w:ind w:right="21"/>
              <w:spacing w:after="0"/>
              <w:rPr>
                <w:sz w:val="20"/>
                <w:szCs w:val="20"/>
                <w:color w:val="auto"/>
              </w:rPr>
            </w:pPr>
            <w:r>
              <w:rPr>
                <w:rFonts w:ascii="Times New Roman" w:cs="Times New Roman" w:eastAsia="Times New Roman" w:hAnsi="Times New Roman"/>
                <w:sz w:val="20"/>
                <w:szCs w:val="20"/>
                <w:b w:val="1"/>
                <w:bCs w:val="1"/>
                <w:color w:val="0000FF"/>
                <w:w w:val="93"/>
              </w:rPr>
              <w:t>180</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80" w:type="dxa"/>
            <w:vAlign w:val="bottom"/>
            <w:tcBorders>
              <w:right w:val="single" w:sz="8" w:color="0000FF"/>
            </w:tcBorders>
            <w:gridSpan w:val="7"/>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6"/>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020" w:type="dxa"/>
            <w:vAlign w:val="bottom"/>
          </w:tcPr>
          <w:p>
            <w:pPr>
              <w:spacing w:after="0"/>
              <w:rPr>
                <w:sz w:val="20"/>
                <w:szCs w:val="20"/>
                <w:color w:val="auto"/>
              </w:rPr>
            </w:pPr>
            <w:r>
              <w:rPr>
                <w:rFonts w:ascii="Times New Roman" w:cs="Times New Roman" w:eastAsia="Times New Roman" w:hAnsi="Times New Roman"/>
                <w:sz w:val="20"/>
                <w:szCs w:val="20"/>
                <w:color w:val="auto"/>
                <w:w w:val="99"/>
              </w:rPr>
              <w:t>Section 9.17</w:t>
            </w:r>
          </w:p>
        </w:tc>
        <w:tc>
          <w:tcPr>
            <w:tcW w:w="2540" w:type="dxa"/>
            <w:vAlign w:val="bottom"/>
            <w:gridSpan w:val="27"/>
          </w:tcPr>
          <w:p>
            <w:pPr>
              <w:ind w:left="160"/>
              <w:spacing w:after="0"/>
              <w:rPr>
                <w:sz w:val="20"/>
                <w:szCs w:val="20"/>
                <w:color w:val="auto"/>
              </w:rPr>
            </w:pPr>
            <w:r>
              <w:rPr>
                <w:rFonts w:ascii="Times New Roman" w:cs="Times New Roman" w:eastAsia="Times New Roman" w:hAnsi="Times New Roman"/>
                <w:sz w:val="20"/>
                <w:szCs w:val="20"/>
                <w:color w:val="auto"/>
                <w:w w:val="99"/>
              </w:rPr>
              <w:t>Platform; Borrower Materials</w:t>
            </w:r>
          </w:p>
        </w:tc>
        <w:tc>
          <w:tcPr>
            <w:tcW w:w="160" w:type="dxa"/>
            <w:vAlign w:val="bottom"/>
            <w:gridSpan w:val="4"/>
          </w:tcPr>
          <w:p>
            <w:pPr>
              <w:spacing w:after="0"/>
              <w:rPr>
                <w:sz w:val="20"/>
                <w:szCs w:val="20"/>
                <w:color w:val="auto"/>
              </w:rPr>
            </w:pPr>
          </w:p>
        </w:tc>
        <w:tc>
          <w:tcPr>
            <w:tcW w:w="300" w:type="dxa"/>
            <w:vAlign w:val="bottom"/>
            <w:gridSpan w:val="6"/>
          </w:tcPr>
          <w:p>
            <w:pPr>
              <w:jc w:val="right"/>
              <w:spacing w:after="0"/>
              <w:rPr>
                <w:sz w:val="20"/>
                <w:szCs w:val="20"/>
                <w:color w:val="auto"/>
              </w:rPr>
            </w:pPr>
            <w:r>
              <w:rPr>
                <w:rFonts w:ascii="Times New Roman" w:cs="Times New Roman" w:eastAsia="Times New Roman" w:hAnsi="Times New Roman"/>
                <w:sz w:val="20"/>
                <w:szCs w:val="20"/>
                <w:color w:val="FF0000"/>
                <w:strike w:val="1"/>
                <w:w w:val="93"/>
              </w:rPr>
              <w:t>175</w:t>
            </w:r>
          </w:p>
        </w:tc>
        <w:tc>
          <w:tcPr>
            <w:tcW w:w="420" w:type="dxa"/>
            <w:vAlign w:val="bottom"/>
            <w:gridSpan w:val="6"/>
            <w:vMerge w:val="continue"/>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80" w:type="dxa"/>
            <w:vAlign w:val="bottom"/>
            <w:gridSpan w:val="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300" w:type="dxa"/>
            <w:vAlign w:val="bottom"/>
            <w:gridSpan w:val="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right w:val="single" w:sz="8" w:color="0000FF"/>
            </w:tcBorders>
            <w:gridSpan w:val="5"/>
            <w:shd w:val="clear" w:color="auto" w:fill="0000FF"/>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20" w:type="dxa"/>
            <w:vAlign w:val="bottom"/>
          </w:tcPr>
          <w:p>
            <w:pPr>
              <w:spacing w:after="0" w:line="223" w:lineRule="exact"/>
              <w:rPr>
                <w:sz w:val="20"/>
                <w:szCs w:val="20"/>
                <w:color w:val="auto"/>
              </w:rPr>
            </w:pPr>
            <w:r>
              <w:rPr>
                <w:rFonts w:ascii="Times New Roman" w:cs="Times New Roman" w:eastAsia="Times New Roman" w:hAnsi="Times New Roman"/>
                <w:sz w:val="20"/>
                <w:szCs w:val="20"/>
                <w:color w:val="auto"/>
                <w:w w:val="99"/>
              </w:rPr>
              <w:t>Section 9.18</w:t>
            </w:r>
          </w:p>
        </w:tc>
        <w:tc>
          <w:tcPr>
            <w:tcW w:w="2840" w:type="dxa"/>
            <w:vAlign w:val="bottom"/>
            <w:gridSpan w:val="35"/>
          </w:tcPr>
          <w:p>
            <w:pPr>
              <w:ind w:left="160"/>
              <w:spacing w:after="0" w:line="223" w:lineRule="exact"/>
              <w:rPr>
                <w:sz w:val="20"/>
                <w:szCs w:val="20"/>
                <w:color w:val="auto"/>
              </w:rPr>
            </w:pPr>
            <w:r>
              <w:rPr>
                <w:rFonts w:ascii="Times New Roman" w:cs="Times New Roman" w:eastAsia="Times New Roman" w:hAnsi="Times New Roman"/>
                <w:sz w:val="20"/>
                <w:szCs w:val="20"/>
                <w:color w:val="auto"/>
              </w:rPr>
              <w:t>Release of Liens and Guarantees</w:t>
            </w:r>
          </w:p>
        </w:tc>
        <w:tc>
          <w:tcPr>
            <w:tcW w:w="40" w:type="dxa"/>
            <w:vAlign w:val="bottom"/>
          </w:tcPr>
          <w:p>
            <w:pPr>
              <w:spacing w:after="0"/>
              <w:rPr>
                <w:sz w:val="19"/>
                <w:szCs w:val="19"/>
                <w:color w:val="auto"/>
              </w:rPr>
            </w:pPr>
          </w:p>
        </w:tc>
        <w:tc>
          <w:tcPr>
            <w:tcW w:w="420" w:type="dxa"/>
            <w:vAlign w:val="bottom"/>
            <w:gridSpan w:val="6"/>
          </w:tcPr>
          <w:p>
            <w:pPr>
              <w:jc w:val="right"/>
              <w:spacing w:after="0" w:line="223" w:lineRule="exact"/>
              <w:rPr>
                <w:sz w:val="20"/>
                <w:szCs w:val="20"/>
                <w:color w:val="auto"/>
              </w:rPr>
            </w:pPr>
            <w:r>
              <w:rPr>
                <w:rFonts w:ascii="Times New Roman" w:cs="Times New Roman" w:eastAsia="Times New Roman" w:hAnsi="Times New Roman"/>
                <w:sz w:val="20"/>
                <w:szCs w:val="20"/>
                <w:color w:val="FF0000"/>
                <w:strike w:val="1"/>
              </w:rPr>
              <w:t>175</w:t>
            </w:r>
          </w:p>
        </w:tc>
        <w:tc>
          <w:tcPr>
            <w:tcW w:w="240" w:type="dxa"/>
            <w:vAlign w:val="bottom"/>
            <w:tcBorders>
              <w:bottom w:val="single" w:sz="8" w:color="0000FF"/>
            </w:tcBorders>
            <w:gridSpan w:val="3"/>
          </w:tcPr>
          <w:p>
            <w:pPr>
              <w:jc w:val="right"/>
              <w:spacing w:after="0" w:line="223" w:lineRule="exact"/>
              <w:rPr>
                <w:sz w:val="20"/>
                <w:szCs w:val="20"/>
                <w:color w:val="auto"/>
              </w:rPr>
            </w:pPr>
            <w:r>
              <w:rPr>
                <w:rFonts w:ascii="Times New Roman" w:cs="Times New Roman" w:eastAsia="Times New Roman" w:hAnsi="Times New Roman"/>
                <w:sz w:val="20"/>
                <w:szCs w:val="20"/>
                <w:b w:val="1"/>
                <w:bCs w:val="1"/>
                <w:color w:val="0000FF"/>
                <w:w w:val="73"/>
              </w:rPr>
              <w:t>180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1440" w:gutter="0" w:footer="0" w:header="0"/>
        </w:sectPr>
      </w:pPr>
    </w:p>
    <w:bookmarkStart w:id="185" w:name="page186"/>
    <w:bookmarkEnd w:id="185"/>
    <w:p>
      <w:pPr>
        <w:jc w:val="right"/>
        <w:spacing w:after="0"/>
        <w:rPr>
          <w:sz w:val="20"/>
          <w:szCs w:val="20"/>
          <w:color w:val="auto"/>
        </w:rPr>
      </w:pPr>
      <w:r>
        <w:rPr>
          <w:rFonts w:ascii="Times New Roman" w:cs="Times New Roman" w:eastAsia="Times New Roman" w:hAnsi="Times New Roman"/>
          <w:sz w:val="22"/>
          <w:szCs w:val="22"/>
          <w:color w:val="FF0000"/>
          <w:strike w:val="1"/>
        </w:rPr>
        <w:t>ANNEX</w:t>
      </w:r>
      <w:r>
        <w:rPr>
          <w:rFonts w:ascii="Times New Roman" w:cs="Times New Roman" w:eastAsia="Times New Roman" w:hAnsi="Times New Roman"/>
          <w:sz w:val="22"/>
          <w:szCs w:val="22"/>
          <w:b w:val="1"/>
          <w:bCs w:val="1"/>
          <w:u w:val="single" w:color="auto"/>
          <w:color w:val="0000FF"/>
        </w:rPr>
        <w:t>EXHIBIT</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10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Section 9.19</w:t>
            </w:r>
          </w:p>
        </w:tc>
        <w:tc>
          <w:tcPr>
            <w:tcW w:w="18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0"/>
                <w:szCs w:val="20"/>
                <w:color w:val="auto"/>
              </w:rPr>
              <w:t>Judgment Currency</w:t>
            </w:r>
          </w:p>
        </w:tc>
        <w:tc>
          <w:tcPr>
            <w:tcW w:w="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FF0000"/>
                <w:strike w:val="1"/>
                <w:w w:val="86"/>
              </w:rPr>
              <w:t>177</w:t>
            </w:r>
          </w:p>
        </w:tc>
        <w:tc>
          <w:tcPr>
            <w:tcW w:w="300" w:type="dxa"/>
            <w:vAlign w:val="bottom"/>
            <w:gridSpan w:val="3"/>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0000FF"/>
                <w:w w:val="93"/>
              </w:rPr>
              <w:t>182</w:t>
            </w:r>
          </w:p>
        </w:tc>
        <w:tc>
          <w:tcPr>
            <w:tcW w:w="20" w:type="dxa"/>
            <w:vAlign w:val="bottom"/>
            <w:vMerge w:val="restart"/>
          </w:tcPr>
          <w:p>
            <w:pPr>
              <w:spacing w:after="0"/>
              <w:rPr>
                <w:sz w:val="3"/>
                <w:szCs w:val="3"/>
                <w:color w:val="auto"/>
              </w:rPr>
            </w:pPr>
          </w:p>
        </w:tc>
        <w:tc>
          <w:tcPr>
            <w:tcW w:w="180" w:type="dxa"/>
            <w:vAlign w:val="bottom"/>
            <w:vMerge w:val="restart"/>
          </w:tcPr>
          <w:p>
            <w:pPr>
              <w:spacing w:after="0"/>
              <w:rPr>
                <w:sz w:val="3"/>
                <w:szCs w:val="3"/>
                <w:color w:val="auto"/>
              </w:rPr>
            </w:pPr>
          </w:p>
        </w:tc>
        <w:tc>
          <w:tcPr>
            <w:tcW w:w="100" w:type="dxa"/>
            <w:vAlign w:val="bottom"/>
            <w:vMerge w:val="restart"/>
          </w:tcPr>
          <w:p>
            <w:pPr>
              <w:spacing w:after="0"/>
              <w:rPr>
                <w:sz w:val="3"/>
                <w:szCs w:val="3"/>
                <w:color w:val="auto"/>
              </w:rPr>
            </w:pPr>
          </w:p>
        </w:tc>
        <w:tc>
          <w:tcPr>
            <w:tcW w:w="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0000FF"/>
                <w:w w:val="93"/>
              </w:rPr>
              <w:t>182</w:t>
            </w:r>
          </w:p>
        </w:tc>
        <w:tc>
          <w:tcPr>
            <w:tcW w:w="200" w:type="dxa"/>
            <w:vAlign w:val="bottom"/>
            <w:vMerge w:val="restart"/>
          </w:tcPr>
          <w:p>
            <w:pPr>
              <w:spacing w:after="0"/>
              <w:rPr>
                <w:sz w:val="3"/>
                <w:szCs w:val="3"/>
                <w:color w:val="auto"/>
              </w:rPr>
            </w:pPr>
          </w:p>
        </w:tc>
        <w:tc>
          <w:tcPr>
            <w:tcW w:w="300" w:type="dxa"/>
            <w:vAlign w:val="bottom"/>
            <w:vMerge w:val="restart"/>
          </w:tcPr>
          <w:p>
            <w:pPr>
              <w:spacing w:after="0"/>
              <w:rPr>
                <w:sz w:val="3"/>
                <w:szCs w:val="3"/>
                <w:color w:val="auto"/>
              </w:rPr>
            </w:pPr>
          </w:p>
        </w:tc>
        <w:tc>
          <w:tcPr>
            <w:tcW w:w="300" w:type="dxa"/>
            <w:vAlign w:val="bottom"/>
            <w:vMerge w:val="restart"/>
          </w:tcPr>
          <w:p>
            <w:pPr>
              <w:spacing w:after="0"/>
              <w:rPr>
                <w:sz w:val="3"/>
                <w:szCs w:val="3"/>
                <w:color w:val="auto"/>
              </w:rPr>
            </w:pPr>
          </w:p>
        </w:tc>
        <w:tc>
          <w:tcPr>
            <w:tcW w:w="300" w:type="dxa"/>
            <w:vAlign w:val="bottom"/>
            <w:vMerge w:val="restart"/>
          </w:tcPr>
          <w:p>
            <w:pPr>
              <w:spacing w:after="0"/>
              <w:rPr>
                <w:sz w:val="3"/>
                <w:szCs w:val="3"/>
                <w:color w:val="auto"/>
              </w:rPr>
            </w:pPr>
          </w:p>
        </w:tc>
        <w:tc>
          <w:tcPr>
            <w:tcW w:w="300" w:type="dxa"/>
            <w:vAlign w:val="bottom"/>
            <w:vMerge w:val="restart"/>
          </w:tcPr>
          <w:p>
            <w:pPr>
              <w:spacing w:after="0"/>
              <w:rPr>
                <w:sz w:val="3"/>
                <w:szCs w:val="3"/>
                <w:color w:val="auto"/>
              </w:rPr>
            </w:pPr>
          </w:p>
        </w:tc>
        <w:tc>
          <w:tcPr>
            <w:tcW w:w="280" w:type="dxa"/>
            <w:vAlign w:val="bottom"/>
            <w:vMerge w:val="restart"/>
          </w:tcPr>
          <w:p>
            <w:pPr>
              <w:spacing w:after="0"/>
              <w:rPr>
                <w:sz w:val="3"/>
                <w:szCs w:val="3"/>
                <w:color w:val="auto"/>
              </w:rPr>
            </w:pPr>
          </w:p>
        </w:tc>
        <w:tc>
          <w:tcPr>
            <w:tcW w:w="300" w:type="dxa"/>
            <w:vAlign w:val="bottom"/>
            <w:vMerge w:val="restart"/>
          </w:tcPr>
          <w:p>
            <w:pPr>
              <w:spacing w:after="0"/>
              <w:rPr>
                <w:sz w:val="3"/>
                <w:szCs w:val="3"/>
                <w:color w:val="auto"/>
              </w:rPr>
            </w:pPr>
          </w:p>
        </w:tc>
        <w:tc>
          <w:tcPr>
            <w:tcW w:w="1200" w:type="dxa"/>
            <w:vAlign w:val="bottom"/>
            <w:vMerge w:val="restart"/>
          </w:tcPr>
          <w:p>
            <w:pPr>
              <w:spacing w:after="0"/>
              <w:rPr>
                <w:sz w:val="3"/>
                <w:szCs w:val="3"/>
                <w:color w:val="auto"/>
              </w:rPr>
            </w:pPr>
          </w:p>
        </w:tc>
        <w:tc>
          <w:tcPr>
            <w:tcW w:w="300" w:type="dxa"/>
            <w:vAlign w:val="bottom"/>
            <w:vMerge w:val="restart"/>
          </w:tcPr>
          <w:p>
            <w:pPr>
              <w:spacing w:after="0"/>
              <w:rPr>
                <w:sz w:val="3"/>
                <w:szCs w:val="3"/>
                <w:color w:val="auto"/>
              </w:rPr>
            </w:pPr>
          </w:p>
        </w:tc>
        <w:tc>
          <w:tcPr>
            <w:tcW w:w="300" w:type="dxa"/>
            <w:vAlign w:val="bottom"/>
            <w:vMerge w:val="restart"/>
          </w:tcPr>
          <w:p>
            <w:pPr>
              <w:spacing w:after="0"/>
              <w:rPr>
                <w:sz w:val="3"/>
                <w:szCs w:val="3"/>
                <w:color w:val="auto"/>
              </w:rPr>
            </w:pPr>
          </w:p>
        </w:tc>
        <w:tc>
          <w:tcPr>
            <w:tcW w:w="64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195"/>
        </w:trPr>
        <w:tc>
          <w:tcPr>
            <w:tcW w:w="1080" w:type="dxa"/>
            <w:vAlign w:val="bottom"/>
            <w:vMerge w:val="continue"/>
          </w:tcPr>
          <w:p>
            <w:pPr>
              <w:spacing w:after="0"/>
              <w:rPr>
                <w:sz w:val="16"/>
                <w:szCs w:val="16"/>
                <w:color w:val="auto"/>
              </w:rPr>
            </w:pPr>
          </w:p>
        </w:tc>
        <w:tc>
          <w:tcPr>
            <w:tcW w:w="1860" w:type="dxa"/>
            <w:vAlign w:val="bottom"/>
            <w:gridSpan w:val="2"/>
            <w:vMerge w:val="continue"/>
          </w:tcPr>
          <w:p>
            <w:pPr>
              <w:spacing w:after="0"/>
              <w:rPr>
                <w:sz w:val="16"/>
                <w:szCs w:val="16"/>
                <w:color w:val="auto"/>
              </w:rPr>
            </w:pPr>
          </w:p>
        </w:tc>
        <w:tc>
          <w:tcPr>
            <w:tcW w:w="280" w:type="dxa"/>
            <w:vAlign w:val="bottom"/>
            <w:gridSpan w:val="2"/>
            <w:vMerge w:val="continue"/>
          </w:tcPr>
          <w:p>
            <w:pPr>
              <w:spacing w:after="0"/>
              <w:rPr>
                <w:sz w:val="16"/>
                <w:szCs w:val="16"/>
                <w:color w:val="auto"/>
              </w:rPr>
            </w:pPr>
          </w:p>
        </w:tc>
        <w:tc>
          <w:tcPr>
            <w:tcW w:w="300" w:type="dxa"/>
            <w:vAlign w:val="bottom"/>
            <w:tcBorders>
              <w:bottom w:val="single" w:sz="8" w:color="0000FF"/>
            </w:tcBorders>
            <w:gridSpan w:val="3"/>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300" w:type="dxa"/>
            <w:vAlign w:val="bottom"/>
            <w:gridSpan w:val="2"/>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300" w:type="dxa"/>
            <w:vAlign w:val="bottom"/>
            <w:vMerge w:val="continue"/>
          </w:tcPr>
          <w:p>
            <w:pPr>
              <w:spacing w:after="0"/>
              <w:rPr>
                <w:sz w:val="16"/>
                <w:szCs w:val="16"/>
                <w:color w:val="auto"/>
              </w:rPr>
            </w:pPr>
          </w:p>
        </w:tc>
        <w:tc>
          <w:tcPr>
            <w:tcW w:w="300" w:type="dxa"/>
            <w:vAlign w:val="bottom"/>
            <w:vMerge w:val="continue"/>
          </w:tcPr>
          <w:p>
            <w:pPr>
              <w:spacing w:after="0"/>
              <w:rPr>
                <w:sz w:val="16"/>
                <w:szCs w:val="16"/>
                <w:color w:val="auto"/>
              </w:rPr>
            </w:pPr>
          </w:p>
        </w:tc>
        <w:tc>
          <w:tcPr>
            <w:tcW w:w="300" w:type="dxa"/>
            <w:vAlign w:val="bottom"/>
            <w:vMerge w:val="continue"/>
          </w:tcPr>
          <w:p>
            <w:pPr>
              <w:spacing w:after="0"/>
              <w:rPr>
                <w:sz w:val="16"/>
                <w:szCs w:val="16"/>
                <w:color w:val="auto"/>
              </w:rPr>
            </w:pPr>
          </w:p>
        </w:tc>
        <w:tc>
          <w:tcPr>
            <w:tcW w:w="300" w:type="dxa"/>
            <w:vAlign w:val="bottom"/>
            <w:vMerge w:val="continue"/>
          </w:tcPr>
          <w:p>
            <w:pPr>
              <w:spacing w:after="0"/>
              <w:rPr>
                <w:sz w:val="16"/>
                <w:szCs w:val="16"/>
                <w:color w:val="auto"/>
              </w:rPr>
            </w:pPr>
          </w:p>
        </w:tc>
        <w:tc>
          <w:tcPr>
            <w:tcW w:w="280" w:type="dxa"/>
            <w:vAlign w:val="bottom"/>
            <w:vMerge w:val="continue"/>
          </w:tcPr>
          <w:p>
            <w:pPr>
              <w:spacing w:after="0"/>
              <w:rPr>
                <w:sz w:val="16"/>
                <w:szCs w:val="16"/>
                <w:color w:val="auto"/>
              </w:rPr>
            </w:pPr>
          </w:p>
        </w:tc>
        <w:tc>
          <w:tcPr>
            <w:tcW w:w="300" w:type="dxa"/>
            <w:vAlign w:val="bottom"/>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300" w:type="dxa"/>
            <w:vAlign w:val="bottom"/>
            <w:vMerge w:val="continue"/>
          </w:tcPr>
          <w:p>
            <w:pPr>
              <w:spacing w:after="0"/>
              <w:rPr>
                <w:sz w:val="16"/>
                <w:szCs w:val="16"/>
                <w:color w:val="auto"/>
              </w:rPr>
            </w:pPr>
          </w:p>
        </w:tc>
        <w:tc>
          <w:tcPr>
            <w:tcW w:w="300" w:type="dxa"/>
            <w:vAlign w:val="bottom"/>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1080" w:type="dxa"/>
            <w:vAlign w:val="bottom"/>
          </w:tcPr>
          <w:p>
            <w:pPr>
              <w:spacing w:after="0"/>
              <w:rPr>
                <w:sz w:val="20"/>
                <w:szCs w:val="20"/>
                <w:color w:val="auto"/>
              </w:rPr>
            </w:pPr>
            <w:r>
              <w:rPr>
                <w:rFonts w:ascii="Times New Roman" w:cs="Times New Roman" w:eastAsia="Times New Roman" w:hAnsi="Times New Roman"/>
                <w:sz w:val="20"/>
                <w:szCs w:val="20"/>
                <w:color w:val="auto"/>
              </w:rPr>
              <w:t>Section 9.20</w:t>
            </w:r>
          </w:p>
        </w:tc>
        <w:tc>
          <w:tcPr>
            <w:tcW w:w="2460" w:type="dxa"/>
            <w:vAlign w:val="bottom"/>
            <w:gridSpan w:val="8"/>
          </w:tcPr>
          <w:p>
            <w:pPr>
              <w:ind w:left="100"/>
              <w:spacing w:after="0"/>
              <w:rPr>
                <w:sz w:val="20"/>
                <w:szCs w:val="20"/>
                <w:color w:val="auto"/>
              </w:rPr>
            </w:pPr>
            <w:r>
              <w:rPr>
                <w:rFonts w:ascii="Times New Roman" w:cs="Times New Roman" w:eastAsia="Times New Roman" w:hAnsi="Times New Roman"/>
                <w:sz w:val="20"/>
                <w:szCs w:val="20"/>
                <w:color w:val="auto"/>
              </w:rPr>
              <w:t>USA PATRIOT Act Notice</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FF0000"/>
                <w:strike w:val="1"/>
                <w:w w:val="86"/>
              </w:rPr>
              <w:t>178</w:t>
            </w:r>
          </w:p>
        </w:tc>
        <w:tc>
          <w:tcPr>
            <w:tcW w:w="300" w:type="dxa"/>
            <w:vAlign w:val="bottom"/>
            <w:tcBorders>
              <w:bottom w:val="single" w:sz="8" w:color="0000FF"/>
            </w:tcBorders>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080" w:type="dxa"/>
            <w:vAlign w:val="bottom"/>
          </w:tcPr>
          <w:p>
            <w:pPr>
              <w:spacing w:after="0" w:line="223" w:lineRule="exact"/>
              <w:rPr>
                <w:sz w:val="20"/>
                <w:szCs w:val="20"/>
                <w:color w:val="auto"/>
              </w:rPr>
            </w:pPr>
            <w:r>
              <w:rPr>
                <w:rFonts w:ascii="Times New Roman" w:cs="Times New Roman" w:eastAsia="Times New Roman" w:hAnsi="Times New Roman"/>
                <w:sz w:val="20"/>
                <w:szCs w:val="20"/>
                <w:color w:val="auto"/>
              </w:rPr>
              <w:t>Section 9.21</w:t>
            </w:r>
          </w:p>
        </w:tc>
        <w:tc>
          <w:tcPr>
            <w:tcW w:w="1660" w:type="dxa"/>
            <w:vAlign w:val="bottom"/>
          </w:tcPr>
          <w:p>
            <w:pPr>
              <w:ind w:left="100"/>
              <w:spacing w:after="0" w:line="223" w:lineRule="exact"/>
              <w:rPr>
                <w:sz w:val="20"/>
                <w:szCs w:val="20"/>
                <w:color w:val="auto"/>
              </w:rPr>
            </w:pPr>
            <w:r>
              <w:rPr>
                <w:rFonts w:ascii="Times New Roman" w:cs="Times New Roman" w:eastAsia="Times New Roman" w:hAnsi="Times New Roman"/>
                <w:sz w:val="20"/>
                <w:szCs w:val="20"/>
                <w:color w:val="auto"/>
              </w:rPr>
              <w:t>Affiliate Lenders</w:t>
            </w:r>
          </w:p>
        </w:tc>
        <w:tc>
          <w:tcPr>
            <w:tcW w:w="28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FF0000"/>
                <w:strike w:val="1"/>
                <w:w w:val="86"/>
              </w:rPr>
              <w:t>178</w:t>
            </w:r>
          </w:p>
        </w:tc>
        <w:tc>
          <w:tcPr>
            <w:tcW w:w="400" w:type="dxa"/>
            <w:vAlign w:val="bottom"/>
            <w:gridSpan w:val="3"/>
          </w:tcPr>
          <w:p>
            <w:pPr>
              <w:jc w:val="right"/>
              <w:ind w:right="100"/>
              <w:spacing w:after="0" w:line="223" w:lineRule="exact"/>
              <w:rPr>
                <w:sz w:val="20"/>
                <w:szCs w:val="20"/>
                <w:color w:val="auto"/>
              </w:rPr>
            </w:pPr>
            <w:r>
              <w:rPr>
                <w:rFonts w:ascii="Times New Roman" w:cs="Times New Roman" w:eastAsia="Times New Roman" w:hAnsi="Times New Roman"/>
                <w:sz w:val="20"/>
                <w:szCs w:val="20"/>
                <w:b w:val="1"/>
                <w:bCs w:val="1"/>
                <w:color w:val="0000FF"/>
                <w:w w:val="93"/>
              </w:rPr>
              <w:t>183</w:t>
            </w:r>
          </w:p>
        </w:tc>
        <w:tc>
          <w:tcPr>
            <w:tcW w:w="300" w:type="dxa"/>
            <w:vAlign w:val="bottom"/>
            <w:gridSpan w:val="3"/>
          </w:tcPr>
          <w:p>
            <w:pPr>
              <w:spacing w:after="0"/>
              <w:rPr>
                <w:sz w:val="19"/>
                <w:szCs w:val="19"/>
                <w:color w:val="auto"/>
              </w:rPr>
            </w:pPr>
          </w:p>
        </w:tc>
        <w:tc>
          <w:tcPr>
            <w:tcW w:w="300" w:type="dxa"/>
            <w:vAlign w:val="bottom"/>
            <w:gridSpan w:val="2"/>
          </w:tcPr>
          <w:p>
            <w:pPr>
              <w:spacing w:after="0"/>
              <w:rPr>
                <w:sz w:val="19"/>
                <w:szCs w:val="19"/>
                <w:color w:val="auto"/>
              </w:rPr>
            </w:pPr>
          </w:p>
        </w:tc>
        <w:tc>
          <w:tcPr>
            <w:tcW w:w="300" w:type="dxa"/>
            <w:vAlign w:val="bottom"/>
            <w:gridSpan w:val="2"/>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0000FF"/>
                <w:w w:val="93"/>
              </w:rPr>
              <w:t>184</w:t>
            </w:r>
          </w:p>
        </w:tc>
        <w:tc>
          <w:tcPr>
            <w:tcW w:w="280" w:type="dxa"/>
            <w:vAlign w:val="bottom"/>
            <w:vMerge w:val="restart"/>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vMerge w:val="continue"/>
          </w:tcPr>
          <w:p>
            <w:pPr>
              <w:spacing w:after="0" w:line="20" w:lineRule="exact"/>
              <w:rPr>
                <w:sz w:val="1"/>
                <w:szCs w:val="1"/>
                <w:color w:val="auto"/>
              </w:rPr>
            </w:pPr>
          </w:p>
        </w:tc>
        <w:tc>
          <w:tcPr>
            <w:tcW w:w="280" w:type="dxa"/>
            <w:vAlign w:val="bottom"/>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1080" w:type="dxa"/>
            <w:vAlign w:val="bottom"/>
          </w:tcPr>
          <w:p>
            <w:pPr>
              <w:spacing w:after="0"/>
              <w:rPr>
                <w:sz w:val="20"/>
                <w:szCs w:val="20"/>
                <w:color w:val="auto"/>
              </w:rPr>
            </w:pPr>
            <w:r>
              <w:rPr>
                <w:rFonts w:ascii="Times New Roman" w:cs="Times New Roman" w:eastAsia="Times New Roman" w:hAnsi="Times New Roman"/>
                <w:sz w:val="20"/>
                <w:szCs w:val="20"/>
                <w:color w:val="auto"/>
              </w:rPr>
              <w:t>Section 9.22</w:t>
            </w:r>
          </w:p>
        </w:tc>
        <w:tc>
          <w:tcPr>
            <w:tcW w:w="3840" w:type="dxa"/>
            <w:vAlign w:val="bottom"/>
            <w:gridSpan w:val="15"/>
          </w:tcPr>
          <w:p>
            <w:pPr>
              <w:ind w:left="100"/>
              <w:spacing w:after="0"/>
              <w:rPr>
                <w:sz w:val="20"/>
                <w:szCs w:val="20"/>
                <w:color w:val="auto"/>
              </w:rPr>
            </w:pPr>
            <w:r>
              <w:rPr>
                <w:rFonts w:ascii="Times New Roman" w:cs="Times New Roman" w:eastAsia="Times New Roman" w:hAnsi="Times New Roman"/>
                <w:sz w:val="20"/>
                <w:szCs w:val="20"/>
                <w:color w:val="auto"/>
              </w:rPr>
              <w:t>Agency of the Borrower for the Loan Parties</w:t>
            </w:r>
          </w:p>
        </w:tc>
        <w:tc>
          <w:tcPr>
            <w:tcW w:w="300" w:type="dxa"/>
            <w:vAlign w:val="bottom"/>
          </w:tcPr>
          <w:p>
            <w:pPr>
              <w:jc w:val="right"/>
              <w:spacing w:after="0"/>
              <w:rPr>
                <w:sz w:val="20"/>
                <w:szCs w:val="20"/>
                <w:color w:val="auto"/>
              </w:rPr>
            </w:pPr>
            <w:r>
              <w:rPr>
                <w:rFonts w:ascii="Times New Roman" w:cs="Times New Roman" w:eastAsia="Times New Roman" w:hAnsi="Times New Roman"/>
                <w:sz w:val="20"/>
                <w:szCs w:val="20"/>
                <w:color w:val="FF0000"/>
                <w:strike w:val="1"/>
                <w:w w:val="93"/>
              </w:rPr>
              <w:t>179</w:t>
            </w:r>
          </w:p>
        </w:tc>
        <w:tc>
          <w:tcPr>
            <w:tcW w:w="300" w:type="dxa"/>
            <w:vAlign w:val="bottom"/>
            <w:tcBorders>
              <w:bottom w:val="single" w:sz="8" w:color="0000FF"/>
            </w:tcBorders>
            <w:vMerge w:val="continue"/>
          </w:tcPr>
          <w:p>
            <w:pPr>
              <w:spacing w:after="0"/>
              <w:rPr>
                <w:sz w:val="20"/>
                <w:szCs w:val="20"/>
                <w:color w:val="auto"/>
              </w:rPr>
            </w:pPr>
          </w:p>
        </w:tc>
        <w:tc>
          <w:tcPr>
            <w:tcW w:w="28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080" w:type="dxa"/>
            <w:vAlign w:val="bottom"/>
          </w:tcPr>
          <w:p>
            <w:pPr>
              <w:spacing w:after="0" w:line="223" w:lineRule="exact"/>
              <w:rPr>
                <w:sz w:val="20"/>
                <w:szCs w:val="20"/>
                <w:color w:val="auto"/>
              </w:rPr>
            </w:pPr>
            <w:r>
              <w:rPr>
                <w:rFonts w:ascii="Times New Roman" w:cs="Times New Roman" w:eastAsia="Times New Roman" w:hAnsi="Times New Roman"/>
                <w:sz w:val="20"/>
                <w:szCs w:val="20"/>
                <w:color w:val="auto"/>
              </w:rPr>
              <w:t>Section 9.23</w:t>
            </w:r>
          </w:p>
        </w:tc>
        <w:tc>
          <w:tcPr>
            <w:tcW w:w="2940" w:type="dxa"/>
            <w:vAlign w:val="bottom"/>
            <w:gridSpan w:val="11"/>
          </w:tcPr>
          <w:p>
            <w:pPr>
              <w:ind w:left="100"/>
              <w:spacing w:after="0" w:line="223" w:lineRule="exact"/>
              <w:rPr>
                <w:sz w:val="20"/>
                <w:szCs w:val="20"/>
                <w:color w:val="auto"/>
              </w:rPr>
            </w:pPr>
            <w:r>
              <w:rPr>
                <w:rFonts w:ascii="Times New Roman" w:cs="Times New Roman" w:eastAsia="Times New Roman" w:hAnsi="Times New Roman"/>
                <w:sz w:val="20"/>
                <w:szCs w:val="20"/>
                <w:color w:val="auto"/>
              </w:rPr>
              <w:t>No Liability of the Issuing Banks</w:t>
            </w:r>
          </w:p>
        </w:tc>
        <w:tc>
          <w:tcPr>
            <w:tcW w:w="30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FF0000"/>
                <w:strike w:val="1"/>
                <w:w w:val="93"/>
              </w:rPr>
              <w:t>179</w:t>
            </w:r>
          </w:p>
        </w:tc>
        <w:tc>
          <w:tcPr>
            <w:tcW w:w="300" w:type="dxa"/>
            <w:vAlign w:val="bottom"/>
            <w:tcBorders>
              <w:bottom w:val="single" w:sz="8" w:color="0000FF"/>
            </w:tcBorders>
          </w:tcPr>
          <w:p>
            <w:pPr>
              <w:jc w:val="right"/>
              <w:spacing w:after="0" w:line="223" w:lineRule="exact"/>
              <w:rPr>
                <w:sz w:val="20"/>
                <w:szCs w:val="20"/>
                <w:color w:val="auto"/>
              </w:rPr>
            </w:pPr>
            <w:r>
              <w:rPr>
                <w:rFonts w:ascii="Times New Roman" w:cs="Times New Roman" w:eastAsia="Times New Roman" w:hAnsi="Times New Roman"/>
                <w:sz w:val="20"/>
                <w:szCs w:val="20"/>
                <w:b w:val="1"/>
                <w:bCs w:val="1"/>
                <w:color w:val="0000FF"/>
                <w:w w:val="93"/>
              </w:rPr>
              <w:t>184</w:t>
            </w:r>
          </w:p>
        </w:tc>
        <w:tc>
          <w:tcPr>
            <w:tcW w:w="900" w:type="dxa"/>
            <w:vAlign w:val="bottom"/>
            <w:gridSpan w:val="3"/>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gridSpan w:val="2"/>
            <w:vMerge w:val="restart"/>
          </w:tcPr>
          <w:p>
            <w:pPr>
              <w:jc w:val="right"/>
              <w:ind w:right="640"/>
              <w:spacing w:after="0"/>
              <w:rPr>
                <w:sz w:val="20"/>
                <w:szCs w:val="20"/>
                <w:color w:val="auto"/>
              </w:rPr>
            </w:pPr>
            <w:r>
              <w:rPr>
                <w:rFonts w:ascii="Times New Roman" w:cs="Times New Roman" w:eastAsia="Times New Roman" w:hAnsi="Times New Roman"/>
                <w:sz w:val="20"/>
                <w:szCs w:val="20"/>
                <w:b w:val="1"/>
                <w:bCs w:val="1"/>
                <w:color w:val="0000FF"/>
                <w:w w:val="93"/>
              </w:rPr>
              <w:t>184</w:t>
            </w:r>
          </w:p>
        </w:tc>
        <w:tc>
          <w:tcPr>
            <w:tcW w:w="0" w:type="dxa"/>
            <w:vAlign w:val="bottom"/>
          </w:tcPr>
          <w:p>
            <w:pPr>
              <w:spacing w:after="0"/>
              <w:rPr>
                <w:sz w:val="1"/>
                <w:szCs w:val="1"/>
                <w:color w:val="auto"/>
              </w:rPr>
            </w:pPr>
          </w:p>
        </w:tc>
      </w:tr>
      <w:tr>
        <w:trPr>
          <w:trHeight w:val="236"/>
        </w:trPr>
        <w:tc>
          <w:tcPr>
            <w:tcW w:w="1080" w:type="dxa"/>
            <w:vAlign w:val="bottom"/>
          </w:tcPr>
          <w:p>
            <w:pPr>
              <w:spacing w:after="0"/>
              <w:rPr>
                <w:sz w:val="20"/>
                <w:szCs w:val="20"/>
                <w:color w:val="auto"/>
              </w:rPr>
            </w:pPr>
            <w:r>
              <w:rPr>
                <w:rFonts w:ascii="Times New Roman" w:cs="Times New Roman" w:eastAsia="Times New Roman" w:hAnsi="Times New Roman"/>
                <w:sz w:val="20"/>
                <w:szCs w:val="20"/>
                <w:color w:val="auto"/>
              </w:rPr>
              <w:t>Section 9.24</w:t>
            </w:r>
          </w:p>
        </w:tc>
        <w:tc>
          <w:tcPr>
            <w:tcW w:w="6220" w:type="dxa"/>
            <w:vAlign w:val="bottom"/>
            <w:gridSpan w:val="20"/>
          </w:tcPr>
          <w:p>
            <w:pPr>
              <w:ind w:left="100"/>
              <w:spacing w:after="0"/>
              <w:rPr>
                <w:sz w:val="20"/>
                <w:szCs w:val="20"/>
                <w:color w:val="auto"/>
              </w:rPr>
            </w:pPr>
            <w:r>
              <w:rPr>
                <w:rFonts w:ascii="Times New Roman" w:cs="Times New Roman" w:eastAsia="Times New Roman" w:hAnsi="Times New Roman"/>
                <w:sz w:val="20"/>
                <w:szCs w:val="20"/>
                <w:color w:val="auto"/>
              </w:rPr>
              <w:t>Acknowledgment and Consent to Bail-In of Affected Financial Institutions</w:t>
            </w:r>
          </w:p>
        </w:tc>
        <w:tc>
          <w:tcPr>
            <w:tcW w:w="300" w:type="dxa"/>
            <w:vAlign w:val="bottom"/>
          </w:tcPr>
          <w:p>
            <w:pPr>
              <w:jc w:val="right"/>
              <w:spacing w:after="0"/>
              <w:rPr>
                <w:sz w:val="20"/>
                <w:szCs w:val="20"/>
                <w:color w:val="auto"/>
              </w:rPr>
            </w:pPr>
            <w:r>
              <w:rPr>
                <w:rFonts w:ascii="Times New Roman" w:cs="Times New Roman" w:eastAsia="Times New Roman" w:hAnsi="Times New Roman"/>
                <w:sz w:val="20"/>
                <w:szCs w:val="20"/>
                <w:color w:val="FF0000"/>
                <w:strike w:val="1"/>
                <w:w w:val="93"/>
              </w:rPr>
              <w:t>179</w:t>
            </w:r>
          </w:p>
        </w:tc>
        <w:tc>
          <w:tcPr>
            <w:tcW w:w="94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080" w:type="dxa"/>
            <w:vAlign w:val="bottom"/>
          </w:tcPr>
          <w:p>
            <w:pPr>
              <w:spacing w:after="0"/>
              <w:rPr>
                <w:sz w:val="20"/>
                <w:szCs w:val="20"/>
                <w:color w:val="auto"/>
              </w:rPr>
            </w:pPr>
            <w:r>
              <w:rPr>
                <w:rFonts w:ascii="Times New Roman" w:cs="Times New Roman" w:eastAsia="Times New Roman" w:hAnsi="Times New Roman"/>
                <w:sz w:val="20"/>
                <w:szCs w:val="20"/>
                <w:color w:val="auto"/>
              </w:rPr>
              <w:t>Section 9.25</w:t>
            </w:r>
          </w:p>
        </w:tc>
        <w:tc>
          <w:tcPr>
            <w:tcW w:w="4440" w:type="dxa"/>
            <w:vAlign w:val="bottom"/>
            <w:gridSpan w:val="17"/>
          </w:tcPr>
          <w:p>
            <w:pPr>
              <w:ind w:left="100"/>
              <w:spacing w:after="0"/>
              <w:rPr>
                <w:sz w:val="20"/>
                <w:szCs w:val="20"/>
                <w:color w:val="auto"/>
              </w:rPr>
            </w:pPr>
            <w:r>
              <w:rPr>
                <w:rFonts w:ascii="Times New Roman" w:cs="Times New Roman" w:eastAsia="Times New Roman" w:hAnsi="Times New Roman"/>
                <w:sz w:val="20"/>
                <w:szCs w:val="20"/>
                <w:color w:val="auto"/>
              </w:rPr>
              <w:t>Acknowledgement Regarding Any Supported QFCs</w:t>
            </w:r>
          </w:p>
        </w:tc>
        <w:tc>
          <w:tcPr>
            <w:tcW w:w="280" w:type="dxa"/>
            <w:vAlign w:val="bottom"/>
          </w:tcPr>
          <w:p>
            <w:pPr>
              <w:jc w:val="right"/>
              <w:spacing w:after="0"/>
              <w:rPr>
                <w:sz w:val="20"/>
                <w:szCs w:val="20"/>
                <w:color w:val="auto"/>
              </w:rPr>
            </w:pPr>
            <w:r>
              <w:rPr>
                <w:rFonts w:ascii="Times New Roman" w:cs="Times New Roman" w:eastAsia="Times New Roman" w:hAnsi="Times New Roman"/>
                <w:sz w:val="20"/>
                <w:szCs w:val="20"/>
                <w:color w:val="FF0000"/>
                <w:strike w:val="1"/>
                <w:w w:val="86"/>
              </w:rPr>
              <w:t>180</w:t>
            </w:r>
          </w:p>
        </w:tc>
        <w:tc>
          <w:tcPr>
            <w:tcW w:w="1800" w:type="dxa"/>
            <w:vAlign w:val="bottom"/>
            <w:gridSpan w:val="3"/>
          </w:tcPr>
          <w:p>
            <w:pPr>
              <w:jc w:val="right"/>
              <w:ind w:right="1401"/>
              <w:spacing w:after="0"/>
              <w:rPr>
                <w:sz w:val="20"/>
                <w:szCs w:val="20"/>
                <w:color w:val="auto"/>
              </w:rPr>
            </w:pPr>
            <w:r>
              <w:rPr>
                <w:rFonts w:ascii="Times New Roman" w:cs="Times New Roman" w:eastAsia="Times New Roman" w:hAnsi="Times New Roman"/>
                <w:sz w:val="20"/>
                <w:szCs w:val="20"/>
                <w:b w:val="1"/>
                <w:bCs w:val="1"/>
                <w:color w:val="0000FF"/>
                <w:w w:val="93"/>
              </w:rPr>
              <w:t>185</w:t>
            </w:r>
          </w:p>
        </w:tc>
        <w:tc>
          <w:tcPr>
            <w:tcW w:w="300" w:type="dxa"/>
            <w:vAlign w:val="bottom"/>
            <w:tcBorders>
              <w:top w:val="single" w:sz="8" w:color="0000FF"/>
            </w:tcBorders>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7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80" w:type="dxa"/>
            <w:vAlign w:val="bottom"/>
            <w:gridSpan w:val="5"/>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8540" w:type="dxa"/>
            <w:vAlign w:val="bottom"/>
            <w:gridSpan w:val="24"/>
          </w:tcPr>
          <w:p>
            <w:pPr>
              <w:spacing w:after="0"/>
              <w:rPr>
                <w:sz w:val="20"/>
                <w:szCs w:val="20"/>
                <w:color w:val="auto"/>
              </w:rPr>
            </w:pPr>
            <w:r>
              <w:rPr>
                <w:rFonts w:ascii="Times New Roman" w:cs="Times New Roman" w:eastAsia="Times New Roman" w:hAnsi="Times New Roman"/>
                <w:sz w:val="20"/>
                <w:szCs w:val="20"/>
                <w:color w:val="auto"/>
                <w:w w:val="99"/>
              </w:rPr>
              <w:t>Section 9.26  Third Amended and Restated First Lien Credit Agreement; Effectiveness of Amendment and</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1860" w:type="dxa"/>
            <w:vAlign w:val="bottom"/>
            <w:gridSpan w:val="2"/>
          </w:tcPr>
          <w:p>
            <w:pPr>
              <w:ind w:left="880"/>
              <w:spacing w:after="0" w:line="216" w:lineRule="exact"/>
              <w:rPr>
                <w:sz w:val="20"/>
                <w:szCs w:val="20"/>
                <w:color w:val="auto"/>
              </w:rPr>
            </w:pPr>
            <w:r>
              <w:rPr>
                <w:rFonts w:ascii="Times New Roman" w:cs="Times New Roman" w:eastAsia="Times New Roman" w:hAnsi="Times New Roman"/>
                <w:sz w:val="20"/>
                <w:szCs w:val="20"/>
                <w:color w:val="auto"/>
                <w:w w:val="97"/>
              </w:rPr>
              <w:t>Restatement</w:t>
            </w:r>
          </w:p>
        </w:tc>
        <w:tc>
          <w:tcPr>
            <w:tcW w:w="80" w:type="dxa"/>
            <w:vAlign w:val="bottom"/>
          </w:tcPr>
          <w:p>
            <w:pPr>
              <w:spacing w:after="0"/>
              <w:rPr>
                <w:sz w:val="18"/>
                <w:szCs w:val="18"/>
                <w:color w:val="auto"/>
              </w:rPr>
            </w:pPr>
          </w:p>
        </w:tc>
        <w:tc>
          <w:tcPr>
            <w:tcW w:w="400" w:type="dxa"/>
            <w:vAlign w:val="bottom"/>
            <w:gridSpan w:val="3"/>
          </w:tcPr>
          <w:p>
            <w:pPr>
              <w:jc w:val="right"/>
              <w:spacing w:after="0" w:line="216" w:lineRule="exact"/>
              <w:rPr>
                <w:sz w:val="20"/>
                <w:szCs w:val="20"/>
                <w:color w:val="auto"/>
              </w:rPr>
            </w:pPr>
            <w:r>
              <w:rPr>
                <w:rFonts w:ascii="Times New Roman" w:cs="Times New Roman" w:eastAsia="Times New Roman" w:hAnsi="Times New Roman"/>
                <w:sz w:val="20"/>
                <w:szCs w:val="20"/>
                <w:color w:val="FF0000"/>
                <w:strike w:val="1"/>
              </w:rPr>
              <w:t>181</w:t>
            </w:r>
          </w:p>
        </w:tc>
        <w:tc>
          <w:tcPr>
            <w:tcW w:w="400" w:type="dxa"/>
            <w:vAlign w:val="bottom"/>
            <w:gridSpan w:val="4"/>
          </w:tcPr>
          <w:p>
            <w:pPr>
              <w:jc w:val="right"/>
              <w:ind w:right="100"/>
              <w:spacing w:after="0" w:line="216" w:lineRule="exact"/>
              <w:rPr>
                <w:sz w:val="20"/>
                <w:szCs w:val="20"/>
                <w:color w:val="auto"/>
              </w:rPr>
            </w:pPr>
            <w:r>
              <w:rPr>
                <w:rFonts w:ascii="Times New Roman" w:cs="Times New Roman" w:eastAsia="Times New Roman" w:hAnsi="Times New Roman"/>
                <w:sz w:val="20"/>
                <w:szCs w:val="20"/>
                <w:b w:val="1"/>
                <w:bCs w:val="1"/>
                <w:color w:val="0000FF"/>
                <w:w w:val="93"/>
              </w:rPr>
              <w:t>186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108" w:right="339" w:bottom="1440" w:gutter="0" w:footer="0" w:header="0"/>
        </w:sectPr>
      </w:pPr>
    </w:p>
    <w:bookmarkStart w:id="186" w:name="page187"/>
    <w:bookmarkEnd w:id="186"/>
    <w:p>
      <w:pPr>
        <w:jc w:val="right"/>
        <w:spacing w:after="0"/>
        <w:rPr>
          <w:sz w:val="20"/>
          <w:szCs w:val="20"/>
          <w:color w:val="auto"/>
        </w:rPr>
      </w:pPr>
      <w:r>
        <w:rPr>
          <w:rFonts w:ascii="Times New Roman" w:cs="Times New Roman" w:eastAsia="Times New Roman" w:hAnsi="Times New Roman"/>
          <w:sz w:val="22"/>
          <w:szCs w:val="22"/>
          <w:color w:val="FF0000"/>
          <w:strike w:val="1"/>
        </w:rPr>
        <w:t>ANNEX</w:t>
      </w:r>
      <w:r>
        <w:rPr>
          <w:rFonts w:ascii="Times New Roman" w:cs="Times New Roman" w:eastAsia="Times New Roman" w:hAnsi="Times New Roman"/>
          <w:sz w:val="22"/>
          <w:szCs w:val="22"/>
          <w:b w:val="1"/>
          <w:bCs w:val="1"/>
          <w:u w:val="single" w:color="auto"/>
          <w:color w:val="0000FF"/>
        </w:rPr>
        <w:t>EXHIBIT</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Exhibits and Schedules</w:t>
      </w:r>
    </w:p>
    <w:p>
      <w:pPr>
        <w:spacing w:after="0" w:line="28"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20"/>
          <w:szCs w:val="20"/>
          <w:color w:val="auto"/>
        </w:rPr>
        <w:t>Exhibit A</w:t>
      </w:r>
      <w:r>
        <w:rPr>
          <w:sz w:val="20"/>
          <w:szCs w:val="20"/>
          <w:color w:val="auto"/>
        </w:rPr>
        <w:tab/>
      </w:r>
      <w:r>
        <w:rPr>
          <w:rFonts w:ascii="Times New Roman" w:cs="Times New Roman" w:eastAsia="Times New Roman" w:hAnsi="Times New Roman"/>
          <w:sz w:val="19"/>
          <w:szCs w:val="19"/>
          <w:color w:val="auto"/>
        </w:rPr>
        <w:t>Form of Assignment and Acceptance</w:t>
      </w:r>
    </w:p>
    <w:p>
      <w:pPr>
        <w:spacing w:after="0" w:line="6"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20"/>
          <w:szCs w:val="20"/>
          <w:color w:val="auto"/>
        </w:rPr>
        <w:t>Exhibit B</w:t>
      </w:r>
      <w:r>
        <w:rPr>
          <w:sz w:val="20"/>
          <w:szCs w:val="20"/>
          <w:color w:val="auto"/>
        </w:rPr>
        <w:tab/>
      </w:r>
      <w:r>
        <w:rPr>
          <w:rFonts w:ascii="Times New Roman" w:cs="Times New Roman" w:eastAsia="Times New Roman" w:hAnsi="Times New Roman"/>
          <w:sz w:val="19"/>
          <w:szCs w:val="19"/>
          <w:color w:val="auto"/>
        </w:rPr>
        <w:t>Form of Administrative Questionnaire</w:t>
      </w:r>
    </w:p>
    <w:p>
      <w:pPr>
        <w:spacing w:after="0" w:line="6"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20"/>
          <w:szCs w:val="20"/>
          <w:color w:val="auto"/>
        </w:rPr>
        <w:t>Exhibit C</w:t>
      </w:r>
      <w:r>
        <w:rPr>
          <w:sz w:val="20"/>
          <w:szCs w:val="20"/>
          <w:color w:val="auto"/>
        </w:rPr>
        <w:tab/>
      </w:r>
      <w:r>
        <w:rPr>
          <w:rFonts w:ascii="Times New Roman" w:cs="Times New Roman" w:eastAsia="Times New Roman" w:hAnsi="Times New Roman"/>
          <w:sz w:val="19"/>
          <w:szCs w:val="19"/>
          <w:color w:val="auto"/>
        </w:rPr>
        <w:t>Form of Solvency Certificate</w:t>
      </w:r>
    </w:p>
    <w:p>
      <w:pPr>
        <w:spacing w:after="0" w:line="6"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20"/>
          <w:szCs w:val="20"/>
          <w:color w:val="auto"/>
        </w:rPr>
        <w:t>Exhibit D-1</w:t>
      </w:r>
      <w:r>
        <w:rPr>
          <w:sz w:val="20"/>
          <w:szCs w:val="20"/>
          <w:color w:val="auto"/>
        </w:rPr>
        <w:tab/>
      </w:r>
      <w:r>
        <w:rPr>
          <w:rFonts w:ascii="Times New Roman" w:cs="Times New Roman" w:eastAsia="Times New Roman" w:hAnsi="Times New Roman"/>
          <w:sz w:val="19"/>
          <w:szCs w:val="19"/>
          <w:color w:val="auto"/>
        </w:rPr>
        <w:t>Form of Borrowing Request</w:t>
      </w:r>
    </w:p>
    <w:p>
      <w:pPr>
        <w:spacing w:after="0" w:line="6"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20"/>
          <w:szCs w:val="20"/>
          <w:color w:val="auto"/>
        </w:rPr>
        <w:t>Exhibit D-2</w:t>
      </w:r>
      <w:r>
        <w:rPr>
          <w:sz w:val="20"/>
          <w:szCs w:val="20"/>
          <w:color w:val="auto"/>
        </w:rPr>
        <w:tab/>
      </w:r>
      <w:r>
        <w:rPr>
          <w:rFonts w:ascii="Times New Roman" w:cs="Times New Roman" w:eastAsia="Times New Roman" w:hAnsi="Times New Roman"/>
          <w:sz w:val="19"/>
          <w:szCs w:val="19"/>
          <w:color w:val="auto"/>
        </w:rPr>
        <w:t>Form of Swingline Borrowing Request</w:t>
      </w:r>
    </w:p>
    <w:p>
      <w:pPr>
        <w:spacing w:after="0" w:line="13"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20"/>
          <w:szCs w:val="20"/>
          <w:color w:val="auto"/>
        </w:rPr>
        <w:t>Exhibit E</w:t>
      </w:r>
      <w:r>
        <w:rPr>
          <w:sz w:val="20"/>
          <w:szCs w:val="20"/>
          <w:color w:val="auto"/>
        </w:rPr>
        <w:tab/>
      </w:r>
      <w:r>
        <w:rPr>
          <w:rFonts w:ascii="Times New Roman" w:cs="Times New Roman" w:eastAsia="Times New Roman" w:hAnsi="Times New Roman"/>
          <w:sz w:val="19"/>
          <w:szCs w:val="19"/>
          <w:color w:val="auto"/>
        </w:rPr>
        <w:t>Form of Interest Election Request</w:t>
      </w:r>
    </w:p>
    <w:p>
      <w:pPr>
        <w:spacing w:after="0" w:line="6"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0"/>
          <w:szCs w:val="20"/>
          <w:color w:val="auto"/>
        </w:rPr>
        <w:t>Exhibit F</w:t>
      </w:r>
      <w:r>
        <w:rPr>
          <w:sz w:val="20"/>
          <w:szCs w:val="20"/>
          <w:color w:val="auto"/>
        </w:rPr>
        <w:tab/>
      </w:r>
      <w:r>
        <w:rPr>
          <w:rFonts w:ascii="Times New Roman" w:cs="Times New Roman" w:eastAsia="Times New Roman" w:hAnsi="Times New Roman"/>
          <w:sz w:val="19"/>
          <w:szCs w:val="19"/>
          <w:color w:val="auto"/>
        </w:rPr>
        <w:t>Form of Permitted Loan Purchase Assignment and Acceptance</w:t>
      </w:r>
    </w:p>
    <w:p>
      <w:pPr>
        <w:spacing w:after="0" w:line="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20"/>
          <w:szCs w:val="20"/>
          <w:color w:val="auto"/>
        </w:rPr>
        <w:t>Exhibit G</w:t>
      </w:r>
      <w:r>
        <w:rPr>
          <w:sz w:val="20"/>
          <w:szCs w:val="20"/>
          <w:color w:val="auto"/>
        </w:rPr>
        <w:tab/>
      </w:r>
      <w:r>
        <w:rPr>
          <w:rFonts w:ascii="Times New Roman" w:cs="Times New Roman" w:eastAsia="Times New Roman" w:hAnsi="Times New Roman"/>
          <w:sz w:val="19"/>
          <w:szCs w:val="19"/>
          <w:color w:val="auto"/>
        </w:rPr>
        <w:t>[Reserved]</w:t>
      </w:r>
    </w:p>
    <w:p>
      <w:pPr>
        <w:spacing w:after="0" w:line="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20"/>
          <w:szCs w:val="20"/>
          <w:color w:val="auto"/>
        </w:rPr>
        <w:t>Exhibit H</w:t>
      </w:r>
      <w:r>
        <w:rPr>
          <w:sz w:val="20"/>
          <w:szCs w:val="20"/>
          <w:color w:val="auto"/>
        </w:rPr>
        <w:tab/>
      </w:r>
      <w:r>
        <w:rPr>
          <w:rFonts w:ascii="Times New Roman" w:cs="Times New Roman" w:eastAsia="Times New Roman" w:hAnsi="Times New Roman"/>
          <w:sz w:val="19"/>
          <w:szCs w:val="19"/>
          <w:color w:val="auto"/>
        </w:rPr>
        <w:t>Form of First Lien/Second Lien Intercreditor Agreement</w:t>
      </w:r>
    </w:p>
    <w:p>
      <w:pPr>
        <w:spacing w:after="0" w:line="6"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20"/>
          <w:szCs w:val="20"/>
          <w:color w:val="auto"/>
        </w:rPr>
        <w:t>Exhibit I</w:t>
      </w:r>
      <w:r>
        <w:rPr>
          <w:sz w:val="20"/>
          <w:szCs w:val="20"/>
          <w:color w:val="auto"/>
        </w:rPr>
        <w:tab/>
      </w:r>
      <w:r>
        <w:rPr>
          <w:rFonts w:ascii="Times New Roman" w:cs="Times New Roman" w:eastAsia="Times New Roman" w:hAnsi="Times New Roman"/>
          <w:sz w:val="19"/>
          <w:szCs w:val="19"/>
          <w:color w:val="auto"/>
        </w:rPr>
        <w:t>Form of Non-Bank Tax Certificate</w:t>
      </w:r>
    </w:p>
    <w:p>
      <w:pPr>
        <w:spacing w:after="0" w:line="13"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0"/>
          <w:szCs w:val="20"/>
          <w:color w:val="auto"/>
        </w:rPr>
        <w:t>Exhibit J</w:t>
      </w:r>
      <w:r>
        <w:rPr>
          <w:sz w:val="20"/>
          <w:szCs w:val="20"/>
          <w:color w:val="auto"/>
        </w:rPr>
        <w:tab/>
      </w:r>
      <w:r>
        <w:rPr>
          <w:rFonts w:ascii="Times New Roman" w:cs="Times New Roman" w:eastAsia="Times New Roman" w:hAnsi="Times New Roman"/>
          <w:sz w:val="19"/>
          <w:szCs w:val="19"/>
          <w:color w:val="auto"/>
        </w:rPr>
        <w:t>Form of Intercompany Subordination Terms</w:t>
      </w:r>
    </w:p>
    <w:p>
      <w:pPr>
        <w:spacing w:after="0" w:line="200" w:lineRule="exact"/>
        <w:rPr>
          <w:sz w:val="20"/>
          <w:szCs w:val="20"/>
          <w:color w:val="auto"/>
        </w:rPr>
      </w:pPr>
    </w:p>
    <w:p>
      <w:pPr>
        <w:spacing w:after="0" w:line="270" w:lineRule="exact"/>
        <w:rPr>
          <w:sz w:val="20"/>
          <w:szCs w:val="20"/>
          <w:color w:val="auto"/>
        </w:rPr>
      </w:pPr>
    </w:p>
    <w:p>
      <w:pPr>
        <w:spacing w:after="0"/>
        <w:tabs>
          <w:tab w:leader="none" w:pos="1580" w:val="left"/>
        </w:tabs>
        <w:rPr>
          <w:sz w:val="20"/>
          <w:szCs w:val="20"/>
          <w:color w:val="auto"/>
        </w:rPr>
      </w:pPr>
      <w:r>
        <w:rPr>
          <w:rFonts w:ascii="Times New Roman" w:cs="Times New Roman" w:eastAsia="Times New Roman" w:hAnsi="Times New Roman"/>
          <w:sz w:val="20"/>
          <w:szCs w:val="20"/>
          <w:color w:val="auto"/>
        </w:rPr>
        <w:t>Schedule 1.01(A)</w:t>
      </w:r>
      <w:r>
        <w:rPr>
          <w:sz w:val="20"/>
          <w:szCs w:val="20"/>
          <w:color w:val="auto"/>
        </w:rPr>
        <w:tab/>
      </w:r>
      <w:r>
        <w:rPr>
          <w:rFonts w:ascii="Times New Roman" w:cs="Times New Roman" w:eastAsia="Times New Roman" w:hAnsi="Times New Roman"/>
          <w:sz w:val="19"/>
          <w:szCs w:val="19"/>
          <w:color w:val="auto"/>
        </w:rPr>
        <w:t>Certain Excluded Equity Interests</w:t>
      </w:r>
    </w:p>
    <w:p>
      <w:pPr>
        <w:spacing w:after="0" w:line="28" w:lineRule="exact"/>
        <w:rPr>
          <w:sz w:val="20"/>
          <w:szCs w:val="20"/>
          <w:color w:val="auto"/>
        </w:rPr>
      </w:pPr>
    </w:p>
    <w:p>
      <w:pPr>
        <w:spacing w:after="0"/>
        <w:tabs>
          <w:tab w:leader="none" w:pos="1580" w:val="left"/>
        </w:tabs>
        <w:rPr>
          <w:sz w:val="20"/>
          <w:szCs w:val="20"/>
          <w:color w:val="auto"/>
        </w:rPr>
      </w:pPr>
      <w:r>
        <w:rPr>
          <w:rFonts w:ascii="Times New Roman" w:cs="Times New Roman" w:eastAsia="Times New Roman" w:hAnsi="Times New Roman"/>
          <w:sz w:val="20"/>
          <w:szCs w:val="20"/>
          <w:color w:val="auto"/>
        </w:rPr>
        <w:t>Schedule 1.01(B)</w:t>
      </w:r>
      <w:r>
        <w:rPr>
          <w:sz w:val="20"/>
          <w:szCs w:val="20"/>
          <w:color w:val="auto"/>
        </w:rPr>
        <w:tab/>
      </w:r>
      <w:r>
        <w:rPr>
          <w:rFonts w:ascii="Times New Roman" w:cs="Times New Roman" w:eastAsia="Times New Roman" w:hAnsi="Times New Roman"/>
          <w:sz w:val="19"/>
          <w:szCs w:val="19"/>
          <w:color w:val="auto"/>
        </w:rPr>
        <w:t>[Reserved]</w:t>
      </w:r>
    </w:p>
    <w:p>
      <w:pPr>
        <w:spacing w:after="0" w:line="6" w:lineRule="exact"/>
        <w:rPr>
          <w:sz w:val="20"/>
          <w:szCs w:val="20"/>
          <w:color w:val="auto"/>
        </w:rPr>
      </w:pPr>
    </w:p>
    <w:p>
      <w:pPr>
        <w:spacing w:after="0"/>
        <w:tabs>
          <w:tab w:leader="none" w:pos="1580" w:val="left"/>
        </w:tabs>
        <w:rPr>
          <w:sz w:val="20"/>
          <w:szCs w:val="20"/>
          <w:color w:val="auto"/>
        </w:rPr>
      </w:pPr>
      <w:r>
        <w:rPr>
          <w:rFonts w:ascii="Times New Roman" w:cs="Times New Roman" w:eastAsia="Times New Roman" w:hAnsi="Times New Roman"/>
          <w:sz w:val="20"/>
          <w:szCs w:val="20"/>
          <w:color w:val="auto"/>
        </w:rPr>
        <w:t>Schedule 1.01(C)</w:t>
      </w:r>
      <w:r>
        <w:rPr>
          <w:sz w:val="20"/>
          <w:szCs w:val="20"/>
          <w:color w:val="auto"/>
        </w:rPr>
        <w:tab/>
      </w:r>
      <w:r>
        <w:rPr>
          <w:rFonts w:ascii="Times New Roman" w:cs="Times New Roman" w:eastAsia="Times New Roman" w:hAnsi="Times New Roman"/>
          <w:sz w:val="19"/>
          <w:szCs w:val="19"/>
          <w:color w:val="auto"/>
        </w:rPr>
        <w:t>Existing Roll-Over Letters of Credit</w:t>
      </w:r>
    </w:p>
    <w:p>
      <w:pPr>
        <w:spacing w:after="0" w:line="6" w:lineRule="exact"/>
        <w:rPr>
          <w:sz w:val="20"/>
          <w:szCs w:val="20"/>
          <w:color w:val="auto"/>
        </w:rPr>
      </w:pPr>
    </w:p>
    <w:p>
      <w:pPr>
        <w:spacing w:after="0"/>
        <w:tabs>
          <w:tab w:leader="none" w:pos="1580" w:val="left"/>
        </w:tabs>
        <w:rPr>
          <w:sz w:val="20"/>
          <w:szCs w:val="20"/>
          <w:color w:val="auto"/>
        </w:rPr>
      </w:pPr>
      <w:r>
        <w:rPr>
          <w:rFonts w:ascii="Times New Roman" w:cs="Times New Roman" w:eastAsia="Times New Roman" w:hAnsi="Times New Roman"/>
          <w:sz w:val="20"/>
          <w:szCs w:val="20"/>
          <w:color w:val="auto"/>
        </w:rPr>
        <w:t>Schedule 1.01(D)</w:t>
      </w:r>
      <w:r>
        <w:rPr>
          <w:sz w:val="20"/>
          <w:szCs w:val="20"/>
          <w:color w:val="auto"/>
        </w:rPr>
        <w:tab/>
      </w:r>
      <w:r>
        <w:rPr>
          <w:rFonts w:ascii="Times New Roman" w:cs="Times New Roman" w:eastAsia="Times New Roman" w:hAnsi="Times New Roman"/>
          <w:sz w:val="19"/>
          <w:szCs w:val="19"/>
          <w:color w:val="auto"/>
        </w:rPr>
        <w:t>Closing Date Unrestricted Subsidiaries</w:t>
      </w:r>
    </w:p>
    <w:p>
      <w:pPr>
        <w:spacing w:after="0" w:line="13" w:lineRule="exact"/>
        <w:rPr>
          <w:sz w:val="20"/>
          <w:szCs w:val="20"/>
          <w:color w:val="auto"/>
        </w:rPr>
      </w:pPr>
    </w:p>
    <w:p>
      <w:pPr>
        <w:spacing w:after="0"/>
        <w:tabs>
          <w:tab w:leader="none" w:pos="1560" w:val="left"/>
        </w:tabs>
        <w:rPr>
          <w:sz w:val="20"/>
          <w:szCs w:val="20"/>
          <w:color w:val="auto"/>
        </w:rPr>
      </w:pPr>
      <w:r>
        <w:rPr>
          <w:rFonts w:ascii="Times New Roman" w:cs="Times New Roman" w:eastAsia="Times New Roman" w:hAnsi="Times New Roman"/>
          <w:sz w:val="20"/>
          <w:szCs w:val="20"/>
          <w:color w:val="auto"/>
        </w:rPr>
        <w:t>Schedule 1.01(E)</w:t>
      </w:r>
      <w:r>
        <w:rPr>
          <w:sz w:val="20"/>
          <w:szCs w:val="20"/>
          <w:color w:val="auto"/>
        </w:rPr>
        <w:tab/>
      </w:r>
      <w:r>
        <w:rPr>
          <w:rFonts w:ascii="Times New Roman" w:cs="Times New Roman" w:eastAsia="Times New Roman" w:hAnsi="Times New Roman"/>
          <w:sz w:val="19"/>
          <w:szCs w:val="19"/>
          <w:color w:val="auto"/>
        </w:rPr>
        <w:t>Mortgaged Properties</w:t>
      </w:r>
    </w:p>
    <w:p>
      <w:pPr>
        <w:spacing w:after="0" w:line="6" w:lineRule="exact"/>
        <w:rPr>
          <w:sz w:val="20"/>
          <w:szCs w:val="20"/>
          <w:color w:val="auto"/>
        </w:rPr>
      </w:pPr>
    </w:p>
    <w:p>
      <w:pPr>
        <w:spacing w:after="0"/>
        <w:tabs>
          <w:tab w:leader="none" w:pos="1540" w:val="left"/>
        </w:tabs>
        <w:rPr>
          <w:sz w:val="20"/>
          <w:szCs w:val="20"/>
          <w:color w:val="auto"/>
        </w:rPr>
      </w:pPr>
      <w:r>
        <w:rPr>
          <w:rFonts w:ascii="Times New Roman" w:cs="Times New Roman" w:eastAsia="Times New Roman" w:hAnsi="Times New Roman"/>
          <w:sz w:val="20"/>
          <w:szCs w:val="20"/>
          <w:color w:val="auto"/>
        </w:rPr>
        <w:t>Schedule 1.01(F)</w:t>
      </w:r>
      <w:r>
        <w:rPr>
          <w:sz w:val="20"/>
          <w:szCs w:val="20"/>
          <w:color w:val="auto"/>
        </w:rPr>
        <w:tab/>
      </w:r>
      <w:r>
        <w:rPr>
          <w:rFonts w:ascii="Times New Roman" w:cs="Times New Roman" w:eastAsia="Times New Roman" w:hAnsi="Times New Roman"/>
          <w:sz w:val="19"/>
          <w:szCs w:val="19"/>
          <w:color w:val="auto"/>
        </w:rPr>
        <w:t>Specified L/C Sublimit</w:t>
      </w:r>
    </w:p>
    <w:p>
      <w:pPr>
        <w:spacing w:after="0" w:line="6" w:lineRule="exact"/>
        <w:rPr>
          <w:sz w:val="20"/>
          <w:szCs w:val="20"/>
          <w:color w:val="auto"/>
        </w:rPr>
      </w:pPr>
    </w:p>
    <w:p>
      <w:pPr>
        <w:spacing w:after="0"/>
        <w:tabs>
          <w:tab w:leader="none" w:pos="1580" w:val="left"/>
        </w:tabs>
        <w:rPr>
          <w:sz w:val="20"/>
          <w:szCs w:val="20"/>
          <w:color w:val="auto"/>
        </w:rPr>
      </w:pPr>
      <w:r>
        <w:rPr>
          <w:rFonts w:ascii="Times New Roman" w:cs="Times New Roman" w:eastAsia="Times New Roman" w:hAnsi="Times New Roman"/>
          <w:sz w:val="20"/>
          <w:szCs w:val="20"/>
          <w:color w:val="auto"/>
        </w:rPr>
        <w:t>Schedule 1.01(G)</w:t>
      </w:r>
      <w:r>
        <w:rPr>
          <w:sz w:val="20"/>
          <w:szCs w:val="20"/>
          <w:color w:val="auto"/>
        </w:rPr>
        <w:tab/>
      </w:r>
      <w:r>
        <w:rPr>
          <w:rFonts w:ascii="Times New Roman" w:cs="Times New Roman" w:eastAsia="Times New Roman" w:hAnsi="Times New Roman"/>
          <w:sz w:val="19"/>
          <w:szCs w:val="19"/>
          <w:color w:val="auto"/>
        </w:rPr>
        <w:t>Cash Management Banks and Hedge Banks</w:t>
      </w:r>
    </w:p>
    <w:p>
      <w:pPr>
        <w:spacing w:after="0" w:line="6"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20"/>
          <w:szCs w:val="20"/>
          <w:color w:val="auto"/>
        </w:rPr>
        <w:t>Schedule 2.01</w:t>
      </w:r>
      <w:r>
        <w:rPr>
          <w:sz w:val="20"/>
          <w:szCs w:val="20"/>
          <w:color w:val="auto"/>
        </w:rPr>
        <w:tab/>
      </w:r>
      <w:r>
        <w:rPr>
          <w:rFonts w:ascii="Times New Roman" w:cs="Times New Roman" w:eastAsia="Times New Roman" w:hAnsi="Times New Roman"/>
          <w:sz w:val="19"/>
          <w:szCs w:val="19"/>
          <w:color w:val="auto"/>
        </w:rPr>
        <w:t>Commitments</w:t>
      </w:r>
    </w:p>
    <w:p>
      <w:pPr>
        <w:spacing w:after="0" w:line="6"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20"/>
          <w:szCs w:val="20"/>
          <w:color w:val="auto"/>
        </w:rPr>
        <w:t>Schedule 3.01</w:t>
      </w:r>
      <w:r>
        <w:rPr>
          <w:sz w:val="20"/>
          <w:szCs w:val="20"/>
          <w:color w:val="auto"/>
        </w:rPr>
        <w:tab/>
      </w:r>
      <w:r>
        <w:rPr>
          <w:rFonts w:ascii="Times New Roman" w:cs="Times New Roman" w:eastAsia="Times New Roman" w:hAnsi="Times New Roman"/>
          <w:sz w:val="19"/>
          <w:szCs w:val="19"/>
          <w:color w:val="auto"/>
        </w:rPr>
        <w:t>Organization and Good Standing</w:t>
      </w:r>
    </w:p>
    <w:p>
      <w:pPr>
        <w:spacing w:after="0" w:line="6"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20"/>
          <w:szCs w:val="20"/>
          <w:color w:val="auto"/>
        </w:rPr>
        <w:t>Schedule 3.04</w:t>
      </w:r>
      <w:r>
        <w:rPr>
          <w:sz w:val="20"/>
          <w:szCs w:val="20"/>
          <w:color w:val="auto"/>
        </w:rPr>
        <w:tab/>
      </w:r>
      <w:r>
        <w:rPr>
          <w:rFonts w:ascii="Times New Roman" w:cs="Times New Roman" w:eastAsia="Times New Roman" w:hAnsi="Times New Roman"/>
          <w:sz w:val="19"/>
          <w:szCs w:val="19"/>
          <w:color w:val="auto"/>
        </w:rPr>
        <w:t>Governmental Approvals</w:t>
      </w:r>
    </w:p>
    <w:p>
      <w:pPr>
        <w:spacing w:after="0" w:line="6"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20"/>
          <w:szCs w:val="20"/>
          <w:color w:val="auto"/>
        </w:rPr>
        <w:t>Schedule 3.05</w:t>
      </w:r>
      <w:r>
        <w:rPr>
          <w:sz w:val="20"/>
          <w:szCs w:val="20"/>
          <w:color w:val="auto"/>
        </w:rPr>
        <w:tab/>
      </w:r>
      <w:r>
        <w:rPr>
          <w:rFonts w:ascii="Times New Roman" w:cs="Times New Roman" w:eastAsia="Times New Roman" w:hAnsi="Times New Roman"/>
          <w:sz w:val="19"/>
          <w:szCs w:val="19"/>
          <w:color w:val="auto"/>
        </w:rPr>
        <w:t>Financial Statements</w:t>
      </w:r>
    </w:p>
    <w:p>
      <w:pPr>
        <w:spacing w:after="0" w:line="13" w:lineRule="exact"/>
        <w:rPr>
          <w:sz w:val="20"/>
          <w:szCs w:val="20"/>
          <w:color w:val="auto"/>
        </w:rPr>
      </w:pPr>
    </w:p>
    <w:p>
      <w:pPr>
        <w:spacing w:after="0"/>
        <w:tabs>
          <w:tab w:leader="none" w:pos="1520" w:val="left"/>
        </w:tabs>
        <w:rPr>
          <w:sz w:val="20"/>
          <w:szCs w:val="20"/>
          <w:color w:val="auto"/>
        </w:rPr>
      </w:pPr>
      <w:r>
        <w:rPr>
          <w:rFonts w:ascii="Times New Roman" w:cs="Times New Roman" w:eastAsia="Times New Roman" w:hAnsi="Times New Roman"/>
          <w:sz w:val="20"/>
          <w:szCs w:val="20"/>
          <w:color w:val="auto"/>
        </w:rPr>
        <w:t>Schedule 3.07(c)</w:t>
      </w:r>
      <w:r>
        <w:rPr>
          <w:sz w:val="20"/>
          <w:szCs w:val="20"/>
          <w:color w:val="auto"/>
        </w:rPr>
        <w:tab/>
      </w:r>
      <w:r>
        <w:rPr>
          <w:rFonts w:ascii="Times New Roman" w:cs="Times New Roman" w:eastAsia="Times New Roman" w:hAnsi="Times New Roman"/>
          <w:sz w:val="19"/>
          <w:szCs w:val="19"/>
          <w:color w:val="auto"/>
        </w:rPr>
        <w:t>Notices of Condemnation</w:t>
      </w:r>
    </w:p>
    <w:p>
      <w:pPr>
        <w:spacing w:after="0" w:line="6" w:lineRule="exact"/>
        <w:rPr>
          <w:sz w:val="20"/>
          <w:szCs w:val="20"/>
          <w:color w:val="auto"/>
        </w:rPr>
      </w:pPr>
    </w:p>
    <w:p>
      <w:pPr>
        <w:spacing w:after="0"/>
        <w:tabs>
          <w:tab w:leader="none" w:pos="1520" w:val="left"/>
        </w:tabs>
        <w:rPr>
          <w:sz w:val="20"/>
          <w:szCs w:val="20"/>
          <w:color w:val="auto"/>
        </w:rPr>
      </w:pPr>
      <w:r>
        <w:rPr>
          <w:rFonts w:ascii="Times New Roman" w:cs="Times New Roman" w:eastAsia="Times New Roman" w:hAnsi="Times New Roman"/>
          <w:sz w:val="20"/>
          <w:szCs w:val="20"/>
          <w:color w:val="auto"/>
        </w:rPr>
        <w:t>Schedule 3.08(a)</w:t>
        <w:tab/>
        <w:t>Subsidiaries</w:t>
      </w:r>
    </w:p>
    <w:p>
      <w:pPr>
        <w:spacing w:after="0" w:line="6" w:lineRule="exact"/>
        <w:rPr>
          <w:sz w:val="20"/>
          <w:szCs w:val="20"/>
          <w:color w:val="auto"/>
        </w:rPr>
      </w:pPr>
    </w:p>
    <w:p>
      <w:pPr>
        <w:spacing w:after="0"/>
        <w:tabs>
          <w:tab w:leader="none" w:pos="1540" w:val="left"/>
        </w:tabs>
        <w:rPr>
          <w:sz w:val="20"/>
          <w:szCs w:val="20"/>
          <w:color w:val="auto"/>
        </w:rPr>
      </w:pPr>
      <w:r>
        <w:rPr>
          <w:rFonts w:ascii="Times New Roman" w:cs="Times New Roman" w:eastAsia="Times New Roman" w:hAnsi="Times New Roman"/>
          <w:sz w:val="20"/>
          <w:szCs w:val="20"/>
          <w:color w:val="auto"/>
        </w:rPr>
        <w:t>Schedule 3.08(b)</w:t>
      </w:r>
      <w:r>
        <w:rPr>
          <w:sz w:val="20"/>
          <w:szCs w:val="20"/>
          <w:color w:val="auto"/>
        </w:rPr>
        <w:tab/>
      </w:r>
      <w:r>
        <w:rPr>
          <w:rFonts w:ascii="Times New Roman" w:cs="Times New Roman" w:eastAsia="Times New Roman" w:hAnsi="Times New Roman"/>
          <w:sz w:val="19"/>
          <w:szCs w:val="19"/>
          <w:color w:val="auto"/>
        </w:rPr>
        <w:t>Subscriptions</w:t>
      </w:r>
    </w:p>
    <w:p>
      <w:pPr>
        <w:spacing w:after="0" w:line="6"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20"/>
          <w:szCs w:val="20"/>
          <w:color w:val="auto"/>
        </w:rPr>
        <w:t>Schedule 3.13</w:t>
      </w:r>
      <w:r>
        <w:rPr>
          <w:sz w:val="20"/>
          <w:szCs w:val="20"/>
          <w:color w:val="auto"/>
        </w:rPr>
        <w:tab/>
      </w:r>
      <w:r>
        <w:rPr>
          <w:rFonts w:ascii="Times New Roman" w:cs="Times New Roman" w:eastAsia="Times New Roman" w:hAnsi="Times New Roman"/>
          <w:sz w:val="19"/>
          <w:szCs w:val="19"/>
          <w:color w:val="auto"/>
        </w:rPr>
        <w:t>Taxes</w:t>
      </w:r>
    </w:p>
    <w:p>
      <w:pPr>
        <w:spacing w:after="0" w:line="6"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20"/>
          <w:szCs w:val="20"/>
          <w:color w:val="auto"/>
        </w:rPr>
        <w:t>Schedule 3.21</w:t>
        <w:tab/>
        <w:t>Insurance</w:t>
      </w:r>
    </w:p>
    <w:p>
      <w:pPr>
        <w:spacing w:after="0" w:line="13"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20"/>
          <w:szCs w:val="20"/>
          <w:color w:val="auto"/>
        </w:rPr>
        <w:t>Schedule 3.23</w:t>
      </w:r>
      <w:r>
        <w:rPr>
          <w:sz w:val="20"/>
          <w:szCs w:val="20"/>
          <w:color w:val="auto"/>
        </w:rPr>
        <w:tab/>
      </w:r>
      <w:r>
        <w:rPr>
          <w:rFonts w:ascii="Times New Roman" w:cs="Times New Roman" w:eastAsia="Times New Roman" w:hAnsi="Times New Roman"/>
          <w:sz w:val="19"/>
          <w:szCs w:val="19"/>
          <w:color w:val="auto"/>
        </w:rPr>
        <w:t>Intellectual Property</w:t>
      </w:r>
    </w:p>
    <w:p>
      <w:pPr>
        <w:spacing w:after="0" w:line="6"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20"/>
          <w:szCs w:val="20"/>
          <w:color w:val="auto"/>
        </w:rPr>
        <w:t>Schedule 5.12</w:t>
      </w:r>
      <w:r>
        <w:rPr>
          <w:sz w:val="20"/>
          <w:szCs w:val="20"/>
          <w:color w:val="auto"/>
        </w:rPr>
        <w:tab/>
      </w:r>
      <w:r>
        <w:rPr>
          <w:rFonts w:ascii="Times New Roman" w:cs="Times New Roman" w:eastAsia="Times New Roman" w:hAnsi="Times New Roman"/>
          <w:sz w:val="19"/>
          <w:szCs w:val="19"/>
          <w:color w:val="auto"/>
        </w:rPr>
        <w:t>Post-Closing Items</w:t>
      </w:r>
    </w:p>
    <w:p>
      <w:pPr>
        <w:spacing w:after="0" w:line="6"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20"/>
          <w:szCs w:val="20"/>
          <w:color w:val="auto"/>
        </w:rPr>
        <w:t>Schedule 6.01</w:t>
      </w:r>
      <w:r>
        <w:rPr>
          <w:sz w:val="20"/>
          <w:szCs w:val="20"/>
          <w:color w:val="auto"/>
        </w:rPr>
        <w:tab/>
      </w:r>
      <w:r>
        <w:rPr>
          <w:rFonts w:ascii="Times New Roman" w:cs="Times New Roman" w:eastAsia="Times New Roman" w:hAnsi="Times New Roman"/>
          <w:sz w:val="19"/>
          <w:szCs w:val="19"/>
          <w:color w:val="auto"/>
        </w:rPr>
        <w:t>Indebtedness</w:t>
      </w:r>
    </w:p>
    <w:p>
      <w:pPr>
        <w:spacing w:after="0" w:line="6" w:lineRule="exact"/>
        <w:rPr>
          <w:sz w:val="20"/>
          <w:szCs w:val="20"/>
          <w:color w:val="auto"/>
        </w:rPr>
      </w:pPr>
    </w:p>
    <w:p>
      <w:pPr>
        <w:spacing w:after="0"/>
        <w:tabs>
          <w:tab w:leader="none" w:pos="1520" w:val="left"/>
        </w:tabs>
        <w:rPr>
          <w:sz w:val="20"/>
          <w:szCs w:val="20"/>
          <w:color w:val="auto"/>
        </w:rPr>
      </w:pPr>
      <w:r>
        <w:rPr>
          <w:rFonts w:ascii="Times New Roman" w:cs="Times New Roman" w:eastAsia="Times New Roman" w:hAnsi="Times New Roman"/>
          <w:sz w:val="20"/>
          <w:szCs w:val="20"/>
          <w:color w:val="auto"/>
        </w:rPr>
        <w:t>Schedule 6.02(a)</w:t>
      </w:r>
      <w:r>
        <w:rPr>
          <w:sz w:val="20"/>
          <w:szCs w:val="20"/>
          <w:color w:val="auto"/>
        </w:rPr>
        <w:tab/>
      </w:r>
      <w:r>
        <w:rPr>
          <w:rFonts w:ascii="Times New Roman" w:cs="Times New Roman" w:eastAsia="Times New Roman" w:hAnsi="Times New Roman"/>
          <w:sz w:val="19"/>
          <w:szCs w:val="19"/>
          <w:color w:val="auto"/>
        </w:rPr>
        <w:t>Liens</w:t>
      </w:r>
    </w:p>
    <w:p>
      <w:pPr>
        <w:spacing w:after="0" w:line="6"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20"/>
          <w:szCs w:val="20"/>
          <w:color w:val="auto"/>
        </w:rPr>
        <w:t>Schedule 6.04</w:t>
      </w:r>
      <w:r>
        <w:rPr>
          <w:sz w:val="20"/>
          <w:szCs w:val="20"/>
          <w:color w:val="auto"/>
        </w:rPr>
        <w:tab/>
      </w:r>
      <w:r>
        <w:rPr>
          <w:rFonts w:ascii="Times New Roman" w:cs="Times New Roman" w:eastAsia="Times New Roman" w:hAnsi="Times New Roman"/>
          <w:sz w:val="19"/>
          <w:szCs w:val="19"/>
          <w:color w:val="auto"/>
        </w:rPr>
        <w:t>Investments</w:t>
      </w:r>
    </w:p>
    <w:p>
      <w:pPr>
        <w:spacing w:after="0" w:line="13"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20"/>
          <w:szCs w:val="20"/>
          <w:color w:val="auto"/>
        </w:rPr>
        <w:t>Schedule 6.07</w:t>
      </w:r>
      <w:r>
        <w:rPr>
          <w:sz w:val="20"/>
          <w:szCs w:val="20"/>
          <w:color w:val="auto"/>
        </w:rPr>
        <w:tab/>
      </w:r>
      <w:r>
        <w:rPr>
          <w:rFonts w:ascii="Times New Roman" w:cs="Times New Roman" w:eastAsia="Times New Roman" w:hAnsi="Times New Roman"/>
          <w:sz w:val="19"/>
          <w:szCs w:val="19"/>
          <w:color w:val="auto"/>
        </w:rPr>
        <w:t>Transactions with Affiliates</w:t>
      </w:r>
    </w:p>
    <w:p>
      <w:pPr>
        <w:spacing w:after="0" w:line="6"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20"/>
          <w:szCs w:val="20"/>
          <w:color w:val="auto"/>
        </w:rPr>
        <w:t>Schedule 9.01</w:t>
      </w:r>
      <w:r>
        <w:rPr>
          <w:sz w:val="20"/>
          <w:szCs w:val="20"/>
          <w:color w:val="auto"/>
        </w:rPr>
        <w:tab/>
      </w:r>
      <w:r>
        <w:rPr>
          <w:rFonts w:ascii="Times New Roman" w:cs="Times New Roman" w:eastAsia="Times New Roman" w:hAnsi="Times New Roman"/>
          <w:sz w:val="19"/>
          <w:szCs w:val="19"/>
          <w:color w:val="auto"/>
        </w:rPr>
        <w:t>Notice Information</w:t>
      </w:r>
    </w:p>
    <w:p>
      <w:pPr>
        <w:sectPr>
          <w:pgSz w:w="11900" w:h="16838" w:orient="portrait"/>
          <w:cols w:equalWidth="0" w:num="1">
            <w:col w:w="11240"/>
          </w:cols>
          <w:pgMar w:left="320" w:top="108" w:right="339" w:bottom="1440" w:gutter="0" w:footer="0" w:header="0"/>
        </w:sectPr>
      </w:pPr>
    </w:p>
    <w:bookmarkStart w:id="187" w:name="page188"/>
    <w:bookmarkEnd w:id="187"/>
    <w:p>
      <w:pPr>
        <w:jc w:val="right"/>
        <w:spacing w:after="0"/>
        <w:rPr>
          <w:sz w:val="20"/>
          <w:szCs w:val="20"/>
          <w:color w:val="auto"/>
        </w:rPr>
      </w:pPr>
      <w:r>
        <w:rPr>
          <w:rFonts w:ascii="Times New Roman" w:cs="Times New Roman" w:eastAsia="Times New Roman" w:hAnsi="Times New Roman"/>
          <w:sz w:val="22"/>
          <w:szCs w:val="22"/>
          <w:color w:val="FF0000"/>
          <w:strike w:val="1"/>
        </w:rPr>
        <w:t>ANNEX</w:t>
      </w:r>
      <w:r>
        <w:rPr>
          <w:rFonts w:ascii="Times New Roman" w:cs="Times New Roman" w:eastAsia="Times New Roman" w:hAnsi="Times New Roman"/>
          <w:sz w:val="22"/>
          <w:szCs w:val="22"/>
          <w:b w:val="1"/>
          <w:bCs w:val="1"/>
          <w:u w:val="single" w:color="auto"/>
          <w:color w:val="0000FF"/>
        </w:rPr>
        <w:t>EXHIBIT</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THIRD AMENDED AND RESTATED FIRST LIEN CREDIT AGREEMENT, dated as of February 9, 2021 (this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among INCEPTION PARENT, INC., a Delaware corporation (“</w:t>
      </w:r>
      <w:r>
        <w:rPr>
          <w:rFonts w:ascii="Times New Roman" w:cs="Times New Roman" w:eastAsia="Times New Roman" w:hAnsi="Times New Roman"/>
          <w:sz w:val="20"/>
          <w:szCs w:val="20"/>
          <w:u w:val="single" w:color="auto"/>
          <w:color w:val="auto"/>
        </w:rPr>
        <w:t>Holdings</w:t>
      </w:r>
      <w:r>
        <w:rPr>
          <w:rFonts w:ascii="Times New Roman" w:cs="Times New Roman" w:eastAsia="Times New Roman" w:hAnsi="Times New Roman"/>
          <w:sz w:val="20"/>
          <w:szCs w:val="20"/>
          <w:color w:val="auto"/>
        </w:rPr>
        <w:t>”), RACKSPACE TECHNOLOGY GLOBAL, INC. (formerly known as Rackspace Hosting, Inc.), a Delaware corporation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or the “</w:t>
      </w:r>
      <w:r>
        <w:rPr>
          <w:rFonts w:ascii="Times New Roman" w:cs="Times New Roman" w:eastAsia="Times New Roman" w:hAnsi="Times New Roman"/>
          <w:sz w:val="20"/>
          <w:szCs w:val="20"/>
          <w:u w:val="single" w:color="auto"/>
          <w:color w:val="auto"/>
        </w:rPr>
        <w:t>Borrower</w:t>
      </w:r>
      <w:r>
        <w:rPr>
          <w:rFonts w:ascii="Times New Roman" w:cs="Times New Roman" w:eastAsia="Times New Roman" w:hAnsi="Times New Roman"/>
          <w:sz w:val="20"/>
          <w:szCs w:val="20"/>
          <w:color w:val="auto"/>
        </w:rPr>
        <w:t xml:space="preserve">”), the LENDERS party hereto from time to time, </w:t>
      </w:r>
      <w:r>
        <w:rPr>
          <w:rFonts w:ascii="Times New Roman" w:cs="Times New Roman" w:eastAsia="Times New Roman" w:hAnsi="Times New Roman"/>
          <w:sz w:val="20"/>
          <w:szCs w:val="20"/>
          <w:color w:val="FF0000"/>
          <w:strike w:val="1"/>
        </w:rPr>
        <w:t>CITIBANK, N.A.</w:t>
      </w:r>
      <w:r>
        <w:rPr>
          <w:rFonts w:ascii="Times New Roman" w:cs="Times New Roman" w:eastAsia="Times New Roman" w:hAnsi="Times New Roman"/>
          <w:sz w:val="20"/>
          <w:szCs w:val="20"/>
          <w:b w:val="1"/>
          <w:bCs w:val="1"/>
          <w:u w:val="single" w:color="auto"/>
          <w:color w:val="0000FF"/>
        </w:rPr>
        <w:t>WILMINGTON TRUST, NATIONAL ASSOCIATION</w:t>
      </w:r>
      <w:r>
        <w:rPr>
          <w:rFonts w:ascii="Times New Roman" w:cs="Times New Roman" w:eastAsia="Times New Roman" w:hAnsi="Times New Roman"/>
          <w:sz w:val="20"/>
          <w:szCs w:val="20"/>
          <w:color w:val="auto"/>
        </w:rPr>
        <w:t>, as Administrative Agent (in such capacity, the “</w:t>
      </w:r>
      <w:r>
        <w:rPr>
          <w:rFonts w:ascii="Times New Roman" w:cs="Times New Roman" w:eastAsia="Times New Roman" w:hAnsi="Times New Roman"/>
          <w:sz w:val="20"/>
          <w:szCs w:val="20"/>
          <w:u w:val="single" w:color="auto"/>
          <w:color w:val="auto"/>
        </w:rPr>
        <w:t>Administrative Agent</w:t>
      </w:r>
      <w:r>
        <w:rPr>
          <w:rFonts w:ascii="Times New Roman" w:cs="Times New Roman" w:eastAsia="Times New Roman" w:hAnsi="Times New Roman"/>
          <w:sz w:val="20"/>
          <w:szCs w:val="20"/>
          <w:color w:val="auto"/>
        </w:rPr>
        <w:t xml:space="preserve">”) for the Lenders, and </w:t>
      </w:r>
      <w:r>
        <w:rPr>
          <w:rFonts w:ascii="Times New Roman" w:cs="Times New Roman" w:eastAsia="Times New Roman" w:hAnsi="Times New Roman"/>
          <w:sz w:val="20"/>
          <w:szCs w:val="20"/>
          <w:color w:val="FF0000"/>
          <w:strike w:val="1"/>
        </w:rPr>
        <w:t>CITIBANK, N.A., acting through its agency &amp; trust division</w:t>
      </w:r>
      <w:r>
        <w:rPr>
          <w:rFonts w:ascii="Times New Roman" w:cs="Times New Roman" w:eastAsia="Times New Roman" w:hAnsi="Times New Roman"/>
          <w:sz w:val="20"/>
          <w:szCs w:val="20"/>
          <w:b w:val="1"/>
          <w:bCs w:val="1"/>
          <w:u w:val="single" w:color="auto"/>
          <w:color w:val="0000FF"/>
        </w:rPr>
        <w:t>WILMINGTON TRUST,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u w:val="single" w:color="auto"/>
          <w:color w:val="0000FF"/>
        </w:rPr>
        <w:t>NATIONAL ASSOCIATION</w:t>
      </w:r>
      <w:r>
        <w:rPr>
          <w:rFonts w:ascii="Times New Roman" w:cs="Times New Roman" w:eastAsia="Times New Roman" w:hAnsi="Times New Roman"/>
          <w:sz w:val="20"/>
          <w:szCs w:val="20"/>
          <w:color w:val="000000"/>
        </w:rPr>
        <w:t>, as Collateral Agent for the Secured Parties.</w:t>
      </w:r>
    </w:p>
    <w:p>
      <w:pPr>
        <w:spacing w:after="0" w:line="16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WHEREAS, Holdings, Inception Merger Sub, Inc., a Delaware corporation (“</w:t>
      </w:r>
      <w:r>
        <w:rPr>
          <w:rFonts w:ascii="Times New Roman" w:cs="Times New Roman" w:eastAsia="Times New Roman" w:hAnsi="Times New Roman"/>
          <w:sz w:val="20"/>
          <w:szCs w:val="20"/>
          <w:u w:val="single" w:color="auto"/>
          <w:color w:val="auto"/>
        </w:rPr>
        <w:t>Merger Sub</w:t>
      </w:r>
      <w:r>
        <w:rPr>
          <w:rFonts w:ascii="Times New Roman" w:cs="Times New Roman" w:eastAsia="Times New Roman" w:hAnsi="Times New Roman"/>
          <w:sz w:val="20"/>
          <w:szCs w:val="20"/>
          <w:color w:val="auto"/>
        </w:rPr>
        <w:t>”), the Lenders party thereto and the Administrative Agent entered into that certain First Lien Credit Agreement, dated as of November 3, 2016 (as modified by the Joinder dated November 3, 2016, the “</w:t>
      </w:r>
      <w:r>
        <w:rPr>
          <w:rFonts w:ascii="Times New Roman" w:cs="Times New Roman" w:eastAsia="Times New Roman" w:hAnsi="Times New Roman"/>
          <w:sz w:val="20"/>
          <w:szCs w:val="20"/>
          <w:u w:val="single" w:color="auto"/>
          <w:color w:val="auto"/>
        </w:rPr>
        <w:t>Original Credit Agreement</w:t>
      </w:r>
      <w:r>
        <w:rPr>
          <w:rFonts w:ascii="Times New Roman" w:cs="Times New Roman" w:eastAsia="Times New Roman" w:hAnsi="Times New Roman"/>
          <w:sz w:val="20"/>
          <w:szCs w:val="20"/>
          <w:color w:val="auto"/>
        </w:rPr>
        <w:t>”);</w:t>
      </w:r>
    </w:p>
    <w:p>
      <w:pPr>
        <w:spacing w:after="0" w:line="168"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WHEREAS, the Original Credit Agreement was amended and restated on December 20, 2016 and June 21, 2017 and further amended on November 15, 2017 and July 20, 2020 (collectively, the “</w:t>
      </w:r>
      <w:r>
        <w:rPr>
          <w:rFonts w:ascii="Times New Roman" w:cs="Times New Roman" w:eastAsia="Times New Roman" w:hAnsi="Times New Roman"/>
          <w:sz w:val="20"/>
          <w:szCs w:val="20"/>
          <w:u w:val="single" w:color="auto"/>
          <w:color w:val="auto"/>
        </w:rPr>
        <w:t>Prior Amendments</w:t>
      </w:r>
      <w:r>
        <w:rPr>
          <w:rFonts w:ascii="Times New Roman" w:cs="Times New Roman" w:eastAsia="Times New Roman" w:hAnsi="Times New Roman"/>
          <w:sz w:val="20"/>
          <w:szCs w:val="20"/>
          <w:color w:val="auto"/>
        </w:rPr>
        <w:t>”, and the Original Credit Agreement as so amended, restated, supplemented or otherwise modified prior to the 2021 Effective Date, the “</w:t>
      </w:r>
      <w:r>
        <w:rPr>
          <w:rFonts w:ascii="Times New Roman" w:cs="Times New Roman" w:eastAsia="Times New Roman" w:hAnsi="Times New Roman"/>
          <w:sz w:val="20"/>
          <w:szCs w:val="20"/>
          <w:u w:val="single" w:color="auto"/>
          <w:color w:val="auto"/>
        </w:rPr>
        <w:t>Existing Credit Agreement</w:t>
      </w:r>
      <w:r>
        <w:rPr>
          <w:rFonts w:ascii="Times New Roman" w:cs="Times New Roman" w:eastAsia="Times New Roman" w:hAnsi="Times New Roman"/>
          <w:sz w:val="20"/>
          <w:szCs w:val="20"/>
          <w:color w:val="auto"/>
        </w:rPr>
        <w:t>”);</w:t>
      </w:r>
    </w:p>
    <w:p>
      <w:pPr>
        <w:spacing w:after="0" w:line="154"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WHEREAS, the Borrower has entered into that certain Incremental Assumption and Amendment Agreement No. 5 (the “</w:t>
      </w:r>
      <w:r>
        <w:rPr>
          <w:rFonts w:ascii="Times New Roman" w:cs="Times New Roman" w:eastAsia="Times New Roman" w:hAnsi="Times New Roman"/>
          <w:sz w:val="20"/>
          <w:szCs w:val="20"/>
          <w:u w:val="single" w:color="auto"/>
          <w:color w:val="auto"/>
        </w:rPr>
        <w:t>2021 Incremental Assumption and Amendment Agreement</w:t>
      </w:r>
      <w:r>
        <w:rPr>
          <w:rFonts w:ascii="Times New Roman" w:cs="Times New Roman" w:eastAsia="Times New Roman" w:hAnsi="Times New Roman"/>
          <w:sz w:val="20"/>
          <w:szCs w:val="20"/>
          <w:color w:val="auto"/>
        </w:rPr>
        <w:t>”), dated as of the date hereof (the “</w:t>
      </w:r>
      <w:r>
        <w:rPr>
          <w:rFonts w:ascii="Times New Roman" w:cs="Times New Roman" w:eastAsia="Times New Roman" w:hAnsi="Times New Roman"/>
          <w:sz w:val="20"/>
          <w:szCs w:val="20"/>
          <w:u w:val="single" w:color="auto"/>
          <w:color w:val="auto"/>
        </w:rPr>
        <w:t>2021 Effective Date</w:t>
      </w:r>
      <w:r>
        <w:rPr>
          <w:rFonts w:ascii="Times New Roman" w:cs="Times New Roman" w:eastAsia="Times New Roman" w:hAnsi="Times New Roman"/>
          <w:sz w:val="20"/>
          <w:szCs w:val="20"/>
          <w:color w:val="auto"/>
        </w:rPr>
        <w:t>”), by and among Holdings, the Borrower, the Subsidiary Loan Parties party thereto, the Lenders party thereto and the Administrative Agent, under which certain Lenders (such Lenders, the “</w:t>
      </w:r>
      <w:r>
        <w:rPr>
          <w:rFonts w:ascii="Times New Roman" w:cs="Times New Roman" w:eastAsia="Times New Roman" w:hAnsi="Times New Roman"/>
          <w:sz w:val="20"/>
          <w:szCs w:val="20"/>
          <w:u w:val="single" w:color="auto"/>
          <w:color w:val="auto"/>
        </w:rPr>
        <w:t>2021 Term B Lenders</w:t>
      </w:r>
      <w:r>
        <w:rPr>
          <w:rFonts w:ascii="Times New Roman" w:cs="Times New Roman" w:eastAsia="Times New Roman" w:hAnsi="Times New Roman"/>
          <w:sz w:val="20"/>
          <w:szCs w:val="20"/>
          <w:color w:val="auto"/>
        </w:rPr>
        <w:t>”) are extending credit to the Borrower in the form of Refinancing Term Loans consisting of Term B Loans in an aggregate principal amount of $2,300,000,000 (the “</w:t>
      </w:r>
      <w:r>
        <w:rPr>
          <w:rFonts w:ascii="Times New Roman" w:cs="Times New Roman" w:eastAsia="Times New Roman" w:hAnsi="Times New Roman"/>
          <w:sz w:val="20"/>
          <w:szCs w:val="20"/>
          <w:u w:val="single" w:color="auto"/>
          <w:color w:val="auto"/>
        </w:rPr>
        <w:t>2021 Term B Loans</w:t>
      </w:r>
      <w:r>
        <w:rPr>
          <w:rFonts w:ascii="Times New Roman" w:cs="Times New Roman" w:eastAsia="Times New Roman" w:hAnsi="Times New Roman"/>
          <w:sz w:val="20"/>
          <w:szCs w:val="20"/>
          <w:color w:val="auto"/>
        </w:rPr>
        <w:t>”); and</w:t>
      </w:r>
    </w:p>
    <w:p>
      <w:pPr>
        <w:spacing w:after="0" w:line="178"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20"/>
          <w:szCs w:val="20"/>
          <w:color w:val="auto"/>
        </w:rPr>
        <w:t>WHEREAS, the Administrative Agent, the Collateral Agent, Holdings, the Borrower and the 2021 Term B Lenders have agreed to amend and restate the Existing Credit Agreement as provided in this Agreement.</w:t>
      </w:r>
    </w:p>
    <w:p>
      <w:pPr>
        <w:spacing w:after="0" w:line="15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9"/>
          <w:szCs w:val="19"/>
          <w:color w:val="auto"/>
        </w:rPr>
        <w:t>NOW, THEREFORE, the Existing Credit Agreement shall be, and hereby is, amended and restated in its entirety as follows:</w:t>
      </w:r>
    </w:p>
    <w:p>
      <w:pPr>
        <w:spacing w:after="0" w:line="222"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2"/>
          <w:szCs w:val="22"/>
          <w:color w:val="auto"/>
        </w:rPr>
        <w:t>ARTICLE I</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Definitions</w:t>
      </w:r>
    </w:p>
    <w:p>
      <w:pPr>
        <w:spacing w:after="0" w:line="233" w:lineRule="exact"/>
        <w:rPr>
          <w:sz w:val="20"/>
          <w:szCs w:val="20"/>
          <w:color w:val="auto"/>
        </w:rPr>
      </w:pPr>
    </w:p>
    <w:p>
      <w:pPr>
        <w:ind w:left="1300"/>
        <w:spacing w:after="0"/>
        <w:tabs>
          <w:tab w:leader="none" w:pos="2480" w:val="left"/>
        </w:tabs>
        <w:rPr>
          <w:sz w:val="20"/>
          <w:szCs w:val="20"/>
          <w:color w:val="auto"/>
        </w:rPr>
      </w:pPr>
      <w:r>
        <w:rPr>
          <w:rFonts w:ascii="Times New Roman" w:cs="Times New Roman" w:eastAsia="Times New Roman" w:hAnsi="Times New Roman"/>
          <w:sz w:val="20"/>
          <w:szCs w:val="20"/>
          <w:color w:val="auto"/>
        </w:rPr>
        <w:t>Section 1.01</w:t>
      </w:r>
      <w:r>
        <w:rPr>
          <w:sz w:val="20"/>
          <w:szCs w:val="20"/>
          <w:color w:val="auto"/>
        </w:rPr>
        <w:tab/>
      </w:r>
      <w:r>
        <w:rPr>
          <w:rFonts w:ascii="Times New Roman" w:cs="Times New Roman" w:eastAsia="Times New Roman" w:hAnsi="Times New Roman"/>
          <w:sz w:val="19"/>
          <w:szCs w:val="19"/>
          <w:color w:val="auto"/>
        </w:rPr>
        <w:t>Defined Terms. As used in this Agreement, the following terms shall have the meanings specified below:</w:t>
      </w:r>
    </w:p>
    <w:p>
      <w:pPr>
        <w:spacing w:after="0" w:line="202" w:lineRule="exact"/>
        <w:rPr>
          <w:sz w:val="20"/>
          <w:szCs w:val="20"/>
          <w:color w:val="auto"/>
        </w:rPr>
      </w:pPr>
    </w:p>
    <w:p>
      <w:pPr>
        <w:jc w:val="both"/>
        <w:ind w:right="20"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2020 Effective Date</w:t>
      </w:r>
      <w:r>
        <w:rPr>
          <w:rFonts w:ascii="Times New Roman" w:cs="Times New Roman" w:eastAsia="Times New Roman" w:hAnsi="Times New Roman"/>
          <w:sz w:val="20"/>
          <w:szCs w:val="20"/>
          <w:color w:val="auto"/>
        </w:rPr>
        <w:t>” shall have the meaning assigned to the term “2020 Effective Date” in the 2020 Incremental Assumption Agreement, which was August 7, 2020.</w:t>
      </w:r>
    </w:p>
    <w:p>
      <w:pPr>
        <w:spacing w:after="0" w:line="133"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2020 Incremental Assumption Agreement</w:t>
      </w:r>
      <w:r>
        <w:rPr>
          <w:rFonts w:ascii="Times New Roman" w:cs="Times New Roman" w:eastAsia="Times New Roman" w:hAnsi="Times New Roman"/>
          <w:sz w:val="20"/>
          <w:szCs w:val="20"/>
          <w:color w:val="auto"/>
        </w:rPr>
        <w:t>” shall mean that certain Incremental Assumption Agreement No. 4, dated as of July 20, 2020, by and among Holdings, the Borrower, the Subsidiary Loan Parties party thereto, the Lenders party thereto and the Administrative Agent.</w:t>
      </w:r>
    </w:p>
    <w:p>
      <w:pPr>
        <w:spacing w:after="0" w:line="16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2021 Effective Date</w:t>
      </w:r>
      <w:r>
        <w:rPr>
          <w:rFonts w:ascii="Times New Roman" w:cs="Times New Roman" w:eastAsia="Times New Roman" w:hAnsi="Times New Roman"/>
          <w:sz w:val="20"/>
          <w:szCs w:val="20"/>
          <w:color w:val="auto"/>
        </w:rPr>
        <w:t>” shall have the meaning assigned to such term in the recitals hereto.</w:t>
      </w:r>
    </w:p>
    <w:p>
      <w:pPr>
        <w:sectPr>
          <w:pgSz w:w="11900" w:h="16838" w:orient="portrait"/>
          <w:cols w:equalWidth="0" w:num="1">
            <w:col w:w="11240"/>
          </w:cols>
          <w:pgMar w:left="320" w:top="108" w:right="339" w:bottom="1440" w:gutter="0" w:footer="0" w:header="0"/>
        </w:sectPr>
      </w:pPr>
    </w:p>
    <w:bookmarkStart w:id="188" w:name="page189"/>
    <w:bookmarkEnd w:id="188"/>
    <w:p>
      <w:pPr>
        <w:jc w:val="right"/>
        <w:spacing w:after="0"/>
        <w:rPr>
          <w:sz w:val="20"/>
          <w:szCs w:val="20"/>
          <w:color w:val="auto"/>
        </w:rPr>
      </w:pPr>
      <w:r>
        <w:rPr>
          <w:rFonts w:ascii="Times New Roman" w:cs="Times New Roman" w:eastAsia="Times New Roman" w:hAnsi="Times New Roman"/>
          <w:sz w:val="22"/>
          <w:szCs w:val="22"/>
          <w:color w:val="FF0000"/>
          <w:strike w:val="1"/>
        </w:rPr>
        <w:t>ANNEX</w:t>
      </w:r>
      <w:r>
        <w:rPr>
          <w:rFonts w:ascii="Times New Roman" w:cs="Times New Roman" w:eastAsia="Times New Roman" w:hAnsi="Times New Roman"/>
          <w:sz w:val="22"/>
          <w:szCs w:val="22"/>
          <w:b w:val="1"/>
          <w:bCs w:val="1"/>
          <w:u w:val="single" w:color="auto"/>
          <w:color w:val="0000FF"/>
        </w:rPr>
        <w:t>EXHIBIT</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2021 Incremental Assumption and Amendment Agreement</w:t>
      </w:r>
      <w:r>
        <w:rPr>
          <w:rFonts w:ascii="Times New Roman" w:cs="Times New Roman" w:eastAsia="Times New Roman" w:hAnsi="Times New Roman"/>
          <w:sz w:val="20"/>
          <w:szCs w:val="20"/>
          <w:color w:val="auto"/>
        </w:rPr>
        <w:t>” shall have the meaning assigned to such term in the recitals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hereto.</w:t>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2021 Term B Lenders</w:t>
      </w:r>
      <w:r>
        <w:rPr>
          <w:rFonts w:ascii="Times New Roman" w:cs="Times New Roman" w:eastAsia="Times New Roman" w:hAnsi="Times New Roman"/>
          <w:sz w:val="20"/>
          <w:szCs w:val="20"/>
          <w:color w:val="auto"/>
        </w:rPr>
        <w:t>” shall have the meaning assigned to such term in the recitals hereto.</w:t>
      </w:r>
    </w:p>
    <w:p>
      <w:pPr>
        <w:spacing w:after="0" w:line="20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2021 Term B Loans</w:t>
      </w:r>
      <w:r>
        <w:rPr>
          <w:rFonts w:ascii="Times New Roman" w:cs="Times New Roman" w:eastAsia="Times New Roman" w:hAnsi="Times New Roman"/>
          <w:sz w:val="20"/>
          <w:szCs w:val="20"/>
          <w:color w:val="auto"/>
        </w:rPr>
        <w:t>” shall have the meaning assigned to such term in the recitals hereto.</w:t>
      </w:r>
    </w:p>
    <w:p>
      <w:pPr>
        <w:spacing w:after="0" w:line="202"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2021 Transactions</w:t>
      </w:r>
      <w:r>
        <w:rPr>
          <w:rFonts w:ascii="Times New Roman" w:cs="Times New Roman" w:eastAsia="Times New Roman" w:hAnsi="Times New Roman"/>
          <w:sz w:val="20"/>
          <w:szCs w:val="20"/>
          <w:color w:val="auto"/>
        </w:rPr>
        <w:t>” shall mean (a) the execution, delivery and performance of the 2021 Incremental Assumption and Amendment Agreement and the initial borrowings thereunder, (b) the execution, delivery and performance of the Senior Secured Note Documents and the granting of security in connection therewith, (c) the repayment in full of the Existing Term B Loans (as defined in the 2021 Incremental Assumption and Amendment Agreement) and (d) the payment of all fees and expenses to be paid and owing in connection with any of the foregoing.</w:t>
      </w:r>
    </w:p>
    <w:p>
      <w:pPr>
        <w:spacing w:after="0" w:line="159"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ABR</w:t>
      </w:r>
      <w:r>
        <w:rPr>
          <w:rFonts w:ascii="Times New Roman" w:cs="Times New Roman" w:eastAsia="Times New Roman" w:hAnsi="Times New Roman"/>
          <w:sz w:val="20"/>
          <w:szCs w:val="20"/>
          <w:color w:val="auto"/>
        </w:rPr>
        <w:t xml:space="preserve">” shall mean, for any day, a fluctuating rate per annum equal to the highest of (a) the Federal Funds Effective Rate in effect for such day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0.50%, (b) the Prime Rate in effect on such day and (c) the Adjusted Term SOFR Rate for a one month tenor in effect on such day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1.00%. Any change in such rate due to a change in the Prime Rate, the Federal Funds Effective Rate or the Adjusted Term SOFR Rate shall be effective from and including the effective date of such change in the Prime Rate, the Federal Funds Effective Rate or the Adjusted Term SOFR Rate, as the case may be.</w:t>
      </w:r>
    </w:p>
    <w:p>
      <w:pPr>
        <w:spacing w:after="0" w:line="17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ABR Borrowing</w:t>
      </w:r>
      <w:r>
        <w:rPr>
          <w:rFonts w:ascii="Times New Roman" w:cs="Times New Roman" w:eastAsia="Times New Roman" w:hAnsi="Times New Roman"/>
          <w:sz w:val="20"/>
          <w:szCs w:val="20"/>
          <w:color w:val="auto"/>
        </w:rPr>
        <w:t>” shall mean a Borrowing comprised of ABR Loans.</w:t>
      </w:r>
    </w:p>
    <w:p>
      <w:pPr>
        <w:spacing w:after="0" w:line="20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ABR Loan</w:t>
      </w:r>
      <w:r>
        <w:rPr>
          <w:rFonts w:ascii="Times New Roman" w:cs="Times New Roman" w:eastAsia="Times New Roman" w:hAnsi="Times New Roman"/>
          <w:sz w:val="20"/>
          <w:szCs w:val="20"/>
          <w:color w:val="auto"/>
        </w:rPr>
        <w:t>” shall mean any ABR Term Loan, ABR Revolving Loan or Swingline Loan.</w:t>
      </w:r>
    </w:p>
    <w:p>
      <w:pPr>
        <w:spacing w:after="0" w:line="20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ABR Revolving Facility Borrowing</w:t>
      </w:r>
      <w:r>
        <w:rPr>
          <w:rFonts w:ascii="Times New Roman" w:cs="Times New Roman" w:eastAsia="Times New Roman" w:hAnsi="Times New Roman"/>
          <w:sz w:val="20"/>
          <w:szCs w:val="20"/>
          <w:color w:val="auto"/>
        </w:rPr>
        <w:t>” shall mean a Borrowing comprised of ABR Revolving Loans.</w:t>
      </w:r>
    </w:p>
    <w:p>
      <w:pPr>
        <w:spacing w:after="0" w:line="202"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ABR Revolving Loan</w:t>
      </w:r>
      <w:r>
        <w:rPr>
          <w:rFonts w:ascii="Times New Roman" w:cs="Times New Roman" w:eastAsia="Times New Roman" w:hAnsi="Times New Roman"/>
          <w:sz w:val="20"/>
          <w:szCs w:val="20"/>
          <w:color w:val="auto"/>
        </w:rPr>
        <w:t>” shall mean any Revolving Facility Loan bearing interest at a rate determined by reference to the ABR in accordance with the provisions of Article II.</w:t>
      </w:r>
    </w:p>
    <w:p>
      <w:pPr>
        <w:spacing w:after="0" w:line="133"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ABR Term Loan</w:t>
      </w:r>
      <w:r>
        <w:rPr>
          <w:rFonts w:ascii="Times New Roman" w:cs="Times New Roman" w:eastAsia="Times New Roman" w:hAnsi="Times New Roman"/>
          <w:sz w:val="20"/>
          <w:szCs w:val="20"/>
          <w:color w:val="auto"/>
        </w:rPr>
        <w:t>” shall mean any Term Loan bearing interest at a rate determined by reference to the ABR in accordance with the provisions of Article II.</w:t>
      </w:r>
    </w:p>
    <w:p>
      <w:pPr>
        <w:spacing w:after="0" w:line="1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ABR Term SOFR Determination Day</w:t>
      </w:r>
      <w:r>
        <w:rPr>
          <w:rFonts w:ascii="Times New Roman" w:cs="Times New Roman" w:eastAsia="Times New Roman" w:hAnsi="Times New Roman"/>
          <w:sz w:val="20"/>
          <w:szCs w:val="20"/>
          <w:color w:val="auto"/>
        </w:rPr>
        <w:t>” shall have the meaning specified in the definition of “Term SOFR.”</w:t>
      </w:r>
    </w:p>
    <w:p>
      <w:pPr>
        <w:spacing w:after="0" w:line="20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Adjusted Term SOFR Rate</w:t>
      </w:r>
      <w:r>
        <w:rPr>
          <w:rFonts w:ascii="Times New Roman" w:cs="Times New Roman" w:eastAsia="Times New Roman" w:hAnsi="Times New Roman"/>
          <w:sz w:val="20"/>
          <w:szCs w:val="20"/>
          <w:color w:val="auto"/>
        </w:rPr>
        <w:t xml:space="preserve">” shall mean, for purposes of any calculation, the rate per annum equal to (a) Term SOFR for such calculation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(b) the Term SOFR Adjustment;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Adjusted Term SOFR Rate as so determined shall ever be less than the Floor, then Adjusted Term SOFR Rate shall be deemed to be the Floor.</w:t>
      </w:r>
    </w:p>
    <w:p>
      <w:pPr>
        <w:spacing w:after="0" w:line="16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Adjustment Date</w:t>
      </w:r>
      <w:r>
        <w:rPr>
          <w:rFonts w:ascii="Times New Roman" w:cs="Times New Roman" w:eastAsia="Times New Roman" w:hAnsi="Times New Roman"/>
          <w:sz w:val="20"/>
          <w:szCs w:val="20"/>
          <w:color w:val="auto"/>
        </w:rPr>
        <w:t>” shall have the meaning assigned to such term in the definition of “Pricing Grid.”</w:t>
      </w:r>
    </w:p>
    <w:p>
      <w:pPr>
        <w:spacing w:after="0" w:line="202" w:lineRule="exact"/>
        <w:rPr>
          <w:sz w:val="20"/>
          <w:szCs w:val="20"/>
          <w:color w:val="auto"/>
        </w:rPr>
      </w:pPr>
    </w:p>
    <w:p>
      <w:pPr>
        <w:jc w:val="both"/>
        <w:ind w:right="20"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Administrative Agent</w:t>
      </w:r>
      <w:r>
        <w:rPr>
          <w:rFonts w:ascii="Times New Roman" w:cs="Times New Roman" w:eastAsia="Times New Roman" w:hAnsi="Times New Roman"/>
          <w:sz w:val="20"/>
          <w:szCs w:val="20"/>
          <w:color w:val="auto"/>
        </w:rPr>
        <w:t>” shall have the meaning assigned to such term in the introductory paragraph of this Agreement, together with its successors and assigns.</w:t>
      </w:r>
    </w:p>
    <w:p>
      <w:pPr>
        <w:spacing w:after="0" w:line="1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Administrative Agent Fees</w:t>
      </w:r>
      <w:r>
        <w:rPr>
          <w:rFonts w:ascii="Times New Roman" w:cs="Times New Roman" w:eastAsia="Times New Roman" w:hAnsi="Times New Roman"/>
          <w:sz w:val="20"/>
          <w:szCs w:val="20"/>
          <w:color w:val="auto"/>
        </w:rPr>
        <w:t>” shall have the meaning assigned to such term in Section 2.12(c).</w:t>
      </w:r>
    </w:p>
    <w:p>
      <w:pPr>
        <w:sectPr>
          <w:pgSz w:w="11900" w:h="16838" w:orient="portrait"/>
          <w:cols w:equalWidth="0" w:num="1">
            <w:col w:w="11240"/>
          </w:cols>
          <w:pgMar w:left="320" w:top="108" w:right="339" w:bottom="1440" w:gutter="0" w:footer="0" w:header="0"/>
        </w:sectPr>
      </w:pPr>
    </w:p>
    <w:bookmarkStart w:id="189" w:name="page190"/>
    <w:bookmarkEnd w:id="189"/>
    <w:p>
      <w:pPr>
        <w:jc w:val="right"/>
        <w:spacing w:after="0"/>
        <w:rPr>
          <w:sz w:val="20"/>
          <w:szCs w:val="20"/>
          <w:color w:val="auto"/>
        </w:rPr>
      </w:pPr>
      <w:r>
        <w:rPr>
          <w:rFonts w:ascii="Times New Roman" w:cs="Times New Roman" w:eastAsia="Times New Roman" w:hAnsi="Times New Roman"/>
          <w:sz w:val="22"/>
          <w:szCs w:val="22"/>
          <w:color w:val="FF0000"/>
          <w:strike w:val="1"/>
        </w:rPr>
        <w:t>ANNEX</w:t>
      </w:r>
      <w:r>
        <w:rPr>
          <w:rFonts w:ascii="Times New Roman" w:cs="Times New Roman" w:eastAsia="Times New Roman" w:hAnsi="Times New Roman"/>
          <w:sz w:val="22"/>
          <w:szCs w:val="22"/>
          <w:b w:val="1"/>
          <w:bCs w:val="1"/>
          <w:u w:val="single" w:color="auto"/>
          <w:color w:val="0000FF"/>
        </w:rPr>
        <w:t>EXHIBIT</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Administrative Questionnaire</w:t>
      </w:r>
      <w:r>
        <w:rPr>
          <w:rFonts w:ascii="Times New Roman" w:cs="Times New Roman" w:eastAsia="Times New Roman" w:hAnsi="Times New Roman"/>
          <w:sz w:val="20"/>
          <w:szCs w:val="20"/>
          <w:color w:val="auto"/>
        </w:rPr>
        <w:t xml:space="preserve">” shall mean an Administrative Questionnaire in the form of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xml:space="preserve"> to the Original Credit Agreement or such other form supplied by the Administrative Agent.</w:t>
      </w:r>
    </w:p>
    <w:p>
      <w:pPr>
        <w:spacing w:after="0" w:line="1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Affected Financial Institution</w:t>
      </w:r>
      <w:r>
        <w:rPr>
          <w:rFonts w:ascii="Times New Roman" w:cs="Times New Roman" w:eastAsia="Times New Roman" w:hAnsi="Times New Roman"/>
          <w:sz w:val="20"/>
          <w:szCs w:val="20"/>
          <w:color w:val="auto"/>
        </w:rPr>
        <w:t>” shall mean (a) any EEA Financial Institution or (b) any UK Financial Institution.</w:t>
      </w:r>
    </w:p>
    <w:p>
      <w:pPr>
        <w:spacing w:after="0" w:line="202"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Affiliate</w:t>
      </w:r>
      <w:r>
        <w:rPr>
          <w:rFonts w:ascii="Times New Roman" w:cs="Times New Roman" w:eastAsia="Times New Roman" w:hAnsi="Times New Roman"/>
          <w:sz w:val="20"/>
          <w:szCs w:val="20"/>
          <w:color w:val="auto"/>
        </w:rPr>
        <w:t>” shall mean, when used with respect to a specified person, another person that directly, or indirectly through one or more intermediaries, Controls or is Controlled by or is under common Control with the person specified.</w:t>
      </w:r>
    </w:p>
    <w:p>
      <w:pPr>
        <w:spacing w:after="0" w:line="1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Affiliate Lender</w:t>
      </w:r>
      <w:r>
        <w:rPr>
          <w:rFonts w:ascii="Times New Roman" w:cs="Times New Roman" w:eastAsia="Times New Roman" w:hAnsi="Times New Roman"/>
          <w:sz w:val="20"/>
          <w:szCs w:val="20"/>
          <w:color w:val="auto"/>
        </w:rPr>
        <w:t>” shall have the meaning assigned to such term in Section 9.21(a).</w:t>
      </w:r>
    </w:p>
    <w:p>
      <w:pPr>
        <w:spacing w:after="0" w:line="20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Agents</w:t>
      </w:r>
      <w:r>
        <w:rPr>
          <w:rFonts w:ascii="Times New Roman" w:cs="Times New Roman" w:eastAsia="Times New Roman" w:hAnsi="Times New Roman"/>
          <w:sz w:val="20"/>
          <w:szCs w:val="20"/>
          <w:color w:val="auto"/>
        </w:rPr>
        <w:t>” shall mean the Administrative Agent and the Collateral Agent.</w:t>
      </w:r>
    </w:p>
    <w:p>
      <w:pPr>
        <w:spacing w:after="0" w:line="202" w:lineRule="exact"/>
        <w:rPr>
          <w:sz w:val="20"/>
          <w:szCs w:val="20"/>
          <w:color w:val="auto"/>
        </w:rPr>
      </w:pPr>
    </w:p>
    <w:p>
      <w:pPr>
        <w:jc w:val="both"/>
        <w:ind w:right="20"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shall have the meaning assigned to such term in the introductory paragraph of this Agreement, as may be amended, restated, supplemented or otherwise modified from time to time.</w:t>
      </w:r>
    </w:p>
    <w:p>
      <w:pPr>
        <w:spacing w:after="0" w:line="1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Agreement Currency</w:t>
      </w:r>
      <w:r>
        <w:rPr>
          <w:rFonts w:ascii="Times New Roman" w:cs="Times New Roman" w:eastAsia="Times New Roman" w:hAnsi="Times New Roman"/>
          <w:sz w:val="20"/>
          <w:szCs w:val="20"/>
          <w:color w:val="auto"/>
        </w:rPr>
        <w:t>” shall have the meaning assigned to such term in Section 9.19.</w:t>
      </w:r>
    </w:p>
    <w:p>
      <w:pPr>
        <w:spacing w:after="0" w:line="216"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All-in Yield</w:t>
      </w:r>
      <w:r>
        <w:rPr>
          <w:rFonts w:ascii="Times New Roman" w:cs="Times New Roman" w:eastAsia="Times New Roman" w:hAnsi="Times New Roman"/>
          <w:sz w:val="20"/>
          <w:szCs w:val="20"/>
          <w:color w:val="auto"/>
        </w:rPr>
        <w:t xml:space="preserve">” shall mean, as to any Loans (or Pari Term Loans, if applicable), the yield thereon payable to all Lenders (or other lenders, as applicable) providing such Loans (or Pari Term Loans, if applicable) in the primary syndication thereof, as reasonably determined by the Administrative Agent in consultation with the Borrower, whether in the form of interest rate, margin, original issue discount, up-front fees, rate floors or otherwise;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original issue discount and up-front fees shall be equated to interest rate assuming a 4-year life to maturity (or, if less, the life of such Loans (or Pari Term Loans, if applicable)); and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“All-in Yield” shall not include arrangement, commitment, underwriting, structuring or similar fees and customary consent fees for an amendment paid generally to consenting lenders.</w:t>
      </w:r>
    </w:p>
    <w:p>
      <w:pPr>
        <w:spacing w:after="0" w:line="16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Alternate Currency</w:t>
      </w:r>
      <w:r>
        <w:rPr>
          <w:rFonts w:ascii="Times New Roman" w:cs="Times New Roman" w:eastAsia="Times New Roman" w:hAnsi="Times New Roman"/>
          <w:sz w:val="20"/>
          <w:szCs w:val="20"/>
          <w:color w:val="auto"/>
        </w:rPr>
        <w:t>” shall mean (i) with respect to any Letter of Credit, Canadian Dollars, Euros, Pound Sterling, Swiss Francs, Mexican Pesos, Australian Dollars and any other currency other than Dollars as may be acceptable to the Administrative Agent and the Issuing Bank with respect thereto in their sole discretion and (ii) with respect to any Loan, any currency other than Dollars that is approved in accordance with Section 1.05.</w:t>
      </w:r>
    </w:p>
    <w:p>
      <w:pPr>
        <w:spacing w:after="0" w:line="159"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Alternate Currency Equivalent</w:t>
      </w:r>
      <w:r>
        <w:rPr>
          <w:rFonts w:ascii="Times New Roman" w:cs="Times New Roman" w:eastAsia="Times New Roman" w:hAnsi="Times New Roman"/>
          <w:sz w:val="20"/>
          <w:szCs w:val="20"/>
          <w:color w:val="auto"/>
        </w:rPr>
        <w:t>” shall mean, at any time, with respect to any amount denominated in Dollars, the equivalent amount thereof in the applicable Alternate Currency as determined by the Administrative Agent or the applicable Issuing Bank, as the case may be, at such time on the basis of the Spot Rate (determined in respect of the most recent Revaluation Date) for the purchase of such Alternate Currency with Dollars.</w:t>
      </w:r>
    </w:p>
    <w:p>
      <w:pPr>
        <w:spacing w:after="0" w:line="15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Alternate Currency Letter of Credit</w:t>
      </w:r>
      <w:r>
        <w:rPr>
          <w:rFonts w:ascii="Times New Roman" w:cs="Times New Roman" w:eastAsia="Times New Roman" w:hAnsi="Times New Roman"/>
          <w:sz w:val="20"/>
          <w:szCs w:val="20"/>
          <w:color w:val="auto"/>
        </w:rPr>
        <w:t>” shall mean any Letter of Credit denominated in an Alternate Currency.</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Alternate Currency Loan</w:t>
      </w:r>
      <w:r>
        <w:rPr>
          <w:rFonts w:ascii="Times New Roman" w:cs="Times New Roman" w:eastAsia="Times New Roman" w:hAnsi="Times New Roman"/>
          <w:sz w:val="20"/>
          <w:szCs w:val="20"/>
          <w:color w:val="auto"/>
        </w:rPr>
        <w:t>” shall mean any Loan denominated in an Alternate Currency.</w:t>
      </w:r>
    </w:p>
    <w:p>
      <w:pPr>
        <w:spacing w:after="0" w:line="20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Anti-Corruption Laws</w:t>
      </w:r>
      <w:r>
        <w:rPr>
          <w:rFonts w:ascii="Times New Roman" w:cs="Times New Roman" w:eastAsia="Times New Roman" w:hAnsi="Times New Roman"/>
          <w:sz w:val="20"/>
          <w:szCs w:val="20"/>
          <w:color w:val="auto"/>
        </w:rPr>
        <w:t>” shall have the meaning assigned to such term in Section 3.26.</w:t>
      </w:r>
    </w:p>
    <w:p>
      <w:pPr>
        <w:spacing w:after="0" w:line="202"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Applicable Commitment Fee</w:t>
      </w:r>
      <w:r>
        <w:rPr>
          <w:rFonts w:ascii="Times New Roman" w:cs="Times New Roman" w:eastAsia="Times New Roman" w:hAnsi="Times New Roman"/>
          <w:sz w:val="20"/>
          <w:szCs w:val="20"/>
          <w:color w:val="auto"/>
        </w:rPr>
        <w:t xml:space="preserve">” shall mean for any day (i) with respect to any Revolving Facility Commitments relating to Initial Revolving Loans, 0.50% per annum;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on</w:t>
      </w:r>
    </w:p>
    <w:p>
      <w:pPr>
        <w:sectPr>
          <w:pgSz w:w="11900" w:h="16838" w:orient="portrait"/>
          <w:cols w:equalWidth="0" w:num="1">
            <w:col w:w="11240"/>
          </w:cols>
          <w:pgMar w:left="320" w:top="108" w:right="339" w:bottom="1440" w:gutter="0" w:footer="0" w:header="0"/>
        </w:sectPr>
      </w:pPr>
    </w:p>
    <w:bookmarkStart w:id="190" w:name="page191"/>
    <w:bookmarkEnd w:id="190"/>
    <w:p>
      <w:pPr>
        <w:jc w:val="right"/>
        <w:spacing w:after="0"/>
        <w:rPr>
          <w:sz w:val="20"/>
          <w:szCs w:val="20"/>
          <w:color w:val="auto"/>
        </w:rPr>
      </w:pPr>
      <w:r>
        <w:rPr>
          <w:rFonts w:ascii="Times New Roman" w:cs="Times New Roman" w:eastAsia="Times New Roman" w:hAnsi="Times New Roman"/>
          <w:sz w:val="22"/>
          <w:szCs w:val="22"/>
          <w:color w:val="FF0000"/>
          <w:strike w:val="1"/>
        </w:rPr>
        <w:t>ANNEX</w:t>
      </w:r>
      <w:r>
        <w:rPr>
          <w:rFonts w:ascii="Times New Roman" w:cs="Times New Roman" w:eastAsia="Times New Roman" w:hAnsi="Times New Roman"/>
          <w:sz w:val="22"/>
          <w:szCs w:val="22"/>
          <w:b w:val="1"/>
          <w:bCs w:val="1"/>
          <w:u w:val="single" w:color="auto"/>
          <w:color w:val="0000FF"/>
        </w:rPr>
        <w:t>EXHIBIT</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and after the first Adjustment Date occurring after delivery of the financial statements and certificates required by Section 5.04 upon the completion of one full fiscal quarter of the Borrower after the 2020 Effective Date, the “Applicable Commitment Fee” will be determined pursuant to the Pricing Grid; or (ii) with respect to any Other Revolving Facility Commitments, the “Applicable Commitment Fee” set forth in the applicable Incremental Assumption Agreement.</w:t>
      </w:r>
    </w:p>
    <w:p>
      <w:pPr>
        <w:spacing w:after="0" w:line="15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Applicable Date</w:t>
      </w:r>
      <w:r>
        <w:rPr>
          <w:rFonts w:ascii="Times New Roman" w:cs="Times New Roman" w:eastAsia="Times New Roman" w:hAnsi="Times New Roman"/>
          <w:sz w:val="20"/>
          <w:szCs w:val="20"/>
          <w:color w:val="auto"/>
        </w:rPr>
        <w:t>” shall have the meaning assigned to such term in Section 9.08(f).</w:t>
      </w:r>
    </w:p>
    <w:p>
      <w:pPr>
        <w:spacing w:after="0" w:line="202"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Applicable Margin</w:t>
      </w:r>
      <w:r>
        <w:rPr>
          <w:rFonts w:ascii="Times New Roman" w:cs="Times New Roman" w:eastAsia="Times New Roman" w:hAnsi="Times New Roman"/>
          <w:sz w:val="20"/>
          <w:szCs w:val="20"/>
          <w:color w:val="auto"/>
        </w:rPr>
        <w:t xml:space="preserve">” shall mean for any day (i) with respect to any Term B Loan, 2.75% per annum in the case of any SOFR Loan and 1.75% per annum in the case of any ABR Loan; (ii) with respect to any Initial Revolving Loan, 3.00% per annum in the case of any SOFR Loan and 2.00% per annum in the case of any ABR Loan;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on and after the first Adjustment Date occurring after delivery of the financial statements and certificates required by Section 5.04 upon the completion of one full fiscal quarter of the Borrower after the 2020 Effective Date, the “Applicable Margin” with respect to an Initial Revolving Loan will be determined pursuant to the Pricing Grid; and (iii) with respect to any Other Term Loan or Other Revolving Loan, the “Applicable Margin” set forth in the Incremental Assumption Agreement relating thereto.</w:t>
      </w:r>
    </w:p>
    <w:p>
      <w:pPr>
        <w:spacing w:after="0" w:line="16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Applicable Period</w:t>
      </w:r>
      <w:r>
        <w:rPr>
          <w:rFonts w:ascii="Times New Roman" w:cs="Times New Roman" w:eastAsia="Times New Roman" w:hAnsi="Times New Roman"/>
          <w:sz w:val="20"/>
          <w:szCs w:val="20"/>
          <w:color w:val="auto"/>
        </w:rPr>
        <w:t>” shall mean an Excess Cash Flow Period or an Excess Cash Flow Interim Period, as the case may be.</w:t>
      </w:r>
    </w:p>
    <w:p>
      <w:pPr>
        <w:spacing w:after="0" w:line="20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Approved Fund</w:t>
      </w:r>
      <w:r>
        <w:rPr>
          <w:rFonts w:ascii="Times New Roman" w:cs="Times New Roman" w:eastAsia="Times New Roman" w:hAnsi="Times New Roman"/>
          <w:sz w:val="20"/>
          <w:szCs w:val="20"/>
          <w:color w:val="auto"/>
        </w:rPr>
        <w:t>” shall have the meaning assigned to such term in Section 9.04(b)(ii).</w:t>
      </w:r>
    </w:p>
    <w:p>
      <w:pPr>
        <w:spacing w:after="0" w:line="216" w:lineRule="exact"/>
        <w:rPr>
          <w:sz w:val="20"/>
          <w:szCs w:val="20"/>
          <w:color w:val="auto"/>
        </w:rPr>
      </w:pPr>
    </w:p>
    <w:p>
      <w:pPr>
        <w:jc w:val="both"/>
        <w:ind w:firstLine="1296"/>
        <w:spacing w:after="0" w:line="23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Arrangers</w:t>
      </w:r>
      <w:r>
        <w:rPr>
          <w:rFonts w:ascii="Times New Roman" w:cs="Times New Roman" w:eastAsia="Times New Roman" w:hAnsi="Times New Roman"/>
          <w:sz w:val="20"/>
          <w:szCs w:val="20"/>
          <w:color w:val="auto"/>
        </w:rPr>
        <w:t>” shall mean, collectively, Citibank, N.A., Barclays Bank PLC, BMO Capital Markets Corp., MUFG Union Bank, N.A., JPMorgan Chase Bank, N.A., Goldman Sachs Bank USA, Mizuho Bank, Ltd., RBC Capital Markets, LLC</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20"/>
          <w:szCs w:val="20"/>
          <w:color w:val="auto"/>
        </w:rPr>
        <w:t>, Credit Suisse Loan Funding LLC, Deutsche Bank Securities Inc. and HSBC Securities (USA) Inc.</w:t>
      </w:r>
    </w:p>
    <w:p>
      <w:pPr>
        <w:spacing w:after="0" w:line="176"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Asset Sale</w:t>
      </w:r>
      <w:r>
        <w:rPr>
          <w:rFonts w:ascii="Times New Roman" w:cs="Times New Roman" w:eastAsia="Times New Roman" w:hAnsi="Times New Roman"/>
          <w:sz w:val="20"/>
          <w:szCs w:val="20"/>
          <w:color w:val="auto"/>
        </w:rPr>
        <w:t>” shall mean any loss, damage, destruction or condemnation of, or any Disposition (including any sale and leaseback of assets and any mortgage or lease of Real Property) to any person of, any asset or assets of the Borrower or any Subsidiary.</w:t>
      </w:r>
    </w:p>
    <w:p>
      <w:pPr>
        <w:spacing w:after="0" w:line="1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Assignee</w:t>
      </w:r>
      <w:r>
        <w:rPr>
          <w:rFonts w:ascii="Times New Roman" w:cs="Times New Roman" w:eastAsia="Times New Roman" w:hAnsi="Times New Roman"/>
          <w:sz w:val="20"/>
          <w:szCs w:val="20"/>
          <w:color w:val="auto"/>
        </w:rPr>
        <w:t>” shall have the meaning assigned to such term in Section 9.04(b)(i).</w:t>
      </w:r>
    </w:p>
    <w:p>
      <w:pPr>
        <w:spacing w:after="0" w:line="202"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Assignment and Acceptance</w:t>
      </w:r>
      <w:r>
        <w:rPr>
          <w:rFonts w:ascii="Times New Roman" w:cs="Times New Roman" w:eastAsia="Times New Roman" w:hAnsi="Times New Roman"/>
          <w:sz w:val="20"/>
          <w:szCs w:val="20"/>
          <w:color w:val="auto"/>
        </w:rPr>
        <w:t xml:space="preserve">” shall mean an assignment and acceptance entered into by a Lender and an Assignee, and accepted by the Administrative Agent and the Borrower (if required by Section 9.04), in the form of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to the Original Credit Agreement or such other form (including electronic documentation generated by use of an electronic platform) as shall be approved by the Administrative Agent and reasonably satisfactory to the Borrower.</w:t>
      </w:r>
    </w:p>
    <w:p>
      <w:pPr>
        <w:spacing w:after="0" w:line="15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Assignor</w:t>
      </w:r>
      <w:r>
        <w:rPr>
          <w:rFonts w:ascii="Times New Roman" w:cs="Times New Roman" w:eastAsia="Times New Roman" w:hAnsi="Times New Roman"/>
          <w:sz w:val="20"/>
          <w:szCs w:val="20"/>
          <w:color w:val="auto"/>
        </w:rPr>
        <w:t>” shall have the meaning assigned to such term in Section 9.04(i).</w:t>
      </w:r>
    </w:p>
    <w:p>
      <w:pPr>
        <w:spacing w:after="0" w:line="202"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Availability Period</w:t>
      </w:r>
      <w:r>
        <w:rPr>
          <w:rFonts w:ascii="Times New Roman" w:cs="Times New Roman" w:eastAsia="Times New Roman" w:hAnsi="Times New Roman"/>
          <w:sz w:val="20"/>
          <w:szCs w:val="20"/>
          <w:color w:val="auto"/>
        </w:rPr>
        <w:t>” shall mean, with respect to any Class of Revolving Facility Commitments, the period from and including the 2020 Effective Date (or, if later, the effective date for such Class of Revolving Facility Commitments) to but excluding the earlier of the Revolving Facility Maturity Date for such Class and, in the case of each of the Revolving Facility Loans, Revolving Facility Borrowings, Swingline Loans, Swingline Borrowings and Letters of Credit, the date of termination of the Revolving Facility Commitments of such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164592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23">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22" w:lineRule="exact"/>
        <w:rPr>
          <w:sz w:val="20"/>
          <w:szCs w:val="20"/>
          <w:color w:val="auto"/>
        </w:rPr>
      </w:pPr>
    </w:p>
    <w:p>
      <w:pPr>
        <w:ind w:left="160" w:hanging="100"/>
        <w:spacing w:after="0"/>
        <w:tabs>
          <w:tab w:leader="none" w:pos="160" w:val="left"/>
        </w:tabs>
        <w:numPr>
          <w:ilvl w:val="0"/>
          <w:numId w:val="9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RBC Capital Markets is a brand name for the capital markets businesses of Royal Bank of Canada and its Affiliates.</w:t>
      </w:r>
    </w:p>
    <w:p>
      <w:pPr>
        <w:sectPr>
          <w:pgSz w:w="11900" w:h="16838" w:orient="portrait"/>
          <w:cols w:equalWidth="0" w:num="1">
            <w:col w:w="11240"/>
          </w:cols>
          <w:pgMar w:left="320" w:top="108" w:right="339" w:bottom="1440" w:gutter="0" w:footer="0" w:header="0"/>
        </w:sectPr>
      </w:pPr>
    </w:p>
    <w:bookmarkStart w:id="191" w:name="page192"/>
    <w:bookmarkEnd w:id="191"/>
    <w:p>
      <w:pPr>
        <w:jc w:val="right"/>
        <w:spacing w:after="0"/>
        <w:rPr>
          <w:sz w:val="20"/>
          <w:szCs w:val="20"/>
          <w:color w:val="auto"/>
        </w:rPr>
      </w:pPr>
      <w:r>
        <w:rPr>
          <w:rFonts w:ascii="Times New Roman" w:cs="Times New Roman" w:eastAsia="Times New Roman" w:hAnsi="Times New Roman"/>
          <w:sz w:val="22"/>
          <w:szCs w:val="22"/>
          <w:color w:val="FF0000"/>
          <w:strike w:val="1"/>
        </w:rPr>
        <w:t>ANNEX</w:t>
      </w:r>
      <w:r>
        <w:rPr>
          <w:rFonts w:ascii="Times New Roman" w:cs="Times New Roman" w:eastAsia="Times New Roman" w:hAnsi="Times New Roman"/>
          <w:sz w:val="22"/>
          <w:szCs w:val="22"/>
          <w:b w:val="1"/>
          <w:bCs w:val="1"/>
          <w:u w:val="single" w:color="auto"/>
          <w:color w:val="0000FF"/>
        </w:rPr>
        <w:t>EXHIBIT</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Available Tenor</w:t>
      </w:r>
      <w:r>
        <w:rPr>
          <w:rFonts w:ascii="Times New Roman" w:cs="Times New Roman" w:eastAsia="Times New Roman" w:hAnsi="Times New Roman"/>
          <w:sz w:val="19"/>
          <w:szCs w:val="19"/>
          <w:color w:val="auto"/>
        </w:rPr>
        <w:t>” shall mean, as of any date of determination and with respect to the then-current Benchmark, as applicable,</w:t>
      </w:r>
    </w:p>
    <w:p>
      <w:pPr>
        <w:spacing w:after="0" w:line="40" w:lineRule="exact"/>
        <w:rPr>
          <w:sz w:val="20"/>
          <w:szCs w:val="20"/>
          <w:color w:val="auto"/>
        </w:rPr>
      </w:pPr>
    </w:p>
    <w:p>
      <w:pPr>
        <w:jc w:val="both"/>
        <w:ind w:firstLine="8"/>
        <w:spacing w:after="0" w:line="249" w:lineRule="auto"/>
        <w:tabs>
          <w:tab w:leader="none" w:pos="284"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such Benchmark is a term rate, any tenor for such Benchmark (or component thereof) that is or may be used for determining the length of an interest period pursuant to this Agreement or (y) otherwise, any payment period for interest calculated with reference to such Benchmark (or component thereof) that is or may be used for determining any frequency of making payments of interest calculated with reference to such Benchmark pursuant to this Agreement, in each case, as of such date and not including, for the avoidance of doubt, any tenor for such Benchmark that is then-removed from the definition of “Interest Period” pursuant to Section 2.23(d).</w:t>
      </w:r>
    </w:p>
    <w:p>
      <w:pPr>
        <w:spacing w:after="0" w:line="169"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Available Unused Commitment</w:t>
      </w:r>
      <w:r>
        <w:rPr>
          <w:rFonts w:ascii="Times New Roman" w:cs="Times New Roman" w:eastAsia="Times New Roman" w:hAnsi="Times New Roman"/>
          <w:sz w:val="20"/>
          <w:szCs w:val="20"/>
          <w:color w:val="auto"/>
        </w:rPr>
        <w:t>” shall mean, with respect to a Revolving Facility Lender under any Class of Revolving Facility Commitments at any time, an amount equal to the Dollar Equivalent of the amount by which (a) the applicable Revolving Facility Commitment of such Revolving Facility Lender at such time exceeds (b) the applicable Revolving Facility Credit Exposure of such Revolving Facility Lender at such time.</w:t>
      </w:r>
    </w:p>
    <w:p>
      <w:pPr>
        <w:spacing w:after="0" w:line="159"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Bail-In Action</w:t>
      </w:r>
      <w:r>
        <w:rPr>
          <w:rFonts w:ascii="Times New Roman" w:cs="Times New Roman" w:eastAsia="Times New Roman" w:hAnsi="Times New Roman"/>
          <w:sz w:val="20"/>
          <w:szCs w:val="20"/>
          <w:color w:val="auto"/>
        </w:rPr>
        <w:t>” shall mean the exercise of any Write-Down and Conversion Powers by the applicable Resolution Authority in respect of any liability of an Affected Financial Institution.</w:t>
      </w:r>
    </w:p>
    <w:p>
      <w:pPr>
        <w:spacing w:after="0" w:line="133"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Bail-In Legislation</w:t>
      </w:r>
      <w:r>
        <w:rPr>
          <w:rFonts w:ascii="Times New Roman" w:cs="Times New Roman" w:eastAsia="Times New Roman" w:hAnsi="Times New Roman"/>
          <w:sz w:val="20"/>
          <w:szCs w:val="20"/>
          <w:color w:val="auto"/>
        </w:rPr>
        <w:t>” shall mean,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65"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Below Threshold Asset Sale Proceeds</w:t>
      </w:r>
      <w:r>
        <w:rPr>
          <w:rFonts w:ascii="Times New Roman" w:cs="Times New Roman" w:eastAsia="Times New Roman" w:hAnsi="Times New Roman"/>
          <w:sz w:val="20"/>
          <w:szCs w:val="20"/>
          <w:color w:val="auto"/>
        </w:rPr>
        <w:t>” shall have the meaning assigned to such term in the definition of the term “Cumulative Credit”.</w:t>
      </w:r>
    </w:p>
    <w:p>
      <w:pPr>
        <w:spacing w:after="0" w:line="133" w:lineRule="exact"/>
        <w:rPr>
          <w:sz w:val="20"/>
          <w:szCs w:val="20"/>
          <w:color w:val="auto"/>
        </w:rPr>
      </w:pPr>
    </w:p>
    <w:p>
      <w:pPr>
        <w:jc w:val="both"/>
        <w:ind w:firstLine="1296"/>
        <w:spacing w:after="0" w:line="28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Benchmark</w:t>
      </w:r>
      <w:r>
        <w:rPr>
          <w:rFonts w:ascii="Times New Roman" w:cs="Times New Roman" w:eastAsia="Times New Roman" w:hAnsi="Times New Roman"/>
          <w:sz w:val="19"/>
          <w:szCs w:val="19"/>
          <w:color w:val="auto"/>
        </w:rPr>
        <w:t xml:space="preserve">” shall mean, initially, the Term SOFR Reference Rate;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a Benchmark Transition Event has occurred with respect to the Term SOFR Reference Rate or the then-current Benchmark, then “Benchmark” shall mean the applicable Benchmark Replacement to the extent that such Benchmark Replacement has replaced such prior benchmark rate pursuant to Section 2.23(a).</w:t>
      </w:r>
    </w:p>
    <w:p>
      <w:pPr>
        <w:spacing w:after="0" w:line="151" w:lineRule="exact"/>
        <w:rPr>
          <w:sz w:val="20"/>
          <w:szCs w:val="20"/>
          <w:color w:val="auto"/>
        </w:rPr>
      </w:pPr>
    </w:p>
    <w:p>
      <w:pPr>
        <w:jc w:val="both"/>
        <w:ind w:right="20"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 Replacement</w:t>
      </w:r>
      <w:r>
        <w:rPr>
          <w:rFonts w:ascii="Times New Roman" w:cs="Times New Roman" w:eastAsia="Times New Roman" w:hAnsi="Times New Roman"/>
          <w:sz w:val="20"/>
          <w:szCs w:val="20"/>
          <w:color w:val="auto"/>
        </w:rPr>
        <w:t>” shall mean, with respect to any Benchmark Transition Event, the first alternative set forth in the order below that can be determined by the Administrative Agent for the applicable Benchmark Replacement Date:</w:t>
      </w:r>
    </w:p>
    <w:p>
      <w:pPr>
        <w:spacing w:after="0" w:line="173" w:lineRule="exact"/>
        <w:rPr>
          <w:sz w:val="20"/>
          <w:szCs w:val="20"/>
          <w:color w:val="auto"/>
        </w:rPr>
      </w:pPr>
    </w:p>
    <w:p>
      <w:pPr>
        <w:ind w:left="1720" w:hanging="416"/>
        <w:spacing w:after="0"/>
        <w:tabs>
          <w:tab w:leader="none" w:pos="1720"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sum of: (i) Daily Simple SOFR and (ii) 0.11448% (11.448 basis points); or</w:t>
      </w:r>
    </w:p>
    <w:p>
      <w:pPr>
        <w:spacing w:after="0" w:line="202" w:lineRule="exact"/>
        <w:rPr>
          <w:rFonts w:ascii="Times New Roman" w:cs="Times New Roman" w:eastAsia="Times New Roman" w:hAnsi="Times New Roman"/>
          <w:sz w:val="20"/>
          <w:szCs w:val="20"/>
          <w:color w:val="auto"/>
        </w:rPr>
      </w:pPr>
    </w:p>
    <w:p>
      <w:pPr>
        <w:jc w:val="both"/>
        <w:ind w:firstLine="1304"/>
        <w:spacing w:after="0" w:line="253" w:lineRule="auto"/>
        <w:tabs>
          <w:tab w:leader="none" w:pos="1727"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sum of: (i) the alternate benchmark rate that has been selected by the Administrative Agent and the Borrower giving due consideration to (A) any selection or recommendation of a replacement benchmark rate or the mechanism for determining such a rate by the Relevant Governmental Body or (B) any evolving or then-prevailing market convention for determining a benchmark rate as a replacement to the then-current Benchmark for Dollar-denominated syndicated credit facilities at such time and (ii) the related Benchmark Replacement Adjustment;</w:t>
      </w:r>
    </w:p>
    <w:p>
      <w:pPr>
        <w:sectPr>
          <w:pgSz w:w="11900" w:h="16838" w:orient="portrait"/>
          <w:cols w:equalWidth="0" w:num="1">
            <w:col w:w="11240"/>
          </w:cols>
          <w:pgMar w:left="320" w:top="108" w:right="339" w:bottom="1440" w:gutter="0" w:footer="0" w:header="0"/>
        </w:sectPr>
      </w:pPr>
    </w:p>
    <w:bookmarkStart w:id="192" w:name="page193"/>
    <w:bookmarkEnd w:id="192"/>
    <w:p>
      <w:pPr>
        <w:ind w:left="9360"/>
        <w:spacing w:after="0"/>
        <w:rPr>
          <w:sz w:val="20"/>
          <w:szCs w:val="20"/>
          <w:color w:val="auto"/>
        </w:rPr>
      </w:pPr>
      <w:r>
        <w:rPr>
          <w:rFonts w:ascii="Times New Roman" w:cs="Times New Roman" w:eastAsia="Times New Roman" w:hAnsi="Times New Roman"/>
          <w:sz w:val="21"/>
          <w:szCs w:val="21"/>
          <w:color w:val="FF0000"/>
          <w:strike w:val="1"/>
        </w:rPr>
        <w:t>ANNEX</w:t>
      </w:r>
      <w:r>
        <w:rPr>
          <w:rFonts w:ascii="Times New Roman" w:cs="Times New Roman" w:eastAsia="Times New Roman" w:hAnsi="Times New Roman"/>
          <w:sz w:val="21"/>
          <w:szCs w:val="21"/>
          <w:b w:val="1"/>
          <w:bCs w:val="1"/>
          <w:u w:val="single" w:color="auto"/>
          <w:color w:val="0000FF"/>
        </w:rPr>
        <w:t>EXHIBIT</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000000"/>
        </w:rPr>
        <w: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such Benchmark Replacement as determined pursuant to clause (a) or (b) above would be less than the Floor, such Benchmark Replacement will be deemed to be the Floor for the purposes of this Agreement and the other Loan Documents.</w:t>
      </w:r>
    </w:p>
    <w:p>
      <w:pPr>
        <w:spacing w:after="0" w:line="146"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 Replacement Adjustment</w:t>
      </w:r>
      <w:r>
        <w:rPr>
          <w:rFonts w:ascii="Times New Roman" w:cs="Times New Roman" w:eastAsia="Times New Roman" w:hAnsi="Times New Roman"/>
          <w:sz w:val="20"/>
          <w:szCs w:val="20"/>
          <w:color w:val="auto"/>
        </w:rPr>
        <w:t>” shall mean, with respect to any replacement of the then-current Benchmark with an Unadjusted Benchmark Replacement, the spread adjustment, or method for calculating or determining such spread adjustment (which may be a positive or negative value or zero) that has been selected by the Administrative Agent and the Borrower giving due consideration to (a) any selection or recommendation of a spread adjustment, or method for calculating or determining such spread adjustment, for the replacement of such Benchmark with the applicable Unadjusted Benchmark Replacement by the Relevant Governmental Body or (b) any evolving or then-prevailing market convention for determining a spread adjustment, or method for calculating or determining such spread adjustment, for the replacement of such Benchmark with the applicable Unadjusted Benchmark Replacement for Dollar-denominated syndicated credit facilities at such time.</w:t>
      </w:r>
    </w:p>
    <w:p>
      <w:pPr>
        <w:spacing w:after="0" w:line="18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 Replacement Date</w:t>
      </w:r>
      <w:r>
        <w:rPr>
          <w:rFonts w:ascii="Times New Roman" w:cs="Times New Roman" w:eastAsia="Times New Roman" w:hAnsi="Times New Roman"/>
          <w:sz w:val="20"/>
          <w:szCs w:val="20"/>
          <w:color w:val="auto"/>
        </w:rPr>
        <w:t>” shall mean the earliest to occur of the following events with respect to the then-current</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Benchmark:</w:t>
      </w:r>
    </w:p>
    <w:p>
      <w:pPr>
        <w:spacing w:after="0" w:line="180" w:lineRule="exact"/>
        <w:rPr>
          <w:sz w:val="20"/>
          <w:szCs w:val="20"/>
          <w:color w:val="auto"/>
        </w:rPr>
      </w:pPr>
    </w:p>
    <w:p>
      <w:pPr>
        <w:jc w:val="both"/>
        <w:ind w:firstLine="1304"/>
        <w:spacing w:after="0" w:line="258" w:lineRule="auto"/>
        <w:tabs>
          <w:tab w:leader="none" w:pos="1743"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clause (a) or (b) of the definition of “Benchmark Transition Event,” the later of (i) the date of the public statement or publication of information referenced therein and (ii) the date on which the administrator of such Benchmark (or the published component used in the calculation thereof) permanently or indefinitely ceases to provide all Available Tenors of such Benchmark (or such component thereof); or</w:t>
      </w:r>
    </w:p>
    <w:p>
      <w:pPr>
        <w:spacing w:after="0" w:line="158" w:lineRule="exact"/>
        <w:rPr>
          <w:rFonts w:ascii="Times New Roman" w:cs="Times New Roman" w:eastAsia="Times New Roman" w:hAnsi="Times New Roman"/>
          <w:sz w:val="20"/>
          <w:szCs w:val="20"/>
          <w:color w:val="auto"/>
        </w:rPr>
      </w:pPr>
    </w:p>
    <w:p>
      <w:pPr>
        <w:jc w:val="both"/>
        <w:ind w:firstLine="1304"/>
        <w:spacing w:after="0" w:line="257" w:lineRule="auto"/>
        <w:tabs>
          <w:tab w:leader="none" w:pos="1738"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case of clause (c)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non-representative;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non-representativeness will be determined by reference to the most recent statement or publication referenced in such clause (c) and even if any Available Tenor of such Benchmark (or such component thereof) continues to be provided on such date.</w:t>
      </w:r>
    </w:p>
    <w:p>
      <w:pPr>
        <w:spacing w:after="0" w:line="15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9"/>
          <w:szCs w:val="19"/>
          <w:color w:val="auto"/>
        </w:rPr>
        <w:t>For the avoidance of doubt, the “Benchmark Replacement Date” will be deemed to have occurred in the case of clause (a) or</w:t>
      </w:r>
    </w:p>
    <w:p>
      <w:pPr>
        <w:spacing w:after="0" w:line="40" w:lineRule="exact"/>
        <w:rPr>
          <w:sz w:val="20"/>
          <w:szCs w:val="20"/>
          <w:color w:val="auto"/>
        </w:rPr>
      </w:pPr>
    </w:p>
    <w:p>
      <w:pPr>
        <w:ind w:firstLine="8"/>
        <w:spacing w:after="0" w:line="253" w:lineRule="auto"/>
        <w:tabs>
          <w:tab w:leader="none" w:pos="300"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any Benchmark upon the occurrence of the applicable event or events set forth therein with respect to all then-current Available Tenors of such Benchmark (or the published component used in the calculation thereof).</w:t>
      </w:r>
    </w:p>
    <w:p>
      <w:pPr>
        <w:spacing w:after="0" w:line="175" w:lineRule="exact"/>
        <w:rPr>
          <w:sz w:val="20"/>
          <w:szCs w:val="20"/>
          <w:color w:val="auto"/>
        </w:rPr>
      </w:pPr>
    </w:p>
    <w:p>
      <w:pPr>
        <w:ind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 Transition Event</w:t>
      </w:r>
      <w:r>
        <w:rPr>
          <w:rFonts w:ascii="Times New Roman" w:cs="Times New Roman" w:eastAsia="Times New Roman" w:hAnsi="Times New Roman"/>
          <w:sz w:val="20"/>
          <w:szCs w:val="20"/>
          <w:color w:val="auto"/>
        </w:rPr>
        <w:t>” shall mean the occurrence of one or more of the following events with respect to the then-current Benchmark:</w:t>
      </w:r>
    </w:p>
    <w:p>
      <w:pPr>
        <w:spacing w:after="0" w:line="146" w:lineRule="exact"/>
        <w:rPr>
          <w:sz w:val="20"/>
          <w:szCs w:val="20"/>
          <w:color w:val="auto"/>
        </w:rPr>
      </w:pPr>
    </w:p>
    <w:p>
      <w:pPr>
        <w:jc w:val="both"/>
        <w:ind w:firstLine="1304"/>
        <w:spacing w:after="0" w:line="257" w:lineRule="auto"/>
        <w:tabs>
          <w:tab w:leader="none" w:pos="1841"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at the time of such statement or publication, there is no successor administrator that will continue to provide any Available Tenor of such Benchmark (or such component thereof);</w:t>
      </w:r>
    </w:p>
    <w:p>
      <w:pPr>
        <w:spacing w:after="0" w:line="159" w:lineRule="exact"/>
        <w:rPr>
          <w:rFonts w:ascii="Times New Roman" w:cs="Times New Roman" w:eastAsia="Times New Roman" w:hAnsi="Times New Roman"/>
          <w:sz w:val="20"/>
          <w:szCs w:val="20"/>
          <w:color w:val="auto"/>
        </w:rPr>
      </w:pPr>
    </w:p>
    <w:p>
      <w:pPr>
        <w:jc w:val="both"/>
        <w:ind w:firstLine="1304"/>
        <w:spacing w:after="0" w:line="261" w:lineRule="auto"/>
        <w:tabs>
          <w:tab w:leader="none" w:pos="1760"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public statement or publication of information by the regulatory supervisor for the administrator of such Benchmark (or the published component used in the calculation thereof), the Federal Reserve Board, the Federal Reserve Bank of New York, an insolvency official with jurisdiction</w:t>
      </w:r>
    </w:p>
    <w:p>
      <w:pPr>
        <w:sectPr>
          <w:pgSz w:w="11900" w:h="16838" w:orient="portrait"/>
          <w:cols w:equalWidth="0" w:num="1">
            <w:col w:w="11240"/>
          </w:cols>
          <w:pgMar w:left="320" w:top="108" w:right="339" w:bottom="1440" w:gutter="0" w:footer="0" w:header="0"/>
        </w:sectPr>
      </w:pPr>
    </w:p>
    <w:bookmarkStart w:id="193" w:name="page194"/>
    <w:bookmarkEnd w:id="193"/>
    <w:p>
      <w:pPr>
        <w:jc w:val="right"/>
        <w:spacing w:after="0"/>
        <w:rPr>
          <w:sz w:val="20"/>
          <w:szCs w:val="20"/>
          <w:color w:val="auto"/>
        </w:rPr>
      </w:pPr>
      <w:r>
        <w:rPr>
          <w:rFonts w:ascii="Times New Roman" w:cs="Times New Roman" w:eastAsia="Times New Roman" w:hAnsi="Times New Roman"/>
          <w:sz w:val="22"/>
          <w:szCs w:val="22"/>
          <w:color w:val="FF0000"/>
          <w:strike w:val="1"/>
        </w:rPr>
        <w:t>ANNEX</w:t>
      </w:r>
      <w:r>
        <w:rPr>
          <w:rFonts w:ascii="Times New Roman" w:cs="Times New Roman" w:eastAsia="Times New Roman" w:hAnsi="Times New Roman"/>
          <w:sz w:val="22"/>
          <w:szCs w:val="22"/>
          <w:b w:val="1"/>
          <w:bCs w:val="1"/>
          <w:u w:val="single" w:color="auto"/>
          <w:color w:val="0000FF"/>
        </w:rPr>
        <w:t>EXHIBIT</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at the time of such statement or publication, there is no successor administrator that will continue to provide any Available Tenor of such Benchmark (or such component thereof); or</w:t>
      </w:r>
    </w:p>
    <w:p>
      <w:pPr>
        <w:spacing w:after="0" w:line="165" w:lineRule="exact"/>
        <w:rPr>
          <w:sz w:val="20"/>
          <w:szCs w:val="20"/>
          <w:color w:val="auto"/>
        </w:rPr>
      </w:pPr>
    </w:p>
    <w:p>
      <w:pPr>
        <w:jc w:val="both"/>
        <w:ind w:firstLine="1304"/>
        <w:spacing w:after="0" w:line="261" w:lineRule="auto"/>
        <w:tabs>
          <w:tab w:leader="none" w:pos="1749"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public statement or publication of information by the regulatory supervisor for the administrator of such Benchmark (or the published component used in the calculation thereof) announcing that all Available Tenors of such Benchmark (or such component thereof) are not, or as of a specified future date will not be, representative.</w:t>
      </w:r>
    </w:p>
    <w:p>
      <w:pPr>
        <w:spacing w:after="0" w:line="168"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54"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 Unavailability Period</w:t>
      </w:r>
      <w:r>
        <w:rPr>
          <w:rFonts w:ascii="Times New Roman" w:cs="Times New Roman" w:eastAsia="Times New Roman" w:hAnsi="Times New Roman"/>
          <w:sz w:val="20"/>
          <w:szCs w:val="20"/>
          <w:color w:val="auto"/>
        </w:rPr>
        <w:t>” shall mean, the period (if any) (a) beginning at the time that a Benchmark Replacement Date has occurred if, at such time, no Benchmark Replacement has replaced the then-current Benchmark for all purposes hereunder and under any Loan Document in accordance with Section 2.23 and (b) ending at the time that a Benchmark Replacement has replaced the then-current Benchmark for all purposes hereunder and under any Loan Document in accordance with Section 2.23.</w:t>
      </w:r>
    </w:p>
    <w:p>
      <w:pPr>
        <w:spacing w:after="0" w:line="159" w:lineRule="exact"/>
        <w:rPr>
          <w:sz w:val="20"/>
          <w:szCs w:val="20"/>
          <w:color w:val="auto"/>
        </w:rPr>
      </w:pPr>
    </w:p>
    <w:p>
      <w:pPr>
        <w:jc w:val="both"/>
        <w:ind w:right="20"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Beneficial Ownership Certificate</w:t>
      </w:r>
      <w:r>
        <w:rPr>
          <w:rFonts w:ascii="Times New Roman" w:cs="Times New Roman" w:eastAsia="Times New Roman" w:hAnsi="Times New Roman"/>
          <w:sz w:val="20"/>
          <w:szCs w:val="20"/>
          <w:color w:val="auto"/>
        </w:rPr>
        <w:t>” shall mean a certification regarding beneficial ownership as required by the Beneficial Ownership Regulation.</w:t>
      </w:r>
    </w:p>
    <w:p>
      <w:pPr>
        <w:spacing w:after="0" w:line="14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Beneficial Ownership Regulation</w:t>
      </w:r>
      <w:r>
        <w:rPr>
          <w:rFonts w:ascii="Times New Roman" w:cs="Times New Roman" w:eastAsia="Times New Roman" w:hAnsi="Times New Roman"/>
          <w:sz w:val="20"/>
          <w:szCs w:val="20"/>
          <w:color w:val="auto"/>
        </w:rPr>
        <w:t>” shall mean 31 C.F.R. § 1010.230.</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Board</w:t>
      </w:r>
      <w:r>
        <w:rPr>
          <w:rFonts w:ascii="Times New Roman" w:cs="Times New Roman" w:eastAsia="Times New Roman" w:hAnsi="Times New Roman"/>
          <w:sz w:val="20"/>
          <w:szCs w:val="20"/>
          <w:color w:val="auto"/>
        </w:rPr>
        <w:t>” shall mean the Board of Governors of the Federal Reserve System of the United States of America.</w:t>
      </w:r>
    </w:p>
    <w:p>
      <w:pPr>
        <w:spacing w:after="0" w:line="202"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Board of Directors</w:t>
      </w:r>
      <w:r>
        <w:rPr>
          <w:rFonts w:ascii="Times New Roman" w:cs="Times New Roman" w:eastAsia="Times New Roman" w:hAnsi="Times New Roman"/>
          <w:sz w:val="20"/>
          <w:szCs w:val="20"/>
          <w:color w:val="auto"/>
        </w:rPr>
        <w:t>” shall mean, as to any person, the board of directors or other governing body of such person, or if such person is owned or managed by a single entity, the board of directors or other governing body of such entity.</w:t>
      </w:r>
    </w:p>
    <w:p>
      <w:pPr>
        <w:spacing w:after="0" w:line="1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Borrower</w:t>
      </w:r>
      <w:r>
        <w:rPr>
          <w:rFonts w:ascii="Times New Roman" w:cs="Times New Roman" w:eastAsia="Times New Roman" w:hAnsi="Times New Roman"/>
          <w:sz w:val="20"/>
          <w:szCs w:val="20"/>
          <w:color w:val="auto"/>
        </w:rPr>
        <w:t>” shall have the meaning assigned to such term in the introductory paragraph of this Agreement.</w:t>
      </w:r>
    </w:p>
    <w:p>
      <w:pPr>
        <w:spacing w:after="0" w:line="20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Borrower Materials</w:t>
      </w:r>
      <w:r>
        <w:rPr>
          <w:rFonts w:ascii="Times New Roman" w:cs="Times New Roman" w:eastAsia="Times New Roman" w:hAnsi="Times New Roman"/>
          <w:sz w:val="20"/>
          <w:szCs w:val="20"/>
          <w:color w:val="auto"/>
        </w:rPr>
        <w:t>” shall have the meaning assigned to such term in Section 9.17(a).</w:t>
      </w:r>
    </w:p>
    <w:p>
      <w:pPr>
        <w:spacing w:after="0" w:line="216"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Borrowing</w:t>
      </w:r>
      <w:r>
        <w:rPr>
          <w:rFonts w:ascii="Times New Roman" w:cs="Times New Roman" w:eastAsia="Times New Roman" w:hAnsi="Times New Roman"/>
          <w:sz w:val="20"/>
          <w:szCs w:val="20"/>
          <w:color w:val="auto"/>
        </w:rPr>
        <w:t>” shall mean a group of Loans of a single Type under a single Facility, and made on a single date and, in the case of SOFR Loans, as to which a single Interest Period is in effect.</w:t>
      </w:r>
    </w:p>
    <w:p>
      <w:pPr>
        <w:spacing w:after="0" w:line="146"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Borrowing Minimum</w:t>
      </w:r>
      <w:r>
        <w:rPr>
          <w:rFonts w:ascii="Times New Roman" w:cs="Times New Roman" w:eastAsia="Times New Roman" w:hAnsi="Times New Roman"/>
          <w:sz w:val="20"/>
          <w:szCs w:val="20"/>
          <w:color w:val="auto"/>
        </w:rPr>
        <w:t>” shall mean (a) in the case of SOFR Loans, $1,000,000, (b) in the case of ABR Loans, $1,000,000 and (c) in the case of Swingline Loans, $500,000.</w:t>
      </w:r>
    </w:p>
    <w:p>
      <w:pPr>
        <w:spacing w:after="0" w:line="133"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Borrowing Multiple</w:t>
      </w:r>
      <w:r>
        <w:rPr>
          <w:rFonts w:ascii="Times New Roman" w:cs="Times New Roman" w:eastAsia="Times New Roman" w:hAnsi="Times New Roman"/>
          <w:sz w:val="20"/>
          <w:szCs w:val="20"/>
          <w:color w:val="auto"/>
        </w:rPr>
        <w:t>” shall mean (a) in the case of SOFR Loans, $500,000, (b) in the case of ABR Loans, $250,000 and (c) in the case of Swingline Loans, $100,000.</w:t>
      </w:r>
    </w:p>
    <w:p>
      <w:pPr>
        <w:sectPr>
          <w:pgSz w:w="11900" w:h="16838" w:orient="portrait"/>
          <w:cols w:equalWidth="0" w:num="1">
            <w:col w:w="11240"/>
          </w:cols>
          <w:pgMar w:left="320" w:top="108" w:right="339" w:bottom="1440" w:gutter="0" w:footer="0" w:header="0"/>
        </w:sectPr>
      </w:pPr>
    </w:p>
    <w:bookmarkStart w:id="194" w:name="page195"/>
    <w:bookmarkEnd w:id="194"/>
    <w:p>
      <w:pPr>
        <w:jc w:val="right"/>
        <w:spacing w:after="0"/>
        <w:rPr>
          <w:sz w:val="20"/>
          <w:szCs w:val="20"/>
          <w:color w:val="auto"/>
        </w:rPr>
      </w:pPr>
      <w:r>
        <w:rPr>
          <w:rFonts w:ascii="Times New Roman" w:cs="Times New Roman" w:eastAsia="Times New Roman" w:hAnsi="Times New Roman"/>
          <w:sz w:val="22"/>
          <w:szCs w:val="22"/>
          <w:color w:val="FF0000"/>
          <w:strike w:val="1"/>
        </w:rPr>
        <w:t>ANNEX</w:t>
      </w:r>
      <w:r>
        <w:rPr>
          <w:rFonts w:ascii="Times New Roman" w:cs="Times New Roman" w:eastAsia="Times New Roman" w:hAnsi="Times New Roman"/>
          <w:sz w:val="22"/>
          <w:szCs w:val="22"/>
          <w:b w:val="1"/>
          <w:bCs w:val="1"/>
          <w:u w:val="single" w:color="auto"/>
          <w:color w:val="0000FF"/>
        </w:rPr>
        <w:t>EXHIBIT</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Borrowing Request</w:t>
      </w:r>
      <w:r>
        <w:rPr>
          <w:rFonts w:ascii="Times New Roman" w:cs="Times New Roman" w:eastAsia="Times New Roman" w:hAnsi="Times New Roman"/>
          <w:sz w:val="20"/>
          <w:szCs w:val="20"/>
          <w:color w:val="auto"/>
        </w:rPr>
        <w:t xml:space="preserve">” shall mean a request by the Borrower in accordance with the terms of Section 2.03 and substantially in the form of </w:t>
      </w:r>
      <w:r>
        <w:rPr>
          <w:rFonts w:ascii="Times New Roman" w:cs="Times New Roman" w:eastAsia="Times New Roman" w:hAnsi="Times New Roman"/>
          <w:sz w:val="20"/>
          <w:szCs w:val="20"/>
          <w:u w:val="single" w:color="auto"/>
          <w:color w:val="auto"/>
        </w:rPr>
        <w:t>Exhibit D-1</w:t>
      </w:r>
      <w:r>
        <w:rPr>
          <w:rFonts w:ascii="Times New Roman" w:cs="Times New Roman" w:eastAsia="Times New Roman" w:hAnsi="Times New Roman"/>
          <w:sz w:val="20"/>
          <w:szCs w:val="20"/>
          <w:color w:val="auto"/>
        </w:rPr>
        <w:t xml:space="preserve"> to the Original Credit Agreement or another form approved by the Administrative Agent (including any form on an electronic platform or electronic transmission system as shall be approved by the Administrative Agent).</w:t>
      </w:r>
    </w:p>
    <w:p>
      <w:pPr>
        <w:spacing w:after="0" w:line="15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Budget</w:t>
      </w:r>
      <w:r>
        <w:rPr>
          <w:rFonts w:ascii="Times New Roman" w:cs="Times New Roman" w:eastAsia="Times New Roman" w:hAnsi="Times New Roman"/>
          <w:sz w:val="20"/>
          <w:szCs w:val="20"/>
          <w:color w:val="auto"/>
        </w:rPr>
        <w:t>” shall have the meaning assigned to such term in Section 5.04(e).</w:t>
      </w:r>
    </w:p>
    <w:p>
      <w:pPr>
        <w:spacing w:after="0" w:line="216"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Business Day</w:t>
      </w:r>
      <w:r>
        <w:rPr>
          <w:rFonts w:ascii="Times New Roman" w:cs="Times New Roman" w:eastAsia="Times New Roman" w:hAnsi="Times New Roman"/>
          <w:sz w:val="20"/>
          <w:szCs w:val="20"/>
          <w:color w:val="auto"/>
        </w:rPr>
        <w:t>” shall mean any day that is not a Saturday, Sunday or other day on which commercial banks in New York City are authorized or required by law to remain closed.</w:t>
      </w:r>
    </w:p>
    <w:p>
      <w:pPr>
        <w:spacing w:after="0" w:line="159"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Capital Expenditures</w:t>
      </w:r>
      <w:r>
        <w:rPr>
          <w:rFonts w:ascii="Times New Roman" w:cs="Times New Roman" w:eastAsia="Times New Roman" w:hAnsi="Times New Roman"/>
          <w:sz w:val="20"/>
          <w:szCs w:val="20"/>
          <w:color w:val="auto"/>
        </w:rPr>
        <w:t>” shall mean, for any person in respect of any period, the aggregate of all expenditures incurred by such person during such period that, in accordance with GAAP, are or should be included in “additions to property, plant or equipment” or similar items reflected in the statement of cash flows of such person.</w:t>
      </w:r>
    </w:p>
    <w:p>
      <w:pPr>
        <w:spacing w:after="0" w:line="154"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Capitalized Lease Obligations</w:t>
      </w:r>
      <w:r>
        <w:rPr>
          <w:rFonts w:ascii="Times New Roman" w:cs="Times New Roman" w:eastAsia="Times New Roman" w:hAnsi="Times New Roman"/>
          <w:sz w:val="20"/>
          <w:szCs w:val="20"/>
          <w:color w:val="auto"/>
        </w:rPr>
        <w:t xml:space="preserve">” shall mean, at the time any determination thereof is to be made, the amount of the liability in respect of a capital lease or a finance lease that would at such time be required to be capitalized and reflected as a liability on a balance sheet (excluding the footnotes thereto) in accordance with GAAP;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obligations of the Borrower or its Subsidiaries, or of a special purpose or other entity not consolidated with the Borrower and its Subsidiaries, either existing on December 1, 2020 or created thereafter that (a) initially were not included on the consolidated balance sheet of the Borrower as capital lease obligations or finance lease obligations and were subsequently recharacterized as capital lease obligations or finance lease obligations or, in the case of such a special purpose or other entity becoming consolidated with the Borrower and its Subsidiaries were required to be characterized as capital lease obligations or finance lease obligations upon such consolidation, in either case, due to a change in accounting treatment or otherwise, or</w:t>
      </w:r>
    </w:p>
    <w:p>
      <w:pPr>
        <w:spacing w:after="0" w:line="2" w:lineRule="exact"/>
        <w:rPr>
          <w:sz w:val="20"/>
          <w:szCs w:val="20"/>
          <w:color w:val="auto"/>
        </w:rPr>
      </w:pPr>
    </w:p>
    <w:p>
      <w:pPr>
        <w:jc w:val="both"/>
        <w:ind w:firstLine="8"/>
        <w:spacing w:after="0" w:line="253" w:lineRule="auto"/>
        <w:tabs>
          <w:tab w:leader="none" w:pos="303"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did not exist on December 1, 2020 and were required to be characterized as capital lease obligations or finance lease obligations but would not have been required to be treated as capital lease obligations or finance lease obligations on December 1, 2020 had they existed at that time, shall for all purposes not be treated as Capitalized Lease Obligations or Indebtedness. For the avoidance of doubt, operating leases shall not constitute Capitalized Lease Obligations.</w:t>
      </w:r>
    </w:p>
    <w:p>
      <w:pPr>
        <w:spacing w:after="0" w:line="162"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Capitalized Software Expenditures</w:t>
      </w:r>
      <w:r>
        <w:rPr>
          <w:rFonts w:ascii="Times New Roman" w:cs="Times New Roman" w:eastAsia="Times New Roman" w:hAnsi="Times New Roman"/>
          <w:sz w:val="20"/>
          <w:szCs w:val="20"/>
          <w:color w:val="auto"/>
        </w:rPr>
        <w:t>” shall mean, for any period, the aggregate of all expenditures (whether paid in cash or accrued as liabilities) by a person during such period in respect of licensed or purchased software or internally developed software and software enhancements that, in accordance with GAAP, are or are required to be reflected as capitalized costs on the consolidated balance sheet of such person and its subsidiaries.</w:t>
      </w:r>
    </w:p>
    <w:p>
      <w:pPr>
        <w:spacing w:after="0" w:line="159"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Cash Collateralize</w:t>
      </w:r>
      <w:r>
        <w:rPr>
          <w:rFonts w:ascii="Times New Roman" w:cs="Times New Roman" w:eastAsia="Times New Roman" w:hAnsi="Times New Roman"/>
          <w:sz w:val="20"/>
          <w:szCs w:val="20"/>
          <w:color w:val="auto"/>
        </w:rPr>
        <w:t>” shall mean to pledge and deposit with or deliver to the Collateral Agent, for the benefit of one or more of the Issuing Banks or Lenders, as collateral for Revolving L/C Exposure or obligations of the Lenders to fund participations in respect of Revolving L/C Exposure, cash or deposit account balances or, if the Administrative Agent and each applicable Issuing Bank shall agree in their sole discretion, other credit support, in each case pursuant to documentation in form and substance reasonably satisfactory to the Administrative Agent and each applicable Issuing Bank. “Cash Collateral” and “Cash Collateralization” shall have a meaning correlative to the foregoing and shall include the proceeds of such cash collateral and other credit support.</w:t>
      </w:r>
    </w:p>
    <w:p>
      <w:pPr>
        <w:spacing w:after="0" w:line="16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Cash Interest Expense</w:t>
      </w:r>
      <w:r>
        <w:rPr>
          <w:rFonts w:ascii="Times New Roman" w:cs="Times New Roman" w:eastAsia="Times New Roman" w:hAnsi="Times New Roman"/>
          <w:sz w:val="20"/>
          <w:szCs w:val="20"/>
          <w:color w:val="auto"/>
        </w:rPr>
        <w:t>” shall mean, with respect to the Borrower and the Subsidiaries on a consolidated basis for any period, Interest Expense for such period to the extent such amounts are paid in cash for such period, excluding, without duplication, in any event (a) pay-in-kind Interest Expense or</w:t>
      </w:r>
    </w:p>
    <w:p>
      <w:pPr>
        <w:sectPr>
          <w:pgSz w:w="11900" w:h="16838" w:orient="portrait"/>
          <w:cols w:equalWidth="0" w:num="1">
            <w:col w:w="11240"/>
          </w:cols>
          <w:pgMar w:left="320" w:top="108" w:right="339" w:bottom="1440" w:gutter="0" w:footer="0" w:header="0"/>
        </w:sectPr>
      </w:pPr>
    </w:p>
    <w:bookmarkStart w:id="195" w:name="page196"/>
    <w:bookmarkEnd w:id="195"/>
    <w:p>
      <w:pPr>
        <w:jc w:val="right"/>
        <w:spacing w:after="0"/>
        <w:rPr>
          <w:sz w:val="20"/>
          <w:szCs w:val="20"/>
          <w:color w:val="auto"/>
        </w:rPr>
      </w:pPr>
      <w:r>
        <w:rPr>
          <w:rFonts w:ascii="Times New Roman" w:cs="Times New Roman" w:eastAsia="Times New Roman" w:hAnsi="Times New Roman"/>
          <w:sz w:val="22"/>
          <w:szCs w:val="22"/>
          <w:color w:val="FF0000"/>
          <w:strike w:val="1"/>
        </w:rPr>
        <w:t>ANNEX</w:t>
      </w:r>
      <w:r>
        <w:rPr>
          <w:rFonts w:ascii="Times New Roman" w:cs="Times New Roman" w:eastAsia="Times New Roman" w:hAnsi="Times New Roman"/>
          <w:sz w:val="22"/>
          <w:szCs w:val="22"/>
          <w:b w:val="1"/>
          <w:bCs w:val="1"/>
          <w:u w:val="single" w:color="auto"/>
          <w:color w:val="0000FF"/>
        </w:rPr>
        <w:t>EXHIBIT</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other non-cash Interest Expense (including as a result of the effects of purchase accounting), (b) to the extent included in Interest Expense, the amortization of any financing fees paid by, or on behalf of, the Borrower or any Subsidiary, including such fees paid in connection with the Transactions, the 2021 Transactions, the Prior Amendments or upon entering into a Permitted Securitization Financing, and (c) the amortization of debt discounts, if any, or fees in respect of Hedging Agreements;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Cash Interest Expense shall exclude any one time financing fees, including those paid in connection with the Transactions, the 2021 Transactions, the Prior Amendments or upon entering into a Permitted Securitization Financing or any amendment of this Agreement.</w:t>
      </w:r>
    </w:p>
    <w:p>
      <w:pPr>
        <w:spacing w:after="0" w:line="165"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Cash Management Agreement</w:t>
      </w:r>
      <w:r>
        <w:rPr>
          <w:rFonts w:ascii="Times New Roman" w:cs="Times New Roman" w:eastAsia="Times New Roman" w:hAnsi="Times New Roman"/>
          <w:sz w:val="20"/>
          <w:szCs w:val="20"/>
          <w:color w:val="auto"/>
        </w:rPr>
        <w:t>” shall mean any agreement to provide to Holdings, the Borrower or any Subsidiary cash management services for collections, treasury management services (including controlled disbursement, overdraft, automated clearing house fund transfer services, return items and interstate depository network services), any demand deposit, payroll, trust or operating account relationships, commercial credit cards, merchant card, purchase or debit cards, non-card e-payables services, and other cash management services, including electronic funds transfer services, lockbox services, stop payment services and wire transfer services.</w:t>
      </w:r>
    </w:p>
    <w:p>
      <w:pPr>
        <w:spacing w:after="0" w:line="159"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Cash Management Bank</w:t>
      </w:r>
      <w:r>
        <w:rPr>
          <w:rFonts w:ascii="Times New Roman" w:cs="Times New Roman" w:eastAsia="Times New Roman" w:hAnsi="Times New Roman"/>
          <w:sz w:val="20"/>
          <w:szCs w:val="20"/>
          <w:color w:val="auto"/>
        </w:rPr>
        <w:t xml:space="preserve">” shall mean any person that, at the time it enters into a Cash Management Agreement (or on the Closing Date), is (a) an Agent, an Arranger, a Lender or an Affiliate of any such person, in each case, in its capacity as a party to such Cash Management Agreement or (b) listed in </w:t>
      </w:r>
      <w:r>
        <w:rPr>
          <w:rFonts w:ascii="Times New Roman" w:cs="Times New Roman" w:eastAsia="Times New Roman" w:hAnsi="Times New Roman"/>
          <w:sz w:val="20"/>
          <w:szCs w:val="20"/>
          <w:u w:val="single" w:color="auto"/>
          <w:color w:val="auto"/>
        </w:rPr>
        <w:t>Schedule 1.01(G)</w:t>
      </w:r>
      <w:r>
        <w:rPr>
          <w:rFonts w:ascii="Times New Roman" w:cs="Times New Roman" w:eastAsia="Times New Roman" w:hAnsi="Times New Roman"/>
          <w:sz w:val="20"/>
          <w:szCs w:val="20"/>
          <w:color w:val="auto"/>
        </w:rPr>
        <w:t xml:space="preserve"> to the Original Credit Agreement.</w:t>
      </w:r>
    </w:p>
    <w:p>
      <w:pPr>
        <w:spacing w:after="0" w:line="15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CFC</w:t>
      </w:r>
      <w:r>
        <w:rPr>
          <w:rFonts w:ascii="Times New Roman" w:cs="Times New Roman" w:eastAsia="Times New Roman" w:hAnsi="Times New Roman"/>
          <w:sz w:val="20"/>
          <w:szCs w:val="20"/>
          <w:color w:val="auto"/>
        </w:rPr>
        <w:t>” shall mean a “controlled foreign corporation” within the meaning of Section 957(a) of the Code.</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A “</w:t>
      </w:r>
      <w:r>
        <w:rPr>
          <w:rFonts w:ascii="Times New Roman" w:cs="Times New Roman" w:eastAsia="Times New Roman" w:hAnsi="Times New Roman"/>
          <w:sz w:val="20"/>
          <w:szCs w:val="20"/>
          <w:u w:val="single" w:color="auto"/>
          <w:color w:val="auto"/>
        </w:rPr>
        <w:t>Change in Control</w:t>
      </w:r>
      <w:r>
        <w:rPr>
          <w:rFonts w:ascii="Times New Roman" w:cs="Times New Roman" w:eastAsia="Times New Roman" w:hAnsi="Times New Roman"/>
          <w:sz w:val="20"/>
          <w:szCs w:val="20"/>
          <w:color w:val="auto"/>
        </w:rPr>
        <w:t>” shall be deemed to occur if:</w:t>
      </w:r>
    </w:p>
    <w:p>
      <w:pPr>
        <w:spacing w:after="0" w:line="202" w:lineRule="exact"/>
        <w:rPr>
          <w:sz w:val="20"/>
          <w:szCs w:val="20"/>
          <w:color w:val="auto"/>
        </w:rPr>
      </w:pPr>
    </w:p>
    <w:p>
      <w:pPr>
        <w:jc w:val="both"/>
        <w:ind w:left="660" w:firstLine="644"/>
        <w:spacing w:after="0" w:line="249" w:lineRule="auto"/>
        <w:tabs>
          <w:tab w:leader="none" w:pos="1784" w:val="left"/>
        </w:tabs>
        <w:numPr>
          <w:ilvl w:val="1"/>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person, entity or “group” (within the meaning of Section 13(d) or 14(d) of the Exchange Act, but excluding any employee benefit plan of such person, entity or “group” and its subsidiaries and any person or entity acting in its capacity as trustee, agent or other fiduciary or administrator of any such plan), other than the Permitted Holders (or any holding company parent of the Borrower owned directly or indirectly by the Permitted Holders), shall at any time have acquired direct or indirect beneficial ownership (as defined in Rules 13(d)-3 and 13(d)-5 under the Exchange Act) of voting power of the outstanding Voting Stock of the Borrower having more than 50.1% of the ordinary voting power for the election of directors of the Borrower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for purposes of this determination, to the extent any person or group includes both Permitted Holders and non-Permitted Holders (any such person or group, the “</w:t>
      </w:r>
      <w:r>
        <w:rPr>
          <w:rFonts w:ascii="Times New Roman" w:cs="Times New Roman" w:eastAsia="Times New Roman" w:hAnsi="Times New Roman"/>
          <w:sz w:val="20"/>
          <w:szCs w:val="20"/>
          <w:u w:val="single" w:color="auto"/>
          <w:color w:val="auto"/>
        </w:rPr>
        <w:t>Subject Group</w:t>
      </w:r>
      <w:r>
        <w:rPr>
          <w:rFonts w:ascii="Times New Roman" w:cs="Times New Roman" w:eastAsia="Times New Roman" w:hAnsi="Times New Roman"/>
          <w:sz w:val="20"/>
          <w:szCs w:val="20"/>
          <w:color w:val="auto"/>
        </w:rPr>
        <w:t>”), and the Subject Group does not itself constitute a Permitted Holder, then the Voting Stock of the Borrower directly or indirectly beneficially owned by such Permitted Holders in such Subject Group shall not be treated as being beneficially owned by such Subject Group), unless the Permitted Holders have, at such time, the right or the ability by voting power, contract or otherwise to elect or designate for election at least a majority of the members of the Board of Directors of the Borrower; or</w:t>
      </w:r>
    </w:p>
    <w:p>
      <w:pPr>
        <w:spacing w:after="0" w:line="187"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1"/>
          <w:numId w:val="10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“Change of Control” (as defined in (i) the Senior Unsecured Notes Indenture, (ii) the Senior Secured Notes Indenture,</w:t>
      </w:r>
    </w:p>
    <w:p>
      <w:pPr>
        <w:spacing w:after="0" w:line="33" w:lineRule="exact"/>
        <w:rPr>
          <w:rFonts w:ascii="Times New Roman" w:cs="Times New Roman" w:eastAsia="Times New Roman" w:hAnsi="Times New Roman"/>
          <w:sz w:val="19"/>
          <w:szCs w:val="19"/>
          <w:color w:val="auto"/>
        </w:rPr>
      </w:pPr>
    </w:p>
    <w:p>
      <w:pPr>
        <w:ind w:left="960" w:hanging="304"/>
        <w:spacing w:after="0"/>
        <w:tabs>
          <w:tab w:leader="none" w:pos="960"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indenture or credit agreement in respect of Permitted Refinancing Indebtedness with respect to the Senior Unsecured Notes</w:t>
      </w:r>
    </w:p>
    <w:p>
      <w:pPr>
        <w:spacing w:after="0" w:line="6" w:lineRule="exact"/>
        <w:rPr>
          <w:sz w:val="20"/>
          <w:szCs w:val="20"/>
          <w:color w:val="auto"/>
        </w:rPr>
      </w:pPr>
    </w:p>
    <w:p>
      <w:pPr>
        <w:ind w:left="660"/>
        <w:spacing w:after="0" w:line="253" w:lineRule="auto"/>
        <w:rPr>
          <w:sz w:val="20"/>
          <w:szCs w:val="20"/>
          <w:color w:val="auto"/>
        </w:rPr>
      </w:pPr>
      <w:r>
        <w:rPr>
          <w:rFonts w:ascii="Times New Roman" w:cs="Times New Roman" w:eastAsia="Times New Roman" w:hAnsi="Times New Roman"/>
          <w:sz w:val="20"/>
          <w:szCs w:val="20"/>
          <w:color w:val="auto"/>
        </w:rPr>
        <w:t>or Senior Secured Notes constituting Material Indebtedness or (iv) any indenture or credit agreement in respect of any Junior Financing constituting Material Indebtedness) shall have occurred; or</w:t>
      </w:r>
    </w:p>
    <w:p>
      <w:pPr>
        <w:sectPr>
          <w:pgSz w:w="11900" w:h="16838" w:orient="portrait"/>
          <w:cols w:equalWidth="0" w:num="1">
            <w:col w:w="11240"/>
          </w:cols>
          <w:pgMar w:left="320" w:top="108" w:right="339" w:bottom="1440" w:gutter="0" w:footer="0" w:header="0"/>
        </w:sectPr>
      </w:pPr>
    </w:p>
    <w:bookmarkStart w:id="196" w:name="page197"/>
    <w:bookmarkEnd w:id="196"/>
    <w:p>
      <w:pPr>
        <w:jc w:val="right"/>
        <w:spacing w:after="0"/>
        <w:rPr>
          <w:sz w:val="20"/>
          <w:szCs w:val="20"/>
          <w:color w:val="auto"/>
        </w:rPr>
      </w:pPr>
      <w:r>
        <w:rPr>
          <w:rFonts w:ascii="Times New Roman" w:cs="Times New Roman" w:eastAsia="Times New Roman" w:hAnsi="Times New Roman"/>
          <w:sz w:val="22"/>
          <w:szCs w:val="22"/>
          <w:color w:val="FF0000"/>
          <w:strike w:val="1"/>
        </w:rPr>
        <w:t>ANNEX</w:t>
      </w:r>
      <w:r>
        <w:rPr>
          <w:rFonts w:ascii="Times New Roman" w:cs="Times New Roman" w:eastAsia="Times New Roman" w:hAnsi="Times New Roman"/>
          <w:sz w:val="22"/>
          <w:szCs w:val="22"/>
          <w:b w:val="1"/>
          <w:bCs w:val="1"/>
          <w:u w:val="single" w:color="auto"/>
          <w:color w:val="0000FF"/>
        </w:rPr>
        <w:t>EXHIBIT</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660" w:firstLine="644"/>
        <w:spacing w:after="0" w:line="283" w:lineRule="auto"/>
        <w:tabs>
          <w:tab w:leader="none" w:pos="1733"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Holdings shall fail to beneficially own, directly or indirectly, 100% of the issued and outstanding Equity Interests of the Borrower (other than in connection with or after a Qualified IPO of the Borrower).</w:t>
      </w:r>
    </w:p>
    <w:p>
      <w:pPr>
        <w:spacing w:after="0" w:line="133"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0"/>
          <w:szCs w:val="20"/>
          <w:color w:val="auto"/>
        </w:rPr>
        <w:t>In addition, notwithstanding the foregoing, (1) a transaction in which the Borrower or a Parent Entity becomes a direct or indirect subsidiary of another person (such person, the “</w:t>
      </w:r>
      <w:r>
        <w:rPr>
          <w:rFonts w:ascii="Times New Roman" w:cs="Times New Roman" w:eastAsia="Times New Roman" w:hAnsi="Times New Roman"/>
          <w:sz w:val="20"/>
          <w:szCs w:val="20"/>
          <w:u w:val="single" w:color="auto"/>
          <w:color w:val="auto"/>
        </w:rPr>
        <w:t>New Parent</w:t>
      </w:r>
      <w:r>
        <w:rPr>
          <w:rFonts w:ascii="Times New Roman" w:cs="Times New Roman" w:eastAsia="Times New Roman" w:hAnsi="Times New Roman"/>
          <w:sz w:val="20"/>
          <w:szCs w:val="20"/>
          <w:color w:val="auto"/>
        </w:rPr>
        <w:t>”) shall not constitute a Change in Control if (a) the equityholders of the Borrower or such Parent Entity immediately prior to such transaction beneficially own, directly or indirectly through one or more intermediaries, at least a majority of the total voting power of the Voting Stock of the Borrower or such New Parent immediately following the consummation of such transaction, substantially in proportion to their holdings of the equity of the Borrower or such Parent Entity prior to such transaction or (b) immediately following the consummation of such transaction, no person, other than a Permitted Holder, the New Parent or any subsidiary of the New Parent, beneficially owns, directly or indirectly through one or more intermediaries, more than 50.1% of the voting power of the Voting Stock of the Borrower or the New Parent and (2) a person or group shall not be deemed to have beneficial ownership of Equity Interests subject to a stock purchase agreement, merger agreement or similar agreement (or voting or option agreement related thereto) prior to the consummation of the transactions contemplated by such agreement.</w:t>
      </w:r>
    </w:p>
    <w:p>
      <w:pPr>
        <w:spacing w:after="0" w:line="169"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Change in Law</w:t>
      </w:r>
      <w:r>
        <w:rPr>
          <w:rFonts w:ascii="Times New Roman" w:cs="Times New Roman" w:eastAsia="Times New Roman" w:hAnsi="Times New Roman"/>
          <w:sz w:val="20"/>
          <w:szCs w:val="20"/>
          <w:color w:val="auto"/>
        </w:rPr>
        <w:t xml:space="preserve">” shall mean (a) the adoption of any law, rule or regulation after the Closing Date, (b) any change in law, rule or regulation or in the interpretation or application thereof by any Governmental Authority after the Closing Date or (c) compliance by any Lender (or, for purposes of Section 2.15(b), by any Lending Office of such Lender or by such Lender’s holding company, if any) with any written request, guideline or directive (whether or not having the force of law) of any Governmental Authority made or issued after the Closing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notwithstanding anything herein to the contrary, (x) all requests, rules, guidelines or directives under or issued in connection with the Dodd-Frank Wall Street Reform and Consumer Protection Act, all interpretations and applications thereof and any compliance by a Lender with any request or directive relating thereto and (y) all requests, rules, guidelines or directives promulgated under or in connection with, all interpretations and applications of, or any compliance by a Lender with any request or directive relating to International Settlements, the Basel Committee on Banking Supervision (or any successor or similar authority) or the United States of America or foreign regulatory authorities, in each case pursuant to Basel III, shall in each case under clauses (x) and (y) be deemed to be a “Change in Law” but only to the extent a Lender is imposing applicable increased costs or costs in connection with capital adequacy requirements similar to those described in clauses (a) and (b) of Section 2.15 generally on other borrowers of loans under United States of America cash flow term loan credit facilities.</w:t>
      </w:r>
    </w:p>
    <w:p>
      <w:pPr>
        <w:spacing w:after="0" w:line="16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Charges</w:t>
      </w:r>
      <w:r>
        <w:rPr>
          <w:rFonts w:ascii="Times New Roman" w:cs="Times New Roman" w:eastAsia="Times New Roman" w:hAnsi="Times New Roman"/>
          <w:sz w:val="20"/>
          <w:szCs w:val="20"/>
          <w:color w:val="auto"/>
        </w:rPr>
        <w:t>” shall have the meaning assigned to such term in Section 9.09.</w:t>
      </w:r>
    </w:p>
    <w:p>
      <w:pPr>
        <w:spacing w:after="0" w:line="202"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Class</w:t>
      </w:r>
      <w:r>
        <w:rPr>
          <w:rFonts w:ascii="Times New Roman" w:cs="Times New Roman" w:eastAsia="Times New Roman" w:hAnsi="Times New Roman"/>
          <w:sz w:val="20"/>
          <w:szCs w:val="20"/>
          <w:color w:val="auto"/>
        </w:rPr>
        <w:t>” shall mean, (a) when used in respect of any Loan or Borrowing, whether such Loan or the Loans comprising such Borrowing are 2021 Term B Loans, Other Term Loans, Initial Revolving Loans, Extended Revolving Loans or Other Revolving Loans; and</w:t>
      </w:r>
    </w:p>
    <w:p>
      <w:pPr>
        <w:jc w:val="both"/>
        <w:ind w:firstLine="8"/>
        <w:spacing w:after="0" w:line="251" w:lineRule="auto"/>
        <w:tabs>
          <w:tab w:leader="none" w:pos="287"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when used in respect of any Commitment, whether such Commitment is in respect of a commitment to make 2021 Term B Loans, Other Term Loans, Initial Revolving Loans, Extended Revolving Loans or Other Revolving Loans. Other Term Loans, Extended Revolving Loans or Other Revolving Loans that have different terms and conditions (together with the Commitments in respect thereof) from the 2021 Term B Loans or the Initial Revolving Loans, respectively, or from other Other Term Loans or other Extended Revolving Loans or Other Revolving Loans, as applicable, shall each be construed to be in separate and distinct Classes.</w:t>
      </w:r>
    </w:p>
    <w:p>
      <w:pPr>
        <w:spacing w:after="0" w:line="16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Class Loans</w:t>
      </w:r>
      <w:r>
        <w:rPr>
          <w:rFonts w:ascii="Times New Roman" w:cs="Times New Roman" w:eastAsia="Times New Roman" w:hAnsi="Times New Roman"/>
          <w:sz w:val="20"/>
          <w:szCs w:val="20"/>
          <w:color w:val="auto"/>
        </w:rPr>
        <w:t>” shall have the meaning assigned to such term in Section 9.08(f).</w:t>
      </w:r>
    </w:p>
    <w:p>
      <w:pPr>
        <w:sectPr>
          <w:pgSz w:w="11900" w:h="16838" w:orient="portrait"/>
          <w:cols w:equalWidth="0" w:num="1">
            <w:col w:w="11240"/>
          </w:cols>
          <w:pgMar w:left="320" w:top="108" w:right="339" w:bottom="1440" w:gutter="0" w:footer="0" w:header="0"/>
        </w:sectPr>
      </w:pPr>
    </w:p>
    <w:bookmarkStart w:id="197" w:name="page198"/>
    <w:bookmarkEnd w:id="197"/>
    <w:p>
      <w:pPr>
        <w:jc w:val="right"/>
        <w:spacing w:after="0"/>
        <w:rPr>
          <w:sz w:val="20"/>
          <w:szCs w:val="20"/>
          <w:color w:val="auto"/>
        </w:rPr>
      </w:pPr>
      <w:r>
        <w:rPr>
          <w:rFonts w:ascii="Times New Roman" w:cs="Times New Roman" w:eastAsia="Times New Roman" w:hAnsi="Times New Roman"/>
          <w:sz w:val="22"/>
          <w:szCs w:val="22"/>
          <w:color w:val="FF0000"/>
          <w:strike w:val="1"/>
        </w:rPr>
        <w:t>ANNEX</w:t>
      </w:r>
      <w:r>
        <w:rPr>
          <w:rFonts w:ascii="Times New Roman" w:cs="Times New Roman" w:eastAsia="Times New Roman" w:hAnsi="Times New Roman"/>
          <w:sz w:val="22"/>
          <w:szCs w:val="22"/>
          <w:b w:val="1"/>
          <w:bCs w:val="1"/>
          <w:u w:val="single" w:color="auto"/>
          <w:color w:val="0000FF"/>
        </w:rPr>
        <w:t>EXHIBIT</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Closing Date</w:t>
      </w:r>
      <w:r>
        <w:rPr>
          <w:rFonts w:ascii="Times New Roman" w:cs="Times New Roman" w:eastAsia="Times New Roman" w:hAnsi="Times New Roman"/>
          <w:sz w:val="20"/>
          <w:szCs w:val="20"/>
          <w:color w:val="auto"/>
        </w:rPr>
        <w:t>” shall mean November 3, 2016.</w:t>
      </w:r>
    </w:p>
    <w:p>
      <w:pPr>
        <w:spacing w:after="0" w:line="202"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Co-Investors</w:t>
      </w:r>
      <w:r>
        <w:rPr>
          <w:rFonts w:ascii="Times New Roman" w:cs="Times New Roman" w:eastAsia="Times New Roman" w:hAnsi="Times New Roman"/>
          <w:sz w:val="19"/>
          <w:szCs w:val="19"/>
          <w:color w:val="auto"/>
        </w:rPr>
        <w:t>” shall mean (a) the Fund and Fund Affiliates (excluding any of their portfolio companies), (b) one or more investment funds affiliated with Searchlight Capital Partners, L.P. and their respective Affiliates (excluding any of their portfolio companies),</w:t>
      </w:r>
    </w:p>
    <w:p>
      <w:pPr>
        <w:spacing w:after="0" w:line="1" w:lineRule="exact"/>
        <w:rPr>
          <w:sz w:val="20"/>
          <w:szCs w:val="20"/>
          <w:color w:val="auto"/>
        </w:rPr>
      </w:pPr>
    </w:p>
    <w:p>
      <w:pPr>
        <w:ind w:firstLine="8"/>
        <w:spacing w:after="0" w:line="260" w:lineRule="auto"/>
        <w:tabs>
          <w:tab w:leader="none" w:pos="281"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one or more investment funds affiliated with ABRY Partners, LLC or ABRY Partners II, LLC and their respective Affiliates (excluding any of their portfolio companies) and (d) the Management Group.</w:t>
      </w:r>
    </w:p>
    <w:p>
      <w:pPr>
        <w:spacing w:after="0" w:line="18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Co-Manager</w:t>
      </w:r>
      <w:r>
        <w:rPr>
          <w:rFonts w:ascii="Times New Roman" w:cs="Times New Roman" w:eastAsia="Times New Roman" w:hAnsi="Times New Roman"/>
          <w:sz w:val="20"/>
          <w:szCs w:val="20"/>
          <w:color w:val="auto"/>
        </w:rPr>
        <w:t>” shall mean Apollo Global Securities, LLC.</w:t>
      </w:r>
    </w:p>
    <w:p>
      <w:pPr>
        <w:spacing w:after="0" w:line="20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Code</w:t>
      </w:r>
      <w:r>
        <w:rPr>
          <w:rFonts w:ascii="Times New Roman" w:cs="Times New Roman" w:eastAsia="Times New Roman" w:hAnsi="Times New Roman"/>
          <w:sz w:val="20"/>
          <w:szCs w:val="20"/>
          <w:color w:val="auto"/>
        </w:rPr>
        <w:t>” shall mean the Internal Revenue Code of 1986, as amended.</w:t>
      </w:r>
    </w:p>
    <w:p>
      <w:pPr>
        <w:spacing w:after="0" w:line="20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Collateral</w:t>
      </w:r>
      <w:r>
        <w:rPr>
          <w:rFonts w:ascii="Times New Roman" w:cs="Times New Roman" w:eastAsia="Times New Roman" w:hAnsi="Times New Roman"/>
          <w:sz w:val="20"/>
          <w:szCs w:val="20"/>
          <w:color w:val="auto"/>
        </w:rPr>
        <w:t>” shall mean all the “Collateral” as defined in any Security Document and shall also include the Mortgaged Properties and all other property that is subject to any Lien in favor of the Administrative Agent, the Collateral Agent or any Subagent for the benefit of the Secured Parties pursuant to any Security Document.</w:t>
      </w:r>
    </w:p>
    <w:p>
      <w:pPr>
        <w:spacing w:after="0" w:line="164" w:lineRule="exact"/>
        <w:rPr>
          <w:sz w:val="20"/>
          <w:szCs w:val="20"/>
          <w:color w:val="auto"/>
        </w:rPr>
      </w:pPr>
    </w:p>
    <w:p>
      <w:pPr>
        <w:jc w:val="both"/>
        <w:ind w:right="20" w:firstLine="1296"/>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Collateral Agent</w:t>
      </w:r>
      <w:r>
        <w:rPr>
          <w:rFonts w:ascii="Times New Roman" w:cs="Times New Roman" w:eastAsia="Times New Roman" w:hAnsi="Times New Roman"/>
          <w:sz w:val="20"/>
          <w:szCs w:val="20"/>
          <w:color w:val="auto"/>
        </w:rPr>
        <w:t xml:space="preserve">” shall mean </w:t>
      </w:r>
      <w:r>
        <w:rPr>
          <w:rFonts w:ascii="Times New Roman" w:cs="Times New Roman" w:eastAsia="Times New Roman" w:hAnsi="Times New Roman"/>
          <w:sz w:val="20"/>
          <w:szCs w:val="20"/>
          <w:color w:val="FF0000"/>
          <w:strike w:val="1"/>
        </w:rPr>
        <w:t>Citibank, N.A., acting through its agency &amp; trust division</w:t>
      </w:r>
      <w:r>
        <w:rPr>
          <w:rFonts w:ascii="Times New Roman" w:cs="Times New Roman" w:eastAsia="Times New Roman" w:hAnsi="Times New Roman"/>
          <w:sz w:val="20"/>
          <w:szCs w:val="20"/>
          <w:b w:val="1"/>
          <w:bCs w:val="1"/>
          <w:u w:val="single" w:color="auto"/>
          <w:color w:val="0000FF"/>
        </w:rPr>
        <w:t>Wilmington Trust, National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u w:val="single" w:color="auto"/>
          <w:color w:val="0000FF"/>
        </w:rPr>
        <w:t>Association</w:t>
      </w:r>
      <w:r>
        <w:rPr>
          <w:rFonts w:ascii="Times New Roman" w:cs="Times New Roman" w:eastAsia="Times New Roman" w:hAnsi="Times New Roman"/>
          <w:sz w:val="20"/>
          <w:szCs w:val="20"/>
          <w:color w:val="000000"/>
        </w:rPr>
        <w:t>, acting as collateral agent for the Secured Parties, together with its successors and permitted assigns in such capacity.</w:t>
      </w:r>
    </w:p>
    <w:p>
      <w:pPr>
        <w:spacing w:after="0" w:line="14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Collateral Agent Fees</w:t>
      </w:r>
      <w:r>
        <w:rPr>
          <w:rFonts w:ascii="Times New Roman" w:cs="Times New Roman" w:eastAsia="Times New Roman" w:hAnsi="Times New Roman"/>
          <w:sz w:val="20"/>
          <w:szCs w:val="20"/>
          <w:color w:val="auto"/>
        </w:rPr>
        <w:t>” shall have the meaning assigned to such term in Section 2.12(c).</w:t>
      </w:r>
    </w:p>
    <w:p>
      <w:pPr>
        <w:spacing w:after="0" w:line="216" w:lineRule="exact"/>
        <w:rPr>
          <w:sz w:val="20"/>
          <w:szCs w:val="20"/>
          <w:color w:val="auto"/>
        </w:rPr>
      </w:pPr>
    </w:p>
    <w:p>
      <w:pPr>
        <w:jc w:val="both"/>
        <w:ind w:right="20"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Collateral Agreement</w:t>
      </w:r>
      <w:r>
        <w:rPr>
          <w:rFonts w:ascii="Times New Roman" w:cs="Times New Roman" w:eastAsia="Times New Roman" w:hAnsi="Times New Roman"/>
          <w:sz w:val="20"/>
          <w:szCs w:val="20"/>
          <w:color w:val="auto"/>
        </w:rPr>
        <w:t>” shall mean the Collateral Agreement, dated as of the Closing Date, as may be amended, restated, supplemented or otherwise modified from time to time, among the Borrower, each Subsidiary Loan Party and the Collateral Agent.</w:t>
      </w:r>
    </w:p>
    <w:p>
      <w:pPr>
        <w:spacing w:after="0" w:line="15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Collateral and Guarantee Requirement</w:t>
      </w:r>
      <w:r>
        <w:rPr>
          <w:rFonts w:ascii="Times New Roman" w:cs="Times New Roman" w:eastAsia="Times New Roman" w:hAnsi="Times New Roman"/>
          <w:sz w:val="19"/>
          <w:szCs w:val="19"/>
          <w:color w:val="auto"/>
        </w:rPr>
        <w:t>” shall mean the requirement that (in each case subject to Sections 5.10(d), (e) and (g)</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and </w:t>
      </w:r>
      <w:r>
        <w:rPr>
          <w:rFonts w:ascii="Times New Roman" w:cs="Times New Roman" w:eastAsia="Times New Roman" w:hAnsi="Times New Roman"/>
          <w:sz w:val="20"/>
          <w:szCs w:val="20"/>
          <w:u w:val="single" w:color="auto"/>
          <w:color w:val="auto"/>
        </w:rPr>
        <w:t>Schedule 5.12</w:t>
      </w:r>
      <w:r>
        <w:rPr>
          <w:rFonts w:ascii="Times New Roman" w:cs="Times New Roman" w:eastAsia="Times New Roman" w:hAnsi="Times New Roman"/>
          <w:sz w:val="20"/>
          <w:szCs w:val="20"/>
          <w:color w:val="auto"/>
        </w:rPr>
        <w:t xml:space="preserve"> to the Original Credit Agreement):</w:t>
      </w:r>
    </w:p>
    <w:p>
      <w:pPr>
        <w:spacing w:after="0" w:line="180" w:lineRule="exact"/>
        <w:rPr>
          <w:sz w:val="20"/>
          <w:szCs w:val="20"/>
          <w:color w:val="auto"/>
        </w:rPr>
      </w:pPr>
    </w:p>
    <w:p>
      <w:pPr>
        <w:jc w:val="both"/>
        <w:ind w:left="660" w:firstLine="644"/>
        <w:spacing w:after="0" w:line="258" w:lineRule="auto"/>
        <w:tabs>
          <w:tab w:leader="none" w:pos="1754"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the Closing Date, the Collateral Agent shall have received (i) from the Borrower and each Subsidiary Loan Party, a counterpart of the Collateral Agreement and (ii) from each Subsidiary Loan Party, a counterpart of the Subsidiary Guarantee Agreement and (iii) from Holdings, a counterpart of the Holdings Guarantee and Pledge Agreement, in each case duly executed and delivered on behalf of such person;</w:t>
      </w:r>
    </w:p>
    <w:p>
      <w:pPr>
        <w:spacing w:after="0" w:line="158" w:lineRule="exact"/>
        <w:rPr>
          <w:rFonts w:ascii="Times New Roman" w:cs="Times New Roman" w:eastAsia="Times New Roman" w:hAnsi="Times New Roman"/>
          <w:sz w:val="20"/>
          <w:szCs w:val="20"/>
          <w:color w:val="auto"/>
        </w:rPr>
      </w:pPr>
    </w:p>
    <w:p>
      <w:pPr>
        <w:jc w:val="both"/>
        <w:ind w:left="660" w:firstLine="644"/>
        <w:spacing w:after="0" w:line="253" w:lineRule="auto"/>
        <w:tabs>
          <w:tab w:leader="none" w:pos="1739"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the Closing Date, (i)(x) all outstanding Equity Interests of the Borrower and all other outstanding Equity Interests, in each case, directly owned by the Loan Parties, other than Excluded Securities, and (y) all Indebtedness owing to any Loan Party, other than Excluded Securities, shall have been pledged pursuant to the Collateral Agreement or the Holdings Guarantee and Pledge Agreement, as applicable, and (ii) the Collateral Agent shall have received certificates or other instruments (if any) representing such Equity Interests (other than certificates or instruments issued by subsidiaries of the Company that are not received from the Company on or prior to the Closing Date after using commercially reasonable efforts) and any notes or other instruments required to be delivered pursuant to the applicable Security Documents, together with stock powers, note powers or other instruments of transfer (if any) with respect thereto endorsed in blank;</w:t>
      </w:r>
    </w:p>
    <w:p>
      <w:pPr>
        <w:spacing w:after="0" w:line="166" w:lineRule="exact"/>
        <w:rPr>
          <w:rFonts w:ascii="Times New Roman" w:cs="Times New Roman" w:eastAsia="Times New Roman" w:hAnsi="Times New Roman"/>
          <w:sz w:val="20"/>
          <w:szCs w:val="20"/>
          <w:color w:val="auto"/>
        </w:rPr>
      </w:pPr>
    </w:p>
    <w:p>
      <w:pPr>
        <w:jc w:val="both"/>
        <w:ind w:left="660" w:firstLine="644"/>
        <w:spacing w:after="0" w:line="261" w:lineRule="auto"/>
        <w:tabs>
          <w:tab w:leader="none" w:pos="1752"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any person that becomes a Subsidiary Loan Party after the Closing Date, the Collateral Agent shall have received (i) a supplement to the Collateral Agreement and the Subsidiary Guarantee Agreement and (ii) supplements to the other Security Documents, if</w:t>
      </w:r>
    </w:p>
    <w:p>
      <w:pPr>
        <w:sectPr>
          <w:pgSz w:w="11900" w:h="16838" w:orient="portrait"/>
          <w:cols w:equalWidth="0" w:num="1">
            <w:col w:w="11240"/>
          </w:cols>
          <w:pgMar w:left="320" w:top="108" w:right="339" w:bottom="1440" w:gutter="0" w:footer="0" w:header="0"/>
        </w:sectPr>
      </w:pPr>
    </w:p>
    <w:bookmarkStart w:id="198" w:name="page199"/>
    <w:bookmarkEnd w:id="198"/>
    <w:p>
      <w:pPr>
        <w:jc w:val="right"/>
        <w:spacing w:after="0"/>
        <w:rPr>
          <w:sz w:val="20"/>
          <w:szCs w:val="20"/>
          <w:color w:val="auto"/>
        </w:rPr>
      </w:pPr>
      <w:r>
        <w:rPr>
          <w:rFonts w:ascii="Times New Roman" w:cs="Times New Roman" w:eastAsia="Times New Roman" w:hAnsi="Times New Roman"/>
          <w:sz w:val="22"/>
          <w:szCs w:val="22"/>
          <w:color w:val="FF0000"/>
          <w:strike w:val="1"/>
        </w:rPr>
        <w:t>ANNEX</w:t>
      </w:r>
      <w:r>
        <w:rPr>
          <w:rFonts w:ascii="Times New Roman" w:cs="Times New Roman" w:eastAsia="Times New Roman" w:hAnsi="Times New Roman"/>
          <w:sz w:val="22"/>
          <w:szCs w:val="22"/>
          <w:b w:val="1"/>
          <w:bCs w:val="1"/>
          <w:u w:val="single" w:color="auto"/>
          <w:color w:val="0000FF"/>
        </w:rPr>
        <w:t>EXHIBIT</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applicable, in the form specified therefor or otherwise reasonably acceptable to the Administrative Agent, in each case, duly executed and delivered on behalf of such Subsidiary Loan Party;</w:t>
      </w:r>
    </w:p>
    <w:p>
      <w:pPr>
        <w:spacing w:after="0" w:line="133" w:lineRule="exact"/>
        <w:rPr>
          <w:sz w:val="20"/>
          <w:szCs w:val="20"/>
          <w:color w:val="auto"/>
        </w:rPr>
      </w:pPr>
    </w:p>
    <w:p>
      <w:pPr>
        <w:jc w:val="both"/>
        <w:ind w:firstLine="644"/>
        <w:spacing w:after="0" w:line="253" w:lineRule="auto"/>
        <w:tabs>
          <w:tab w:leader="none" w:pos="1084"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after the Closing Date, (x) all outstanding Equity Interests of any person that becomes a Subsidiary Loan Party after the Closing Date and (y) subject to Section 5.10(g), all Equity Interests directly acquired by the Borrower or a Subsidiary Loan Party (and any Equity Interests of the Borrower directly acquired by Holdings) after the Closing Date, other than Excluded Securities, shall have been pledged pursuant to the Collateral Agreement (or the Holdings Guaranty and Pledge Agreement, as applicable), together with stock powers or other instruments of transfer (if any) with respect thereto endorsed in blank;</w:t>
      </w:r>
    </w:p>
    <w:p>
      <w:pPr>
        <w:spacing w:after="0" w:line="164" w:lineRule="exact"/>
        <w:rPr>
          <w:rFonts w:ascii="Times New Roman" w:cs="Times New Roman" w:eastAsia="Times New Roman" w:hAnsi="Times New Roman"/>
          <w:sz w:val="20"/>
          <w:szCs w:val="20"/>
          <w:color w:val="auto"/>
        </w:rPr>
      </w:pPr>
    </w:p>
    <w:p>
      <w:pPr>
        <w:jc w:val="both"/>
        <w:ind w:firstLine="644"/>
        <w:spacing w:after="0" w:line="268" w:lineRule="auto"/>
        <w:tabs>
          <w:tab w:leader="none" w:pos="1209" w:val="left"/>
        </w:tabs>
        <w:numPr>
          <w:ilvl w:val="0"/>
          <w:numId w:val="10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except as otherwise contemplated by this Agreement or any Security Document, all documents and instruments, including Uniform Commercial Code financing statements, and filings with the United States Copyright Office and the United States Patent and Trademark Office, and all other actions reasonably requested by the Administrative Agent (</w:t>
      </w:r>
      <w:r>
        <w:rPr>
          <w:rFonts w:ascii="Times New Roman" w:cs="Times New Roman" w:eastAsia="Times New Roman" w:hAnsi="Times New Roman"/>
          <w:sz w:val="19"/>
          <w:szCs w:val="19"/>
          <w:b w:val="1"/>
          <w:bCs w:val="1"/>
          <w:u w:val="single" w:color="auto"/>
          <w:color w:val="0000FF"/>
        </w:rPr>
        <w:t>acting at the direction of the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u w:val="single" w:color="auto"/>
          <w:color w:val="0000FF"/>
        </w:rPr>
        <w:t>Required Lenders) (</w:t>
      </w:r>
      <w:r>
        <w:rPr>
          <w:rFonts w:ascii="Times New Roman" w:cs="Times New Roman" w:eastAsia="Times New Roman" w:hAnsi="Times New Roman"/>
          <w:sz w:val="19"/>
          <w:szCs w:val="19"/>
          <w:color w:val="000000"/>
        </w:rPr>
        <w:t>including those required by applicable Requirements of Law) to be delivered, filed, registered or recorded to</w:t>
      </w:r>
      <w:r>
        <w:rPr>
          <w:rFonts w:ascii="Times New Roman" w:cs="Times New Roman" w:eastAsia="Times New Roman" w:hAnsi="Times New Roman"/>
          <w:sz w:val="19"/>
          <w:szCs w:val="19"/>
          <w:b w:val="1"/>
          <w:bCs w:val="1"/>
          <w:color w:val="0000FF"/>
        </w:rPr>
        <w:t xml:space="preserve"> </w:t>
      </w:r>
      <w:r>
        <w:rPr>
          <w:rFonts w:ascii="Times New Roman" w:cs="Times New Roman" w:eastAsia="Times New Roman" w:hAnsi="Times New Roman"/>
          <w:sz w:val="19"/>
          <w:szCs w:val="19"/>
          <w:color w:val="000000"/>
        </w:rPr>
        <w:t xml:space="preserve">create the Liens intended to be created by the Security Documents (in each case, including any supplements thereto) and perfect such Liens to the extent required by, and with the priority required by, the Security Documents, shall have been delivered, filed, registered or recorded </w:t>
      </w:r>
      <w:r>
        <w:rPr>
          <w:rFonts w:ascii="Times New Roman" w:cs="Times New Roman" w:eastAsia="Times New Roman" w:hAnsi="Times New Roman"/>
          <w:sz w:val="19"/>
          <w:szCs w:val="19"/>
          <w:color w:val="FF0000"/>
          <w:strike w:val="1"/>
        </w:rPr>
        <w:t>or delivered to</w:t>
      </w:r>
      <w:r>
        <w:rPr>
          <w:rFonts w:ascii="Times New Roman" w:cs="Times New Roman" w:eastAsia="Times New Roman" w:hAnsi="Times New Roman"/>
          <w:sz w:val="19"/>
          <w:szCs w:val="19"/>
          <w:color w:val="000000"/>
        </w:rPr>
        <w:t xml:space="preserve"> </w:t>
      </w:r>
      <w:r>
        <w:rPr>
          <w:rFonts w:ascii="Times New Roman" w:cs="Times New Roman" w:eastAsia="Times New Roman" w:hAnsi="Times New Roman"/>
          <w:sz w:val="19"/>
          <w:szCs w:val="19"/>
          <w:color w:val="008000"/>
          <w:strike w:val="1"/>
        </w:rPr>
        <w:t>the Collateral Agent</w:t>
      </w:r>
      <w:r>
        <w:rPr>
          <w:rFonts w:ascii="Times New Roman" w:cs="Times New Roman" w:eastAsia="Times New Roman" w:hAnsi="Times New Roman"/>
          <w:sz w:val="19"/>
          <w:szCs w:val="19"/>
          <w:color w:val="000000"/>
        </w:rPr>
        <w:t xml:space="preserve"> </w:t>
      </w:r>
      <w:r>
        <w:rPr>
          <w:rFonts w:ascii="Times New Roman" w:cs="Times New Roman" w:eastAsia="Times New Roman" w:hAnsi="Times New Roman"/>
          <w:sz w:val="19"/>
          <w:szCs w:val="19"/>
          <w:color w:val="FF0000"/>
          <w:strike w:val="1"/>
        </w:rPr>
        <w:t>(</w:t>
      </w:r>
      <w:r>
        <w:rPr>
          <w:rFonts w:ascii="Times New Roman" w:cs="Times New Roman" w:eastAsia="Times New Roman" w:hAnsi="Times New Roman"/>
          <w:sz w:val="19"/>
          <w:szCs w:val="19"/>
          <w:color w:val="008000"/>
          <w:strike w:val="1"/>
        </w:rPr>
        <w:t>for the benefit of the</w:t>
      </w:r>
      <w:r>
        <w:rPr>
          <w:rFonts w:ascii="Times New Roman" w:cs="Times New Roman" w:eastAsia="Times New Roman" w:hAnsi="Times New Roman"/>
          <w:sz w:val="19"/>
          <w:szCs w:val="19"/>
          <w:color w:val="000000"/>
        </w:rPr>
        <w:t xml:space="preserve"> </w:t>
      </w:r>
      <w:r>
        <w:rPr>
          <w:rFonts w:ascii="Times New Roman" w:cs="Times New Roman" w:eastAsia="Times New Roman" w:hAnsi="Times New Roman"/>
          <w:sz w:val="19"/>
          <w:szCs w:val="19"/>
          <w:color w:val="FF0000"/>
          <w:strike w:val="1"/>
        </w:rPr>
        <w:t>Secured Parties) for filing, registration or the recording</w:t>
      </w:r>
      <w:r>
        <w:rPr>
          <w:rFonts w:ascii="Times New Roman" w:cs="Times New Roman" w:eastAsia="Times New Roman" w:hAnsi="Times New Roman"/>
          <w:sz w:val="19"/>
          <w:szCs w:val="19"/>
          <w:color w:val="000000"/>
        </w:rPr>
        <w:t xml:space="preserve"> concurrently with, or promptly following, the execution and delivery of each such Security Document;</w:t>
      </w:r>
    </w:p>
    <w:p>
      <w:pPr>
        <w:spacing w:after="0" w:line="154" w:lineRule="exact"/>
        <w:rPr>
          <w:rFonts w:ascii="Times New Roman" w:cs="Times New Roman" w:eastAsia="Times New Roman" w:hAnsi="Times New Roman"/>
          <w:sz w:val="19"/>
          <w:szCs w:val="19"/>
          <w:color w:val="auto"/>
        </w:rPr>
      </w:pPr>
    </w:p>
    <w:p>
      <w:pPr>
        <w:jc w:val="both"/>
        <w:ind w:firstLine="644"/>
        <w:spacing w:after="0" w:line="249" w:lineRule="auto"/>
        <w:tabs>
          <w:tab w:leader="none" w:pos="1131"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within the time periods set forth in Section 5.10 with respect to Mortgaged Properties encumbered pursuant to said Section 5.10, the Collateral Agent shall have received (i) counterparts of each Mortgage to be entered into with respect to each such Mortgaged Property duly executed and delivered by the record owner of such Mortgaged Property and suitable for recording or filing in all filing or recording offices that the Administrative Agent </w:t>
      </w:r>
      <w:r>
        <w:rPr>
          <w:rFonts w:ascii="Times New Roman" w:cs="Times New Roman" w:eastAsia="Times New Roman" w:hAnsi="Times New Roman"/>
          <w:sz w:val="20"/>
          <w:szCs w:val="20"/>
          <w:b w:val="1"/>
          <w:bCs w:val="1"/>
          <w:u w:val="single" w:color="auto"/>
          <w:color w:val="0000FF"/>
        </w:rPr>
        <w:t>(acting at the direction of the Required Lenders)</w:t>
      </w:r>
      <w:r>
        <w:rPr>
          <w:rFonts w:ascii="Times New Roman" w:cs="Times New Roman" w:eastAsia="Times New Roman" w:hAnsi="Times New Roman"/>
          <w:sz w:val="20"/>
          <w:szCs w:val="20"/>
          <w:color w:val="auto"/>
        </w:rPr>
        <w:t xml:space="preserve"> may reasonably deem necessary or desirable in order to create a valid and enforceable Lien subject to no other Liens except Permitted Liens, at the time of recordation thereof, (ii) with respect to the Mortgage encumbering each such Mortgaged Property, opinions of counsel regarding the enforceability, due authorization, execution and delivery of the Mortgages and such other matters customarily covered in real estate counsel opinions as the Administrative Agent </w:t>
      </w:r>
      <w:r>
        <w:rPr>
          <w:rFonts w:ascii="Times New Roman" w:cs="Times New Roman" w:eastAsia="Times New Roman" w:hAnsi="Times New Roman"/>
          <w:sz w:val="20"/>
          <w:szCs w:val="20"/>
          <w:b w:val="1"/>
          <w:bCs w:val="1"/>
          <w:u w:val="single" w:color="auto"/>
          <w:color w:val="0000FF"/>
        </w:rPr>
        <w:t>(acting at the direction of the Required Lenders)</w:t>
      </w:r>
      <w:r>
        <w:rPr>
          <w:rFonts w:ascii="Times New Roman" w:cs="Times New Roman" w:eastAsia="Times New Roman" w:hAnsi="Times New Roman"/>
          <w:sz w:val="20"/>
          <w:szCs w:val="20"/>
          <w:color w:val="auto"/>
        </w:rPr>
        <w:t xml:space="preserve"> may reasonably request, in form and substance reasonably acceptable to the Administrative Agent, (iii) with respect to each such Mortgaged Property, the Flood Documentation and (iv) such other documents as the Administrative Agent </w:t>
      </w:r>
      <w:r>
        <w:rPr>
          <w:rFonts w:ascii="Times New Roman" w:cs="Times New Roman" w:eastAsia="Times New Roman" w:hAnsi="Times New Roman"/>
          <w:sz w:val="20"/>
          <w:szCs w:val="20"/>
          <w:b w:val="1"/>
          <w:bCs w:val="1"/>
          <w:u w:val="single" w:color="auto"/>
          <w:color w:val="0000FF"/>
        </w:rPr>
        <w:t>(acting at the direction of the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u w:val="single" w:color="auto"/>
          <w:color w:val="0000FF"/>
        </w:rPr>
        <w:t>Required Lenders)</w:t>
      </w:r>
      <w:r>
        <w:rPr>
          <w:rFonts w:ascii="Times New Roman" w:cs="Times New Roman" w:eastAsia="Times New Roman" w:hAnsi="Times New Roman"/>
          <w:sz w:val="20"/>
          <w:szCs w:val="20"/>
          <w:b w:val="1"/>
          <w:bCs w:val="1"/>
          <w:color w:val="0000FF"/>
        </w:rPr>
        <w:t xml:space="preserve"> </w:t>
      </w:r>
      <w:r>
        <w:rPr>
          <w:rFonts w:ascii="Times New Roman" w:cs="Times New Roman" w:eastAsia="Times New Roman" w:hAnsi="Times New Roman"/>
          <w:sz w:val="20"/>
          <w:szCs w:val="20"/>
          <w:color w:val="000000"/>
        </w:rPr>
        <w:t>may reasonably request that are available to the Borrower without material expense with respect to any such</w:t>
      </w:r>
      <w:r>
        <w:rPr>
          <w:rFonts w:ascii="Times New Roman" w:cs="Times New Roman" w:eastAsia="Times New Roman" w:hAnsi="Times New Roman"/>
          <w:sz w:val="20"/>
          <w:szCs w:val="20"/>
          <w:b w:val="1"/>
          <w:bCs w:val="1"/>
          <w:color w:val="0000FF"/>
        </w:rPr>
        <w:t xml:space="preserve"> </w:t>
      </w:r>
      <w:r>
        <w:rPr>
          <w:rFonts w:ascii="Times New Roman" w:cs="Times New Roman" w:eastAsia="Times New Roman" w:hAnsi="Times New Roman"/>
          <w:sz w:val="20"/>
          <w:szCs w:val="20"/>
          <w:color w:val="000000"/>
        </w:rPr>
        <w:t>Mortgage or Mortgaged Property;</w:t>
      </w:r>
    </w:p>
    <w:p>
      <w:pPr>
        <w:spacing w:after="0" w:line="187" w:lineRule="exact"/>
        <w:rPr>
          <w:rFonts w:ascii="Times New Roman" w:cs="Times New Roman" w:eastAsia="Times New Roman" w:hAnsi="Times New Roman"/>
          <w:sz w:val="20"/>
          <w:szCs w:val="20"/>
          <w:color w:val="auto"/>
        </w:rPr>
      </w:pPr>
    </w:p>
    <w:p>
      <w:pPr>
        <w:jc w:val="both"/>
        <w:ind w:firstLine="644"/>
        <w:spacing w:after="0" w:line="251" w:lineRule="auto"/>
        <w:tabs>
          <w:tab w:leader="none" w:pos="1156"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within the time periods set forth in Section 5.10 with respect to Mortgaged Properties encumbered pursuant to said Section 5.10, the Collateral Agent shall have received (i) a policy or policies or marked up unconditional binder of title insurance with respect to properties located in the United States of America, or a date-down and modification endorsement, if available, paid for by the Borrower, issued by a nationally recognized title insurance company insuring the Lien of each Mortgage as a valid Lien on the Mortgaged Property described therein, free of any other Liens except Permitted Liens, together with such customary endorsements, coinsurance and reinsurance as the Administrative Agent </w:t>
      </w:r>
      <w:r>
        <w:rPr>
          <w:rFonts w:ascii="Times New Roman" w:cs="Times New Roman" w:eastAsia="Times New Roman" w:hAnsi="Times New Roman"/>
          <w:sz w:val="20"/>
          <w:szCs w:val="20"/>
          <w:b w:val="1"/>
          <w:bCs w:val="1"/>
          <w:u w:val="single" w:color="auto"/>
          <w:color w:val="0000FF"/>
        </w:rPr>
        <w:t>(acting at the direction of the Required Lenders)</w:t>
      </w:r>
      <w:r>
        <w:rPr>
          <w:rFonts w:ascii="Times New Roman" w:cs="Times New Roman" w:eastAsia="Times New Roman" w:hAnsi="Times New Roman"/>
          <w:sz w:val="20"/>
          <w:szCs w:val="20"/>
          <w:color w:val="auto"/>
        </w:rPr>
        <w:t xml:space="preserve"> may reasonably request and which are available at commercially reasonable</w:t>
      </w:r>
    </w:p>
    <w:p>
      <w:pPr>
        <w:sectPr>
          <w:pgSz w:w="11900" w:h="16838" w:orient="portrait"/>
          <w:cols w:equalWidth="0" w:num="1">
            <w:col w:w="10580"/>
          </w:cols>
          <w:pgMar w:left="980" w:top="108" w:right="339" w:bottom="1440" w:gutter="0" w:footer="0" w:header="0"/>
        </w:sectPr>
      </w:pPr>
    </w:p>
    <w:bookmarkStart w:id="199" w:name="page200"/>
    <w:bookmarkEnd w:id="199"/>
    <w:p>
      <w:pPr>
        <w:jc w:val="right"/>
        <w:spacing w:after="0"/>
        <w:rPr>
          <w:sz w:val="20"/>
          <w:szCs w:val="20"/>
          <w:color w:val="auto"/>
        </w:rPr>
      </w:pPr>
      <w:r>
        <w:rPr>
          <w:rFonts w:ascii="Times New Roman" w:cs="Times New Roman" w:eastAsia="Times New Roman" w:hAnsi="Times New Roman"/>
          <w:sz w:val="22"/>
          <w:szCs w:val="22"/>
          <w:color w:val="FF0000"/>
          <w:strike w:val="1"/>
        </w:rPr>
        <w:t>ANNEX</w:t>
      </w:r>
      <w:r>
        <w:rPr>
          <w:rFonts w:ascii="Times New Roman" w:cs="Times New Roman" w:eastAsia="Times New Roman" w:hAnsi="Times New Roman"/>
          <w:sz w:val="22"/>
          <w:szCs w:val="22"/>
          <w:b w:val="1"/>
          <w:bCs w:val="1"/>
          <w:u w:val="single" w:color="auto"/>
          <w:color w:val="0000FF"/>
        </w:rPr>
        <w:t>EXHIBIT</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ind w:left="660"/>
        <w:spacing w:after="0" w:line="251" w:lineRule="auto"/>
        <w:rPr>
          <w:sz w:val="20"/>
          <w:szCs w:val="20"/>
          <w:color w:val="auto"/>
        </w:rPr>
      </w:pPr>
      <w:r>
        <w:rPr>
          <w:rFonts w:ascii="Times New Roman" w:cs="Times New Roman" w:eastAsia="Times New Roman" w:hAnsi="Times New Roman"/>
          <w:sz w:val="20"/>
          <w:szCs w:val="20"/>
          <w:color w:val="auto"/>
        </w:rPr>
        <w:t xml:space="preserve">rates in the jurisdiction where the applicable Mortgaged Property is located and (ii) a survey of each Mortgaged Property (including all improvements, easements and other customary matters thereon reasonably required by the Administrative Agent </w:t>
      </w:r>
      <w:r>
        <w:rPr>
          <w:rFonts w:ascii="Times New Roman" w:cs="Times New Roman" w:eastAsia="Times New Roman" w:hAnsi="Times New Roman"/>
          <w:sz w:val="20"/>
          <w:szCs w:val="20"/>
          <w:b w:val="1"/>
          <w:bCs w:val="1"/>
          <w:u w:val="single" w:color="auto"/>
          <w:color w:val="0000FF"/>
        </w:rPr>
        <w:t>(acting at the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u w:val="single" w:color="auto"/>
          <w:color w:val="0000FF"/>
        </w:rPr>
        <w:t>direction of the Required Lenders)</w:t>
      </w:r>
      <w:r>
        <w:rPr>
          <w:rFonts w:ascii="Times New Roman" w:cs="Times New Roman" w:eastAsia="Times New Roman" w:hAnsi="Times New Roman"/>
          <w:sz w:val="20"/>
          <w:szCs w:val="20"/>
          <w:color w:val="000000"/>
        </w:rPr>
        <w:t>), as applicable, for which all necessary fees (where applicable) have been paid with respect to</w:t>
      </w:r>
      <w:r>
        <w:rPr>
          <w:rFonts w:ascii="Times New Roman" w:cs="Times New Roman" w:eastAsia="Times New Roman" w:hAnsi="Times New Roman"/>
          <w:sz w:val="20"/>
          <w:szCs w:val="20"/>
          <w:b w:val="1"/>
          <w:bCs w:val="1"/>
          <w:color w:val="0000FF"/>
        </w:rPr>
        <w:t xml:space="preserve"> </w:t>
      </w:r>
      <w:r>
        <w:rPr>
          <w:rFonts w:ascii="Times New Roman" w:cs="Times New Roman" w:eastAsia="Times New Roman" w:hAnsi="Times New Roman"/>
          <w:sz w:val="20"/>
          <w:szCs w:val="20"/>
          <w:color w:val="000000"/>
        </w:rPr>
        <w:t xml:space="preserve">properties located in the United States of America, which is (A) complying in all material respects with the minimum detail requirements of the American Land Title Association and American Congress of Surveying and Mapping as such requirements are in effect on the date of preparation of such survey and (B) sufficient for such title insurance company to remove all standard survey exceptions from the title insurance policy relating to such Mortgaged Property and issue the customary survey related endorsements or otherwise reasonably acceptable to the Administrative Agent </w:t>
      </w:r>
      <w:r>
        <w:rPr>
          <w:rFonts w:ascii="Times New Roman" w:cs="Times New Roman" w:eastAsia="Times New Roman" w:hAnsi="Times New Roman"/>
          <w:sz w:val="20"/>
          <w:szCs w:val="20"/>
          <w:b w:val="1"/>
          <w:bCs w:val="1"/>
          <w:u w:val="single" w:color="auto"/>
          <w:color w:val="0000FF"/>
        </w:rPr>
        <w:t>(acting at the direction of the Required Lenders)</w:t>
      </w:r>
      <w:r>
        <w:rPr>
          <w:rFonts w:ascii="Times New Roman" w:cs="Times New Roman" w:eastAsia="Times New Roman" w:hAnsi="Times New Roman"/>
          <w:sz w:val="20"/>
          <w:szCs w:val="20"/>
          <w:color w:val="000000"/>
        </w:rPr>
        <w:t>;</w:t>
      </w:r>
    </w:p>
    <w:p>
      <w:pPr>
        <w:spacing w:after="0" w:line="168" w:lineRule="exact"/>
        <w:rPr>
          <w:sz w:val="20"/>
          <w:szCs w:val="20"/>
          <w:color w:val="auto"/>
        </w:rPr>
      </w:pPr>
    </w:p>
    <w:p>
      <w:pPr>
        <w:ind w:left="1740" w:hanging="436"/>
        <w:spacing w:after="0"/>
        <w:tabs>
          <w:tab w:leader="none" w:pos="1740"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Collateral Agent shall have received evidence of the insurance required by the terms of Section 5.02 hereof; and</w:t>
      </w:r>
    </w:p>
    <w:p>
      <w:pPr>
        <w:spacing w:after="0" w:line="215" w:lineRule="exact"/>
        <w:rPr>
          <w:rFonts w:ascii="Times New Roman" w:cs="Times New Roman" w:eastAsia="Times New Roman" w:hAnsi="Times New Roman"/>
          <w:sz w:val="20"/>
          <w:szCs w:val="20"/>
          <w:color w:val="auto"/>
        </w:rPr>
      </w:pPr>
    </w:p>
    <w:p>
      <w:pPr>
        <w:jc w:val="both"/>
        <w:ind w:left="660" w:firstLine="644"/>
        <w:spacing w:after="0" w:line="261" w:lineRule="auto"/>
        <w:tabs>
          <w:tab w:leader="none" w:pos="1695"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after the Closing Date, the Collateral Agent shall have received (i) such other Security Documents as may be required to be delivered pursuant to Section 5.10 or the Collateral Agreement, and (ii) upon reasonable written request by the Administrative Agent </w:t>
      </w:r>
      <w:r>
        <w:rPr>
          <w:rFonts w:ascii="Times New Roman" w:cs="Times New Roman" w:eastAsia="Times New Roman" w:hAnsi="Times New Roman"/>
          <w:sz w:val="20"/>
          <w:szCs w:val="20"/>
          <w:b w:val="1"/>
          <w:bCs w:val="1"/>
          <w:u w:val="single" w:color="auto"/>
          <w:color w:val="0000FF"/>
        </w:rPr>
        <w:t>(acting at the direction of the Required Lenders)</w:t>
      </w:r>
      <w:r>
        <w:rPr>
          <w:rFonts w:ascii="Times New Roman" w:cs="Times New Roman" w:eastAsia="Times New Roman" w:hAnsi="Times New Roman"/>
          <w:sz w:val="20"/>
          <w:szCs w:val="20"/>
          <w:color w:val="auto"/>
        </w:rPr>
        <w:t>, evidence of compliance with any other requirements of Section 5.10.</w:t>
      </w:r>
    </w:p>
    <w:p>
      <w:pPr>
        <w:spacing w:after="0" w:line="15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Commitment Fee</w:t>
      </w:r>
      <w:r>
        <w:rPr>
          <w:rFonts w:ascii="Times New Roman" w:cs="Times New Roman" w:eastAsia="Times New Roman" w:hAnsi="Times New Roman"/>
          <w:sz w:val="20"/>
          <w:szCs w:val="20"/>
          <w:color w:val="auto"/>
        </w:rPr>
        <w:t>” shall have the meaning assigned to such term in Section 2.12(a).</w:t>
      </w:r>
    </w:p>
    <w:p>
      <w:pPr>
        <w:spacing w:after="0" w:line="202"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Commitments</w:t>
      </w:r>
      <w:r>
        <w:rPr>
          <w:rFonts w:ascii="Times New Roman" w:cs="Times New Roman" w:eastAsia="Times New Roman" w:hAnsi="Times New Roman"/>
          <w:sz w:val="20"/>
          <w:szCs w:val="20"/>
          <w:color w:val="auto"/>
        </w:rPr>
        <w:t>” shall mean (a) with respect to any Lender, such Lender’s Revolving Facility Commitment and Term Facility Commitment and (b) with respect to any Swingline Lender, its Swingline Commitment (it being understood that a Swingline Commitment does not increase the applicable Swingline Lender’s Revolving Facility Commitment).</w:t>
      </w:r>
    </w:p>
    <w:p>
      <w:pPr>
        <w:spacing w:after="0" w:line="148"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Commodity Exchange Act</w:t>
      </w:r>
      <w:r>
        <w:rPr>
          <w:rFonts w:ascii="Times New Roman" w:cs="Times New Roman" w:eastAsia="Times New Roman" w:hAnsi="Times New Roman"/>
          <w:sz w:val="20"/>
          <w:szCs w:val="20"/>
          <w:color w:val="auto"/>
        </w:rPr>
        <w:t>” shall mean the Commodity Exchange Act (7 U.S.C. § 1 et seq.), as amended from time to time, and any successor statute.</w:t>
      </w:r>
    </w:p>
    <w:p>
      <w:pPr>
        <w:spacing w:after="0" w:line="15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shall have the meaning assigned to such term in the introductory paragraph of this Agreement.</w:t>
      </w:r>
    </w:p>
    <w:p>
      <w:pPr>
        <w:spacing w:after="0" w:line="202"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Conduit Lender</w:t>
      </w:r>
      <w:r>
        <w:rPr>
          <w:rFonts w:ascii="Times New Roman" w:cs="Times New Roman" w:eastAsia="Times New Roman" w:hAnsi="Times New Roman"/>
          <w:sz w:val="20"/>
          <w:szCs w:val="20"/>
          <w:color w:val="auto"/>
        </w:rPr>
        <w:t xml:space="preserve">” shall mean any special purpose corporation organized and administered by any Lender for the purpose of making Loans otherwise required to be made by such Lender and designated by such Lender in a written instrument;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designation by any Lender of a Conduit Lender shall not relieve the designating Lender of any of its obligations to fund a Loan under this Agreement if, for any reason, its Conduit Lender fails to fund any such Loan, and the designating Lender (and not the Conduit Lender) shall have the sole right and responsibility to deliver all consents and waivers required or requested under this Agreement with respect to its Conduit Lender;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xml:space="preserve">, that no Conduit Lender shall (a) be entitled to receive any greater amount pursuant to Sections 2.15, 2.16, 2.17 or 9.05 than the designating Lender would have been entitled to receive in respect of the extensions of credit made by such Conduit Lender unless the designation of such Conduit Lender is made with the prior written consent of the Borrower (not to be unreasonably withheld or delayed), which consent shall specify that it is being made pursuant to the proviso in the definition of “Conduit Lender” and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designating Lender provides such information as the Borrower reasonably requests in order for the Borrower to determine whether to provide its consent or (b) be deemed to have any Commitment.</w:t>
      </w:r>
    </w:p>
    <w:p>
      <w:pPr>
        <w:sectPr>
          <w:pgSz w:w="11900" w:h="16838" w:orient="portrait"/>
          <w:cols w:equalWidth="0" w:num="1">
            <w:col w:w="11240"/>
          </w:cols>
          <w:pgMar w:left="320" w:top="108" w:right="339" w:bottom="1440" w:gutter="0" w:footer="0" w:header="0"/>
        </w:sectPr>
      </w:pPr>
    </w:p>
    <w:bookmarkStart w:id="200" w:name="page201"/>
    <w:bookmarkEnd w:id="200"/>
    <w:p>
      <w:pPr>
        <w:jc w:val="right"/>
        <w:spacing w:after="0"/>
        <w:rPr>
          <w:sz w:val="20"/>
          <w:szCs w:val="20"/>
          <w:color w:val="auto"/>
        </w:rPr>
      </w:pPr>
      <w:r>
        <w:rPr>
          <w:rFonts w:ascii="Times New Roman" w:cs="Times New Roman" w:eastAsia="Times New Roman" w:hAnsi="Times New Roman"/>
          <w:sz w:val="22"/>
          <w:szCs w:val="22"/>
          <w:color w:val="FF0000"/>
          <w:strike w:val="1"/>
        </w:rPr>
        <w:t>ANNEX</w:t>
      </w:r>
      <w:r>
        <w:rPr>
          <w:rFonts w:ascii="Times New Roman" w:cs="Times New Roman" w:eastAsia="Times New Roman" w:hAnsi="Times New Roman"/>
          <w:sz w:val="22"/>
          <w:szCs w:val="22"/>
          <w:b w:val="1"/>
          <w:bCs w:val="1"/>
          <w:u w:val="single" w:color="auto"/>
          <w:color w:val="0000FF"/>
        </w:rPr>
        <w:t>EXHIBIT</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Conforming Changes</w:t>
      </w:r>
      <w:r>
        <w:rPr>
          <w:rFonts w:ascii="Times New Roman" w:cs="Times New Roman" w:eastAsia="Times New Roman" w:hAnsi="Times New Roman"/>
          <w:sz w:val="20"/>
          <w:szCs w:val="20"/>
          <w:color w:val="auto"/>
        </w:rPr>
        <w:t>” shall mean, with respect to either the use or administration of Term SOFR or the use, administration, adoption or implementation of any Benchmark Replacement, any technical, administrative or operational changes (including changes to the definition of “ABR,” the definition of “Business Day,” the definition of “U.S. Government Securities Business Day,” the definition of “Interest Period” or any similar or analogous definition (or the addition of a concept of “interest period”), timing and frequency of determining rates and making payments of interest, timing of borrowing requests or prepayment, conversion or continuation notices, the applicability and length of lookback periods, the applicability of Section 2.16 and other technical, administrative or operational matters) that the Administrative Agent decides in its reasonable discretion (and in consultation with the Borrower) may be appropriate to reflect the adoption and implementation of any such rate or to permit the use and administration thereof by the Administrative Agent in a manner substantially consistent with market practice (or, if the Administrative Agent decides in its reasonable discretion that adoption of any portion of such market practice is not administratively feasible or if the Administrative Agent determines in its reasonable discretion (and in consultation with the Borrower) that no market practice for the administration of any such rate exists, in such other manner of administration as the Administrative Agent decides is reasonably necessary (and in consultation with the Borrower) in connection with the administration of this Agreement and the other Loan Documents).</w:t>
      </w:r>
    </w:p>
    <w:p>
      <w:pPr>
        <w:spacing w:after="0" w:line="166"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Debt</w:t>
      </w:r>
      <w:r>
        <w:rPr>
          <w:rFonts w:ascii="Times New Roman" w:cs="Times New Roman" w:eastAsia="Times New Roman" w:hAnsi="Times New Roman"/>
          <w:sz w:val="20"/>
          <w:szCs w:val="20"/>
          <w:color w:val="auto"/>
        </w:rPr>
        <w:t>” at any date shall mean the sum of (without duplication) all Indebtedness (other than letters of credit or bank guarantees, to the extent undrawn) consisting of Indebtedness for borrowed money and Disqualified Stock of the Borrower and the Subsidiaries determined on a consolidated basis on such date in accordance with GAAP.</w:t>
      </w:r>
    </w:p>
    <w:p>
      <w:pPr>
        <w:spacing w:after="0" w:line="148"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Net Income</w:t>
      </w:r>
      <w:r>
        <w:rPr>
          <w:rFonts w:ascii="Times New Roman" w:cs="Times New Roman" w:eastAsia="Times New Roman" w:hAnsi="Times New Roman"/>
          <w:sz w:val="20"/>
          <w:szCs w:val="20"/>
          <w:color w:val="auto"/>
        </w:rPr>
        <w:t xml:space="preserve">” shall mean, with respect to any person for any period, the aggregate of the Net Income of such person and its subsidiaries for such period, on a consolidated basis;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without duplication,</w:t>
      </w:r>
    </w:p>
    <w:p>
      <w:pPr>
        <w:spacing w:after="0" w:line="159" w:lineRule="exact"/>
        <w:rPr>
          <w:sz w:val="20"/>
          <w:szCs w:val="20"/>
          <w:color w:val="auto"/>
        </w:rPr>
      </w:pPr>
    </w:p>
    <w:p>
      <w:pPr>
        <w:jc w:val="both"/>
        <w:ind w:left="660" w:firstLine="644"/>
        <w:spacing w:after="0" w:line="265" w:lineRule="auto"/>
        <w:tabs>
          <w:tab w:leader="none" w:pos="1774" w:val="left"/>
        </w:tabs>
        <w:numPr>
          <w:ilvl w:val="0"/>
          <w:numId w:val="10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net after-tax extraordinary, exceptional, nonrecurring or unusual gains or losses or income or expense or charge (</w:t>
      </w:r>
      <w:r>
        <w:rPr>
          <w:rFonts w:ascii="Times New Roman" w:cs="Times New Roman" w:eastAsia="Times New Roman" w:hAnsi="Times New Roman"/>
          <w:sz w:val="19"/>
          <w:szCs w:val="19"/>
          <w:u w:val="single" w:color="auto"/>
          <w:color w:val="auto"/>
        </w:rPr>
        <w:t>less</w:t>
      </w:r>
      <w:r>
        <w:rPr>
          <w:rFonts w:ascii="Times New Roman" w:cs="Times New Roman" w:eastAsia="Times New Roman" w:hAnsi="Times New Roman"/>
          <w:sz w:val="19"/>
          <w:szCs w:val="19"/>
          <w:color w:val="auto"/>
        </w:rPr>
        <w:t xml:space="preserve"> all fees and expenses relating thereto), any severance, relocation or other restructuring expenses (including any cost or expense related to employment of terminated employees), any expenses related to any New Project or any reconstruction, decommissioning, recommissioning or reconfiguration of fixed assets for alternative uses, fees, expenses or charges relating to closing costs, rebranding costs, curtailments or modifications to pension and post-retirement employee benefit plans, excess pension charges, acquisition integration costs, opening costs, recruiting costs, signing, retention or completion bonuses, and expenses or charges related to any offering of Equity Interests or debt securities of the Borrower, Holdings or any Parent Entity, any Investment, acquisition, Disposition, recapitalization or incurrence, issuance, repayment, repurchase, refinancing, amendment or modification of Indebtedness (in each case, whether or not successful), and any fees, expenses, charges or change in control payments related to the Transactions, the 2021 Transactions or the Prior Amendments (including any costs relating to auditing prior periods, any transition-related expenses, and Transaction Expenses incurred before, on or after the Closing Date), in each case, shall be excluded,</w:t>
      </w:r>
    </w:p>
    <w:p>
      <w:pPr>
        <w:spacing w:after="0" w:line="154" w:lineRule="exact"/>
        <w:rPr>
          <w:rFonts w:ascii="Times New Roman" w:cs="Times New Roman" w:eastAsia="Times New Roman" w:hAnsi="Times New Roman"/>
          <w:sz w:val="19"/>
          <w:szCs w:val="19"/>
          <w:color w:val="auto"/>
        </w:rPr>
      </w:pPr>
    </w:p>
    <w:p>
      <w:pPr>
        <w:jc w:val="both"/>
        <w:ind w:left="660" w:firstLine="644"/>
        <w:spacing w:after="0" w:line="261" w:lineRule="auto"/>
        <w:tabs>
          <w:tab w:leader="none" w:pos="1748"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net after-tax income or loss from Disposed of, abandoned, closed or discontinued operations or fixed assets and any net after-tax gain or loss on the Dispositions of Disposed of, abandoned, closed or discontinued operations or fixed assets shall be excluded,</w:t>
      </w:r>
    </w:p>
    <w:p>
      <w:pPr>
        <w:spacing w:after="0" w:line="154" w:lineRule="exact"/>
        <w:rPr>
          <w:rFonts w:ascii="Times New Roman" w:cs="Times New Roman" w:eastAsia="Times New Roman" w:hAnsi="Times New Roman"/>
          <w:sz w:val="20"/>
          <w:szCs w:val="20"/>
          <w:color w:val="auto"/>
        </w:rPr>
      </w:pPr>
    </w:p>
    <w:p>
      <w:pPr>
        <w:ind w:left="660" w:firstLine="644"/>
        <w:spacing w:after="0" w:line="283" w:lineRule="auto"/>
        <w:tabs>
          <w:tab w:leader="none" w:pos="1992"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net after-tax gain or loss (</w:t>
      </w:r>
      <w:r>
        <w:rPr>
          <w:rFonts w:ascii="Times New Roman" w:cs="Times New Roman" w:eastAsia="Times New Roman" w:hAnsi="Times New Roman"/>
          <w:sz w:val="20"/>
          <w:szCs w:val="20"/>
          <w:u w:val="single" w:color="auto"/>
          <w:color w:val="auto"/>
        </w:rPr>
        <w:t>less</w:t>
      </w:r>
      <w:r>
        <w:rPr>
          <w:rFonts w:ascii="Times New Roman" w:cs="Times New Roman" w:eastAsia="Times New Roman" w:hAnsi="Times New Roman"/>
          <w:sz w:val="20"/>
          <w:szCs w:val="20"/>
          <w:color w:val="auto"/>
        </w:rPr>
        <w:t xml:space="preserve"> all fees and expenses or charges relating thereto) attributable to business Dispositions or asset Dispositions other than in the ordinary</w:t>
      </w:r>
    </w:p>
    <w:p>
      <w:pPr>
        <w:sectPr>
          <w:pgSz w:w="11900" w:h="16838" w:orient="portrait"/>
          <w:cols w:equalWidth="0" w:num="1">
            <w:col w:w="11240"/>
          </w:cols>
          <w:pgMar w:left="320" w:top="108" w:right="339" w:bottom="1440" w:gutter="0" w:footer="0" w:header="0"/>
        </w:sectPr>
      </w:pPr>
    </w:p>
    <w:bookmarkStart w:id="201" w:name="page202"/>
    <w:bookmarkEnd w:id="201"/>
    <w:p>
      <w:pPr>
        <w:jc w:val="right"/>
        <w:spacing w:after="0"/>
        <w:rPr>
          <w:sz w:val="20"/>
          <w:szCs w:val="20"/>
          <w:color w:val="auto"/>
        </w:rPr>
      </w:pPr>
      <w:r>
        <w:rPr>
          <w:rFonts w:ascii="Times New Roman" w:cs="Times New Roman" w:eastAsia="Times New Roman" w:hAnsi="Times New Roman"/>
          <w:sz w:val="22"/>
          <w:szCs w:val="22"/>
          <w:color w:val="FF0000"/>
          <w:strike w:val="1"/>
        </w:rPr>
        <w:t>ANNEX</w:t>
      </w:r>
      <w:r>
        <w:rPr>
          <w:rFonts w:ascii="Times New Roman" w:cs="Times New Roman" w:eastAsia="Times New Roman" w:hAnsi="Times New Roman"/>
          <w:sz w:val="22"/>
          <w:szCs w:val="22"/>
          <w:b w:val="1"/>
          <w:bCs w:val="1"/>
          <w:u w:val="single" w:color="auto"/>
          <w:color w:val="0000FF"/>
        </w:rPr>
        <w:t>EXHIBIT</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course of business (as determined in good faith by the management of the Borrower) shall be excluded,</w:t>
      </w:r>
    </w:p>
    <w:p>
      <w:pPr>
        <w:spacing w:after="0" w:line="202" w:lineRule="exact"/>
        <w:rPr>
          <w:sz w:val="20"/>
          <w:szCs w:val="20"/>
          <w:color w:val="auto"/>
        </w:rPr>
      </w:pPr>
    </w:p>
    <w:p>
      <w:pPr>
        <w:ind w:firstLine="644"/>
        <w:spacing w:after="0" w:line="283" w:lineRule="auto"/>
        <w:tabs>
          <w:tab w:leader="none" w:pos="1267"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net after-tax income or loss (</w:t>
      </w:r>
      <w:r>
        <w:rPr>
          <w:rFonts w:ascii="Times New Roman" w:cs="Times New Roman" w:eastAsia="Times New Roman" w:hAnsi="Times New Roman"/>
          <w:sz w:val="20"/>
          <w:szCs w:val="20"/>
          <w:u w:val="single" w:color="auto"/>
          <w:color w:val="auto"/>
        </w:rPr>
        <w:t>less</w:t>
      </w:r>
      <w:r>
        <w:rPr>
          <w:rFonts w:ascii="Times New Roman" w:cs="Times New Roman" w:eastAsia="Times New Roman" w:hAnsi="Times New Roman"/>
          <w:sz w:val="20"/>
          <w:szCs w:val="20"/>
          <w:color w:val="auto"/>
        </w:rPr>
        <w:t xml:space="preserve"> all fees and expenses or charges relating thereto) attributable to the early extinguishment or buy-back of indebtedness, Hedging Agreements or other derivative instruments shall be excluded,</w:t>
      </w:r>
    </w:p>
    <w:p>
      <w:pPr>
        <w:spacing w:after="0" w:line="132" w:lineRule="exact"/>
        <w:rPr>
          <w:rFonts w:ascii="Times New Roman" w:cs="Times New Roman" w:eastAsia="Times New Roman" w:hAnsi="Times New Roman"/>
          <w:sz w:val="20"/>
          <w:szCs w:val="20"/>
          <w:color w:val="auto"/>
        </w:rPr>
      </w:pPr>
    </w:p>
    <w:p>
      <w:pPr>
        <w:jc w:val="both"/>
        <w:ind w:firstLine="644"/>
        <w:spacing w:after="0" w:line="253" w:lineRule="auto"/>
        <w:tabs>
          <w:tab w:leader="none" w:pos="1175"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the Net Income for such period of any person that is not a subsidiary of such person, or is an Unrestricted Subsidiary, or that is accounted for by the equity method of accounting, shall be included only to the extent of the amount of dividends or distributions or other payments paid in cash (or to the extent converted into cash) to the referent person or a subsidiary thereof (other than an Unrestricted Subsidiary of such referent person) in respect of such period and (B) the Net Income for such period shall include any dividend, distribution or other payment in cash (or to the extent converted into cash) received by the referent person or a subsidiary thereof (other than an Unrestricted Subsidiary of such referent person) from any person in excess of, but without duplication of, the amounts included in subclause (A),</w:t>
      </w:r>
    </w:p>
    <w:p>
      <w:pPr>
        <w:spacing w:after="0" w:line="165" w:lineRule="exact"/>
        <w:rPr>
          <w:rFonts w:ascii="Times New Roman" w:cs="Times New Roman" w:eastAsia="Times New Roman" w:hAnsi="Times New Roman"/>
          <w:sz w:val="20"/>
          <w:szCs w:val="20"/>
          <w:color w:val="auto"/>
        </w:rPr>
      </w:pPr>
    </w:p>
    <w:p>
      <w:pPr>
        <w:ind w:left="1120" w:hanging="476"/>
        <w:spacing w:after="0"/>
        <w:tabs>
          <w:tab w:leader="none" w:pos="1120"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cumulative effect of a change in accounting principles during such period shall be excluded,</w:t>
      </w:r>
    </w:p>
    <w:p>
      <w:pPr>
        <w:spacing w:after="0" w:line="202" w:lineRule="exact"/>
        <w:rPr>
          <w:rFonts w:ascii="Times New Roman" w:cs="Times New Roman" w:eastAsia="Times New Roman" w:hAnsi="Times New Roman"/>
          <w:sz w:val="20"/>
          <w:szCs w:val="20"/>
          <w:color w:val="auto"/>
        </w:rPr>
      </w:pPr>
    </w:p>
    <w:p>
      <w:pPr>
        <w:jc w:val="both"/>
        <w:ind w:firstLine="644"/>
        <w:spacing w:after="0" w:line="257" w:lineRule="auto"/>
        <w:tabs>
          <w:tab w:leader="none" w:pos="1189"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effects of purchase accounting adjustments (including the effects of such adjustments pushed down to such person and its subsidiaries and including the effects of adjustments to (A) deferred rent, (B) Capitalized Lease Obligations or other obligations or deferrals attributable to capital spending funds with suppliers or (C) any deferrals of revenue) in component amounts required or permitted by GAAP, resulting from the application of purchase accounting or the amortization or write-off of any amounts thereof, net of taxes, shall be excluded,</w:t>
      </w:r>
    </w:p>
    <w:p>
      <w:pPr>
        <w:spacing w:after="0" w:line="159" w:lineRule="exact"/>
        <w:rPr>
          <w:rFonts w:ascii="Times New Roman" w:cs="Times New Roman" w:eastAsia="Times New Roman" w:hAnsi="Times New Roman"/>
          <w:sz w:val="20"/>
          <w:szCs w:val="20"/>
          <w:color w:val="auto"/>
        </w:rPr>
      </w:pPr>
    </w:p>
    <w:p>
      <w:pPr>
        <w:ind w:firstLine="644"/>
        <w:spacing w:after="0" w:line="269" w:lineRule="auto"/>
        <w:tabs>
          <w:tab w:leader="none" w:pos="1283"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impairment charges or asset write-offs, in each case pursuant to GAAP, and the amortization of intangibles and other fair value adjustments arising pursuant to GAAP, shall be excluded,</w:t>
      </w:r>
    </w:p>
    <w:p>
      <w:pPr>
        <w:spacing w:after="0" w:line="159" w:lineRule="exact"/>
        <w:rPr>
          <w:rFonts w:ascii="Times New Roman" w:cs="Times New Roman" w:eastAsia="Times New Roman" w:hAnsi="Times New Roman"/>
          <w:sz w:val="20"/>
          <w:szCs w:val="20"/>
          <w:color w:val="auto"/>
        </w:rPr>
      </w:pPr>
    </w:p>
    <w:p>
      <w:pPr>
        <w:jc w:val="both"/>
        <w:ind w:firstLine="644"/>
        <w:spacing w:after="0" w:line="261" w:lineRule="auto"/>
        <w:tabs>
          <w:tab w:leader="none" w:pos="1144"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 non-cash compensation charge or (b) costs or expenses realized or resulting from stock option plans, employee benefit plans or post-employment benefit plans, or grants or sales of stock, stock appreciation or similar rights, stock options, restricted stock, preferred stock or other rights shall be excluded,</w:t>
      </w:r>
    </w:p>
    <w:p>
      <w:pPr>
        <w:spacing w:after="0" w:line="154" w:lineRule="exact"/>
        <w:rPr>
          <w:rFonts w:ascii="Times New Roman" w:cs="Times New Roman" w:eastAsia="Times New Roman" w:hAnsi="Times New Roman"/>
          <w:sz w:val="20"/>
          <w:szCs w:val="20"/>
          <w:color w:val="auto"/>
        </w:rPr>
      </w:pPr>
    </w:p>
    <w:p>
      <w:pPr>
        <w:jc w:val="both"/>
        <w:ind w:firstLine="644"/>
        <w:spacing w:after="0" w:line="261" w:lineRule="auto"/>
        <w:tabs>
          <w:tab w:leader="none" w:pos="1182"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accruals and reserves that are established or adjusted within twelve months after the Closing Date and that are so required to be established or adjusted in accordance with GAAP or as a result of adoption or modification of accounting policies shall be excluded,</w:t>
      </w:r>
    </w:p>
    <w:p>
      <w:pPr>
        <w:spacing w:after="0" w:line="167" w:lineRule="exact"/>
        <w:rPr>
          <w:rFonts w:ascii="Times New Roman" w:cs="Times New Roman" w:eastAsia="Times New Roman" w:hAnsi="Times New Roman"/>
          <w:sz w:val="20"/>
          <w:szCs w:val="20"/>
          <w:color w:val="auto"/>
        </w:rPr>
      </w:pPr>
    </w:p>
    <w:p>
      <w:pPr>
        <w:ind w:firstLine="644"/>
        <w:spacing w:after="0" w:line="269" w:lineRule="auto"/>
        <w:tabs>
          <w:tab w:leader="none" w:pos="1171"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non-cash gains, losses, income and expenses resulting from fair value accounting required by the applicable standard under GAAP and related interpretation shall be excluded,</w:t>
      </w:r>
    </w:p>
    <w:p>
      <w:pPr>
        <w:spacing w:after="0" w:line="145" w:lineRule="exact"/>
        <w:rPr>
          <w:rFonts w:ascii="Times New Roman" w:cs="Times New Roman" w:eastAsia="Times New Roman" w:hAnsi="Times New Roman"/>
          <w:sz w:val="20"/>
          <w:szCs w:val="20"/>
          <w:color w:val="auto"/>
        </w:rPr>
      </w:pPr>
    </w:p>
    <w:p>
      <w:pPr>
        <w:ind w:left="1180" w:hanging="536"/>
        <w:spacing w:after="0"/>
        <w:tabs>
          <w:tab w:leader="none" w:pos="1180"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gain, loss, income, expense or charge resulting from the application of any LIFO method shall be excluded,</w:t>
      </w:r>
    </w:p>
    <w:p>
      <w:pPr>
        <w:spacing w:after="0" w:line="215" w:lineRule="exact"/>
        <w:rPr>
          <w:rFonts w:ascii="Times New Roman" w:cs="Times New Roman" w:eastAsia="Times New Roman" w:hAnsi="Times New Roman"/>
          <w:sz w:val="20"/>
          <w:szCs w:val="20"/>
          <w:color w:val="auto"/>
        </w:rPr>
      </w:pPr>
    </w:p>
    <w:p>
      <w:pPr>
        <w:ind w:left="1240" w:hanging="596"/>
        <w:spacing w:after="0"/>
        <w:tabs>
          <w:tab w:leader="none" w:pos="1240"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non-cash charges for deferred tax asset valuation allowances shall be excluded,</w:t>
      </w:r>
    </w:p>
    <w:p>
      <w:pPr>
        <w:sectPr>
          <w:pgSz w:w="11900" w:h="16838" w:orient="portrait"/>
          <w:cols w:equalWidth="0" w:num="1">
            <w:col w:w="10580"/>
          </w:cols>
          <w:pgMar w:left="980" w:top="108" w:right="339" w:bottom="1440" w:gutter="0" w:footer="0" w:header="0"/>
        </w:sectPr>
      </w:pPr>
    </w:p>
    <w:bookmarkStart w:id="202" w:name="page203"/>
    <w:bookmarkEnd w:id="202"/>
    <w:p>
      <w:pPr>
        <w:jc w:val="right"/>
        <w:spacing w:after="0"/>
        <w:rPr>
          <w:sz w:val="20"/>
          <w:szCs w:val="20"/>
          <w:color w:val="auto"/>
        </w:rPr>
      </w:pPr>
      <w:r>
        <w:rPr>
          <w:rFonts w:ascii="Times New Roman" w:cs="Times New Roman" w:eastAsia="Times New Roman" w:hAnsi="Times New Roman"/>
          <w:sz w:val="22"/>
          <w:szCs w:val="22"/>
          <w:color w:val="FF0000"/>
          <w:strike w:val="1"/>
        </w:rPr>
        <w:t>ANNEX</w:t>
      </w:r>
      <w:r>
        <w:rPr>
          <w:rFonts w:ascii="Times New Roman" w:cs="Times New Roman" w:eastAsia="Times New Roman" w:hAnsi="Times New Roman"/>
          <w:sz w:val="22"/>
          <w:szCs w:val="22"/>
          <w:b w:val="1"/>
          <w:bCs w:val="1"/>
          <w:u w:val="single" w:color="auto"/>
          <w:color w:val="0000FF"/>
        </w:rPr>
        <w:t>EXHIBIT</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firstLine="1304"/>
        <w:spacing w:after="0" w:line="283" w:lineRule="auto"/>
        <w:tabs>
          <w:tab w:leader="none" w:pos="1951" w:val="left"/>
        </w:tabs>
        <w:numPr>
          <w:ilvl w:val="1"/>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currency translation gains and losses related to currency remeasurements of Indebtedness, and any net loss or gain resulting from Hedging Agreements for currency exchange risk, shall be excluded,</w:t>
      </w:r>
    </w:p>
    <w:p>
      <w:pPr>
        <w:spacing w:after="0" w:line="132" w:lineRule="exact"/>
        <w:rPr>
          <w:rFonts w:ascii="Times New Roman" w:cs="Times New Roman" w:eastAsia="Times New Roman" w:hAnsi="Times New Roman"/>
          <w:sz w:val="20"/>
          <w:szCs w:val="20"/>
          <w:color w:val="auto"/>
        </w:rPr>
      </w:pPr>
    </w:p>
    <w:p>
      <w:pPr>
        <w:ind w:left="1840" w:hanging="536"/>
        <w:spacing w:after="0"/>
        <w:tabs>
          <w:tab w:leader="none" w:pos="1840" w:val="left"/>
        </w:tabs>
        <w:numPr>
          <w:ilvl w:val="1"/>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deductions attributable to minority interests shall be excluded,</w:t>
      </w:r>
    </w:p>
    <w:p>
      <w:pPr>
        <w:spacing w:after="0" w:line="202" w:lineRule="exact"/>
        <w:rPr>
          <w:rFonts w:ascii="Times New Roman" w:cs="Times New Roman" w:eastAsia="Times New Roman" w:hAnsi="Times New Roman"/>
          <w:sz w:val="20"/>
          <w:szCs w:val="20"/>
          <w:color w:val="auto"/>
        </w:rPr>
      </w:pPr>
    </w:p>
    <w:p>
      <w:pPr>
        <w:ind w:left="1880" w:hanging="576"/>
        <w:spacing w:after="0"/>
        <w:tabs>
          <w:tab w:leader="none" w:pos="1880" w:val="left"/>
        </w:tabs>
        <w:numPr>
          <w:ilvl w:val="1"/>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02" w:lineRule="exact"/>
        <w:rPr>
          <w:rFonts w:ascii="Times New Roman" w:cs="Times New Roman" w:eastAsia="Times New Roman" w:hAnsi="Times New Roman"/>
          <w:sz w:val="20"/>
          <w:szCs w:val="20"/>
          <w:color w:val="auto"/>
        </w:rPr>
      </w:pPr>
    </w:p>
    <w:p>
      <w:pPr>
        <w:jc w:val="both"/>
        <w:ind w:firstLine="1304"/>
        <w:spacing w:after="0" w:line="275" w:lineRule="auto"/>
        <w:tabs>
          <w:tab w:leader="none" w:pos="1950" w:val="left"/>
        </w:tabs>
        <w:numPr>
          <w:ilvl w:val="1"/>
          <w:numId w:val="1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to the extent covered by insurance and actually reimbursed, or, so long as such person has made a determination that there exists reasonable evidence that such amount will in fact be reimbursed by the insurer and only to the extent that such amount is</w:t>
      </w:r>
    </w:p>
    <w:p>
      <w:pPr>
        <w:jc w:val="both"/>
        <w:ind w:firstLine="8"/>
        <w:spacing w:after="0" w:line="249" w:lineRule="auto"/>
        <w:tabs>
          <w:tab w:leader="none" w:pos="300"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 denied by the applicable carrier in writing within 180 days and (y) in fact reimbursed within 365 days following the date of such evidence (with a deduction for any amount so added back to the extent not so reimbursed within such 365 days), expenses with respect to liability or casualty events or business interruption shall be excluded; and (B) amounts estimated in good faith to be received from insurance in respect of lost revenues or earnings in respect of liability or casualty events or business interruption shall be included (with a deduction for amounts actually received up to such estimated amount to the extent included in Net Income in a future period),</w:t>
      </w:r>
    </w:p>
    <w:p>
      <w:pPr>
        <w:spacing w:after="0" w:line="168" w:lineRule="exact"/>
        <w:rPr>
          <w:rFonts w:ascii="Times New Roman" w:cs="Times New Roman" w:eastAsia="Times New Roman" w:hAnsi="Times New Roman"/>
          <w:sz w:val="20"/>
          <w:szCs w:val="20"/>
          <w:color w:val="auto"/>
        </w:rPr>
      </w:pPr>
    </w:p>
    <w:p>
      <w:pPr>
        <w:jc w:val="both"/>
        <w:ind w:firstLine="1304"/>
        <w:spacing w:after="0" w:line="261" w:lineRule="auto"/>
        <w:tabs>
          <w:tab w:leader="none" w:pos="2013" w:val="left"/>
        </w:tabs>
        <w:numPr>
          <w:ilvl w:val="1"/>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duplication, an amount equal to the amount of distributions actually made to any parent or equity holder of such person in respect of such period in accordance with Section 6.06(b)(v) shall be included as though such amounts had been paid as income taxes directly by such person for such period, and</w:t>
      </w:r>
    </w:p>
    <w:p>
      <w:pPr>
        <w:spacing w:after="0" w:line="167" w:lineRule="exact"/>
        <w:rPr>
          <w:rFonts w:ascii="Times New Roman" w:cs="Times New Roman" w:eastAsia="Times New Roman" w:hAnsi="Times New Roman"/>
          <w:sz w:val="20"/>
          <w:szCs w:val="20"/>
          <w:color w:val="auto"/>
        </w:rPr>
      </w:pPr>
    </w:p>
    <w:p>
      <w:pPr>
        <w:ind w:left="1880" w:hanging="576"/>
        <w:spacing w:after="0"/>
        <w:tabs>
          <w:tab w:leader="none" w:pos="1880" w:val="left"/>
        </w:tabs>
        <w:numPr>
          <w:ilvl w:val="1"/>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Capitalized Software Expenditures and software development costs shall be excluded.</w:t>
      </w:r>
    </w:p>
    <w:p>
      <w:pPr>
        <w:spacing w:after="0" w:line="202"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Total Assets</w:t>
      </w:r>
      <w:r>
        <w:rPr>
          <w:rFonts w:ascii="Times New Roman" w:cs="Times New Roman" w:eastAsia="Times New Roman" w:hAnsi="Times New Roman"/>
          <w:sz w:val="20"/>
          <w:szCs w:val="20"/>
          <w:color w:val="auto"/>
        </w:rPr>
        <w:t>” shall mean, as of any date of determination, the total assets of the Borrower and the consolidated Subsidiaries without giving effect to any impairment or amortization of the amount of intangible assets since the Closing Date, determined on a consolidated basis in accordance with GAAP, as set forth on the consolidated balance sheet of the Borrower as of the last day of the fiscal quarter most recently ended for which financial statements have been (or were required to be) delivered pursuant to Section 5.04(a) or 5.04(b), as applicable, calculated on a Pro Forma Basis after giving effect to any acquisition or Disposition of a person or assets that may have occurred on or after the last day of such fiscal quarter.</w:t>
      </w:r>
    </w:p>
    <w:p>
      <w:pPr>
        <w:spacing w:after="0" w:line="16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Continuing Letter of Credit</w:t>
      </w:r>
      <w:r>
        <w:rPr>
          <w:rFonts w:ascii="Times New Roman" w:cs="Times New Roman" w:eastAsia="Times New Roman" w:hAnsi="Times New Roman"/>
          <w:sz w:val="20"/>
          <w:szCs w:val="20"/>
          <w:color w:val="auto"/>
        </w:rPr>
        <w:t>” shall have the meaning assigned to such term in Section 2.05(k).</w:t>
      </w:r>
    </w:p>
    <w:p>
      <w:pPr>
        <w:spacing w:after="0" w:line="202" w:lineRule="exact"/>
        <w:rPr>
          <w:sz w:val="20"/>
          <w:szCs w:val="20"/>
          <w:color w:val="auto"/>
        </w:rPr>
      </w:pPr>
    </w:p>
    <w:p>
      <w:pPr>
        <w:jc w:val="both"/>
        <w:ind w:right="20" w:firstLine="1296"/>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Control</w:t>
      </w:r>
      <w:r>
        <w:rPr>
          <w:rFonts w:ascii="Times New Roman" w:cs="Times New Roman" w:eastAsia="Times New Roman" w:hAnsi="Times New Roman"/>
          <w:sz w:val="20"/>
          <w:szCs w:val="20"/>
          <w:color w:val="auto"/>
        </w:rPr>
        <w:t>” shall mean the possession, directly or indirectly, of the power to direct or cause the direction of the management or policies of a person, whether through the ownership of voting securities, by contract or otherwise, and “</w:t>
      </w:r>
      <w:r>
        <w:rPr>
          <w:rFonts w:ascii="Times New Roman" w:cs="Times New Roman" w:eastAsia="Times New Roman" w:hAnsi="Times New Roman"/>
          <w:sz w:val="20"/>
          <w:szCs w:val="20"/>
          <w:u w:val="single" w:color="auto"/>
          <w:color w:val="auto"/>
        </w:rPr>
        <w:t>Controlling</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Controlled</w:t>
      </w:r>
      <w:r>
        <w:rPr>
          <w:rFonts w:ascii="Times New Roman" w:cs="Times New Roman" w:eastAsia="Times New Roman" w:hAnsi="Times New Roman"/>
          <w:sz w:val="20"/>
          <w:szCs w:val="20"/>
          <w:color w:val="auto"/>
        </w:rPr>
        <w:t>” shall have meanings correlative thereto.</w:t>
      </w:r>
    </w:p>
    <w:p>
      <w:pPr>
        <w:spacing w:after="0" w:line="14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Covered Party</w:t>
      </w:r>
      <w:r>
        <w:rPr>
          <w:rFonts w:ascii="Times New Roman" w:cs="Times New Roman" w:eastAsia="Times New Roman" w:hAnsi="Times New Roman"/>
          <w:sz w:val="20"/>
          <w:szCs w:val="20"/>
          <w:color w:val="auto"/>
        </w:rPr>
        <w:t>” shall have the meaning assigned to such term in Section 9.25(a).</w:t>
      </w:r>
    </w:p>
    <w:p>
      <w:pPr>
        <w:spacing w:after="0" w:line="20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Credit Event</w:t>
      </w:r>
      <w:r>
        <w:rPr>
          <w:rFonts w:ascii="Times New Roman" w:cs="Times New Roman" w:eastAsia="Times New Roman" w:hAnsi="Times New Roman"/>
          <w:sz w:val="20"/>
          <w:szCs w:val="20"/>
          <w:color w:val="auto"/>
        </w:rPr>
        <w:t>” shall have the meaning assigned to such term in Article IV.</w:t>
      </w:r>
    </w:p>
    <w:p>
      <w:pPr>
        <w:sectPr>
          <w:pgSz w:w="11900" w:h="16838" w:orient="portrait"/>
          <w:cols w:equalWidth="0" w:num="1">
            <w:col w:w="11240"/>
          </w:cols>
          <w:pgMar w:left="320" w:top="108" w:right="339" w:bottom="1440" w:gutter="0" w:footer="0" w:header="0"/>
        </w:sectPr>
      </w:pPr>
    </w:p>
    <w:bookmarkStart w:id="203" w:name="page204"/>
    <w:bookmarkEnd w:id="203"/>
    <w:p>
      <w:pPr>
        <w:jc w:val="right"/>
        <w:spacing w:after="0"/>
        <w:rPr>
          <w:sz w:val="20"/>
          <w:szCs w:val="20"/>
          <w:color w:val="auto"/>
        </w:rPr>
      </w:pPr>
      <w:r>
        <w:rPr>
          <w:rFonts w:ascii="Times New Roman" w:cs="Times New Roman" w:eastAsia="Times New Roman" w:hAnsi="Times New Roman"/>
          <w:sz w:val="22"/>
          <w:szCs w:val="22"/>
          <w:color w:val="FF0000"/>
          <w:strike w:val="1"/>
        </w:rPr>
        <w:t>ANNEX</w:t>
      </w:r>
      <w:r>
        <w:rPr>
          <w:rFonts w:ascii="Times New Roman" w:cs="Times New Roman" w:eastAsia="Times New Roman" w:hAnsi="Times New Roman"/>
          <w:sz w:val="22"/>
          <w:szCs w:val="22"/>
          <w:b w:val="1"/>
          <w:bCs w:val="1"/>
          <w:u w:val="single" w:color="auto"/>
          <w:color w:val="0000FF"/>
        </w:rPr>
        <w:t>EXHIBIT</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Cumulative Credit</w:t>
      </w:r>
      <w:r>
        <w:rPr>
          <w:rFonts w:ascii="Times New Roman" w:cs="Times New Roman" w:eastAsia="Times New Roman" w:hAnsi="Times New Roman"/>
          <w:sz w:val="20"/>
          <w:szCs w:val="20"/>
          <w:color w:val="auto"/>
        </w:rPr>
        <w:t>” shall mean, at any date, an amount, not less than zero in the aggregate, determined on a cumulative basis equal to, without duplication:</w:t>
      </w:r>
    </w:p>
    <w:p>
      <w:pPr>
        <w:spacing w:after="0" w:line="133" w:lineRule="exact"/>
        <w:rPr>
          <w:sz w:val="20"/>
          <w:szCs w:val="20"/>
          <w:color w:val="auto"/>
        </w:rPr>
      </w:pPr>
    </w:p>
    <w:p>
      <w:pPr>
        <w:ind w:left="660" w:firstLine="644"/>
        <w:spacing w:after="0" w:line="269" w:lineRule="auto"/>
        <w:tabs>
          <w:tab w:leader="none" w:pos="1779" w:val="left"/>
        </w:tabs>
        <w:numPr>
          <w:ilvl w:val="0"/>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greater of (i) $215,000,000 and (ii) 0.25 </w:t>
      </w:r>
      <w:r>
        <w:rPr>
          <w:rFonts w:ascii="Times New Roman" w:cs="Times New Roman" w:eastAsia="Times New Roman" w:hAnsi="Times New Roman"/>
          <w:sz w:val="20"/>
          <w:szCs w:val="20"/>
          <w:u w:val="single" w:color="auto"/>
          <w:color w:val="auto"/>
        </w:rPr>
        <w:t>multiplied by</w:t>
      </w:r>
      <w:r>
        <w:rPr>
          <w:rFonts w:ascii="Times New Roman" w:cs="Times New Roman" w:eastAsia="Times New Roman" w:hAnsi="Times New Roman"/>
          <w:sz w:val="20"/>
          <w:szCs w:val="20"/>
          <w:color w:val="auto"/>
        </w:rPr>
        <w:t xml:space="preserve"> the EBITDA calculated on a Pro Forma Basis for the then most recently ended Test Period, </w:t>
      </w:r>
      <w:r>
        <w:rPr>
          <w:rFonts w:ascii="Times New Roman" w:cs="Times New Roman" w:eastAsia="Times New Roman" w:hAnsi="Times New Roman"/>
          <w:sz w:val="20"/>
          <w:szCs w:val="20"/>
          <w:u w:val="single" w:color="auto"/>
          <w:color w:val="auto"/>
        </w:rPr>
        <w:t>plus</w:t>
      </w:r>
    </w:p>
    <w:p>
      <w:pPr>
        <w:spacing w:after="0" w:line="159"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0"/>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Cumulative Retained Excess Cash Flow Amount at such time, </w:t>
      </w:r>
      <w:r>
        <w:rPr>
          <w:rFonts w:ascii="Times New Roman" w:cs="Times New Roman" w:eastAsia="Times New Roman" w:hAnsi="Times New Roman"/>
          <w:sz w:val="20"/>
          <w:szCs w:val="20"/>
          <w:u w:val="single" w:color="auto"/>
          <w:color w:val="auto"/>
        </w:rPr>
        <w:t>plus</w:t>
      </w:r>
    </w:p>
    <w:p>
      <w:pPr>
        <w:spacing w:after="0" w:line="202" w:lineRule="exact"/>
        <w:rPr>
          <w:rFonts w:ascii="Times New Roman" w:cs="Times New Roman" w:eastAsia="Times New Roman" w:hAnsi="Times New Roman"/>
          <w:sz w:val="20"/>
          <w:szCs w:val="20"/>
          <w:color w:val="auto"/>
        </w:rPr>
      </w:pPr>
    </w:p>
    <w:p>
      <w:pPr>
        <w:jc w:val="both"/>
        <w:ind w:left="660" w:firstLine="644"/>
        <w:spacing w:after="0" w:line="261" w:lineRule="auto"/>
        <w:tabs>
          <w:tab w:leader="none" w:pos="1782" w:val="left"/>
        </w:tabs>
        <w:numPr>
          <w:ilvl w:val="0"/>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aggregate amount of proceeds received after the Closing Date and prior to such time that would have constituted Net Proceeds pursuant to clause (a) of the definition thereof, except for the operation of clause (x), (y) or (z) of the second proviso thereof (the “</w:t>
      </w:r>
      <w:r>
        <w:rPr>
          <w:rFonts w:ascii="Times New Roman" w:cs="Times New Roman" w:eastAsia="Times New Roman" w:hAnsi="Times New Roman"/>
          <w:sz w:val="20"/>
          <w:szCs w:val="20"/>
          <w:u w:val="single" w:color="auto"/>
          <w:color w:val="auto"/>
        </w:rPr>
        <w:t>Below Threshold Asset Sale Proceeds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plus</w:t>
      </w:r>
    </w:p>
    <w:p>
      <w:pPr>
        <w:spacing w:after="0" w:line="154"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0"/>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aggregate amount of any Declined Proceeds, </w:t>
      </w:r>
      <w:r>
        <w:rPr>
          <w:rFonts w:ascii="Times New Roman" w:cs="Times New Roman" w:eastAsia="Times New Roman" w:hAnsi="Times New Roman"/>
          <w:sz w:val="20"/>
          <w:szCs w:val="20"/>
          <w:u w:val="single" w:color="auto"/>
          <w:color w:val="auto"/>
        </w:rPr>
        <w:t>plus</w:t>
      </w:r>
    </w:p>
    <w:p>
      <w:pPr>
        <w:spacing w:after="0" w:line="215" w:lineRule="exact"/>
        <w:rPr>
          <w:rFonts w:ascii="Times New Roman" w:cs="Times New Roman" w:eastAsia="Times New Roman" w:hAnsi="Times New Roman"/>
          <w:sz w:val="20"/>
          <w:szCs w:val="20"/>
          <w:color w:val="auto"/>
        </w:rPr>
      </w:pPr>
    </w:p>
    <w:p>
      <w:pPr>
        <w:jc w:val="both"/>
        <w:ind w:left="660" w:firstLine="644"/>
        <w:spacing w:after="0" w:line="251" w:lineRule="auto"/>
        <w:tabs>
          <w:tab w:leader="none" w:pos="1794" w:val="left"/>
        </w:tabs>
        <w:numPr>
          <w:ilvl w:val="0"/>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the cumulative amount of proceeds (including cash and the fair market value (as determined in good faith by the Borrower) of property other than cash) from the sale of Equity Interests of the Borrower, Holdings or any Parent Entity after the Closing Date and on or prior to such time (including upon exercise of warrants or options), which proceeds have been contributed as common equity to the capital of the Borrower, and (ii) common Equity Interests of Holdings, the Borrower or any Parent Entity issued upon conversion of Indebtedness (other than Indebtedness that is contractually subordinated to the Loan Obligations in right</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 xml:space="preserve">of payment) of the Borrower or any Subsidiary owed to a person other than the Borrower or a Subsidiary;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this clause</w:t>
      </w:r>
    </w:p>
    <w:p>
      <w:pPr>
        <w:spacing w:after="0" w:line="6" w:lineRule="exact"/>
        <w:rPr>
          <w:sz w:val="20"/>
          <w:szCs w:val="20"/>
          <w:color w:val="auto"/>
        </w:rPr>
      </w:pPr>
    </w:p>
    <w:p>
      <w:pPr>
        <w:jc w:val="both"/>
        <w:ind w:left="660" w:hanging="4"/>
        <w:spacing w:after="0" w:line="249" w:lineRule="auto"/>
        <w:tabs>
          <w:tab w:leader="none" w:pos="973" w:val="left"/>
        </w:tabs>
        <w:numPr>
          <w:ilvl w:val="0"/>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shall exclude Permitted Cure Securities, sales of Equity Interests financed as contemplated by Section 6.04(e) or used as described in clause (ix) of the definition of “EBITDA”, any amount used to incur Indebtedness under Section 6.01(l)) and any amounts used to finance the payments or distributions in respect of any Junior Financing pursuant to Section 6.09(b), </w:t>
      </w:r>
      <w:r>
        <w:rPr>
          <w:rFonts w:ascii="Times New Roman" w:cs="Times New Roman" w:eastAsia="Times New Roman" w:hAnsi="Times New Roman"/>
          <w:sz w:val="20"/>
          <w:szCs w:val="20"/>
          <w:u w:val="single" w:color="auto"/>
          <w:color w:val="auto"/>
        </w:rPr>
        <w:t>plus</w:t>
      </w:r>
    </w:p>
    <w:p>
      <w:pPr>
        <w:spacing w:after="0" w:line="180" w:lineRule="exact"/>
        <w:rPr>
          <w:rFonts w:ascii="Times New Roman" w:cs="Times New Roman" w:eastAsia="Times New Roman" w:hAnsi="Times New Roman"/>
          <w:sz w:val="20"/>
          <w:szCs w:val="20"/>
          <w:color w:val="auto"/>
        </w:rPr>
      </w:pPr>
    </w:p>
    <w:p>
      <w:pPr>
        <w:jc w:val="both"/>
        <w:ind w:left="660" w:firstLine="644"/>
        <w:spacing w:after="0" w:line="261" w:lineRule="auto"/>
        <w:tabs>
          <w:tab w:leader="none" w:pos="1736" w:val="left"/>
        </w:tabs>
        <w:numPr>
          <w:ilvl w:val="1"/>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100% of the aggregate amount of contributions as common equity to the capital of the Borrower received in cash (and the fair market value (as determined in good faith by the Borrower) of property other than cash) after the Closing Date (subject to the same exclusions as are applicable to clause (e) above); </w:t>
      </w:r>
      <w:r>
        <w:rPr>
          <w:rFonts w:ascii="Times New Roman" w:cs="Times New Roman" w:eastAsia="Times New Roman" w:hAnsi="Times New Roman"/>
          <w:sz w:val="20"/>
          <w:szCs w:val="20"/>
          <w:u w:val="single" w:color="auto"/>
          <w:color w:val="auto"/>
        </w:rPr>
        <w:t>plus</w:t>
      </w:r>
    </w:p>
    <w:p>
      <w:pPr>
        <w:spacing w:after="0" w:line="154" w:lineRule="exact"/>
        <w:rPr>
          <w:rFonts w:ascii="Times New Roman" w:cs="Times New Roman" w:eastAsia="Times New Roman" w:hAnsi="Times New Roman"/>
          <w:sz w:val="20"/>
          <w:szCs w:val="20"/>
          <w:color w:val="auto"/>
        </w:rPr>
      </w:pPr>
    </w:p>
    <w:p>
      <w:pPr>
        <w:jc w:val="both"/>
        <w:ind w:left="660" w:firstLine="644"/>
        <w:spacing w:after="0" w:line="258" w:lineRule="auto"/>
        <w:tabs>
          <w:tab w:leader="none" w:pos="1782" w:val="left"/>
        </w:tabs>
        <w:numPr>
          <w:ilvl w:val="1"/>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100% of the aggregate principal amount of any Indebtedness (including the liquidation preference or maximum fixed repurchase price, as the case may be, of any Disqualified Stock) of the Borrower or any Subsidiary thereof issued after the Closing Date (other than Indebtedness issued to a Subsidiary), which has been converted into or exchanged for Equity Interests (other than Disqualified Stock) in the Borrower, Holdings or any Parent Entity, </w:t>
      </w:r>
      <w:r>
        <w:rPr>
          <w:rFonts w:ascii="Times New Roman" w:cs="Times New Roman" w:eastAsia="Times New Roman" w:hAnsi="Times New Roman"/>
          <w:sz w:val="20"/>
          <w:szCs w:val="20"/>
          <w:u w:val="single" w:color="auto"/>
          <w:color w:val="auto"/>
        </w:rPr>
        <w:t>plus</w:t>
      </w:r>
    </w:p>
    <w:p>
      <w:pPr>
        <w:spacing w:after="0" w:line="158" w:lineRule="exact"/>
        <w:rPr>
          <w:rFonts w:ascii="Times New Roman" w:cs="Times New Roman" w:eastAsia="Times New Roman" w:hAnsi="Times New Roman"/>
          <w:sz w:val="20"/>
          <w:szCs w:val="20"/>
          <w:color w:val="auto"/>
        </w:rPr>
      </w:pPr>
    </w:p>
    <w:p>
      <w:pPr>
        <w:jc w:val="both"/>
        <w:ind w:left="660" w:firstLine="644"/>
        <w:spacing w:after="0" w:line="261" w:lineRule="auto"/>
        <w:tabs>
          <w:tab w:leader="none" w:pos="1838" w:val="left"/>
        </w:tabs>
        <w:numPr>
          <w:ilvl w:val="1"/>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100% of the aggregate amount received by the Borrower or any Subsidiary in cash (and the fair market value (as determined in good faith by the Borrower) of property other than cash received by the Borrower or any Subsidiary) after the Closing Date from:</w:t>
      </w:r>
    </w:p>
    <w:p>
      <w:pPr>
        <w:spacing w:after="0" w:line="167" w:lineRule="exact"/>
        <w:rPr>
          <w:rFonts w:ascii="Times New Roman" w:cs="Times New Roman" w:eastAsia="Times New Roman" w:hAnsi="Times New Roman"/>
          <w:sz w:val="20"/>
          <w:szCs w:val="20"/>
          <w:color w:val="auto"/>
        </w:rPr>
      </w:pPr>
    </w:p>
    <w:p>
      <w:pPr>
        <w:ind w:left="2480" w:hanging="528"/>
        <w:spacing w:after="0"/>
        <w:tabs>
          <w:tab w:leader="none" w:pos="2480" w:val="left"/>
        </w:tabs>
        <w:numPr>
          <w:ilvl w:val="2"/>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issuance or sale (other than to the Borrower or any Subsidiary) of the Equity Interests of an Unrestricted</w:t>
      </w:r>
    </w:p>
    <w:p>
      <w:pPr>
        <w:spacing w:after="0" w:line="21" w:lineRule="exact"/>
        <w:rPr>
          <w:rFonts w:ascii="Times New Roman" w:cs="Times New Roman" w:eastAsia="Times New Roman" w:hAnsi="Times New Roman"/>
          <w:sz w:val="20"/>
          <w:szCs w:val="20"/>
          <w:color w:val="auto"/>
        </w:rPr>
      </w:pPr>
    </w:p>
    <w:p>
      <w:pPr>
        <w:ind w:left="13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Subsidiary, or</w:t>
      </w:r>
    </w:p>
    <w:p>
      <w:pPr>
        <w:spacing w:after="0" w:line="180" w:lineRule="exact"/>
        <w:rPr>
          <w:rFonts w:ascii="Times New Roman" w:cs="Times New Roman" w:eastAsia="Times New Roman" w:hAnsi="Times New Roman"/>
          <w:sz w:val="20"/>
          <w:szCs w:val="20"/>
          <w:color w:val="auto"/>
        </w:rPr>
      </w:pPr>
    </w:p>
    <w:p>
      <w:pPr>
        <w:ind w:left="2420" w:hanging="468"/>
        <w:spacing w:after="0"/>
        <w:tabs>
          <w:tab w:leader="none" w:pos="2420" w:val="left"/>
        </w:tabs>
        <w:numPr>
          <w:ilvl w:val="2"/>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dividend or other distribution by an Unrestricted Subsidiary, </w:t>
      </w:r>
      <w:r>
        <w:rPr>
          <w:rFonts w:ascii="Times New Roman" w:cs="Times New Roman" w:eastAsia="Times New Roman" w:hAnsi="Times New Roman"/>
          <w:sz w:val="20"/>
          <w:szCs w:val="20"/>
          <w:u w:val="single" w:color="auto"/>
          <w:color w:val="auto"/>
        </w:rPr>
        <w:t>plus</w:t>
      </w:r>
    </w:p>
    <w:p>
      <w:pPr>
        <w:spacing w:after="0" w:line="215" w:lineRule="exact"/>
        <w:rPr>
          <w:rFonts w:ascii="Times New Roman" w:cs="Times New Roman" w:eastAsia="Times New Roman" w:hAnsi="Times New Roman"/>
          <w:sz w:val="20"/>
          <w:szCs w:val="20"/>
          <w:color w:val="auto"/>
        </w:rPr>
      </w:pPr>
    </w:p>
    <w:p>
      <w:pPr>
        <w:ind w:left="660" w:firstLine="644"/>
        <w:spacing w:after="0" w:line="269" w:lineRule="auto"/>
        <w:tabs>
          <w:tab w:leader="none" w:pos="1775" w:val="left"/>
        </w:tabs>
        <w:numPr>
          <w:ilvl w:val="1"/>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any Unrestricted Subsidiary has been redesignated as a Subsidiary or has been merged, consolidated or amalgamated with or into, or transfers or conveys its assets to,</w:t>
      </w:r>
    </w:p>
    <w:p>
      <w:pPr>
        <w:sectPr>
          <w:pgSz w:w="11900" w:h="16838" w:orient="portrait"/>
          <w:cols w:equalWidth="0" w:num="1">
            <w:col w:w="11240"/>
          </w:cols>
          <w:pgMar w:left="320" w:top="108" w:right="339" w:bottom="1440" w:gutter="0" w:footer="0" w:header="0"/>
        </w:sectPr>
      </w:pPr>
    </w:p>
    <w:bookmarkStart w:id="204" w:name="page205"/>
    <w:bookmarkEnd w:id="204"/>
    <w:p>
      <w:pPr>
        <w:ind w:left="9360"/>
        <w:spacing w:after="0"/>
        <w:rPr>
          <w:sz w:val="20"/>
          <w:szCs w:val="20"/>
          <w:color w:val="auto"/>
        </w:rPr>
      </w:pPr>
      <w:r>
        <w:rPr>
          <w:rFonts w:ascii="Times New Roman" w:cs="Times New Roman" w:eastAsia="Times New Roman" w:hAnsi="Times New Roman"/>
          <w:sz w:val="21"/>
          <w:szCs w:val="21"/>
          <w:color w:val="FF0000"/>
          <w:strike w:val="1"/>
        </w:rPr>
        <w:t>ANNEX</w:t>
      </w:r>
      <w:r>
        <w:rPr>
          <w:rFonts w:ascii="Times New Roman" w:cs="Times New Roman" w:eastAsia="Times New Roman" w:hAnsi="Times New Roman"/>
          <w:sz w:val="21"/>
          <w:szCs w:val="21"/>
          <w:b w:val="1"/>
          <w:bCs w:val="1"/>
          <w:u w:val="single" w:color="auto"/>
          <w:color w:val="0000FF"/>
        </w:rPr>
        <w:t>EXHIBIT</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000000"/>
        </w:rPr>
        <w: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20"/>
          <w:szCs w:val="20"/>
          <w:color w:val="auto"/>
        </w:rPr>
        <w:t xml:space="preserve">or is liquidated into, Holdings, the Borrower or any Subsidiary, the fair market value (as determined in good faith by the Borrower) of the Investments of Holdings, the Borrower or any Subsidiary in such Unrestricted Subsidiary at the time of such redesignation, combination or transfer (or of the assets transferred or conveyed, as applicable), </w:t>
      </w:r>
      <w:r>
        <w:rPr>
          <w:rFonts w:ascii="Times New Roman" w:cs="Times New Roman" w:eastAsia="Times New Roman" w:hAnsi="Times New Roman"/>
          <w:sz w:val="20"/>
          <w:szCs w:val="20"/>
          <w:u w:val="single" w:color="auto"/>
          <w:color w:val="auto"/>
        </w:rPr>
        <w:t>plus</w:t>
      </w:r>
    </w:p>
    <w:p>
      <w:pPr>
        <w:spacing w:after="0" w:line="154" w:lineRule="exact"/>
        <w:rPr>
          <w:sz w:val="20"/>
          <w:szCs w:val="20"/>
          <w:color w:val="auto"/>
        </w:rPr>
      </w:pPr>
    </w:p>
    <w:p>
      <w:pPr>
        <w:jc w:val="both"/>
        <w:ind w:left="660" w:firstLine="644"/>
        <w:spacing w:after="0" w:line="268" w:lineRule="auto"/>
        <w:tabs>
          <w:tab w:leader="none" w:pos="1855"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 amount equal to any returns (including dividends, interest, distributions, returns of principal, profits on sale, repayments, income and similar amounts) actually received by the Borrower or any Subsidiary after the Closing Date in respect of any Investments made pursuant to Section 6.04(j)(Y), </w:t>
      </w:r>
      <w:r>
        <w:rPr>
          <w:rFonts w:ascii="Times New Roman" w:cs="Times New Roman" w:eastAsia="Times New Roman" w:hAnsi="Times New Roman"/>
          <w:sz w:val="20"/>
          <w:szCs w:val="20"/>
          <w:u w:val="single" w:color="auto"/>
          <w:color w:val="auto"/>
        </w:rPr>
        <w:t>minus</w:t>
      </w:r>
    </w:p>
    <w:p>
      <w:pPr>
        <w:spacing w:after="0" w:line="147"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0"/>
          <w:numId w:val="1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amounts thereof used to make Investments pursuant to Section 6.04(j)(Y) after the Closing Date prior to such time,</w:t>
      </w:r>
    </w:p>
    <w:p>
      <w:pPr>
        <w:spacing w:after="0" w:line="33" w:lineRule="exact"/>
        <w:rPr>
          <w:rFonts w:ascii="Times New Roman" w:cs="Times New Roman" w:eastAsia="Times New Roman" w:hAnsi="Times New Roman"/>
          <w:sz w:val="19"/>
          <w:szCs w:val="19"/>
          <w:color w:val="auto"/>
        </w:rPr>
      </w:pPr>
    </w:p>
    <w:p>
      <w:pPr>
        <w:ind w:left="6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u w:val="single" w:color="auto"/>
          <w:color w:val="auto"/>
        </w:rPr>
        <w:t>minus</w:t>
      </w:r>
    </w:p>
    <w:p>
      <w:pPr>
        <w:spacing w:after="0" w:line="193" w:lineRule="exact"/>
        <w:rPr>
          <w:rFonts w:ascii="Times New Roman" w:cs="Times New Roman" w:eastAsia="Times New Roman" w:hAnsi="Times New Roman"/>
          <w:sz w:val="19"/>
          <w:szCs w:val="19"/>
          <w:color w:val="auto"/>
        </w:rPr>
      </w:pPr>
    </w:p>
    <w:p>
      <w:pPr>
        <w:ind w:left="1680" w:hanging="376"/>
        <w:spacing w:after="0"/>
        <w:tabs>
          <w:tab w:leader="none" w:pos="1680"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cumulative amount of Restricted Payments made pursuant to Section 6.06(e) prior to such time, </w:t>
      </w:r>
      <w:r>
        <w:rPr>
          <w:rFonts w:ascii="Times New Roman" w:cs="Times New Roman" w:eastAsia="Times New Roman" w:hAnsi="Times New Roman"/>
          <w:sz w:val="20"/>
          <w:szCs w:val="20"/>
          <w:u w:val="single" w:color="auto"/>
          <w:color w:val="auto"/>
        </w:rPr>
        <w:t>minus</w:t>
      </w:r>
    </w:p>
    <w:p>
      <w:pPr>
        <w:spacing w:after="0" w:line="202" w:lineRule="exact"/>
        <w:rPr>
          <w:rFonts w:ascii="Times New Roman" w:cs="Times New Roman" w:eastAsia="Times New Roman" w:hAnsi="Times New Roman"/>
          <w:sz w:val="20"/>
          <w:szCs w:val="20"/>
          <w:color w:val="auto"/>
        </w:rPr>
      </w:pPr>
    </w:p>
    <w:p>
      <w:pPr>
        <w:jc w:val="both"/>
        <w:ind w:left="660" w:right="20" w:firstLine="644"/>
        <w:spacing w:after="0" w:line="261" w:lineRule="auto"/>
        <w:tabs>
          <w:tab w:leader="none" w:pos="1802"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amount thereof used to make payments or distributions in respect of Junior Financings pursuant to Section 6.09(b) (i)(E) (other than payments made with proceeds from the issuance of Equity Interests that were excluded from the calculation of the Cumulative Credit pursuant to clause (e) above).</w:t>
      </w:r>
    </w:p>
    <w:p>
      <w:pPr>
        <w:spacing w:after="0" w:line="154" w:lineRule="exact"/>
        <w:rPr>
          <w:sz w:val="20"/>
          <w:szCs w:val="20"/>
          <w:color w:val="auto"/>
        </w:rPr>
      </w:pPr>
    </w:p>
    <w:p>
      <w:pPr>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Cumulative Retained Excess Cash Flow Amount</w:t>
      </w:r>
      <w:r>
        <w:rPr>
          <w:rFonts w:ascii="Times New Roman" w:cs="Times New Roman" w:eastAsia="Times New Roman" w:hAnsi="Times New Roman"/>
          <w:sz w:val="20"/>
          <w:szCs w:val="20"/>
          <w:color w:val="auto"/>
        </w:rPr>
        <w:t>” shall mean, at any date, an amount (which shall not be less than zero in the aggregate) determined on a cumulative basis equal to:</w:t>
      </w:r>
    </w:p>
    <w:p>
      <w:pPr>
        <w:spacing w:after="0" w:line="133" w:lineRule="exact"/>
        <w:rPr>
          <w:sz w:val="20"/>
          <w:szCs w:val="20"/>
          <w:color w:val="auto"/>
        </w:rPr>
      </w:pPr>
    </w:p>
    <w:p>
      <w:pPr>
        <w:ind w:left="660" w:firstLine="644"/>
        <w:spacing w:after="0" w:line="283" w:lineRule="auto"/>
        <w:tabs>
          <w:tab w:leader="none" w:pos="1725" w:val="left"/>
        </w:tabs>
        <w:numPr>
          <w:ilvl w:val="0"/>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aggregate cumulative sum of the Retained Percentage of Excess Cash Flow for all Excess Cash Flow Periods ending after the Closing Date and prior to such date, </w:t>
      </w:r>
      <w:r>
        <w:rPr>
          <w:rFonts w:ascii="Times New Roman" w:cs="Times New Roman" w:eastAsia="Times New Roman" w:hAnsi="Times New Roman"/>
          <w:sz w:val="20"/>
          <w:szCs w:val="20"/>
          <w:u w:val="single" w:color="auto"/>
          <w:color w:val="auto"/>
        </w:rPr>
        <w:t>plus</w:t>
      </w:r>
    </w:p>
    <w:p>
      <w:pPr>
        <w:spacing w:after="0" w:line="132" w:lineRule="exact"/>
        <w:rPr>
          <w:rFonts w:ascii="Times New Roman" w:cs="Times New Roman" w:eastAsia="Times New Roman" w:hAnsi="Times New Roman"/>
          <w:sz w:val="20"/>
          <w:szCs w:val="20"/>
          <w:color w:val="auto"/>
        </w:rPr>
      </w:pPr>
    </w:p>
    <w:p>
      <w:pPr>
        <w:jc w:val="both"/>
        <w:ind w:left="660" w:firstLine="644"/>
        <w:spacing w:after="0" w:line="261" w:lineRule="auto"/>
        <w:tabs>
          <w:tab w:leader="none" w:pos="1814" w:val="left"/>
        </w:tabs>
        <w:numPr>
          <w:ilvl w:val="0"/>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for each Excess Cash Flow Interim Period ended prior to such date but as to which the corresponding Excess Cash Flow Period has not ended, an amount equal to the Retained Percentage of Excess Cash Flow for such Excess Cash Flow Interim Period, </w:t>
      </w:r>
      <w:r>
        <w:rPr>
          <w:rFonts w:ascii="Times New Roman" w:cs="Times New Roman" w:eastAsia="Times New Roman" w:hAnsi="Times New Roman"/>
          <w:sz w:val="20"/>
          <w:szCs w:val="20"/>
          <w:u w:val="single" w:color="auto"/>
          <w:color w:val="auto"/>
        </w:rPr>
        <w:t>minus</w:t>
      </w:r>
    </w:p>
    <w:p>
      <w:pPr>
        <w:spacing w:after="0" w:line="167" w:lineRule="exact"/>
        <w:rPr>
          <w:rFonts w:ascii="Times New Roman" w:cs="Times New Roman" w:eastAsia="Times New Roman" w:hAnsi="Times New Roman"/>
          <w:sz w:val="20"/>
          <w:szCs w:val="20"/>
          <w:color w:val="auto"/>
        </w:rPr>
      </w:pPr>
    </w:p>
    <w:p>
      <w:pPr>
        <w:ind w:left="1720" w:hanging="416"/>
        <w:spacing w:after="0"/>
        <w:tabs>
          <w:tab w:leader="none" w:pos="1720" w:val="left"/>
        </w:tabs>
        <w:numPr>
          <w:ilvl w:val="0"/>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cumulative amount of all Retained Excess Cash Flow Overfundings as of such date.</w:t>
      </w:r>
    </w:p>
    <w:p>
      <w:pPr>
        <w:spacing w:after="0" w:line="20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Cure Amount</w:t>
      </w:r>
      <w:r>
        <w:rPr>
          <w:rFonts w:ascii="Times New Roman" w:cs="Times New Roman" w:eastAsia="Times New Roman" w:hAnsi="Times New Roman"/>
          <w:sz w:val="20"/>
          <w:szCs w:val="20"/>
          <w:color w:val="auto"/>
        </w:rPr>
        <w:t>” shall have the meaning assigned to such term in Section 7.03.</w:t>
      </w:r>
    </w:p>
    <w:p>
      <w:pPr>
        <w:spacing w:after="0" w:line="20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Cure Right</w:t>
      </w:r>
      <w:r>
        <w:rPr>
          <w:rFonts w:ascii="Times New Roman" w:cs="Times New Roman" w:eastAsia="Times New Roman" w:hAnsi="Times New Roman"/>
          <w:sz w:val="20"/>
          <w:szCs w:val="20"/>
          <w:color w:val="auto"/>
        </w:rPr>
        <w:t>” shall have the meaning assigned to such term in Section 7.03.</w:t>
      </w:r>
    </w:p>
    <w:p>
      <w:pPr>
        <w:spacing w:after="0" w:line="202"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Current Assets</w:t>
      </w:r>
      <w:r>
        <w:rPr>
          <w:rFonts w:ascii="Times New Roman" w:cs="Times New Roman" w:eastAsia="Times New Roman" w:hAnsi="Times New Roman"/>
          <w:sz w:val="20"/>
          <w:szCs w:val="20"/>
          <w:color w:val="auto"/>
        </w:rPr>
        <w:t>” shall mean, with respect to the Borrower and the Subsidiaries on a consolidated basis at any date of determination, the sum of (a) all assets (other than cash and Permitted Investments or other cash equivalents) that would, in accordance with GAAP, be classified on a consolidated balance sheet of the Borrower and the Subsidiaries as current assets at such date of determination, other than amounts related to current or deferred Taxes based on income or profits, and (b) gross accounts receivable comprising part of the Securitization Assets subject to such Permitted Securitization Financing.</w:t>
      </w:r>
    </w:p>
    <w:p>
      <w:pPr>
        <w:spacing w:after="0" w:line="159"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Current Liabilities</w:t>
      </w:r>
      <w:r>
        <w:rPr>
          <w:rFonts w:ascii="Times New Roman" w:cs="Times New Roman" w:eastAsia="Times New Roman" w:hAnsi="Times New Roman"/>
          <w:sz w:val="20"/>
          <w:szCs w:val="20"/>
          <w:color w:val="auto"/>
        </w:rPr>
        <w:t>” shall mean, with respect to the Borrower and the Subsidiaries on a consolidated basis at any date of determination, all liabilities that would, in accordance with GAAP, be classified on a consolidated balance sheet of the Borrower and the Subsidiaries as current liabilities at such date of determination, other than (a) the current portion of any Indebtedness, (b) accruals of Interest Expense (excluding Interest Expense that is due and unpaid), (c) accruals for current or deferred Taxes</w:t>
      </w:r>
    </w:p>
    <w:p>
      <w:pPr>
        <w:sectPr>
          <w:pgSz w:w="11900" w:h="16838" w:orient="portrait"/>
          <w:cols w:equalWidth="0" w:num="1">
            <w:col w:w="11240"/>
          </w:cols>
          <w:pgMar w:left="320" w:top="108" w:right="339" w:bottom="1440" w:gutter="0" w:footer="0" w:header="0"/>
        </w:sectPr>
      </w:pPr>
    </w:p>
    <w:bookmarkStart w:id="205" w:name="page206"/>
    <w:bookmarkEnd w:id="205"/>
    <w:p>
      <w:pPr>
        <w:jc w:val="right"/>
        <w:spacing w:after="0"/>
        <w:rPr>
          <w:sz w:val="20"/>
          <w:szCs w:val="20"/>
          <w:color w:val="auto"/>
        </w:rPr>
      </w:pPr>
      <w:r>
        <w:rPr>
          <w:rFonts w:ascii="Times New Roman" w:cs="Times New Roman" w:eastAsia="Times New Roman" w:hAnsi="Times New Roman"/>
          <w:sz w:val="22"/>
          <w:szCs w:val="22"/>
          <w:color w:val="FF0000"/>
          <w:strike w:val="1"/>
        </w:rPr>
        <w:t>ANNEX</w:t>
      </w:r>
      <w:r>
        <w:rPr>
          <w:rFonts w:ascii="Times New Roman" w:cs="Times New Roman" w:eastAsia="Times New Roman" w:hAnsi="Times New Roman"/>
          <w:sz w:val="22"/>
          <w:szCs w:val="22"/>
          <w:b w:val="1"/>
          <w:bCs w:val="1"/>
          <w:u w:val="single" w:color="auto"/>
          <w:color w:val="0000FF"/>
        </w:rPr>
        <w:t>EXHIBIT</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based on income or profits, (d) accruals, if any, of transaction costs resulting from the Transactions, the 2021 Transactions or the Prior Amendments, (e) accruals of any costs or expenses related to (i) severance or termination of employees prior to the Closing Date or</w:t>
      </w:r>
    </w:p>
    <w:p>
      <w:pPr>
        <w:ind w:firstLine="8"/>
        <w:spacing w:after="0" w:line="260" w:lineRule="auto"/>
        <w:tabs>
          <w:tab w:leader="none" w:pos="298" w:val="left"/>
        </w:tabs>
        <w:numPr>
          <w:ilvl w:val="0"/>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bonuses, pension and other post-retirement benefit obligations, and (f) accruals for add-backs to EBITDA included in clauses (a)(iv), (a) (v), and (a)(vii) of the definition of such term.</w:t>
      </w:r>
    </w:p>
    <w:p>
      <w:pPr>
        <w:spacing w:after="0" w:line="155" w:lineRule="exact"/>
        <w:rPr>
          <w:sz w:val="20"/>
          <w:szCs w:val="20"/>
          <w:color w:val="auto"/>
        </w:rPr>
      </w:pPr>
    </w:p>
    <w:p>
      <w:pPr>
        <w:jc w:val="both"/>
        <w:ind w:firstLine="1296"/>
        <w:spacing w:after="0" w:line="27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Daily Simple SOFR</w:t>
      </w:r>
      <w:r>
        <w:rPr>
          <w:rFonts w:ascii="Times New Roman" w:cs="Times New Roman" w:eastAsia="Times New Roman" w:hAnsi="Times New Roman"/>
          <w:sz w:val="19"/>
          <w:szCs w:val="19"/>
          <w:color w:val="auto"/>
        </w:rPr>
        <w:t xml:space="preserve">” shall mean, for any day, SOFR, with the conventions for this rate (which will include a lookback) being established by the Administrative Agent </w:t>
      </w:r>
      <w:r>
        <w:rPr>
          <w:rFonts w:ascii="Times New Roman" w:cs="Times New Roman" w:eastAsia="Times New Roman" w:hAnsi="Times New Roman"/>
          <w:sz w:val="19"/>
          <w:szCs w:val="19"/>
          <w:b w:val="1"/>
          <w:bCs w:val="1"/>
          <w:u w:val="single" w:color="auto"/>
          <w:color w:val="0000FF"/>
        </w:rPr>
        <w:t>(acting at the direction of the Required Lenders)</w:t>
      </w:r>
      <w:r>
        <w:rPr>
          <w:rFonts w:ascii="Times New Roman" w:cs="Times New Roman" w:eastAsia="Times New Roman" w:hAnsi="Times New Roman"/>
          <w:sz w:val="19"/>
          <w:szCs w:val="19"/>
          <w:color w:val="auto"/>
        </w:rPr>
        <w:t xml:space="preserve"> in accordance with the conventions for this rate selected or recommended by the Relevant Governmental Body for determining “Daily Simple SOFR” for syndicated business loans;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the Administrative Agent decides that any such convention is not administratively feasible for the Administrative Agent, then the Administrative Agent </w:t>
      </w:r>
      <w:r>
        <w:rPr>
          <w:rFonts w:ascii="Times New Roman" w:cs="Times New Roman" w:eastAsia="Times New Roman" w:hAnsi="Times New Roman"/>
          <w:sz w:val="19"/>
          <w:szCs w:val="19"/>
          <w:b w:val="1"/>
          <w:bCs w:val="1"/>
          <w:u w:val="single" w:color="auto"/>
          <w:color w:val="0000FF"/>
        </w:rPr>
        <w:t>(acting at the direction of the Required Lenders)</w:t>
      </w:r>
      <w:r>
        <w:rPr>
          <w:rFonts w:ascii="Times New Roman" w:cs="Times New Roman" w:eastAsia="Times New Roman" w:hAnsi="Times New Roman"/>
          <w:sz w:val="19"/>
          <w:szCs w:val="19"/>
          <w:color w:val="auto"/>
        </w:rPr>
        <w:t xml:space="preserve"> may establish another convention in its reasonable discretion.</w:t>
      </w:r>
    </w:p>
    <w:p>
      <w:pPr>
        <w:spacing w:after="0" w:line="162"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Debt Fund Affiliate Lender</w:t>
      </w:r>
      <w:r>
        <w:rPr>
          <w:rFonts w:ascii="Times New Roman" w:cs="Times New Roman" w:eastAsia="Times New Roman" w:hAnsi="Times New Roman"/>
          <w:sz w:val="20"/>
          <w:szCs w:val="20"/>
          <w:color w:val="auto"/>
        </w:rPr>
        <w:t>” shall mean entities managed by the Fund or funds advised by its affiliated management companies that are primarily engaged in, or advises funds or other investment vehicles that are engaged in, making, purchasing, holding or otherwise investing in commercial loans, bonds and similar extensions of credit or securities in the ordinary course and for which no personnel making investment decisions in respect of any equity fund which has a direct or indirect equity investment in Holdings, the Borrower or the Subsidiaries has the right to make any investment decisions.</w:t>
      </w:r>
    </w:p>
    <w:p>
      <w:pPr>
        <w:spacing w:after="0" w:line="165" w:lineRule="exact"/>
        <w:rPr>
          <w:sz w:val="20"/>
          <w:szCs w:val="20"/>
          <w:color w:val="auto"/>
        </w:rPr>
      </w:pPr>
    </w:p>
    <w:p>
      <w:pPr>
        <w:jc w:val="both"/>
        <w:ind w:right="20"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Debt Service</w:t>
      </w:r>
      <w:r>
        <w:rPr>
          <w:rFonts w:ascii="Times New Roman" w:cs="Times New Roman" w:eastAsia="Times New Roman" w:hAnsi="Times New Roman"/>
          <w:sz w:val="20"/>
          <w:szCs w:val="20"/>
          <w:color w:val="auto"/>
        </w:rPr>
        <w:t xml:space="preserve">” shall mean, with respect to the Borrower and the Subsidiaries on a consolidated basis for any period, Cash Interest Expense for such period,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scheduled principal amortization of Consolidated Debt for such period.</w:t>
      </w:r>
    </w:p>
    <w:p>
      <w:pPr>
        <w:spacing w:after="0" w:line="133"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Debtor Relief Laws</w:t>
      </w:r>
      <w:r>
        <w:rPr>
          <w:rFonts w:ascii="Times New Roman" w:cs="Times New Roman" w:eastAsia="Times New Roman" w:hAnsi="Times New Roman"/>
          <w:sz w:val="20"/>
          <w:szCs w:val="20"/>
          <w:color w:val="auto"/>
        </w:rPr>
        <w:t>” shall mean the U.S. Bankruptcy Code, and all other liquidation, conservatorship, bankruptcy, assignment for the benefit of creditors, moratorium, rearrangement, receivership, insolvency, reorganization, or similar debtor relief laws of the United States of America or other applicable jurisdictions from time to time in effect.</w:t>
      </w:r>
    </w:p>
    <w:p>
      <w:pPr>
        <w:spacing w:after="0" w:line="16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Declined Proceeds</w:t>
      </w:r>
      <w:r>
        <w:rPr>
          <w:rFonts w:ascii="Times New Roman" w:cs="Times New Roman" w:eastAsia="Times New Roman" w:hAnsi="Times New Roman"/>
          <w:sz w:val="20"/>
          <w:szCs w:val="20"/>
          <w:color w:val="auto"/>
        </w:rPr>
        <w:t>” shall have the meaning assigned to such term in Section 2.10(c)(i).</w:t>
      </w:r>
    </w:p>
    <w:p>
      <w:pPr>
        <w:spacing w:after="0" w:line="20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Declining Lender</w:t>
      </w:r>
      <w:r>
        <w:rPr>
          <w:rFonts w:ascii="Times New Roman" w:cs="Times New Roman" w:eastAsia="Times New Roman" w:hAnsi="Times New Roman"/>
          <w:sz w:val="20"/>
          <w:szCs w:val="20"/>
          <w:color w:val="auto"/>
        </w:rPr>
        <w:t>” shall have the meaning assigned to such term in Section 2.10(c)(i).</w:t>
      </w:r>
    </w:p>
    <w:p>
      <w:pPr>
        <w:spacing w:after="0" w:line="20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Deemed Date</w:t>
      </w:r>
      <w:r>
        <w:rPr>
          <w:rFonts w:ascii="Times New Roman" w:cs="Times New Roman" w:eastAsia="Times New Roman" w:hAnsi="Times New Roman"/>
          <w:sz w:val="20"/>
          <w:szCs w:val="20"/>
          <w:color w:val="auto"/>
        </w:rPr>
        <w:t>” shall have the meaning assigned to such term in Section 6.01.</w:t>
      </w:r>
    </w:p>
    <w:p>
      <w:pPr>
        <w:spacing w:after="0" w:line="20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Default</w:t>
      </w:r>
      <w:r>
        <w:rPr>
          <w:rFonts w:ascii="Times New Roman" w:cs="Times New Roman" w:eastAsia="Times New Roman" w:hAnsi="Times New Roman"/>
          <w:sz w:val="20"/>
          <w:szCs w:val="20"/>
          <w:color w:val="auto"/>
        </w:rPr>
        <w:t>” shall mean any event or condition that upon notice, lapse of time or both would constitute an Event of Default.</w:t>
      </w:r>
    </w:p>
    <w:p>
      <w:pPr>
        <w:spacing w:after="0" w:line="216"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Defaulting Lender</w:t>
      </w:r>
      <w:r>
        <w:rPr>
          <w:rFonts w:ascii="Times New Roman" w:cs="Times New Roman" w:eastAsia="Times New Roman" w:hAnsi="Times New Roman"/>
          <w:sz w:val="19"/>
          <w:szCs w:val="19"/>
          <w:color w:val="auto"/>
        </w:rPr>
        <w:t>” shall mean, subject to Section 2.22, any Lender that (a) has failed to (i) fund all or any portion of its Loans within two Business Days of the date such Loans were required to be funded hereunder or (ii) pay to the Administrative Agent, any Issuing Bank, the Swingline Lender or any other Lender any other amount required to be paid by it hereunder (including in respect of its participation in Letters of Credit or Swingline Loans) within two Business Days of the date when due, (b) has notified the Borrower, the Swingline Lender, Administrative Agent or any Issuing Bank in writing that it does not intend or expect to comply with its funding obligations hereunder or generally under other agreements in which it commits to extend credit, or has made a public statement to that effect,</w:t>
      </w:r>
    </w:p>
    <w:p>
      <w:pPr>
        <w:spacing w:after="0" w:line="3" w:lineRule="exact"/>
        <w:rPr>
          <w:sz w:val="20"/>
          <w:szCs w:val="20"/>
          <w:color w:val="auto"/>
        </w:rPr>
      </w:pPr>
    </w:p>
    <w:p>
      <w:pPr>
        <w:ind w:firstLine="8"/>
        <w:spacing w:after="0" w:line="260" w:lineRule="auto"/>
        <w:tabs>
          <w:tab w:leader="none" w:pos="289"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has failed, within three Business Days after written request by the Administrative Agent or the Borrower, to confirm in writing to the Administrative Agent and the Borrower that it will comply with its prospective</w:t>
      </w:r>
    </w:p>
    <w:p>
      <w:pPr>
        <w:sectPr>
          <w:pgSz w:w="11900" w:h="16838" w:orient="portrait"/>
          <w:cols w:equalWidth="0" w:num="1">
            <w:col w:w="11240"/>
          </w:cols>
          <w:pgMar w:left="320" w:top="108" w:right="339" w:bottom="1440" w:gutter="0" w:footer="0" w:header="0"/>
        </w:sectPr>
      </w:pPr>
    </w:p>
    <w:bookmarkStart w:id="206" w:name="page207"/>
    <w:bookmarkEnd w:id="206"/>
    <w:p>
      <w:pPr>
        <w:jc w:val="right"/>
        <w:spacing w:after="0"/>
        <w:rPr>
          <w:sz w:val="20"/>
          <w:szCs w:val="20"/>
          <w:color w:val="auto"/>
        </w:rPr>
      </w:pPr>
      <w:r>
        <w:rPr>
          <w:rFonts w:ascii="Times New Roman" w:cs="Times New Roman" w:eastAsia="Times New Roman" w:hAnsi="Times New Roman"/>
          <w:sz w:val="22"/>
          <w:szCs w:val="22"/>
          <w:color w:val="FF0000"/>
          <w:strike w:val="1"/>
        </w:rPr>
        <w:t>ANNEX</w:t>
      </w:r>
      <w:r>
        <w:rPr>
          <w:rFonts w:ascii="Times New Roman" w:cs="Times New Roman" w:eastAsia="Times New Roman" w:hAnsi="Times New Roman"/>
          <w:sz w:val="22"/>
          <w:szCs w:val="22"/>
          <w:b w:val="1"/>
          <w:bCs w:val="1"/>
          <w:u w:val="single" w:color="auto"/>
          <w:color w:val="0000FF"/>
        </w:rPr>
        <w:t>EXHIBIT</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funding obligations hereunder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Lender shall cease to be a Defaulting Lender pursuant to this clause (c) upon receipt of such written confirmation by the Administrative Agent and the Borrower) or (d) has, or has a direct or indirect parent company that has,</w:t>
      </w:r>
    </w:p>
    <w:p>
      <w:pPr>
        <w:jc w:val="both"/>
        <w:ind w:firstLine="8"/>
        <w:spacing w:after="0" w:line="248" w:lineRule="auto"/>
        <w:tabs>
          <w:tab w:leader="none" w:pos="261"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become the subject of a proceeding under any Debtor Relief Law,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or (iii) become the subject of a Bail-In Action;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of America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any one or more of clauses (a) through (d) above shall be conclusive and binding absent manifest error, and such Lender shall be deemed to be a Defaulting Lender (subject to Section 2.22) upon delivery of written notice of such determination to the Borrower, each Issuing Bank, the Swingline Lender and each Lender.</w:t>
      </w:r>
    </w:p>
    <w:p>
      <w:pPr>
        <w:spacing w:after="0" w:line="172"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Delaware Divided LLC</w:t>
      </w:r>
      <w:r>
        <w:rPr>
          <w:rFonts w:ascii="Times New Roman" w:cs="Times New Roman" w:eastAsia="Times New Roman" w:hAnsi="Times New Roman"/>
          <w:sz w:val="20"/>
          <w:szCs w:val="20"/>
          <w:color w:val="auto"/>
        </w:rPr>
        <w:t>” shall mean any limited liability company which has been formed upon the consummation of a Delaware LLC Division.</w:t>
      </w:r>
    </w:p>
    <w:p>
      <w:pPr>
        <w:spacing w:after="0" w:line="133"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Delaware LLC Division</w:t>
      </w:r>
      <w:r>
        <w:rPr>
          <w:rFonts w:ascii="Times New Roman" w:cs="Times New Roman" w:eastAsia="Times New Roman" w:hAnsi="Times New Roman"/>
          <w:sz w:val="20"/>
          <w:szCs w:val="20"/>
          <w:color w:val="auto"/>
        </w:rPr>
        <w:t>” shall mean the statutory division of any limited liability company into two or more limited liability companies pursuant to Section 18-217 of the Delaware Limited Liability Company Act or a comparable provision of any other Requirement of Law.</w:t>
      </w:r>
    </w:p>
    <w:p>
      <w:pPr>
        <w:spacing w:after="0" w:line="168"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Designated Non-Cash Consideration</w:t>
      </w:r>
      <w:r>
        <w:rPr>
          <w:rFonts w:ascii="Times New Roman" w:cs="Times New Roman" w:eastAsia="Times New Roman" w:hAnsi="Times New Roman"/>
          <w:sz w:val="20"/>
          <w:szCs w:val="20"/>
          <w:color w:val="auto"/>
        </w:rPr>
        <w:t xml:space="preserve">” shall mean the fair market value (as determined in good faith by the Borrower) of non-cash consideration received by the Borrower or one of its Subsidiaries in connection with an Asset Sale that is so designated as Designated Non-Cash Consideration by the Borrower, </w:t>
      </w:r>
      <w:r>
        <w:rPr>
          <w:rFonts w:ascii="Times New Roman" w:cs="Times New Roman" w:eastAsia="Times New Roman" w:hAnsi="Times New Roman"/>
          <w:sz w:val="20"/>
          <w:szCs w:val="20"/>
          <w:u w:val="single" w:color="auto"/>
          <w:color w:val="auto"/>
        </w:rPr>
        <w:t>less</w:t>
      </w:r>
      <w:r>
        <w:rPr>
          <w:rFonts w:ascii="Times New Roman" w:cs="Times New Roman" w:eastAsia="Times New Roman" w:hAnsi="Times New Roman"/>
          <w:sz w:val="20"/>
          <w:szCs w:val="20"/>
          <w:color w:val="auto"/>
        </w:rPr>
        <w:t xml:space="preserve"> the amount of cash or cash equivalents received in connection with a subsequent disposition of such Designated Non-Cash Consideration.</w:t>
      </w:r>
    </w:p>
    <w:p>
      <w:pPr>
        <w:spacing w:after="0" w:line="174"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Disinterested Director</w:t>
      </w:r>
      <w:r>
        <w:rPr>
          <w:rFonts w:ascii="Times New Roman" w:cs="Times New Roman" w:eastAsia="Times New Roman" w:hAnsi="Times New Roman"/>
          <w:sz w:val="20"/>
          <w:szCs w:val="20"/>
          <w:color w:val="auto"/>
        </w:rPr>
        <w:t>” shall mean, with respect to any person and transaction, a member of the Board of Directors of such person who does not have any material direct or indirect financial interest in or with respect to such transaction.</w:t>
      </w:r>
    </w:p>
    <w:p>
      <w:pPr>
        <w:spacing w:after="0" w:line="159"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Dispose</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u w:val="single" w:color="auto"/>
          <w:color w:val="auto"/>
        </w:rPr>
        <w:t>Disposed of</w:t>
      </w:r>
      <w:r>
        <w:rPr>
          <w:rFonts w:ascii="Times New Roman" w:cs="Times New Roman" w:eastAsia="Times New Roman" w:hAnsi="Times New Roman"/>
          <w:sz w:val="20"/>
          <w:szCs w:val="20"/>
          <w:color w:val="auto"/>
        </w:rPr>
        <w:t>” shall mean to convey, sell, lease, sell and leaseback, assign, farm-out, transfer or otherwise dispose of any property, business or asset (including to dispose of any property, business or asset to a Delaware Divided LLC pursuant to a Delaware LLC Division). The term “</w:t>
      </w:r>
      <w:r>
        <w:rPr>
          <w:rFonts w:ascii="Times New Roman" w:cs="Times New Roman" w:eastAsia="Times New Roman" w:hAnsi="Times New Roman"/>
          <w:sz w:val="20"/>
          <w:szCs w:val="20"/>
          <w:u w:val="single" w:color="auto"/>
          <w:color w:val="auto"/>
        </w:rPr>
        <w:t>Disposition</w:t>
      </w:r>
      <w:r>
        <w:rPr>
          <w:rFonts w:ascii="Times New Roman" w:cs="Times New Roman" w:eastAsia="Times New Roman" w:hAnsi="Times New Roman"/>
          <w:sz w:val="20"/>
          <w:szCs w:val="20"/>
          <w:color w:val="auto"/>
        </w:rPr>
        <w:t>” shall have a correlative meaning to the foregoing.</w:t>
      </w:r>
    </w:p>
    <w:p>
      <w:pPr>
        <w:spacing w:after="0" w:line="154"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Disqualified Stock</w:t>
      </w:r>
      <w:r>
        <w:rPr>
          <w:rFonts w:ascii="Times New Roman" w:cs="Times New Roman" w:eastAsia="Times New Roman" w:hAnsi="Times New Roman"/>
          <w:sz w:val="20"/>
          <w:szCs w:val="20"/>
          <w:color w:val="auto"/>
        </w:rPr>
        <w:t>” shall mean, with respect to any person, any Equity Interests of such person that, by its terms (or by the terms of any security or other Equity Interests into which it is convertible or for which it is exchangeable), or upon the happening of any event or condition (a) matures or is mandatorily redeemable (other than solely for Qualified Equity Interests), pursuant to a sinking fund obligation or otherwise (except as a result of a change of control or asset sale so long as any rights of the holders thereof upon the occurrence of a change of control or asset sale event shall be subject to the prior repayment in full of the Loans and all other Loan Obligations that are accrued and payable and the termination of the Commitments), (b) is redeemable at the option of the holder thereof (other than solely for Qualified Equity Interests), in whole or in part, (c) provides for the scheduled payment of dividends in cash or (d) is or becomes convertible into or exchangeable for Indebtedness or any other Equity Interests</w:t>
      </w:r>
    </w:p>
    <w:p>
      <w:pPr>
        <w:sectPr>
          <w:pgSz w:w="11900" w:h="16838" w:orient="portrait"/>
          <w:cols w:equalWidth="0" w:num="1">
            <w:col w:w="11240"/>
          </w:cols>
          <w:pgMar w:left="320" w:top="108" w:right="339" w:bottom="1440" w:gutter="0" w:footer="0" w:header="0"/>
        </w:sectPr>
      </w:pPr>
    </w:p>
    <w:bookmarkStart w:id="207" w:name="page208"/>
    <w:bookmarkEnd w:id="207"/>
    <w:p>
      <w:pPr>
        <w:ind w:left="9360"/>
        <w:spacing w:after="0"/>
        <w:rPr>
          <w:sz w:val="20"/>
          <w:szCs w:val="20"/>
          <w:color w:val="auto"/>
        </w:rPr>
      </w:pPr>
      <w:r>
        <w:rPr>
          <w:rFonts w:ascii="Times New Roman" w:cs="Times New Roman" w:eastAsia="Times New Roman" w:hAnsi="Times New Roman"/>
          <w:sz w:val="21"/>
          <w:szCs w:val="21"/>
          <w:color w:val="FF0000"/>
          <w:strike w:val="1"/>
        </w:rPr>
        <w:t>ANNEX</w:t>
      </w:r>
      <w:r>
        <w:rPr>
          <w:rFonts w:ascii="Times New Roman" w:cs="Times New Roman" w:eastAsia="Times New Roman" w:hAnsi="Times New Roman"/>
          <w:sz w:val="21"/>
          <w:szCs w:val="21"/>
          <w:b w:val="1"/>
          <w:bCs w:val="1"/>
          <w:u w:val="single" w:color="auto"/>
          <w:color w:val="0000FF"/>
        </w:rPr>
        <w:t>EXHIBIT</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000000"/>
        </w:rPr>
        <w: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color w:val="auto"/>
        </w:rPr>
        <w:t>that would constitute Disqualified Stock, in each case, prior to the date that is ninety-one (91) days after the Latest Maturity Date in effect at the time of issuance thereof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that only the portion of the Equity Interests that so mature or are mandatorily redeemable, are so convertible or exchangeable or are so redeemable at the option of the holder thereof prior to such date shall be deemed to be Disqualified Stock). Notwithstanding the foregoing: (i) any Equity Interests issued to any employee or to any plan for the benefit of employees of the Borrower or the Subsidiaries or by any such plan to such employees shall not constitute Disqualified Stock solely because they may be required to be repurchased by the Borrower in order to satisfy applicable statutory or regulatory obligations or as a result of such employee’s termination, death or disability and (ii) any class of Equity Interests of such person that by its terms authorizes such person to satisfy its obligations thereunder by delivery of Equity Interests that are not Disqualified Stock shall not be deemed to be Disqualified Stock.</w:t>
      </w:r>
    </w:p>
    <w:p>
      <w:pPr>
        <w:spacing w:after="0" w:line="155"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Documentation Agents</w:t>
      </w:r>
      <w:r>
        <w:rPr>
          <w:rFonts w:ascii="Times New Roman" w:cs="Times New Roman" w:eastAsia="Times New Roman" w:hAnsi="Times New Roman"/>
          <w:sz w:val="20"/>
          <w:szCs w:val="20"/>
          <w:color w:val="auto"/>
        </w:rPr>
        <w:t>” shall mean, collectively, Citibank, N.A., Barclays Bank PLC, BMO Capital Markets Corp., MUFG Union Bank, N.A., JPMorgan Chase Bank, N.A., Goldman Sachs Bank USA, Mizuho Bank, Ltd., RBC Capital Markets, LLC, Credit Suisse Loan Funding LLC, Deutsche Bank Securities Inc. and HSBC Securities (USA) Inc.</w:t>
      </w:r>
    </w:p>
    <w:p>
      <w:pPr>
        <w:spacing w:after="0" w:line="14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Dollar Equivalent</w:t>
      </w:r>
      <w:r>
        <w:rPr>
          <w:rFonts w:ascii="Times New Roman" w:cs="Times New Roman" w:eastAsia="Times New Roman" w:hAnsi="Times New Roman"/>
          <w:sz w:val="20"/>
          <w:szCs w:val="20"/>
          <w:color w:val="auto"/>
        </w:rPr>
        <w:t>” shall mean, at any time, (a) with respect to any amount denominated in Dollars, such amount, and</w:t>
      </w:r>
    </w:p>
    <w:p>
      <w:pPr>
        <w:spacing w:after="0" w:line="22" w:lineRule="exact"/>
        <w:rPr>
          <w:sz w:val="20"/>
          <w:szCs w:val="20"/>
          <w:color w:val="auto"/>
        </w:rPr>
      </w:pPr>
    </w:p>
    <w:p>
      <w:pPr>
        <w:jc w:val="both"/>
        <w:ind w:firstLine="8"/>
        <w:spacing w:after="0" w:line="256" w:lineRule="auto"/>
        <w:tabs>
          <w:tab w:leader="none" w:pos="293" w:val="left"/>
        </w:tabs>
        <w:numPr>
          <w:ilvl w:val="0"/>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with respect to any amount denominated in any currency other than Dollars, the equivalent amount thereof in Dollars as determined by the </w:t>
      </w:r>
      <w:r>
        <w:rPr>
          <w:rFonts w:ascii="Times New Roman" w:cs="Times New Roman" w:eastAsia="Times New Roman" w:hAnsi="Times New Roman"/>
          <w:sz w:val="20"/>
          <w:szCs w:val="20"/>
          <w:color w:val="FF0000"/>
          <w:strike w:val="1"/>
        </w:rPr>
        <w:t>Administrative Agent</w:t>
      </w:r>
      <w:r>
        <w:rPr>
          <w:rFonts w:ascii="Times New Roman" w:cs="Times New Roman" w:eastAsia="Times New Roman" w:hAnsi="Times New Roman"/>
          <w:sz w:val="20"/>
          <w:szCs w:val="20"/>
          <w:b w:val="1"/>
          <w:bCs w:val="1"/>
          <w:u w:val="single" w:color="auto"/>
          <w:color w:val="0000FF"/>
        </w:rPr>
        <w:t>Issuing Bank</w:t>
      </w:r>
      <w:r>
        <w:rPr>
          <w:rFonts w:ascii="Times New Roman" w:cs="Times New Roman" w:eastAsia="Times New Roman" w:hAnsi="Times New Roman"/>
          <w:sz w:val="20"/>
          <w:szCs w:val="20"/>
          <w:color w:val="auto"/>
        </w:rPr>
        <w:t xml:space="preserve"> at such time on the basis of the Spot Rate (determined in respect of the most recent Revaluation Date or other applicable date of determination) for the purchase of Dollars with such currency.</w:t>
      </w:r>
    </w:p>
    <w:p>
      <w:pPr>
        <w:spacing w:after="0" w:line="16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Dollars</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 shall mean lawful money of the United States of America.</w:t>
      </w:r>
    </w:p>
    <w:p>
      <w:pPr>
        <w:spacing w:after="0" w:line="20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Domestic Subsidiary</w:t>
      </w:r>
      <w:r>
        <w:rPr>
          <w:rFonts w:ascii="Times New Roman" w:cs="Times New Roman" w:eastAsia="Times New Roman" w:hAnsi="Times New Roman"/>
          <w:sz w:val="20"/>
          <w:szCs w:val="20"/>
          <w:color w:val="auto"/>
        </w:rPr>
        <w:t>” shall mean any Subsidiary that is not a Foreign Subsidiary.</w:t>
      </w:r>
    </w:p>
    <w:p>
      <w:pPr>
        <w:spacing w:after="0" w:line="202"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EBITDA</w:t>
      </w:r>
      <w:r>
        <w:rPr>
          <w:rFonts w:ascii="Times New Roman" w:cs="Times New Roman" w:eastAsia="Times New Roman" w:hAnsi="Times New Roman"/>
          <w:sz w:val="20"/>
          <w:szCs w:val="20"/>
          <w:color w:val="auto"/>
        </w:rPr>
        <w:t xml:space="preserve">” shall mean, with respect to the Borrower and the Subsidiaries on a consolidated basis for any period, the Consolidated Net Income of the Borrower and the Subsidiaries for such period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(a) the sum of (in each case without duplication and to the extent the respective amounts described in subclauses (i) through (xiii) of this clause (a) reduced such Consolidated Net Income (and were not excluded therefrom) for the respective period for which EBITDA is being determined):</w:t>
      </w:r>
    </w:p>
    <w:p>
      <w:pPr>
        <w:spacing w:after="0" w:line="159" w:lineRule="exact"/>
        <w:rPr>
          <w:sz w:val="20"/>
          <w:szCs w:val="20"/>
          <w:color w:val="auto"/>
        </w:rPr>
      </w:pPr>
    </w:p>
    <w:p>
      <w:pPr>
        <w:jc w:val="both"/>
        <w:ind w:left="660" w:firstLine="644"/>
        <w:spacing w:after="0" w:line="268" w:lineRule="auto"/>
        <w:tabs>
          <w:tab w:leader="none" w:pos="1715"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provision for Taxes based on income, profits or capital of the Borrower and the Subsidiaries for such period, including, without limitation, state, franchise and similar taxes and foreign withholding taxes (including penalties and interest related to taxes or arising from tax examinations),</w:t>
      </w:r>
    </w:p>
    <w:p>
      <w:pPr>
        <w:spacing w:after="0" w:line="147" w:lineRule="exact"/>
        <w:rPr>
          <w:rFonts w:ascii="Times New Roman" w:cs="Times New Roman" w:eastAsia="Times New Roman" w:hAnsi="Times New Roman"/>
          <w:sz w:val="20"/>
          <w:szCs w:val="20"/>
          <w:color w:val="auto"/>
        </w:rPr>
      </w:pPr>
    </w:p>
    <w:p>
      <w:pPr>
        <w:jc w:val="both"/>
        <w:ind w:left="660" w:firstLine="644"/>
        <w:spacing w:after="0" w:line="261" w:lineRule="auto"/>
        <w:tabs>
          <w:tab w:leader="none" w:pos="1794"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Interest Expense (and to the extent not included in Interest Expense, (x) all cash dividend payments (excluding items eliminated in consolidation) on any series of preferred stock or Disqualified Stock and (y) costs of surety bonds in connection with financing activities) of the Borrower and the Subsidiaries for such period,</w:t>
      </w:r>
    </w:p>
    <w:p>
      <w:pPr>
        <w:spacing w:after="0" w:line="154" w:lineRule="exact"/>
        <w:rPr>
          <w:rFonts w:ascii="Times New Roman" w:cs="Times New Roman" w:eastAsia="Times New Roman" w:hAnsi="Times New Roman"/>
          <w:sz w:val="20"/>
          <w:szCs w:val="20"/>
          <w:color w:val="auto"/>
        </w:rPr>
      </w:pPr>
    </w:p>
    <w:p>
      <w:pPr>
        <w:jc w:val="both"/>
        <w:ind w:left="660" w:firstLine="644"/>
        <w:spacing w:after="0" w:line="258" w:lineRule="auto"/>
        <w:tabs>
          <w:tab w:leader="none" w:pos="2028"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depreciation and amortization expenses of the Borrower and the Subsidiaries for such period including the amortization of intangible assets, deferred financing fees, original issue discount and Capitalized Software Expenditures, amortization of unrecognized prior service costs and actuarial gains and losses related to pensions and other post-employment benefits,</w:t>
      </w:r>
    </w:p>
    <w:p>
      <w:pPr>
        <w:spacing w:after="0" w:line="158" w:lineRule="exact"/>
        <w:rPr>
          <w:rFonts w:ascii="Times New Roman" w:cs="Times New Roman" w:eastAsia="Times New Roman" w:hAnsi="Times New Roman"/>
          <w:sz w:val="20"/>
          <w:szCs w:val="20"/>
          <w:color w:val="auto"/>
        </w:rPr>
      </w:pPr>
    </w:p>
    <w:p>
      <w:pPr>
        <w:ind w:left="660" w:firstLine="644"/>
        <w:spacing w:after="0" w:line="283" w:lineRule="auto"/>
        <w:tabs>
          <w:tab w:leader="none" w:pos="1854"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business optimization expenses and other restructuring charges or reserves (which, for the avoidance of doubt, shall include the effect of inventory optimization programs,</w:t>
      </w:r>
    </w:p>
    <w:p>
      <w:pPr>
        <w:sectPr>
          <w:pgSz w:w="11900" w:h="16838" w:orient="portrait"/>
          <w:cols w:equalWidth="0" w:num="1">
            <w:col w:w="11240"/>
          </w:cols>
          <w:pgMar w:left="320" w:top="108" w:right="339" w:bottom="1440" w:gutter="0" w:footer="0" w:header="0"/>
        </w:sectPr>
      </w:pPr>
    </w:p>
    <w:bookmarkStart w:id="208" w:name="page209"/>
    <w:bookmarkEnd w:id="208"/>
    <w:p>
      <w:pPr>
        <w:jc w:val="right"/>
        <w:spacing w:after="0"/>
        <w:rPr>
          <w:sz w:val="20"/>
          <w:szCs w:val="20"/>
          <w:color w:val="auto"/>
        </w:rPr>
      </w:pPr>
      <w:r>
        <w:rPr>
          <w:rFonts w:ascii="Times New Roman" w:cs="Times New Roman" w:eastAsia="Times New Roman" w:hAnsi="Times New Roman"/>
          <w:sz w:val="22"/>
          <w:szCs w:val="22"/>
          <w:color w:val="FF0000"/>
          <w:strike w:val="1"/>
        </w:rPr>
        <w:t>ANNEX</w:t>
      </w:r>
      <w:r>
        <w:rPr>
          <w:rFonts w:ascii="Times New Roman" w:cs="Times New Roman" w:eastAsia="Times New Roman" w:hAnsi="Times New Roman"/>
          <w:sz w:val="22"/>
          <w:szCs w:val="22"/>
          <w:b w:val="1"/>
          <w:bCs w:val="1"/>
          <w:u w:val="single" w:color="auto"/>
          <w:color w:val="0000FF"/>
        </w:rPr>
        <w:t>EXHIBIT</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spacing w:after="0" w:line="310" w:lineRule="auto"/>
        <w:rPr>
          <w:sz w:val="20"/>
          <w:szCs w:val="20"/>
          <w:color w:val="auto"/>
        </w:rPr>
      </w:pPr>
      <w:r>
        <w:rPr>
          <w:rFonts w:ascii="Times New Roman" w:cs="Times New Roman" w:eastAsia="Times New Roman" w:hAnsi="Times New Roman"/>
          <w:sz w:val="19"/>
          <w:szCs w:val="19"/>
          <w:color w:val="auto"/>
        </w:rPr>
        <w:t>facility, branch, office or business unit closures, facility, branch, office or business unit consolidations, retention, severance, systems establishment costs, contract termination costs, future lease commitments and excess pension charges) and Pre-Opening Expenses,</w:t>
      </w:r>
    </w:p>
    <w:p>
      <w:pPr>
        <w:spacing w:after="0" w:line="111" w:lineRule="exact"/>
        <w:rPr>
          <w:sz w:val="20"/>
          <w:szCs w:val="20"/>
          <w:color w:val="auto"/>
        </w:rPr>
      </w:pPr>
    </w:p>
    <w:p>
      <w:pPr>
        <w:jc w:val="both"/>
        <w:ind w:firstLine="644"/>
        <w:spacing w:after="0" w:line="261" w:lineRule="auto"/>
        <w:tabs>
          <w:tab w:leader="none" w:pos="1090"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other non-cash charges;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for purposes of this subclause (v) of this clause (a), any non-cash charges or losses shall be treated as cash charges or losses in any subsequent period during which cash disbursements attributable thereto are made (but excluding, for the avoidance of doubt, amortization of a prepaid cash item that was paid in a prior period),</w:t>
      </w:r>
    </w:p>
    <w:p>
      <w:pPr>
        <w:spacing w:after="0" w:line="154" w:lineRule="exact"/>
        <w:rPr>
          <w:rFonts w:ascii="Times New Roman" w:cs="Times New Roman" w:eastAsia="Times New Roman" w:hAnsi="Times New Roman"/>
          <w:sz w:val="20"/>
          <w:szCs w:val="20"/>
          <w:color w:val="auto"/>
        </w:rPr>
      </w:pPr>
    </w:p>
    <w:p>
      <w:pPr>
        <w:jc w:val="both"/>
        <w:ind w:firstLine="644"/>
        <w:spacing w:after="0" w:line="261" w:lineRule="auto"/>
        <w:tabs>
          <w:tab w:leader="none" w:pos="1143"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amount of management, consulting, monitoring, transaction, advisory and similar fees and related expenses paid to the Co-Investors (or any accruals related to such fees and related expenses) during such period not in contravention of this Agreement,</w:t>
      </w:r>
    </w:p>
    <w:p>
      <w:pPr>
        <w:spacing w:after="0" w:line="167" w:lineRule="exact"/>
        <w:rPr>
          <w:rFonts w:ascii="Times New Roman" w:cs="Times New Roman" w:eastAsia="Times New Roman" w:hAnsi="Times New Roman"/>
          <w:sz w:val="20"/>
          <w:szCs w:val="20"/>
          <w:color w:val="auto"/>
        </w:rPr>
      </w:pPr>
    </w:p>
    <w:p>
      <w:pPr>
        <w:jc w:val="both"/>
        <w:ind w:firstLine="644"/>
        <w:spacing w:after="0" w:line="251" w:lineRule="auto"/>
        <w:tabs>
          <w:tab w:leader="none" w:pos="1189"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expenses or charges (other than depreciation or amortization expense as described in the preceding subclause (iii)) related to any issuance of Equity Interests, Investment, acquisition, New Project, Disposition, recapitalization or the incurrence, modification or repayment of Indebtedness permitted to be incurred by this Agreement (including a refinancing thereof) (whether or not successful), including (x) such fees, expenses or charges related to the Senior Unsecured Notes, the Senior Secured Notes, the Prior Amendments, the 2021 Incremental Assumption and Amendment Agreement and this Agreement, (y) any amendment or other modification of the Obligations or other Indebtedness and (z) commissions, discounts, yield and other fees and charges (including any interest expense) related to any Permitted Securitization Financing,</w:t>
      </w:r>
    </w:p>
    <w:p>
      <w:pPr>
        <w:spacing w:after="0" w:line="179" w:lineRule="exact"/>
        <w:rPr>
          <w:rFonts w:ascii="Times New Roman" w:cs="Times New Roman" w:eastAsia="Times New Roman" w:hAnsi="Times New Roman"/>
          <w:sz w:val="20"/>
          <w:szCs w:val="20"/>
          <w:color w:val="auto"/>
        </w:rPr>
      </w:pPr>
    </w:p>
    <w:p>
      <w:pPr>
        <w:ind w:right="20" w:firstLine="644"/>
        <w:spacing w:after="0" w:line="269" w:lineRule="auto"/>
        <w:tabs>
          <w:tab w:leader="none" w:pos="1318"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amount of loss or discount in connection with a Permitted Securitization Financing, including amortization of loan origination costs and amortization of portfolio discounts,</w:t>
      </w:r>
    </w:p>
    <w:p>
      <w:pPr>
        <w:spacing w:after="0" w:line="145" w:lineRule="exact"/>
        <w:rPr>
          <w:rFonts w:ascii="Times New Roman" w:cs="Times New Roman" w:eastAsia="Times New Roman" w:hAnsi="Times New Roman"/>
          <w:sz w:val="20"/>
          <w:szCs w:val="20"/>
          <w:color w:val="auto"/>
        </w:rPr>
      </w:pPr>
    </w:p>
    <w:p>
      <w:pPr>
        <w:jc w:val="both"/>
        <w:ind w:firstLine="644"/>
        <w:spacing w:after="0" w:line="257" w:lineRule="auto"/>
        <w:tabs>
          <w:tab w:leader="none" w:pos="1159"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costs or expense incurred pursuant to any management equity plan or stock option plan or any other management or employee benefit plan or agreement or any stock subscription or shareholder agreement, to the extent that such costs or expenses are funded with cash proceeds contributed to the capital of the Borrower or a Subsidiary Loan Party (other than contributions received from the Borrower or another Subsidiary Loan Party) or net cash proceeds of an issuance of Equity Interests of the Borrower (other than Disqualified Stock),</w:t>
      </w:r>
    </w:p>
    <w:p>
      <w:pPr>
        <w:spacing w:after="0" w:line="159" w:lineRule="exact"/>
        <w:rPr>
          <w:rFonts w:ascii="Times New Roman" w:cs="Times New Roman" w:eastAsia="Times New Roman" w:hAnsi="Times New Roman"/>
          <w:sz w:val="20"/>
          <w:szCs w:val="20"/>
          <w:color w:val="auto"/>
        </w:rPr>
      </w:pPr>
    </w:p>
    <w:p>
      <w:pPr>
        <w:ind w:left="1080" w:hanging="436"/>
        <w:spacing w:after="0"/>
        <w:tabs>
          <w:tab w:leader="none" w:pos="1080"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02" w:lineRule="exact"/>
        <w:rPr>
          <w:rFonts w:ascii="Times New Roman" w:cs="Times New Roman" w:eastAsia="Times New Roman" w:hAnsi="Times New Roman"/>
          <w:sz w:val="20"/>
          <w:szCs w:val="20"/>
          <w:color w:val="auto"/>
        </w:rPr>
      </w:pPr>
    </w:p>
    <w:p>
      <w:pPr>
        <w:jc w:val="both"/>
        <w:ind w:firstLine="644"/>
        <w:spacing w:after="0" w:line="257" w:lineRule="auto"/>
        <w:tabs>
          <w:tab w:leader="none" w:pos="1173"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amount of any loss attributable to a New Project, until the date that is 12 months after the date of completing the construction, acquisition, assembling or creation of such New Project, as the case may be;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(A) such losses are reasonably identifiable and factually supportable and certified by a Responsible Officer of the Borrower and (B) losses attributable to such New Project after 12 months from the date of completing such construction, acquisition, assembling or creation, as the case may be, shall not be included in this subclause (xi),</w:t>
      </w:r>
    </w:p>
    <w:p>
      <w:pPr>
        <w:spacing w:after="0" w:line="159" w:lineRule="exact"/>
        <w:rPr>
          <w:rFonts w:ascii="Times New Roman" w:cs="Times New Roman" w:eastAsia="Times New Roman" w:hAnsi="Times New Roman"/>
          <w:sz w:val="20"/>
          <w:szCs w:val="20"/>
          <w:color w:val="auto"/>
        </w:rPr>
      </w:pPr>
    </w:p>
    <w:p>
      <w:pPr>
        <w:jc w:val="both"/>
        <w:ind w:firstLine="644"/>
        <w:spacing w:after="0" w:line="261" w:lineRule="auto"/>
        <w:tabs>
          <w:tab w:leader="none" w:pos="1201"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any joint venture that is not a Subsidiary and solely to the extent relating to any net income referred to in clause (v) of the definition of “Consolidated Net Income,” an amount equal to the proportion of those items described in subclauses (i) and (ii) above relating to such joint venture corresponding to the Borrower’s and the Subsidiaries’</w:t>
      </w:r>
    </w:p>
    <w:p>
      <w:pPr>
        <w:sectPr>
          <w:pgSz w:w="11900" w:h="16838" w:orient="portrait"/>
          <w:cols w:equalWidth="0" w:num="1">
            <w:col w:w="10580"/>
          </w:cols>
          <w:pgMar w:left="980" w:top="108" w:right="339" w:bottom="1440" w:gutter="0" w:footer="0" w:header="0"/>
        </w:sectPr>
      </w:pPr>
    </w:p>
    <w:bookmarkStart w:id="209" w:name="page210"/>
    <w:bookmarkEnd w:id="209"/>
    <w:p>
      <w:pPr>
        <w:jc w:val="right"/>
        <w:spacing w:after="0"/>
        <w:rPr>
          <w:sz w:val="20"/>
          <w:szCs w:val="20"/>
          <w:color w:val="auto"/>
        </w:rPr>
      </w:pPr>
      <w:r>
        <w:rPr>
          <w:rFonts w:ascii="Times New Roman" w:cs="Times New Roman" w:eastAsia="Times New Roman" w:hAnsi="Times New Roman"/>
          <w:sz w:val="22"/>
          <w:szCs w:val="22"/>
          <w:color w:val="FF0000"/>
          <w:strike w:val="1"/>
        </w:rPr>
        <w:t>ANNEX</w:t>
      </w:r>
      <w:r>
        <w:rPr>
          <w:rFonts w:ascii="Times New Roman" w:cs="Times New Roman" w:eastAsia="Times New Roman" w:hAnsi="Times New Roman"/>
          <w:sz w:val="22"/>
          <w:szCs w:val="22"/>
          <w:b w:val="1"/>
          <w:bCs w:val="1"/>
          <w:u w:val="single" w:color="auto"/>
          <w:color w:val="0000FF"/>
        </w:rPr>
        <w:t>EXHIBIT</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proportionate share of such joint venture’s Consolidated Net Income (determined as if such joint venture were a Subsidiary), and</w:t>
      </w:r>
    </w:p>
    <w:p>
      <w:pPr>
        <w:spacing w:after="0" w:line="202" w:lineRule="exact"/>
        <w:rPr>
          <w:sz w:val="20"/>
          <w:szCs w:val="20"/>
          <w:color w:val="auto"/>
        </w:rPr>
      </w:pPr>
    </w:p>
    <w:p>
      <w:pPr>
        <w:ind w:left="1300"/>
        <w:spacing w:after="0"/>
        <w:tabs>
          <w:tab w:leader="none" w:pos="1880" w:val="left"/>
        </w:tabs>
        <w:rPr>
          <w:sz w:val="20"/>
          <w:szCs w:val="20"/>
          <w:color w:val="auto"/>
        </w:rPr>
      </w:pPr>
      <w:r>
        <w:rPr>
          <w:rFonts w:ascii="Times New Roman" w:cs="Times New Roman" w:eastAsia="Times New Roman" w:hAnsi="Times New Roman"/>
          <w:sz w:val="20"/>
          <w:szCs w:val="20"/>
          <w:color w:val="auto"/>
        </w:rPr>
        <w:t>(xiii)</w:t>
      </w:r>
      <w:r>
        <w:rPr>
          <w:sz w:val="20"/>
          <w:szCs w:val="20"/>
          <w:color w:val="auto"/>
        </w:rPr>
        <w:tab/>
      </w:r>
      <w:r>
        <w:rPr>
          <w:rFonts w:ascii="Times New Roman" w:cs="Times New Roman" w:eastAsia="Times New Roman" w:hAnsi="Times New Roman"/>
          <w:sz w:val="19"/>
          <w:szCs w:val="19"/>
          <w:color w:val="auto"/>
        </w:rPr>
        <w:t>one-time costs associated with commencing Public Company Compliance;</w:t>
      </w:r>
    </w:p>
    <w:p>
      <w:pPr>
        <w:spacing w:after="0" w:line="21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u w:val="single" w:color="auto"/>
          <w:color w:val="auto"/>
        </w:rPr>
        <w:t>minus</w:t>
      </w:r>
      <w:r>
        <w:rPr>
          <w:rFonts w:ascii="Times New Roman" w:cs="Times New Roman" w:eastAsia="Times New Roman" w:hAnsi="Times New Roman"/>
          <w:sz w:val="20"/>
          <w:szCs w:val="20"/>
          <w:color w:val="auto"/>
        </w:rPr>
        <w:t xml:space="preserve"> (b) the sum of (without duplication and to the extent the amounts described in this clause (b) increased such Consolidated Net Income for the respective period for which EBITDA is being determined) non-cash items increasing Consolidated Net Income of the Borrower and the Subsidiaries for such period (but excluding any such items (A) in respect of which cash was received in a prior period or will be received in a future period or (B) which represent the reversal of any accrual of, or cash reserve for, anticipated cash charges that reduced EBITDA in any prior period).</w:t>
      </w:r>
    </w:p>
    <w:p>
      <w:pPr>
        <w:spacing w:after="0" w:line="16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ECF Threshold Amount</w:t>
      </w:r>
      <w:r>
        <w:rPr>
          <w:rFonts w:ascii="Times New Roman" w:cs="Times New Roman" w:eastAsia="Times New Roman" w:hAnsi="Times New Roman"/>
          <w:sz w:val="20"/>
          <w:szCs w:val="20"/>
          <w:color w:val="auto"/>
        </w:rPr>
        <w:t>” shall have the meaning assigned to such term in Section 2.11(c).</w:t>
      </w:r>
    </w:p>
    <w:p>
      <w:pPr>
        <w:spacing w:after="0" w:line="202" w:lineRule="exact"/>
        <w:rPr>
          <w:sz w:val="20"/>
          <w:szCs w:val="20"/>
          <w:color w:val="auto"/>
        </w:rPr>
      </w:pPr>
    </w:p>
    <w:p>
      <w:pPr>
        <w:jc w:val="both"/>
        <w:ind w:firstLine="1296"/>
        <w:spacing w:after="0" w:line="27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EEA Financial Institution</w:t>
      </w:r>
      <w:r>
        <w:rPr>
          <w:rFonts w:ascii="Times New Roman" w:cs="Times New Roman" w:eastAsia="Times New Roman" w:hAnsi="Times New Roman"/>
          <w:sz w:val="19"/>
          <w:szCs w:val="19"/>
          <w:color w:val="auto"/>
        </w:rPr>
        <w:t>” shall mean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4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EEA Member Country</w:t>
      </w:r>
      <w:r>
        <w:rPr>
          <w:rFonts w:ascii="Times New Roman" w:cs="Times New Roman" w:eastAsia="Times New Roman" w:hAnsi="Times New Roman"/>
          <w:sz w:val="20"/>
          <w:szCs w:val="20"/>
          <w:color w:val="auto"/>
        </w:rPr>
        <w:t>” shall mean any of the member states of the European Union, Iceland, Liechtenstein, and Norway.</w:t>
      </w:r>
    </w:p>
    <w:p>
      <w:pPr>
        <w:spacing w:after="0" w:line="21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EEA Resolution Authority</w:t>
      </w:r>
      <w:r>
        <w:rPr>
          <w:rFonts w:ascii="Times New Roman" w:cs="Times New Roman" w:eastAsia="Times New Roman" w:hAnsi="Times New Roman"/>
          <w:sz w:val="20"/>
          <w:szCs w:val="20"/>
          <w:color w:val="auto"/>
        </w:rPr>
        <w:t>” shall mean any public administrative authority or any person entrusted with public administrative authority of any EEA Member Country (including any delegee) having responsibility for the resolution of any EEA Financial Institution.</w:t>
      </w:r>
    </w:p>
    <w:p>
      <w:pPr>
        <w:spacing w:after="0" w:line="154" w:lineRule="exact"/>
        <w:rPr>
          <w:sz w:val="20"/>
          <w:szCs w:val="20"/>
          <w:color w:val="auto"/>
        </w:rPr>
      </w:pPr>
    </w:p>
    <w:p>
      <w:pPr>
        <w:jc w:val="both"/>
        <w:ind w:right="20"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EMU Legislation</w:t>
      </w:r>
      <w:r>
        <w:rPr>
          <w:rFonts w:ascii="Times New Roman" w:cs="Times New Roman" w:eastAsia="Times New Roman" w:hAnsi="Times New Roman"/>
          <w:sz w:val="20"/>
          <w:szCs w:val="20"/>
          <w:color w:val="auto"/>
        </w:rPr>
        <w:t>” shall mean the legislative measures of the European Council for the introduction of, changeover to or operation of a single or unified European currency.</w:t>
      </w:r>
    </w:p>
    <w:p>
      <w:pPr>
        <w:spacing w:after="0" w:line="133"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Environment</w:t>
      </w:r>
      <w:r>
        <w:rPr>
          <w:rFonts w:ascii="Times New Roman" w:cs="Times New Roman" w:eastAsia="Times New Roman" w:hAnsi="Times New Roman"/>
          <w:sz w:val="20"/>
          <w:szCs w:val="20"/>
          <w:color w:val="auto"/>
        </w:rPr>
        <w:t>” shall mean ambient and indoor air, surface water and groundwater (including potable water, navigable water and wetlands), the land surface or subsurface strata, natural resources such as flora and fauna, the workplace or as otherwise defined in any Environmental Law.</w:t>
      </w:r>
    </w:p>
    <w:p>
      <w:pPr>
        <w:spacing w:after="0" w:line="154"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Environmental Laws</w:t>
      </w:r>
      <w:r>
        <w:rPr>
          <w:rFonts w:ascii="Times New Roman" w:cs="Times New Roman" w:eastAsia="Times New Roman" w:hAnsi="Times New Roman"/>
          <w:sz w:val="20"/>
          <w:szCs w:val="20"/>
          <w:color w:val="auto"/>
        </w:rPr>
        <w:t>” shall mean all applicable laws (including common law), rules, regulations, codes, ordinances, orders, binding agreements, decrees or judgments, promulgated or entered into by or with any Governmental Authority, relating in any way to the Environment, preservation or reclamation of natural resources, the generation, use, transport, management, Release or threatened Release of, or exposure to, any Hazardous Material or to public or employee health and safety matters (to the extent relating to the Environment or Hazardous Materials).</w:t>
      </w:r>
    </w:p>
    <w:p>
      <w:pPr>
        <w:spacing w:after="0" w:line="15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Environmental Permits</w:t>
      </w:r>
      <w:r>
        <w:rPr>
          <w:rFonts w:ascii="Times New Roman" w:cs="Times New Roman" w:eastAsia="Times New Roman" w:hAnsi="Times New Roman"/>
          <w:sz w:val="20"/>
          <w:szCs w:val="20"/>
          <w:color w:val="auto"/>
        </w:rPr>
        <w:t>” shall have the meaning assigned to such term in Section 3.16.</w:t>
      </w:r>
    </w:p>
    <w:p>
      <w:pPr>
        <w:spacing w:after="0" w:line="202"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Equity Interests</w:t>
      </w:r>
      <w:r>
        <w:rPr>
          <w:rFonts w:ascii="Times New Roman" w:cs="Times New Roman" w:eastAsia="Times New Roman" w:hAnsi="Times New Roman"/>
          <w:sz w:val="20"/>
          <w:szCs w:val="20"/>
          <w:color w:val="auto"/>
        </w:rPr>
        <w:t>” of any person shall mean any and all shares, interests, rights to purchase or otherwise acquire, warrants, options, participations or other equivalents of or interests in (however designated) equity or ownership of such person, including any preferred stock, any limited or general partnership interest and any limited liability company membership interest, and any securities or other rights or interests convertible into or exchangeable for any of the foregoing.</w:t>
      </w:r>
    </w:p>
    <w:p>
      <w:pPr>
        <w:sectPr>
          <w:pgSz w:w="11900" w:h="16838" w:orient="portrait"/>
          <w:cols w:equalWidth="0" w:num="1">
            <w:col w:w="11240"/>
          </w:cols>
          <w:pgMar w:left="320" w:top="108" w:right="339" w:bottom="1440" w:gutter="0" w:footer="0" w:header="0"/>
        </w:sectPr>
      </w:pPr>
    </w:p>
    <w:bookmarkStart w:id="210" w:name="page211"/>
    <w:bookmarkEnd w:id="210"/>
    <w:p>
      <w:pPr>
        <w:jc w:val="right"/>
        <w:spacing w:after="0"/>
        <w:rPr>
          <w:sz w:val="20"/>
          <w:szCs w:val="20"/>
          <w:color w:val="auto"/>
        </w:rPr>
      </w:pPr>
      <w:r>
        <w:rPr>
          <w:rFonts w:ascii="Times New Roman" w:cs="Times New Roman" w:eastAsia="Times New Roman" w:hAnsi="Times New Roman"/>
          <w:sz w:val="22"/>
          <w:szCs w:val="22"/>
          <w:color w:val="FF0000"/>
          <w:strike w:val="1"/>
        </w:rPr>
        <w:t>ANNEX</w:t>
      </w:r>
      <w:r>
        <w:rPr>
          <w:rFonts w:ascii="Times New Roman" w:cs="Times New Roman" w:eastAsia="Times New Roman" w:hAnsi="Times New Roman"/>
          <w:sz w:val="22"/>
          <w:szCs w:val="22"/>
          <w:b w:val="1"/>
          <w:bCs w:val="1"/>
          <w:u w:val="single" w:color="auto"/>
          <w:color w:val="0000FF"/>
        </w:rPr>
        <w:t>EXHIBIT</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ERISA</w:t>
      </w:r>
      <w:r>
        <w:rPr>
          <w:rFonts w:ascii="Times New Roman" w:cs="Times New Roman" w:eastAsia="Times New Roman" w:hAnsi="Times New Roman"/>
          <w:sz w:val="20"/>
          <w:szCs w:val="20"/>
          <w:color w:val="auto"/>
        </w:rPr>
        <w:t>” shall mean the Employee Retirement Income Security Act of 1974, as the same may be amended from time to time and any final regulations promulgated and the rulings issued thereunder.</w:t>
      </w:r>
    </w:p>
    <w:p>
      <w:pPr>
        <w:spacing w:after="0" w:line="133"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ERISA Affiliate</w:t>
      </w:r>
      <w:r>
        <w:rPr>
          <w:rFonts w:ascii="Times New Roman" w:cs="Times New Roman" w:eastAsia="Times New Roman" w:hAnsi="Times New Roman"/>
          <w:sz w:val="20"/>
          <w:szCs w:val="20"/>
          <w:color w:val="auto"/>
        </w:rPr>
        <w:t>” shall mean any trade or business (whether or not incorporated) that, together with Holdings, the Borrower or a Subsidiary, is treated as a single employer under Section 414(b) or (c) of the Code, or, solely for purposes of Section 302 of ERISA and Section 412 of the Code, is treated as a single employer under Section 414 of the Code.</w:t>
      </w:r>
    </w:p>
    <w:p>
      <w:pPr>
        <w:spacing w:after="0" w:line="154"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ERISA Event</w:t>
      </w:r>
      <w:r>
        <w:rPr>
          <w:rFonts w:ascii="Times New Roman" w:cs="Times New Roman" w:eastAsia="Times New Roman" w:hAnsi="Times New Roman"/>
          <w:sz w:val="20"/>
          <w:szCs w:val="20"/>
          <w:color w:val="auto"/>
        </w:rPr>
        <w:t>” shall mean (a) any Reportable Event or the requirements of Section 4043(b) of ERISA apply with respect to a Plan; (b) with respect to any Plan, the failure to satisfy the minimum funding standard under Section 412 of the Code or Section 302 of ERISA, whether or not waived; (c) a determination that any Plan is, or is expected to be, in “at-risk” status (as defined in Section 303(i)(4) of ERISA or Section 430(i)(4) of the Code); (d) the filing pursuant to Section 412(c) of the Code or Section 302(c) of ERISA of an application for a waiver of the minimum funding standard with respect to any Plan, the failure to make by its due date a required installment under Section 430(j) of the Code with respect to any Plan or the failure to make any required contribution to a Multiemployer Plan; (e) the incurrence by Holdings, the Borrower, a Subsidiary or any ERISA Affiliate of any liability under Title IV of ERISA with respect to the termination of any Plan or Multiemployer Plan; (f) the receipt by Holdings, the Borrower, a Subsidiary or any ERISA Affiliate from the PBGC or a plan administrator of any notice relating to an intention to terminate any Plan or to appoint a trustee to administer any Plan under Section 4042 of ERISA; (g) the incurrence by Holdings, the Borrower, a Subsidiary or any ERISA Affiliate of any liability with respect to the withdrawal or partial withdrawal from any Plan or Multiemployer Plan; (h) the receipt by Holdings, the Borrower, a Subsidiary or any ERISA Affiliate of any notice, or the receipt by any Multiemployer Plan from Holdings, the Borrower, a Subsidiary or any ERISA Affiliate of any notice, concerning the impending imposition of Withdrawal Liability or a determination that a Multiemployer Plan is, or is expected to be, insolvent, within the meaning of Title IV of ERISA, or in “endangered” or “critical” status, within the meaning of Section 432 of the Code or Section 305 of ERISA; (i) the conditions for imposition of a lien under Section 303(k) of ERISA shall have been met with respect to any Plan; or (j) the withdrawal of any of Holdings, the Borrower, a Subsidiary or any ERISA Affiliate from a Plan subject to Section 4063 of ERISA during a plan year in which such entity was a “substantial employer” as defined in Section 4001(a)(2) of ERISA or a cessation of operations that is treated as such a withdrawal under Section 4062(e) of ERISA.</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b w:val="1"/>
          <w:bCs w:val="1"/>
          <w:u w:val="single" w:color="auto"/>
          <w:color w:val="0000FF"/>
        </w:rPr>
        <w:t>“Erroneous Payment” shall have the meaning assigned to it in Section 8.14(i).</w:t>
      </w:r>
    </w:p>
    <w:p>
      <w:pPr>
        <w:spacing w:after="0" w:line="20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b w:val="1"/>
          <w:bCs w:val="1"/>
          <w:u w:val="single" w:color="auto"/>
          <w:color w:val="0000FF"/>
        </w:rPr>
        <w:t>“Erroneous Payment Return Deficiency” shall have the meaning assigned to it in Section 8.14(iii).</w:t>
      </w:r>
    </w:p>
    <w:p>
      <w:pPr>
        <w:spacing w:after="0" w:line="206"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EU Bail-In Legislation Schedule</w:t>
      </w:r>
      <w:r>
        <w:rPr>
          <w:rFonts w:ascii="Times New Roman" w:cs="Times New Roman" w:eastAsia="Times New Roman" w:hAnsi="Times New Roman"/>
          <w:sz w:val="20"/>
          <w:szCs w:val="20"/>
          <w:color w:val="auto"/>
        </w:rPr>
        <w:t>” shall mean the EU Bail-In Legislation Schedule published by the Loan Market Association (or any successor person), as in effect from time to time.</w:t>
      </w:r>
    </w:p>
    <w:p>
      <w:pPr>
        <w:spacing w:after="0" w:line="1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Euro</w:t>
      </w:r>
      <w:r>
        <w:rPr>
          <w:rFonts w:ascii="Times New Roman" w:cs="Times New Roman" w:eastAsia="Times New Roman" w:hAnsi="Times New Roman"/>
          <w:sz w:val="20"/>
          <w:szCs w:val="20"/>
          <w:color w:val="auto"/>
        </w:rPr>
        <w:t>” shall mean the lawful currency of the Participating Member States introduced in accordance with the EMU</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Legislation.</w:t>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Event of Default</w:t>
      </w:r>
      <w:r>
        <w:rPr>
          <w:rFonts w:ascii="Times New Roman" w:cs="Times New Roman" w:eastAsia="Times New Roman" w:hAnsi="Times New Roman"/>
          <w:sz w:val="20"/>
          <w:szCs w:val="20"/>
          <w:color w:val="auto"/>
        </w:rPr>
        <w:t>” shall have the meaning assigned to such term in Section 7.01.</w:t>
      </w:r>
    </w:p>
    <w:p>
      <w:pPr>
        <w:spacing w:after="0" w:line="202" w:lineRule="exact"/>
        <w:rPr>
          <w:sz w:val="20"/>
          <w:szCs w:val="20"/>
          <w:color w:val="auto"/>
        </w:rPr>
      </w:pPr>
    </w:p>
    <w:p>
      <w:pPr>
        <w:jc w:val="both"/>
        <w:ind w:firstLine="1296"/>
        <w:spacing w:after="0" w:line="31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Excess Cash Flow</w:t>
      </w:r>
      <w:r>
        <w:rPr>
          <w:rFonts w:ascii="Times New Roman" w:cs="Times New Roman" w:eastAsia="Times New Roman" w:hAnsi="Times New Roman"/>
          <w:sz w:val="19"/>
          <w:szCs w:val="19"/>
          <w:color w:val="auto"/>
        </w:rPr>
        <w:t xml:space="preserve">” shall mean, with respect to the Borrower and its Subsidiaries on a consolidated basis for any Applicable Period, EBITDA of the Borrower and its Subsidiaries on a consolidated basis for such Applicable Period, </w:t>
      </w:r>
      <w:r>
        <w:rPr>
          <w:rFonts w:ascii="Times New Roman" w:cs="Times New Roman" w:eastAsia="Times New Roman" w:hAnsi="Times New Roman"/>
          <w:sz w:val="19"/>
          <w:szCs w:val="19"/>
          <w:u w:val="single" w:color="auto"/>
          <w:color w:val="auto"/>
        </w:rPr>
        <w:t>minus</w:t>
      </w:r>
      <w:r>
        <w:rPr>
          <w:rFonts w:ascii="Times New Roman" w:cs="Times New Roman" w:eastAsia="Times New Roman" w:hAnsi="Times New Roman"/>
          <w:sz w:val="19"/>
          <w:szCs w:val="19"/>
          <w:color w:val="auto"/>
        </w:rPr>
        <w:t>, without duplication, (A):</w:t>
      </w:r>
    </w:p>
    <w:p>
      <w:pPr>
        <w:sectPr>
          <w:pgSz w:w="11900" w:h="16838" w:orient="portrait"/>
          <w:cols w:equalWidth="0" w:num="1">
            <w:col w:w="11240"/>
          </w:cols>
          <w:pgMar w:left="320" w:top="108" w:right="339" w:bottom="1440" w:gutter="0" w:footer="0" w:header="0"/>
        </w:sectPr>
      </w:pPr>
    </w:p>
    <w:bookmarkStart w:id="211" w:name="page212"/>
    <w:bookmarkEnd w:id="211"/>
    <w:p>
      <w:pPr>
        <w:jc w:val="right"/>
        <w:spacing w:after="0"/>
        <w:rPr>
          <w:sz w:val="20"/>
          <w:szCs w:val="20"/>
          <w:color w:val="auto"/>
        </w:rPr>
      </w:pPr>
      <w:r>
        <w:rPr>
          <w:rFonts w:ascii="Times New Roman" w:cs="Times New Roman" w:eastAsia="Times New Roman" w:hAnsi="Times New Roman"/>
          <w:sz w:val="22"/>
          <w:szCs w:val="22"/>
          <w:color w:val="FF0000"/>
          <w:strike w:val="1"/>
        </w:rPr>
        <w:t>ANNEX</w:t>
      </w:r>
      <w:r>
        <w:rPr>
          <w:rFonts w:ascii="Times New Roman" w:cs="Times New Roman" w:eastAsia="Times New Roman" w:hAnsi="Times New Roman"/>
          <w:sz w:val="22"/>
          <w:szCs w:val="22"/>
          <w:b w:val="1"/>
          <w:bCs w:val="1"/>
          <w:u w:val="single" w:color="auto"/>
          <w:color w:val="0000FF"/>
        </w:rPr>
        <w:t>EXHIBIT</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064" w:hanging="416"/>
        <w:spacing w:after="0"/>
        <w:tabs>
          <w:tab w:leader="none" w:pos="1064" w:val="left"/>
        </w:tabs>
        <w:numPr>
          <w:ilvl w:val="1"/>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Debt Service for such Applicable Period,</w:t>
      </w:r>
    </w:p>
    <w:p>
      <w:pPr>
        <w:spacing w:after="0" w:line="229" w:lineRule="exact"/>
        <w:rPr>
          <w:rFonts w:ascii="Times New Roman" w:cs="Times New Roman" w:eastAsia="Times New Roman" w:hAnsi="Times New Roman"/>
          <w:sz w:val="20"/>
          <w:szCs w:val="20"/>
          <w:color w:val="auto"/>
        </w:rPr>
      </w:pPr>
    </w:p>
    <w:p>
      <w:pPr>
        <w:jc w:val="both"/>
        <w:ind w:left="4" w:firstLine="644"/>
        <w:spacing w:after="0" w:line="253" w:lineRule="auto"/>
        <w:tabs>
          <w:tab w:leader="none" w:pos="1120" w:val="left"/>
        </w:tabs>
        <w:numPr>
          <w:ilvl w:val="1"/>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amount of any voluntary payment permitted hereunder of term Indebtedness during such Applicable Period (other than any voluntary prepayment of the Term Loans, which shall be the subject of Section 2.11(c)(ii)(A)) and the amount of any voluntary payments of revolving Indebtedness to the extent accompanied by permanent reductions of any revolving facility commitments during such Applicable Period (other than any voluntary prepayments of the Revolving Facility Commitment, which shall be the subject of Section 2.11(c)(ii)(B)), so long as the amount of such prepayment is not already reflected in Debt Service,</w:t>
      </w:r>
    </w:p>
    <w:p>
      <w:pPr>
        <w:spacing w:after="0" w:line="191" w:lineRule="exact"/>
        <w:rPr>
          <w:rFonts w:ascii="Times New Roman" w:cs="Times New Roman" w:eastAsia="Times New Roman" w:hAnsi="Times New Roman"/>
          <w:sz w:val="20"/>
          <w:szCs w:val="20"/>
          <w:color w:val="auto"/>
        </w:rPr>
      </w:pPr>
    </w:p>
    <w:p>
      <w:pPr>
        <w:jc w:val="both"/>
        <w:ind w:left="4" w:firstLine="644"/>
        <w:spacing w:after="0" w:line="253" w:lineRule="auto"/>
        <w:tabs>
          <w:tab w:leader="none" w:pos="1126" w:val="left"/>
        </w:tabs>
        <w:numPr>
          <w:ilvl w:val="1"/>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Capital Expenditures by the Borrower and the Subsidiaries on a consolidated basis during such Applicable Period that are paid in cash and (ii) the aggregate consideration paid in cash during the Applicable Period in respect of Permitted Business Acquisitions, New Project expenditures and other Investments permitted hereunder (excluding Permitted Investments, intercompany Investments in Subsidiaries and Investments made pursuant to Section 6.04(j)(Y) (unless made pursuant to clause (a) of the definition of “Cumulative Credit”)) and payments in respect of restructuring activities,</w:t>
      </w:r>
    </w:p>
    <w:p>
      <w:pPr>
        <w:spacing w:after="0" w:line="191" w:lineRule="exact"/>
        <w:rPr>
          <w:rFonts w:ascii="Times New Roman" w:cs="Times New Roman" w:eastAsia="Times New Roman" w:hAnsi="Times New Roman"/>
          <w:sz w:val="20"/>
          <w:szCs w:val="20"/>
          <w:color w:val="auto"/>
        </w:rPr>
      </w:pPr>
    </w:p>
    <w:p>
      <w:pPr>
        <w:jc w:val="both"/>
        <w:ind w:left="4" w:firstLine="644"/>
        <w:spacing w:after="0" w:line="250" w:lineRule="auto"/>
        <w:tabs>
          <w:tab w:leader="none" w:pos="1225" w:val="left"/>
        </w:tabs>
        <w:numPr>
          <w:ilvl w:val="1"/>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Capital Expenditures, Permitted Business Acquisitions, New Project expenditures or other permitted Investments (excluding Permitted Investments and intercompany Investments in Subsidiaries), or payments in respect of planned restructuring activities, that the Borrower or any Subsidiary shall, during such Applicable Period, become obligated to make or otherwise anticipated to make payments with respect thereto but that are not made during such Applicable Period;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(i) the Borrower shall deliver a certificate to the Administrative Agent not later than the date required for the delivery of the certificate pursuant to Section 2.11(c), signed by a Responsible Officer of the Borrower and certifying that payments in respect of such Capital Expenditures, Permitted Business Acquisitions, New Project expenditures or other permitted Investments or planned restructuring activities are expected to be made in the following Excess Cash Flow Period, and (ii) any amount so deducted shall not be deducted again in a subsequent Applicable Period,</w:t>
      </w:r>
    </w:p>
    <w:p>
      <w:pPr>
        <w:spacing w:after="0" w:line="192" w:lineRule="exact"/>
        <w:rPr>
          <w:rFonts w:ascii="Times New Roman" w:cs="Times New Roman" w:eastAsia="Times New Roman" w:hAnsi="Times New Roman"/>
          <w:sz w:val="20"/>
          <w:szCs w:val="20"/>
          <w:color w:val="auto"/>
        </w:rPr>
      </w:pPr>
    </w:p>
    <w:p>
      <w:pPr>
        <w:jc w:val="both"/>
        <w:ind w:left="4" w:firstLine="644"/>
        <w:spacing w:after="0" w:line="265" w:lineRule="auto"/>
        <w:tabs>
          <w:tab w:leader="none" w:pos="1099" w:val="left"/>
        </w:tabs>
        <w:numPr>
          <w:ilvl w:val="1"/>
          <w:numId w:val="1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Taxes paid in cash by Holdings and its Subsidiaries on a consolidated basis during such Applicable Period or that will be paid within six months after the close of such Applicable Period and the amount of any distributions made pursuant to Section 6.06(b)(iii) and Section 6.06(b)(v) during such Applicable Period or that will be made within six months after the close of such Applicable Period;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that with respect to any such amounts to be paid or distributed after the close of such Applicable Period,</w:t>
      </w:r>
    </w:p>
    <w:p>
      <w:pPr>
        <w:spacing w:after="0" w:line="2" w:lineRule="exact"/>
        <w:rPr>
          <w:rFonts w:ascii="Times New Roman" w:cs="Times New Roman" w:eastAsia="Times New Roman" w:hAnsi="Times New Roman"/>
          <w:sz w:val="19"/>
          <w:szCs w:val="19"/>
          <w:color w:val="auto"/>
        </w:rPr>
      </w:pPr>
    </w:p>
    <w:p>
      <w:pPr>
        <w:ind w:left="244" w:hanging="244"/>
        <w:spacing w:after="0"/>
        <w:tabs>
          <w:tab w:leader="none" w:pos="244" w:val="left"/>
        </w:tabs>
        <w:numPr>
          <w:ilvl w:val="0"/>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amount so deducted shall not be deducted again in a subsequent Applicable Period, and (ii) appropriate reserves shall have</w:t>
      </w:r>
    </w:p>
    <w:p>
      <w:pPr>
        <w:spacing w:after="0" w:line="6"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been established in accordance with GAAP,</w:t>
      </w:r>
    </w:p>
    <w:p>
      <w:pPr>
        <w:spacing w:after="0" w:line="200" w:lineRule="exact"/>
        <w:rPr>
          <w:sz w:val="20"/>
          <w:szCs w:val="20"/>
          <w:color w:val="auto"/>
        </w:rPr>
      </w:pPr>
    </w:p>
    <w:p>
      <w:pPr>
        <w:jc w:val="both"/>
        <w:ind w:left="4" w:firstLine="644"/>
        <w:spacing w:after="0" w:line="258" w:lineRule="auto"/>
        <w:tabs>
          <w:tab w:leader="none" w:pos="1175" w:val="left"/>
        </w:tabs>
        <w:numPr>
          <w:ilvl w:val="0"/>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amount equal to any increase in Working Capital (other than any increase arising from the recognition or de-recognition of any Current Assets or Current Liabilities upon an acquisition or disposition of a business) of the Borrower and its Subsidiaries for such Applicable Period and, at the Borrower’s option, any anticipated increase, estimated by the Borrower in good faith, for the following Excess Cash Flow Period,</w:t>
      </w:r>
    </w:p>
    <w:p>
      <w:pPr>
        <w:spacing w:after="0" w:line="185" w:lineRule="exact"/>
        <w:rPr>
          <w:rFonts w:ascii="Times New Roman" w:cs="Times New Roman" w:eastAsia="Times New Roman" w:hAnsi="Times New Roman"/>
          <w:sz w:val="20"/>
          <w:szCs w:val="20"/>
          <w:color w:val="auto"/>
        </w:rPr>
      </w:pPr>
    </w:p>
    <w:p>
      <w:pPr>
        <w:ind w:left="4" w:firstLine="644"/>
        <w:spacing w:after="0" w:line="269" w:lineRule="auto"/>
        <w:tabs>
          <w:tab w:leader="none" w:pos="1093" w:val="left"/>
        </w:tabs>
        <w:numPr>
          <w:ilvl w:val="0"/>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cash expenditures made in respect of Hedging Agreements during such Applicable Period, to the extent not reflected in the computation of EBITDA or Interest Expense,</w:t>
      </w:r>
    </w:p>
    <w:p>
      <w:pPr>
        <w:sectPr>
          <w:pgSz w:w="11900" w:h="16838" w:orient="portrait"/>
          <w:cols w:equalWidth="0" w:num="1">
            <w:col w:w="10584"/>
          </w:cols>
          <w:pgMar w:left="976" w:top="108" w:right="339" w:bottom="1440" w:gutter="0" w:footer="0" w:header="0"/>
        </w:sectPr>
      </w:pPr>
    </w:p>
    <w:bookmarkStart w:id="212" w:name="page213"/>
    <w:bookmarkEnd w:id="212"/>
    <w:p>
      <w:pPr>
        <w:jc w:val="right"/>
        <w:spacing w:after="0"/>
        <w:rPr>
          <w:sz w:val="20"/>
          <w:szCs w:val="20"/>
          <w:color w:val="auto"/>
        </w:rPr>
      </w:pPr>
      <w:r>
        <w:rPr>
          <w:rFonts w:ascii="Times New Roman" w:cs="Times New Roman" w:eastAsia="Times New Roman" w:hAnsi="Times New Roman"/>
          <w:sz w:val="22"/>
          <w:szCs w:val="22"/>
          <w:color w:val="FF0000"/>
          <w:strike w:val="1"/>
        </w:rPr>
        <w:t>ANNEX</w:t>
      </w:r>
      <w:r>
        <w:rPr>
          <w:rFonts w:ascii="Times New Roman" w:cs="Times New Roman" w:eastAsia="Times New Roman" w:hAnsi="Times New Roman"/>
          <w:sz w:val="22"/>
          <w:szCs w:val="22"/>
          <w:b w:val="1"/>
          <w:bCs w:val="1"/>
          <w:u w:val="single" w:color="auto"/>
          <w:color w:val="0000FF"/>
        </w:rPr>
        <w:t>EXHIBIT</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ind w:left="660" w:firstLine="644"/>
        <w:spacing w:after="0" w:line="258" w:lineRule="auto"/>
        <w:tabs>
          <w:tab w:leader="none" w:pos="1793"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permitted Restricted Payments paid in cash by the Borrower during such Applicable Period and permitted Restricted Payments paid by any Subsidiary to any person other than Holdings, the Borrower or any of the Subsidiaries during such Applicable Period, in each case in accordance with Section 6.06 (other than Section 6.06(e) (unless made pursuant to clause (a) of the definition of “Cumulative Credit”)),</w:t>
      </w:r>
    </w:p>
    <w:p>
      <w:pPr>
        <w:spacing w:after="0" w:line="172" w:lineRule="exact"/>
        <w:rPr>
          <w:rFonts w:ascii="Times New Roman" w:cs="Times New Roman" w:eastAsia="Times New Roman" w:hAnsi="Times New Roman"/>
          <w:sz w:val="20"/>
          <w:szCs w:val="20"/>
          <w:color w:val="auto"/>
        </w:rPr>
      </w:pPr>
    </w:p>
    <w:p>
      <w:pPr>
        <w:jc w:val="both"/>
        <w:ind w:left="660" w:firstLine="644"/>
        <w:spacing w:after="0" w:line="258" w:lineRule="auto"/>
        <w:tabs>
          <w:tab w:leader="none" w:pos="1801"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amounts paid in cash during such Applicable Period on account of (A) items that were accounted for as non-cash reductions of Net Income in determining Consolidated Net Income or as non-cash reductions of Consolidated Net Income in determining EBITDA of the Borrower and its Subsidiaries in a prior Applicable Period and (B) reserves or accruals established in purchase accounting,</w:t>
      </w:r>
    </w:p>
    <w:p>
      <w:pPr>
        <w:spacing w:after="0" w:line="185" w:lineRule="exact"/>
        <w:rPr>
          <w:rFonts w:ascii="Times New Roman" w:cs="Times New Roman" w:eastAsia="Times New Roman" w:hAnsi="Times New Roman"/>
          <w:sz w:val="20"/>
          <w:szCs w:val="20"/>
          <w:color w:val="auto"/>
        </w:rPr>
      </w:pPr>
    </w:p>
    <w:p>
      <w:pPr>
        <w:jc w:val="both"/>
        <w:ind w:left="660" w:firstLine="644"/>
        <w:spacing w:after="0" w:line="281" w:lineRule="auto"/>
        <w:tabs>
          <w:tab w:leader="none" w:pos="1693" w:val="left"/>
        </w:tabs>
        <w:numPr>
          <w:ilvl w:val="0"/>
          <w:numId w:val="1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the extent not deducted in the computation of Net Proceeds in respect of any asset disposition or condemnation giving rise thereto, the amount of any mandatory prepayment of Indebtedness (other than Indebtedness created hereunder or under any other Loan Document), together with any interest, premium or penalties required to be paid (and actually paid) in connection therewith,</w:t>
      </w:r>
    </w:p>
    <w:p>
      <w:pPr>
        <w:spacing w:after="0" w:line="164" w:lineRule="exact"/>
        <w:rPr>
          <w:rFonts w:ascii="Times New Roman" w:cs="Times New Roman" w:eastAsia="Times New Roman" w:hAnsi="Times New Roman"/>
          <w:sz w:val="19"/>
          <w:szCs w:val="19"/>
          <w:color w:val="auto"/>
        </w:rPr>
      </w:pPr>
    </w:p>
    <w:p>
      <w:pPr>
        <w:jc w:val="both"/>
        <w:ind w:left="660" w:firstLine="644"/>
        <w:spacing w:after="0" w:line="270" w:lineRule="auto"/>
        <w:tabs>
          <w:tab w:leader="none" w:pos="1845" w:val="left"/>
        </w:tabs>
        <w:numPr>
          <w:ilvl w:val="0"/>
          <w:numId w:val="1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amount related to items that were added to or not deducted from Net Income in calculating Consolidated Net Income or were added to or not deducted from Consolidated Net Income in calculating EBITDA to the extent such items represented a cash payment (other than in respect of Transaction Expenses) which had not reduced Excess Cash Flow upon the accrual thereof in a prior Applicable Period, or an accrual for a cash payment, by the Borrower and its Subsidiaries or did not represent cash received by the Borrower and its Subsidiaries, in each case on a consolidated basis during such Applicable Period, and</w:t>
      </w:r>
    </w:p>
    <w:p>
      <w:pPr>
        <w:spacing w:after="0" w:line="175" w:lineRule="exact"/>
        <w:rPr>
          <w:rFonts w:ascii="Times New Roman" w:cs="Times New Roman" w:eastAsia="Times New Roman" w:hAnsi="Times New Roman"/>
          <w:sz w:val="19"/>
          <w:szCs w:val="19"/>
          <w:color w:val="auto"/>
        </w:rPr>
      </w:pPr>
    </w:p>
    <w:p>
      <w:pPr>
        <w:jc w:val="both"/>
        <w:ind w:left="660" w:firstLine="644"/>
        <w:spacing w:after="0" w:line="261" w:lineRule="auto"/>
        <w:tabs>
          <w:tab w:leader="none" w:pos="1751"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amount of (A) any deductions attributable to minority interests that were added to or not deducted from Net Income in calculating Consolidated Net Income and (B) EBITDA of joint ventures and minority investees added to Consolidated Net Income in calculating EBITDA,</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without duplication, (B):</w:t>
      </w:r>
    </w:p>
    <w:p>
      <w:pPr>
        <w:spacing w:after="0" w:line="229" w:lineRule="exact"/>
        <w:rPr>
          <w:sz w:val="20"/>
          <w:szCs w:val="20"/>
          <w:color w:val="auto"/>
        </w:rPr>
      </w:pPr>
    </w:p>
    <w:p>
      <w:pPr>
        <w:jc w:val="both"/>
        <w:ind w:left="660" w:firstLine="644"/>
        <w:spacing w:after="0" w:line="261" w:lineRule="auto"/>
        <w:tabs>
          <w:tab w:leader="none" w:pos="1838" w:val="left"/>
        </w:tabs>
        <w:numPr>
          <w:ilvl w:val="0"/>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amount equal to any decrease in Working Capital (other than any decrease arising from the recognition or de-recognition of any Current Assets or Current Liabilities upon an acquisition or disposition of a business) of the Borrower and its Subsidiaries for such Applicable Period,</w:t>
      </w:r>
    </w:p>
    <w:p>
      <w:pPr>
        <w:spacing w:after="0" w:line="181" w:lineRule="exact"/>
        <w:rPr>
          <w:rFonts w:ascii="Times New Roman" w:cs="Times New Roman" w:eastAsia="Times New Roman" w:hAnsi="Times New Roman"/>
          <w:sz w:val="20"/>
          <w:szCs w:val="20"/>
          <w:color w:val="auto"/>
        </w:rPr>
      </w:pPr>
    </w:p>
    <w:p>
      <w:pPr>
        <w:jc w:val="both"/>
        <w:ind w:left="660" w:firstLine="644"/>
        <w:spacing w:after="0" w:line="253" w:lineRule="auto"/>
        <w:tabs>
          <w:tab w:leader="none" w:pos="1741" w:val="left"/>
        </w:tabs>
        <w:numPr>
          <w:ilvl w:val="0"/>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amounts referred to in clauses (A)(b), (A)(c) and (A)(d) above to the extent funded with the proceeds of the issuance or the incurrence of Indebtedness (including Capitalized Lease Obligations and purchase money Indebtedness, but excluding proceeds of extensions of credit under any revolving credit facility), the sale or issuance of any Equity Interests (including any capital contributions) and any loss, damage, destruction or condemnation of, or any sale, transfer or other disposition (including any sale and leaseback of assets and any mortgage or lease of Real Property) to any person of any asset or assets, in each case to the extent there is a corresponding deduction from Excess Cash Flow above,</w:t>
      </w:r>
    </w:p>
    <w:p>
      <w:pPr>
        <w:spacing w:after="0" w:line="178" w:lineRule="exact"/>
        <w:rPr>
          <w:rFonts w:ascii="Times New Roman" w:cs="Times New Roman" w:eastAsia="Times New Roman" w:hAnsi="Times New Roman"/>
          <w:sz w:val="20"/>
          <w:szCs w:val="20"/>
          <w:color w:val="auto"/>
        </w:rPr>
      </w:pPr>
    </w:p>
    <w:p>
      <w:pPr>
        <w:jc w:val="both"/>
        <w:ind w:left="660" w:firstLine="644"/>
        <w:spacing w:after="0" w:line="261" w:lineRule="auto"/>
        <w:tabs>
          <w:tab w:leader="none" w:pos="1878" w:val="left"/>
        </w:tabs>
        <w:numPr>
          <w:ilvl w:val="0"/>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any permitted Capital Expenditures, Permitted Business Acquisitions, New Project expenditures or permitted Investments or payments in respect of planned restructuring activities referred to in clause (A)(d) above do not occur in the following</w:t>
      </w:r>
    </w:p>
    <w:p>
      <w:pPr>
        <w:sectPr>
          <w:pgSz w:w="11900" w:h="16838" w:orient="portrait"/>
          <w:cols w:equalWidth="0" w:num="1">
            <w:col w:w="11240"/>
          </w:cols>
          <w:pgMar w:left="320" w:top="108" w:right="339" w:bottom="1440" w:gutter="0" w:footer="0" w:header="0"/>
        </w:sectPr>
      </w:pPr>
    </w:p>
    <w:bookmarkStart w:id="213" w:name="page214"/>
    <w:bookmarkEnd w:id="213"/>
    <w:p>
      <w:pPr>
        <w:jc w:val="right"/>
        <w:spacing w:after="0"/>
        <w:rPr>
          <w:sz w:val="20"/>
          <w:szCs w:val="20"/>
          <w:color w:val="auto"/>
        </w:rPr>
      </w:pPr>
      <w:r>
        <w:rPr>
          <w:rFonts w:ascii="Times New Roman" w:cs="Times New Roman" w:eastAsia="Times New Roman" w:hAnsi="Times New Roman"/>
          <w:sz w:val="22"/>
          <w:szCs w:val="22"/>
          <w:color w:val="FF0000"/>
          <w:strike w:val="1"/>
        </w:rPr>
        <w:t>ANNEX</w:t>
      </w:r>
      <w:r>
        <w:rPr>
          <w:rFonts w:ascii="Times New Roman" w:cs="Times New Roman" w:eastAsia="Times New Roman" w:hAnsi="Times New Roman"/>
          <w:sz w:val="22"/>
          <w:szCs w:val="22"/>
          <w:b w:val="1"/>
          <w:bCs w:val="1"/>
          <w:u w:val="single" w:color="auto"/>
          <w:color w:val="0000FF"/>
        </w:rPr>
        <w:t>EXHIBIT</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20"/>
          <w:szCs w:val="20"/>
          <w:color w:val="auto"/>
        </w:rPr>
        <w:t>Applicable Period of the Borrower specified in the certificate of the Borrower provided pursuant to clause (A)(d) above, the amount of such Capital Expenditures, Permitted Business Acquisitions, New Project expenditures or permitted Investments or payments in respect of planned restructuring activities that were not so made in such following Applicable Period,</w:t>
      </w:r>
    </w:p>
    <w:p>
      <w:pPr>
        <w:spacing w:after="0" w:line="181" w:lineRule="exact"/>
        <w:rPr>
          <w:sz w:val="20"/>
          <w:szCs w:val="20"/>
          <w:color w:val="auto"/>
        </w:rPr>
      </w:pPr>
    </w:p>
    <w:p>
      <w:pPr>
        <w:ind w:left="660" w:right="20" w:firstLine="644"/>
        <w:spacing w:after="0" w:line="269" w:lineRule="auto"/>
        <w:tabs>
          <w:tab w:leader="none" w:pos="1755"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cash payments received in respect of Hedging Agreements during such Applicable Period to the extent (i) not included in the computation of EBITDA or (ii) such payments do not reduce Cash Interest Expense,</w:t>
      </w:r>
    </w:p>
    <w:p>
      <w:pPr>
        <w:spacing w:after="0" w:line="172" w:lineRule="exact"/>
        <w:rPr>
          <w:rFonts w:ascii="Times New Roman" w:cs="Times New Roman" w:eastAsia="Times New Roman" w:hAnsi="Times New Roman"/>
          <w:sz w:val="20"/>
          <w:szCs w:val="20"/>
          <w:color w:val="auto"/>
        </w:rPr>
      </w:pPr>
    </w:p>
    <w:p>
      <w:pPr>
        <w:ind w:left="660" w:firstLine="644"/>
        <w:spacing w:after="0" w:line="283" w:lineRule="auto"/>
        <w:tabs>
          <w:tab w:leader="none" w:pos="1769"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extraordinary or nonrecurring gain realized in cash during such Applicable Period (except to the extent such gain consists of Net Proceeds subject to Section 2.11(b)), and</w:t>
      </w:r>
    </w:p>
    <w:p>
      <w:pPr>
        <w:spacing w:after="0" w:line="146" w:lineRule="exact"/>
        <w:rPr>
          <w:rFonts w:ascii="Times New Roman" w:cs="Times New Roman" w:eastAsia="Times New Roman" w:hAnsi="Times New Roman"/>
          <w:sz w:val="20"/>
          <w:szCs w:val="20"/>
          <w:color w:val="auto"/>
        </w:rPr>
      </w:pPr>
    </w:p>
    <w:p>
      <w:pPr>
        <w:jc w:val="both"/>
        <w:ind w:left="660" w:firstLine="644"/>
        <w:spacing w:after="0" w:line="258" w:lineRule="auto"/>
        <w:tabs>
          <w:tab w:leader="none" w:pos="1839"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amount related to items that were deducted from or not added to Net Income in connection with calculating Consolidated Net Income or were deducted from or not added to Consolidated Net Income in calculating EBITDA to the extent either (i) such items represented cash received by the Borrower or any Subsidiary or (ii) such items do not represent cash paid by the Borrower or any Subsidiary, in each case on a consolidated basis during such Applicable Period.</w:t>
      </w:r>
    </w:p>
    <w:p>
      <w:pPr>
        <w:spacing w:after="0" w:line="159"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Excess Cash Flow Interim Period</w:t>
      </w:r>
      <w:r>
        <w:rPr>
          <w:rFonts w:ascii="Times New Roman" w:cs="Times New Roman" w:eastAsia="Times New Roman" w:hAnsi="Times New Roman"/>
          <w:sz w:val="20"/>
          <w:szCs w:val="20"/>
          <w:color w:val="auto"/>
        </w:rPr>
        <w:t>” shall mean, (x) during any Excess Cash Flow Period, any one, two, or three-quarter period (a) commencing on the later of (i) the end of the immediately preceding Excess Cash Flow Period and (ii) if applicable, the end of any prior Excess Cash Flow Interim Period occurring during the same Excess Cash Flow Period and (b) ending on the last day of the most recently ended fiscal quarter (other than the last day of the fiscal year) during such Excess Cash Flow Period for which financial statements are available and (y) during the period from the Closing Date until the beginning of the first Excess Cash Flow Period, any period commencing on the Closing Date and ending on the last day of the most recently ended fiscal quarter for which financial statements are available.</w:t>
      </w:r>
    </w:p>
    <w:p>
      <w:pPr>
        <w:spacing w:after="0" w:line="166"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Excess Cash Flow Period</w:t>
      </w:r>
      <w:r>
        <w:rPr>
          <w:rFonts w:ascii="Times New Roman" w:cs="Times New Roman" w:eastAsia="Times New Roman" w:hAnsi="Times New Roman"/>
          <w:sz w:val="20"/>
          <w:szCs w:val="20"/>
          <w:color w:val="auto"/>
        </w:rPr>
        <w:t>” shall mean each fiscal year of the Borrower, commencing with the fiscal year of the Borrower ending December 31, 2017.</w:t>
      </w:r>
    </w:p>
    <w:p>
      <w:pPr>
        <w:spacing w:after="0" w:line="1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Exchange Act</w:t>
      </w:r>
      <w:r>
        <w:rPr>
          <w:rFonts w:ascii="Times New Roman" w:cs="Times New Roman" w:eastAsia="Times New Roman" w:hAnsi="Times New Roman"/>
          <w:sz w:val="20"/>
          <w:szCs w:val="20"/>
          <w:color w:val="auto"/>
        </w:rPr>
        <w:t>” shall mean the Securities Exchange Act of 1934, as amended.</w:t>
      </w:r>
    </w:p>
    <w:p>
      <w:pPr>
        <w:spacing w:after="0" w:line="202"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Excluded Contributions</w:t>
      </w:r>
      <w:r>
        <w:rPr>
          <w:rFonts w:ascii="Times New Roman" w:cs="Times New Roman" w:eastAsia="Times New Roman" w:hAnsi="Times New Roman"/>
          <w:sz w:val="20"/>
          <w:szCs w:val="20"/>
          <w:color w:val="auto"/>
        </w:rPr>
        <w:t>” shall mean the cash and the fair market value of assets other than cash (as determined by the Borrower in good faith) received by the Borrower after the Closing Date from: (a) contributions to its common Equity Interests, and (b) the sale or issuance (other than to a Subsidiary of the Borrower or to any Subsidiary management equity plan or stock option plan or any other management or employee benefit plan or agreement) of Qualified Equity Interests of the Borrower, in each case designated as Excluded Contributions by Holdings or the Borrower on or promptly after the date such capital contributions are made or the date such Equity Interest is sold or issued, as the case may be.</w:t>
      </w:r>
    </w:p>
    <w:p>
      <w:pPr>
        <w:spacing w:after="0" w:line="16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Excluded Indebtedness</w:t>
      </w:r>
      <w:r>
        <w:rPr>
          <w:rFonts w:ascii="Times New Roman" w:cs="Times New Roman" w:eastAsia="Times New Roman" w:hAnsi="Times New Roman"/>
          <w:sz w:val="20"/>
          <w:szCs w:val="20"/>
          <w:color w:val="auto"/>
        </w:rPr>
        <w:t>” shall mean all Indebtedness not incurred in violation of Section 6.01.</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Excluded Property</w:t>
      </w:r>
      <w:r>
        <w:rPr>
          <w:rFonts w:ascii="Times New Roman" w:cs="Times New Roman" w:eastAsia="Times New Roman" w:hAnsi="Times New Roman"/>
          <w:sz w:val="20"/>
          <w:szCs w:val="20"/>
          <w:color w:val="auto"/>
        </w:rPr>
        <w:t>” shall have the meaning assigned to such term in Section 5.10(g).</w:t>
      </w:r>
    </w:p>
    <w:p>
      <w:pPr>
        <w:spacing w:after="0" w:line="20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Excluded Securities</w:t>
      </w:r>
      <w:r>
        <w:rPr>
          <w:rFonts w:ascii="Times New Roman" w:cs="Times New Roman" w:eastAsia="Times New Roman" w:hAnsi="Times New Roman"/>
          <w:sz w:val="20"/>
          <w:szCs w:val="20"/>
          <w:color w:val="auto"/>
        </w:rPr>
        <w:t>” shall mean any of the following:</w:t>
      </w:r>
    </w:p>
    <w:p>
      <w:pPr>
        <w:sectPr>
          <w:pgSz w:w="11900" w:h="16838" w:orient="portrait"/>
          <w:cols w:equalWidth="0" w:num="1">
            <w:col w:w="11240"/>
          </w:cols>
          <w:pgMar w:left="320" w:top="108" w:right="339" w:bottom="1440" w:gutter="0" w:footer="0" w:header="0"/>
        </w:sectPr>
      </w:pPr>
    </w:p>
    <w:bookmarkStart w:id="214" w:name="page215"/>
    <w:bookmarkEnd w:id="214"/>
    <w:p>
      <w:pPr>
        <w:jc w:val="right"/>
        <w:spacing w:after="0"/>
        <w:rPr>
          <w:sz w:val="20"/>
          <w:szCs w:val="20"/>
          <w:color w:val="auto"/>
        </w:rPr>
      </w:pPr>
      <w:r>
        <w:rPr>
          <w:rFonts w:ascii="Times New Roman" w:cs="Times New Roman" w:eastAsia="Times New Roman" w:hAnsi="Times New Roman"/>
          <w:sz w:val="22"/>
          <w:szCs w:val="22"/>
          <w:color w:val="FF0000"/>
          <w:strike w:val="1"/>
        </w:rPr>
        <w:t>ANNEX</w:t>
      </w:r>
      <w:r>
        <w:rPr>
          <w:rFonts w:ascii="Times New Roman" w:cs="Times New Roman" w:eastAsia="Times New Roman" w:hAnsi="Times New Roman"/>
          <w:sz w:val="22"/>
          <w:szCs w:val="22"/>
          <w:b w:val="1"/>
          <w:bCs w:val="1"/>
          <w:u w:val="single" w:color="auto"/>
          <w:color w:val="0000FF"/>
        </w:rPr>
        <w:t>EXHIBIT</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ind w:firstLine="644"/>
        <w:spacing w:after="0" w:line="260" w:lineRule="auto"/>
        <w:tabs>
          <w:tab w:leader="none" w:pos="1130"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Equity Interests or Indebtedness with respect to which the Administrative Agent </w:t>
      </w:r>
      <w:r>
        <w:rPr>
          <w:rFonts w:ascii="Times New Roman" w:cs="Times New Roman" w:eastAsia="Times New Roman" w:hAnsi="Times New Roman"/>
          <w:sz w:val="20"/>
          <w:szCs w:val="20"/>
          <w:b w:val="1"/>
          <w:bCs w:val="1"/>
          <w:u w:val="single" w:color="auto"/>
          <w:color w:val="0000FF"/>
        </w:rPr>
        <w:t>(acting at the direction of the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u w:val="single" w:color="auto"/>
          <w:color w:val="0000FF"/>
        </w:rPr>
        <w:t>Required Lenders)</w:t>
      </w:r>
      <w:r>
        <w:rPr>
          <w:rFonts w:ascii="Times New Roman" w:cs="Times New Roman" w:eastAsia="Times New Roman" w:hAnsi="Times New Roman"/>
          <w:sz w:val="20"/>
          <w:szCs w:val="20"/>
          <w:b w:val="1"/>
          <w:bCs w:val="1"/>
          <w:color w:val="0000FF"/>
        </w:rPr>
        <w:t xml:space="preserve"> </w:t>
      </w:r>
      <w:r>
        <w:rPr>
          <w:rFonts w:ascii="Times New Roman" w:cs="Times New Roman" w:eastAsia="Times New Roman" w:hAnsi="Times New Roman"/>
          <w:sz w:val="20"/>
          <w:szCs w:val="20"/>
          <w:color w:val="000000"/>
        </w:rPr>
        <w:t>and the Borrower reasonably agree that the cost or other consequences of pledging such Equity Interests or</w:t>
      </w:r>
      <w:r>
        <w:rPr>
          <w:rFonts w:ascii="Times New Roman" w:cs="Times New Roman" w:eastAsia="Times New Roman" w:hAnsi="Times New Roman"/>
          <w:sz w:val="20"/>
          <w:szCs w:val="20"/>
          <w:b w:val="1"/>
          <w:bCs w:val="1"/>
          <w:color w:val="0000FF"/>
        </w:rPr>
        <w:t xml:space="preserve"> </w:t>
      </w:r>
      <w:r>
        <w:rPr>
          <w:rFonts w:ascii="Times New Roman" w:cs="Times New Roman" w:eastAsia="Times New Roman" w:hAnsi="Times New Roman"/>
          <w:sz w:val="20"/>
          <w:szCs w:val="20"/>
          <w:color w:val="000000"/>
        </w:rPr>
        <w:t>Indebtedness in favor of the Secured Parties under the Security Documents are likely to be excessive in relation to the value to be afforded thereby;</w:t>
      </w:r>
    </w:p>
    <w:p>
      <w:pPr>
        <w:spacing w:after="0" w:line="154" w:lineRule="exact"/>
        <w:rPr>
          <w:rFonts w:ascii="Times New Roman" w:cs="Times New Roman" w:eastAsia="Times New Roman" w:hAnsi="Times New Roman"/>
          <w:sz w:val="20"/>
          <w:szCs w:val="20"/>
          <w:color w:val="auto"/>
        </w:rPr>
      </w:pPr>
    </w:p>
    <w:p>
      <w:pPr>
        <w:jc w:val="both"/>
        <w:ind w:firstLine="644"/>
        <w:spacing w:after="0" w:line="261" w:lineRule="auto"/>
        <w:tabs>
          <w:tab w:leader="none" w:pos="1115"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any pledge of voting Equity Interests of any Foreign Subsidiary (in each case, that is owned directly by the Borrower or a Subsidiary Loan Party) to secure the Obligations, any voting Equity Interest of such Foreign Subsidiary in excess of 65% of the outstanding Equity Interests of such class;</w:t>
      </w:r>
    </w:p>
    <w:p>
      <w:pPr>
        <w:spacing w:after="0" w:line="154" w:lineRule="exact"/>
        <w:rPr>
          <w:rFonts w:ascii="Times New Roman" w:cs="Times New Roman" w:eastAsia="Times New Roman" w:hAnsi="Times New Roman"/>
          <w:sz w:val="20"/>
          <w:szCs w:val="20"/>
          <w:color w:val="auto"/>
        </w:rPr>
      </w:pPr>
    </w:p>
    <w:p>
      <w:pPr>
        <w:jc w:val="both"/>
        <w:ind w:firstLine="644"/>
        <w:spacing w:after="0" w:line="268" w:lineRule="auto"/>
        <w:tabs>
          <w:tab w:leader="none" w:pos="1070"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any pledge of voting Equity Interests of any FSHCO (in each case, that is owned directly by the Borrower or a Subsidiary Loan Party) to secure the Obligations, any voting Equity Interest of such FSHCO in excess of 65% of the outstanding Equity Interests of such class;</w:t>
      </w:r>
    </w:p>
    <w:p>
      <w:pPr>
        <w:spacing w:after="0" w:line="147" w:lineRule="exact"/>
        <w:rPr>
          <w:rFonts w:ascii="Times New Roman" w:cs="Times New Roman" w:eastAsia="Times New Roman" w:hAnsi="Times New Roman"/>
          <w:sz w:val="20"/>
          <w:szCs w:val="20"/>
          <w:color w:val="auto"/>
        </w:rPr>
      </w:pPr>
    </w:p>
    <w:p>
      <w:pPr>
        <w:ind w:left="1080" w:hanging="436"/>
        <w:spacing w:after="0"/>
        <w:tabs>
          <w:tab w:leader="none" w:pos="1080"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Equity Interests or Indebtedness to the extent the pledge thereof would be prohibited by any Requirement of Law;</w:t>
      </w:r>
    </w:p>
    <w:p>
      <w:pPr>
        <w:spacing w:after="0" w:line="202" w:lineRule="exact"/>
        <w:rPr>
          <w:rFonts w:ascii="Times New Roman" w:cs="Times New Roman" w:eastAsia="Times New Roman" w:hAnsi="Times New Roman"/>
          <w:sz w:val="20"/>
          <w:szCs w:val="20"/>
          <w:color w:val="auto"/>
        </w:rPr>
      </w:pPr>
    </w:p>
    <w:p>
      <w:pPr>
        <w:jc w:val="both"/>
        <w:ind w:firstLine="644"/>
        <w:spacing w:after="0" w:line="250" w:lineRule="auto"/>
        <w:tabs>
          <w:tab w:leader="none" w:pos="1137"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Equity Interests of any person that is not a Wholly Owned Subsidiary to the extent (A) that a pledge thereof to secure the Obligations is prohibited by (i) any applicable organizational documents, joint venture agreement or shareholder agreement or (ii) any other contractual obligation with an unaffiliated third party not in violation of Section 6.09(c) binding on such Equity Interests to the extent in existence on the Closing Date or on the date of acquisition thereof and not entered into in contemplation thereof (other than in connection with the incurrence of Indebtedness of the type contemplated by Section 6.01(i)) (other than, in this subclause (A)(ii), customary non-assignment provisions which are ineffective under Article 9 of the Uniform Commercial Code or other applicable Requirements of Law), (B) any organizational documents, joint venture agreement or shareholder agreement (or other contractual obligation referred to in subclause (A)(ii) above) prohibits such a pledge without the consent of any other party;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this clause (B) shall not apply if (1) such other party is a Loan Party or a Wholly Owned Subsidiary or (2) consent has been obtained to consummate such pledge (it being understood that the foregoing shall not be deemed to obligate the Borrower or any Subsidiary to obtain any such consent) and shall only apply for so long as such organizational documents, joint venture agreement or shareholder agreement or replacement or renewal thereof is in effect, or (C) a pledge thereof to secure the Obligations would give any other party (other than a Loan Party or a Wholly Owned Subsidiary) to any organizational documents, joint venture agreement or shareholder agreement governing such Equity Interests (or other contractual obligation referred to in subclause (A)(ii) above) the right to terminate its obligations thereunder (other than, in the case of other contractual obligations referred to in subclause (A)(ii), customary non-assignment provisions which are ineffective under Article 9 of the Uniform Commercial Code or other applicable Requirement of Law);</w:t>
      </w:r>
    </w:p>
    <w:p>
      <w:pPr>
        <w:spacing w:after="0" w:line="166" w:lineRule="exact"/>
        <w:rPr>
          <w:rFonts w:ascii="Times New Roman" w:cs="Times New Roman" w:eastAsia="Times New Roman" w:hAnsi="Times New Roman"/>
          <w:sz w:val="20"/>
          <w:szCs w:val="20"/>
          <w:color w:val="auto"/>
        </w:rPr>
      </w:pPr>
    </w:p>
    <w:p>
      <w:pPr>
        <w:ind w:left="1100" w:hanging="456"/>
        <w:spacing w:after="0"/>
        <w:tabs>
          <w:tab w:leader="none" w:pos="1100"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Equity Interests of any Immaterial Subsidiary, any Unrestricted Subsidiary or any Special Purpose Securitization</w:t>
      </w:r>
    </w:p>
    <w:p>
      <w:pPr>
        <w:spacing w:after="0" w:line="28"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Subsidiary;</w:t>
      </w:r>
    </w:p>
    <w:p>
      <w:pPr>
        <w:spacing w:after="0" w:line="186" w:lineRule="exact"/>
        <w:rPr>
          <w:rFonts w:ascii="Times New Roman" w:cs="Times New Roman" w:eastAsia="Times New Roman" w:hAnsi="Times New Roman"/>
          <w:sz w:val="20"/>
          <w:szCs w:val="20"/>
          <w:color w:val="auto"/>
        </w:rPr>
      </w:pPr>
    </w:p>
    <w:p>
      <w:pPr>
        <w:ind w:left="1080" w:hanging="436"/>
        <w:spacing w:after="0"/>
        <w:tabs>
          <w:tab w:leader="none" w:pos="1080"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Equity Interests of any Subsidiary of, or other Equity Interests owned by, a Foreign Subsidiary;</w:t>
      </w:r>
    </w:p>
    <w:p>
      <w:pPr>
        <w:sectPr>
          <w:pgSz w:w="11900" w:h="16838" w:orient="portrait"/>
          <w:cols w:equalWidth="0" w:num="1">
            <w:col w:w="10580"/>
          </w:cols>
          <w:pgMar w:left="980" w:top="108" w:right="339" w:bottom="1440" w:gutter="0" w:footer="0" w:header="0"/>
        </w:sectPr>
      </w:pPr>
    </w:p>
    <w:bookmarkStart w:id="215" w:name="page216"/>
    <w:bookmarkEnd w:id="215"/>
    <w:p>
      <w:pPr>
        <w:jc w:val="right"/>
        <w:spacing w:after="0"/>
        <w:rPr>
          <w:sz w:val="20"/>
          <w:szCs w:val="20"/>
          <w:color w:val="auto"/>
        </w:rPr>
      </w:pPr>
      <w:r>
        <w:rPr>
          <w:rFonts w:ascii="Times New Roman" w:cs="Times New Roman" w:eastAsia="Times New Roman" w:hAnsi="Times New Roman"/>
          <w:sz w:val="22"/>
          <w:szCs w:val="22"/>
          <w:color w:val="FF0000"/>
          <w:strike w:val="1"/>
        </w:rPr>
        <w:t>ANNEX</w:t>
      </w:r>
      <w:r>
        <w:rPr>
          <w:rFonts w:ascii="Times New Roman" w:cs="Times New Roman" w:eastAsia="Times New Roman" w:hAnsi="Times New Roman"/>
          <w:sz w:val="22"/>
          <w:szCs w:val="22"/>
          <w:b w:val="1"/>
          <w:bCs w:val="1"/>
          <w:u w:val="single" w:color="auto"/>
          <w:color w:val="0000FF"/>
        </w:rPr>
        <w:t>EXHIBIT</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ind w:left="660" w:firstLine="644"/>
        <w:spacing w:after="0" w:line="261" w:lineRule="auto"/>
        <w:tabs>
          <w:tab w:leader="none" w:pos="1859"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Equity Interests of any Subsidiary to the extent that the pledge of such Equity Interests could reasonably be expected to result in material adverse tax consequences to the Borrower or any Subsidiary as determined in good faith by the Borrower;</w:t>
      </w:r>
    </w:p>
    <w:p>
      <w:pPr>
        <w:spacing w:after="0" w:line="154" w:lineRule="exact"/>
        <w:rPr>
          <w:rFonts w:ascii="Times New Roman" w:cs="Times New Roman" w:eastAsia="Times New Roman" w:hAnsi="Times New Roman"/>
          <w:sz w:val="20"/>
          <w:szCs w:val="20"/>
          <w:color w:val="auto"/>
        </w:rPr>
      </w:pPr>
    </w:p>
    <w:p>
      <w:pPr>
        <w:jc w:val="both"/>
        <w:ind w:left="660" w:firstLine="644"/>
        <w:spacing w:after="0" w:line="268" w:lineRule="auto"/>
        <w:tabs>
          <w:tab w:leader="none" w:pos="1766"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Equity Interests or Indebtedness that are set forth on </w:t>
      </w:r>
      <w:r>
        <w:rPr>
          <w:rFonts w:ascii="Times New Roman" w:cs="Times New Roman" w:eastAsia="Times New Roman" w:hAnsi="Times New Roman"/>
          <w:sz w:val="20"/>
          <w:szCs w:val="20"/>
          <w:u w:val="single" w:color="auto"/>
          <w:color w:val="auto"/>
        </w:rPr>
        <w:t>Schedule 1.01(A)</w:t>
      </w:r>
      <w:r>
        <w:rPr>
          <w:rFonts w:ascii="Times New Roman" w:cs="Times New Roman" w:eastAsia="Times New Roman" w:hAnsi="Times New Roman"/>
          <w:sz w:val="20"/>
          <w:szCs w:val="20"/>
          <w:color w:val="auto"/>
        </w:rPr>
        <w:t xml:space="preserve"> to the Original Credit Agreement or that have been identified on or prior to the Closing Date in writing to the Administrative Agent by a Responsible Officer of the Borrower and agreed to by the Administrative Agent </w:t>
      </w:r>
      <w:r>
        <w:rPr>
          <w:rFonts w:ascii="Times New Roman" w:cs="Times New Roman" w:eastAsia="Times New Roman" w:hAnsi="Times New Roman"/>
          <w:sz w:val="20"/>
          <w:szCs w:val="20"/>
          <w:b w:val="1"/>
          <w:bCs w:val="1"/>
          <w:u w:val="single" w:color="auto"/>
          <w:color w:val="0000FF"/>
        </w:rPr>
        <w:t>(acting at the direction of the Required Lenders)</w:t>
      </w:r>
      <w:r>
        <w:rPr>
          <w:rFonts w:ascii="Times New Roman" w:cs="Times New Roman" w:eastAsia="Times New Roman" w:hAnsi="Times New Roman"/>
          <w:sz w:val="20"/>
          <w:szCs w:val="20"/>
          <w:color w:val="auto"/>
        </w:rPr>
        <w:t>;</w:t>
      </w:r>
    </w:p>
    <w:p>
      <w:pPr>
        <w:spacing w:after="0" w:line="147" w:lineRule="exact"/>
        <w:rPr>
          <w:rFonts w:ascii="Times New Roman" w:cs="Times New Roman" w:eastAsia="Times New Roman" w:hAnsi="Times New Roman"/>
          <w:sz w:val="20"/>
          <w:szCs w:val="20"/>
          <w:color w:val="auto"/>
        </w:rPr>
      </w:pPr>
    </w:p>
    <w:p>
      <w:pPr>
        <w:ind w:left="660" w:firstLine="644"/>
        <w:spacing w:after="0" w:line="269" w:lineRule="auto"/>
        <w:tabs>
          <w:tab w:leader="none" w:pos="1788"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(x) any Equity Interests owned by Holdings, other than Equity Interests of the Borrower, and (y) any Indebtedness owned by or owing to Holdings; and</w:t>
      </w:r>
    </w:p>
    <w:p>
      <w:pPr>
        <w:spacing w:after="0" w:line="159"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Margin Stock.</w:t>
      </w:r>
    </w:p>
    <w:p>
      <w:pPr>
        <w:spacing w:after="0" w:line="202" w:lineRule="exact"/>
        <w:rPr>
          <w:sz w:val="20"/>
          <w:szCs w:val="20"/>
          <w:color w:val="auto"/>
        </w:rPr>
      </w:pPr>
    </w:p>
    <w:p>
      <w:pPr>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Excluded Subsidiary</w:t>
      </w:r>
      <w:r>
        <w:rPr>
          <w:rFonts w:ascii="Times New Roman" w:cs="Times New Roman" w:eastAsia="Times New Roman" w:hAnsi="Times New Roman"/>
          <w:sz w:val="20"/>
          <w:szCs w:val="20"/>
          <w:color w:val="auto"/>
        </w:rPr>
        <w:t>” shall mean any of the following (except as otherwise provided in clause (b) of the definition of “Subsidiary Loan Party”):</w:t>
      </w:r>
    </w:p>
    <w:p>
      <w:pPr>
        <w:spacing w:after="0" w:line="133" w:lineRule="exact"/>
        <w:rPr>
          <w:sz w:val="20"/>
          <w:szCs w:val="20"/>
          <w:color w:val="auto"/>
        </w:rPr>
      </w:pPr>
    </w:p>
    <w:p>
      <w:pPr>
        <w:ind w:left="1960" w:hanging="413"/>
        <w:spacing w:after="0"/>
        <w:tabs>
          <w:tab w:leader="none" w:pos="1960" w:val="left"/>
        </w:tabs>
        <w:numPr>
          <w:ilvl w:val="0"/>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Immaterial Subsidiary,</w:t>
      </w:r>
    </w:p>
    <w:p>
      <w:pPr>
        <w:spacing w:after="0" w:line="202" w:lineRule="exact"/>
        <w:rPr>
          <w:rFonts w:ascii="Times New Roman" w:cs="Times New Roman" w:eastAsia="Times New Roman" w:hAnsi="Times New Roman"/>
          <w:sz w:val="20"/>
          <w:szCs w:val="20"/>
          <w:color w:val="auto"/>
        </w:rPr>
      </w:pPr>
    </w:p>
    <w:p>
      <w:pPr>
        <w:ind w:left="660" w:firstLine="887"/>
        <w:spacing w:after="0" w:line="283" w:lineRule="auto"/>
        <w:tabs>
          <w:tab w:leader="none" w:pos="2043" w:val="left"/>
        </w:tabs>
        <w:numPr>
          <w:ilvl w:val="0"/>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Domestic Subsidiary that is not a Wholly Owned Subsidiary (for so long as such Subsidiary remains a non-Wholly Owned Subsidiary),</w:t>
      </w:r>
    </w:p>
    <w:p>
      <w:pPr>
        <w:spacing w:after="0" w:line="132" w:lineRule="exact"/>
        <w:rPr>
          <w:rFonts w:ascii="Times New Roman" w:cs="Times New Roman" w:eastAsia="Times New Roman" w:hAnsi="Times New Roman"/>
          <w:sz w:val="20"/>
          <w:szCs w:val="20"/>
          <w:color w:val="auto"/>
        </w:rPr>
      </w:pPr>
    </w:p>
    <w:p>
      <w:pPr>
        <w:jc w:val="both"/>
        <w:ind w:left="660" w:right="20" w:firstLine="887"/>
        <w:spacing w:after="0" w:line="261" w:lineRule="auto"/>
        <w:tabs>
          <w:tab w:leader="none" w:pos="2017" w:val="left"/>
        </w:tabs>
        <w:numPr>
          <w:ilvl w:val="0"/>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Domestic Subsidiary that is prohibited from Guaranteeing or granting Liens to secure the Obligations by any Requirement of Law or that would require consent, approval, license or authorization of a Governmental Authority to Guarantee or grant Liens to secure the Obligations (unless such consent, approval, license or authorization has been received),</w:t>
      </w:r>
    </w:p>
    <w:p>
      <w:pPr>
        <w:spacing w:after="0" w:line="154" w:lineRule="exact"/>
        <w:rPr>
          <w:rFonts w:ascii="Times New Roman" w:cs="Times New Roman" w:eastAsia="Times New Roman" w:hAnsi="Times New Roman"/>
          <w:sz w:val="20"/>
          <w:szCs w:val="20"/>
          <w:color w:val="auto"/>
        </w:rPr>
      </w:pPr>
    </w:p>
    <w:p>
      <w:pPr>
        <w:jc w:val="both"/>
        <w:ind w:left="660" w:firstLine="887"/>
        <w:spacing w:after="0" w:line="268" w:lineRule="auto"/>
        <w:tabs>
          <w:tab w:leader="none" w:pos="2135" w:val="left"/>
        </w:tabs>
        <w:numPr>
          <w:ilvl w:val="0"/>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Domestic Subsidiary that is prohibited by any applicable contractual requirement from Guaranteeing or granting Liens to secure the Obligations on the Closing Date or at the time such Subsidiary becomes a Subsidiary not in violation of Section 6.09(c) (and for so long as such restriction or any replacement or renewal thereof is in effect),</w:t>
      </w:r>
    </w:p>
    <w:p>
      <w:pPr>
        <w:spacing w:after="0" w:line="147" w:lineRule="exact"/>
        <w:rPr>
          <w:rFonts w:ascii="Times New Roman" w:cs="Times New Roman" w:eastAsia="Times New Roman" w:hAnsi="Times New Roman"/>
          <w:sz w:val="20"/>
          <w:szCs w:val="20"/>
          <w:color w:val="auto"/>
        </w:rPr>
      </w:pPr>
    </w:p>
    <w:p>
      <w:pPr>
        <w:ind w:left="1960" w:hanging="413"/>
        <w:spacing w:after="0"/>
        <w:tabs>
          <w:tab w:leader="none" w:pos="1960" w:val="left"/>
        </w:tabs>
        <w:numPr>
          <w:ilvl w:val="0"/>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Special Purpose Securitization Subsidiary,</w:t>
      </w:r>
    </w:p>
    <w:p>
      <w:pPr>
        <w:spacing w:after="0" w:line="202" w:lineRule="exact"/>
        <w:rPr>
          <w:rFonts w:ascii="Times New Roman" w:cs="Times New Roman" w:eastAsia="Times New Roman" w:hAnsi="Times New Roman"/>
          <w:sz w:val="20"/>
          <w:szCs w:val="20"/>
          <w:color w:val="auto"/>
        </w:rPr>
      </w:pPr>
    </w:p>
    <w:p>
      <w:pPr>
        <w:ind w:left="1940" w:hanging="393"/>
        <w:spacing w:after="0"/>
        <w:tabs>
          <w:tab w:leader="none" w:pos="1940" w:val="left"/>
        </w:tabs>
        <w:numPr>
          <w:ilvl w:val="0"/>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Foreign Subsidiary,</w:t>
      </w:r>
    </w:p>
    <w:p>
      <w:pPr>
        <w:spacing w:after="0" w:line="202" w:lineRule="exact"/>
        <w:rPr>
          <w:rFonts w:ascii="Times New Roman" w:cs="Times New Roman" w:eastAsia="Times New Roman" w:hAnsi="Times New Roman"/>
          <w:sz w:val="20"/>
          <w:szCs w:val="20"/>
          <w:color w:val="auto"/>
        </w:rPr>
      </w:pPr>
    </w:p>
    <w:p>
      <w:pPr>
        <w:ind w:left="1980" w:hanging="433"/>
        <w:spacing w:after="0"/>
        <w:tabs>
          <w:tab w:leader="none" w:pos="1980" w:val="left"/>
        </w:tabs>
        <w:numPr>
          <w:ilvl w:val="0"/>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Domestic Subsidiary (i) that is an FSHCO or (ii) that is a Subsidiary of a Foreign Subsidiary that is a CFC,</w:t>
      </w:r>
    </w:p>
    <w:p>
      <w:pPr>
        <w:spacing w:after="0" w:line="211" w:lineRule="exact"/>
        <w:rPr>
          <w:rFonts w:ascii="Times New Roman" w:cs="Times New Roman" w:eastAsia="Times New Roman" w:hAnsi="Times New Roman"/>
          <w:sz w:val="20"/>
          <w:szCs w:val="20"/>
          <w:color w:val="auto"/>
        </w:rPr>
      </w:pPr>
    </w:p>
    <w:p>
      <w:pPr>
        <w:jc w:val="both"/>
        <w:ind w:left="660" w:firstLine="887"/>
        <w:spacing w:after="0" w:line="254" w:lineRule="auto"/>
        <w:tabs>
          <w:tab w:leader="none" w:pos="2013" w:val="left"/>
        </w:tabs>
        <w:numPr>
          <w:ilvl w:val="0"/>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other Domestic Subsidiary with respect to which, (x) the Administrative Agent </w:t>
      </w:r>
      <w:r>
        <w:rPr>
          <w:rFonts w:ascii="Times New Roman" w:cs="Times New Roman" w:eastAsia="Times New Roman" w:hAnsi="Times New Roman"/>
          <w:sz w:val="20"/>
          <w:szCs w:val="20"/>
          <w:b w:val="1"/>
          <w:bCs w:val="1"/>
          <w:u w:val="single" w:color="auto"/>
          <w:color w:val="0000FF"/>
        </w:rPr>
        <w:t>(acting at the direction of the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u w:val="single" w:color="auto"/>
          <w:color w:val="0000FF"/>
        </w:rPr>
        <w:t>Required Lenders)</w:t>
      </w:r>
      <w:r>
        <w:rPr>
          <w:rFonts w:ascii="Times New Roman" w:cs="Times New Roman" w:eastAsia="Times New Roman" w:hAnsi="Times New Roman"/>
          <w:sz w:val="20"/>
          <w:szCs w:val="20"/>
          <w:b w:val="1"/>
          <w:bCs w:val="1"/>
          <w:color w:val="0000FF"/>
        </w:rPr>
        <w:t xml:space="preserve"> </w:t>
      </w:r>
      <w:r>
        <w:rPr>
          <w:rFonts w:ascii="Times New Roman" w:cs="Times New Roman" w:eastAsia="Times New Roman" w:hAnsi="Times New Roman"/>
          <w:sz w:val="20"/>
          <w:szCs w:val="20"/>
          <w:color w:val="000000"/>
        </w:rPr>
        <w:t>and the Borrower reasonably agree that the cost or other consequences of providing a Guarantee of or granting</w:t>
      </w:r>
      <w:r>
        <w:rPr>
          <w:rFonts w:ascii="Times New Roman" w:cs="Times New Roman" w:eastAsia="Times New Roman" w:hAnsi="Times New Roman"/>
          <w:sz w:val="20"/>
          <w:szCs w:val="20"/>
          <w:b w:val="1"/>
          <w:bCs w:val="1"/>
          <w:color w:val="0000FF"/>
        </w:rPr>
        <w:t xml:space="preserve"> </w:t>
      </w:r>
      <w:r>
        <w:rPr>
          <w:rFonts w:ascii="Times New Roman" w:cs="Times New Roman" w:eastAsia="Times New Roman" w:hAnsi="Times New Roman"/>
          <w:sz w:val="20"/>
          <w:szCs w:val="20"/>
          <w:color w:val="000000"/>
        </w:rPr>
        <w:t>Liens to secure the Obligations are likely to be excessive in relation to the value to be afforded thereby or (y) in the case of any person that becomes a Domestic Subsidiary after the Closing Date, providing such a Guarantee or granting such Liens could reasonably be expected to result in material adverse tax consequences as determined in good faith by the Borrower,</w:t>
      </w:r>
    </w:p>
    <w:p>
      <w:pPr>
        <w:spacing w:after="0" w:line="164" w:lineRule="exact"/>
        <w:rPr>
          <w:rFonts w:ascii="Times New Roman" w:cs="Times New Roman" w:eastAsia="Times New Roman" w:hAnsi="Times New Roman"/>
          <w:sz w:val="20"/>
          <w:szCs w:val="20"/>
          <w:color w:val="auto"/>
        </w:rPr>
      </w:pPr>
    </w:p>
    <w:p>
      <w:pPr>
        <w:ind w:left="1940" w:hanging="393"/>
        <w:spacing w:after="0"/>
        <w:tabs>
          <w:tab w:leader="none" w:pos="1940" w:val="left"/>
        </w:tabs>
        <w:numPr>
          <w:ilvl w:val="0"/>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Unrestricted Subsidiary, and</w:t>
      </w:r>
    </w:p>
    <w:p>
      <w:pPr>
        <w:spacing w:after="0" w:line="202" w:lineRule="exact"/>
        <w:rPr>
          <w:rFonts w:ascii="Times New Roman" w:cs="Times New Roman" w:eastAsia="Times New Roman" w:hAnsi="Times New Roman"/>
          <w:sz w:val="20"/>
          <w:szCs w:val="20"/>
          <w:color w:val="auto"/>
        </w:rPr>
      </w:pPr>
    </w:p>
    <w:p>
      <w:pPr>
        <w:ind w:left="660" w:firstLine="887"/>
        <w:spacing w:after="0" w:line="283" w:lineRule="auto"/>
        <w:tabs>
          <w:tab w:leader="none" w:pos="1995" w:val="left"/>
        </w:tabs>
        <w:numPr>
          <w:ilvl w:val="0"/>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any Swap Obligation, any Subsidiary that is not an “eligible contract participant” as defined in the Commodity Exchange Act and the regulations thereunder.</w:t>
      </w:r>
    </w:p>
    <w:p>
      <w:pPr>
        <w:sectPr>
          <w:pgSz w:w="11900" w:h="16838" w:orient="portrait"/>
          <w:cols w:equalWidth="0" w:num="1">
            <w:col w:w="11240"/>
          </w:cols>
          <w:pgMar w:left="320" w:top="108" w:right="339" w:bottom="1440" w:gutter="0" w:footer="0" w:header="0"/>
        </w:sectPr>
      </w:pPr>
    </w:p>
    <w:bookmarkStart w:id="216" w:name="page217"/>
    <w:bookmarkEnd w:id="216"/>
    <w:p>
      <w:pPr>
        <w:jc w:val="right"/>
        <w:spacing w:after="0"/>
        <w:rPr>
          <w:sz w:val="20"/>
          <w:szCs w:val="20"/>
          <w:color w:val="auto"/>
        </w:rPr>
      </w:pPr>
      <w:r>
        <w:rPr>
          <w:rFonts w:ascii="Times New Roman" w:cs="Times New Roman" w:eastAsia="Times New Roman" w:hAnsi="Times New Roman"/>
          <w:sz w:val="22"/>
          <w:szCs w:val="22"/>
          <w:color w:val="FF0000"/>
          <w:strike w:val="1"/>
        </w:rPr>
        <w:t>ANNEX</w:t>
      </w:r>
      <w:r>
        <w:rPr>
          <w:rFonts w:ascii="Times New Roman" w:cs="Times New Roman" w:eastAsia="Times New Roman" w:hAnsi="Times New Roman"/>
          <w:sz w:val="22"/>
          <w:szCs w:val="22"/>
          <w:b w:val="1"/>
          <w:bCs w:val="1"/>
          <w:u w:val="single" w:color="auto"/>
          <w:color w:val="0000FF"/>
        </w:rPr>
        <w:t>EXHIBIT</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Excluded Swap Obligation</w:t>
      </w:r>
      <w:r>
        <w:rPr>
          <w:rFonts w:ascii="Times New Roman" w:cs="Times New Roman" w:eastAsia="Times New Roman" w:hAnsi="Times New Roman"/>
          <w:sz w:val="20"/>
          <w:szCs w:val="20"/>
          <w:color w:val="auto"/>
        </w:rPr>
        <w:t xml:space="preserve">” shall mean, with respect to any Guarantor, any Swap Obligation if, and to the extent that, all or a portion of the Guarantee of such Guarantor of, or the grant by such Guarantor of a security interest to secure, such Swap Obligation (or any Guarantee thereof) is or becomes illegal under the Commodity Exchange Act or any rule, regulation or order of the Commodity Futures Trading Commission (or the application or official interpretation of any thereof) by virtue of such Guarantor’s failure for any reason to constitute an “eligible contract participant” as defined in the Commodity Exchange Act and the regulations thereunder at the time the Guarantee of such Guarantor or the grant of such security interest becomes effective with respect to such Swap Obligation, unless otherwise agreed between the Administrative Agent </w:t>
      </w:r>
      <w:r>
        <w:rPr>
          <w:rFonts w:ascii="Times New Roman" w:cs="Times New Roman" w:eastAsia="Times New Roman" w:hAnsi="Times New Roman"/>
          <w:sz w:val="20"/>
          <w:szCs w:val="20"/>
          <w:b w:val="1"/>
          <w:bCs w:val="1"/>
          <w:u w:val="single" w:color="auto"/>
          <w:color w:val="0000FF"/>
        </w:rPr>
        <w:t>(acting at the direction of the Required Lenders)</w:t>
      </w:r>
      <w:r>
        <w:rPr>
          <w:rFonts w:ascii="Times New Roman" w:cs="Times New Roman" w:eastAsia="Times New Roman" w:hAnsi="Times New Roman"/>
          <w:sz w:val="20"/>
          <w:szCs w:val="20"/>
          <w:color w:val="auto"/>
        </w:rPr>
        <w:t xml:space="preserve"> and the Borrower. If a Swap Obligation arises under a master agreement governing more than one swap, such exclusion shall apply only to the portion of such Swap Obligation that is attributable to swaps for which such Guarantee or security interest is or becomes illegal.</w:t>
      </w:r>
    </w:p>
    <w:p>
      <w:pPr>
        <w:spacing w:after="0" w:line="162"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Excluded Taxes</w:t>
      </w:r>
      <w:r>
        <w:rPr>
          <w:rFonts w:ascii="Times New Roman" w:cs="Times New Roman" w:eastAsia="Times New Roman" w:hAnsi="Times New Roman"/>
          <w:sz w:val="20"/>
          <w:szCs w:val="20"/>
          <w:color w:val="auto"/>
        </w:rPr>
        <w:t>” shall mean, with respect to the Administrative Agent, any Lender or any other recipient of any payment to be made by or on account of any obligation of any Loan Party hereunder or under any other Loan Document, (i) Taxes imposed on or measured by its overall net income or branch profits (however denominated, and including (for the avoidance of doubt) any backup withholding in respect thereof under Section 3406 of the Code or any similar provision of state, local or foreign law), and franchise (and similar) Taxes imposed on it (in lieu of net income Taxes), in each case by a jurisdiction (including any political subdivision thereof) as a result of such recipient being organized in, having its principal office in, or in the case of any Lender, having its applicable Lending Office in, such jurisdiction, or as a result of any other present or former connection with such jurisdiction (other than any such connection arising solely from this Agreement or any other Loan Documents or any transactions contemplated thereunder), (ii) U.S. federal withholding Tax imposed on any payment by or on account of any obligation of any Loan Party hereunder or under any other Loan Document that is required to be imposed on amounts payable to a Lender (other than to the extent such Lender is an assignee pursuant to a request by the Borrower under Section 2.19(b) or 2.19(c)) pursuant to laws in force at the time such Lender becomes a party hereto (or designates a new Lending Office), except to the extent that such Lender (or its assignor, if any) was entitled, immediately prior to the designation of a new Lending Office (or assignment), to receive additional amounts or indemnification payments from any Loan Party with respect to such withholding Tax pursuant to Section 2.17, (iii) any withholding Tax imposed on any payment by or on account of any obligation of any Loan Party hereunder or under any other Loan Document that is attributable to the Administrative Agent’s, any Lender’s or any other recipient’s failure to comply with Section 2.17(d) or (e) or (iv) any Tax imposed under FATCA.</w:t>
      </w:r>
    </w:p>
    <w:p>
      <w:pPr>
        <w:spacing w:after="0" w:line="178"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Excluded Transaction Debt</w:t>
      </w:r>
      <w:r>
        <w:rPr>
          <w:rFonts w:ascii="Times New Roman" w:cs="Times New Roman" w:eastAsia="Times New Roman" w:hAnsi="Times New Roman"/>
          <w:sz w:val="20"/>
          <w:szCs w:val="20"/>
          <w:color w:val="auto"/>
        </w:rPr>
        <w:t>” shall mean all Indebtedness incurred by the Borrower in connection with the Transactions consisting of, or incurred to fund the payment of, any original issue discount or upfront fees in respect of the Term B Loans, the Revolving Facility and/or the Senior Unsecured Notes, in each case, pursuant to the “market flex” provisions of the Fee Letter.</w:t>
      </w:r>
    </w:p>
    <w:p>
      <w:pPr>
        <w:spacing w:after="0" w:line="16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Existing Class Loans</w:t>
      </w:r>
      <w:r>
        <w:rPr>
          <w:rFonts w:ascii="Times New Roman" w:cs="Times New Roman" w:eastAsia="Times New Roman" w:hAnsi="Times New Roman"/>
          <w:sz w:val="20"/>
          <w:szCs w:val="20"/>
          <w:color w:val="auto"/>
        </w:rPr>
        <w:t>” shall have the meaning assigned to such term in Section 9.08(f).</w:t>
      </w:r>
    </w:p>
    <w:p>
      <w:pPr>
        <w:spacing w:after="0" w:line="20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Existing Credit Agreement</w:t>
      </w:r>
      <w:r>
        <w:rPr>
          <w:rFonts w:ascii="Times New Roman" w:cs="Times New Roman" w:eastAsia="Times New Roman" w:hAnsi="Times New Roman"/>
          <w:sz w:val="20"/>
          <w:szCs w:val="20"/>
          <w:color w:val="auto"/>
        </w:rPr>
        <w:t>” shall have the meaning assigned to such term in the recitals hereto.</w:t>
      </w:r>
    </w:p>
    <w:p>
      <w:pPr>
        <w:spacing w:after="0" w:line="202" w:lineRule="exact"/>
        <w:rPr>
          <w:sz w:val="20"/>
          <w:szCs w:val="20"/>
          <w:color w:val="auto"/>
        </w:rPr>
      </w:pPr>
    </w:p>
    <w:p>
      <w:pPr>
        <w:jc w:val="both"/>
        <w:ind w:right="20"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Existing Roll-Over Letters of Credit</w:t>
      </w:r>
      <w:r>
        <w:rPr>
          <w:rFonts w:ascii="Times New Roman" w:cs="Times New Roman" w:eastAsia="Times New Roman" w:hAnsi="Times New Roman"/>
          <w:sz w:val="20"/>
          <w:szCs w:val="20"/>
          <w:color w:val="auto"/>
        </w:rPr>
        <w:t xml:space="preserve">” shall mean those letters of credit or bank guarantees issued and outstanding as of the Closing Date and set forth on </w:t>
      </w:r>
      <w:r>
        <w:rPr>
          <w:rFonts w:ascii="Times New Roman" w:cs="Times New Roman" w:eastAsia="Times New Roman" w:hAnsi="Times New Roman"/>
          <w:sz w:val="20"/>
          <w:szCs w:val="20"/>
          <w:u w:val="single" w:color="auto"/>
          <w:color w:val="auto"/>
        </w:rPr>
        <w:t>Schedule 1.01(C)</w:t>
      </w:r>
      <w:r>
        <w:rPr>
          <w:rFonts w:ascii="Times New Roman" w:cs="Times New Roman" w:eastAsia="Times New Roman" w:hAnsi="Times New Roman"/>
          <w:sz w:val="20"/>
          <w:szCs w:val="20"/>
          <w:color w:val="auto"/>
        </w:rPr>
        <w:t xml:space="preserve"> to the Original Credit Agreement, which shall each be deemed to constitute a Letter of Credit issued hereunder on the Closing Date.</w:t>
      </w:r>
    </w:p>
    <w:p>
      <w:pPr>
        <w:sectPr>
          <w:pgSz w:w="11900" w:h="16838" w:orient="portrait"/>
          <w:cols w:equalWidth="0" w:num="1">
            <w:col w:w="11240"/>
          </w:cols>
          <w:pgMar w:left="320" w:top="108" w:right="339" w:bottom="1440" w:gutter="0" w:footer="0" w:header="0"/>
        </w:sectPr>
      </w:pPr>
    </w:p>
    <w:bookmarkStart w:id="217" w:name="page218"/>
    <w:bookmarkEnd w:id="217"/>
    <w:p>
      <w:pPr>
        <w:jc w:val="right"/>
        <w:spacing w:after="0"/>
        <w:rPr>
          <w:sz w:val="20"/>
          <w:szCs w:val="20"/>
          <w:color w:val="auto"/>
        </w:rPr>
      </w:pPr>
      <w:r>
        <w:rPr>
          <w:rFonts w:ascii="Times New Roman" w:cs="Times New Roman" w:eastAsia="Times New Roman" w:hAnsi="Times New Roman"/>
          <w:sz w:val="22"/>
          <w:szCs w:val="22"/>
          <w:color w:val="FF0000"/>
          <w:strike w:val="1"/>
        </w:rPr>
        <w:t>ANNEX</w:t>
      </w:r>
      <w:r>
        <w:rPr>
          <w:rFonts w:ascii="Times New Roman" w:cs="Times New Roman" w:eastAsia="Times New Roman" w:hAnsi="Times New Roman"/>
          <w:sz w:val="22"/>
          <w:szCs w:val="22"/>
          <w:b w:val="1"/>
          <w:bCs w:val="1"/>
          <w:u w:val="single" w:color="auto"/>
          <w:color w:val="0000FF"/>
        </w:rPr>
        <w:t>EXHIBIT</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Extended Revolving Facility Commitment</w:t>
      </w:r>
      <w:r>
        <w:rPr>
          <w:rFonts w:ascii="Times New Roman" w:cs="Times New Roman" w:eastAsia="Times New Roman" w:hAnsi="Times New Roman"/>
          <w:sz w:val="20"/>
          <w:szCs w:val="20"/>
          <w:color w:val="auto"/>
        </w:rPr>
        <w:t>” shall have the meaning assigned to such term in Section 2.21(e).</w:t>
      </w:r>
    </w:p>
    <w:p>
      <w:pPr>
        <w:spacing w:after="0" w:line="20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Extended Revolving Loan</w:t>
      </w:r>
      <w:r>
        <w:rPr>
          <w:rFonts w:ascii="Times New Roman" w:cs="Times New Roman" w:eastAsia="Times New Roman" w:hAnsi="Times New Roman"/>
          <w:sz w:val="20"/>
          <w:szCs w:val="20"/>
          <w:color w:val="auto"/>
        </w:rPr>
        <w:t>” shall have the meaning assigned to such term in Section 2.21(e).</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Extended Term Loan</w:t>
      </w:r>
      <w:r>
        <w:rPr>
          <w:rFonts w:ascii="Times New Roman" w:cs="Times New Roman" w:eastAsia="Times New Roman" w:hAnsi="Times New Roman"/>
          <w:sz w:val="20"/>
          <w:szCs w:val="20"/>
          <w:color w:val="auto"/>
        </w:rPr>
        <w:t>” shall have the meaning assigned to such term in Section 2.21(e).</w:t>
      </w:r>
    </w:p>
    <w:p>
      <w:pPr>
        <w:spacing w:after="0" w:line="20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Extending Lender</w:t>
      </w:r>
      <w:r>
        <w:rPr>
          <w:rFonts w:ascii="Times New Roman" w:cs="Times New Roman" w:eastAsia="Times New Roman" w:hAnsi="Times New Roman"/>
          <w:sz w:val="20"/>
          <w:szCs w:val="20"/>
          <w:color w:val="auto"/>
        </w:rPr>
        <w:t>” shall have the meaning assigned to such term in Section 2.21(e).</w:t>
      </w:r>
    </w:p>
    <w:p>
      <w:pPr>
        <w:spacing w:after="0" w:line="20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Extension</w:t>
      </w:r>
      <w:r>
        <w:rPr>
          <w:rFonts w:ascii="Times New Roman" w:cs="Times New Roman" w:eastAsia="Times New Roman" w:hAnsi="Times New Roman"/>
          <w:sz w:val="20"/>
          <w:szCs w:val="20"/>
          <w:color w:val="auto"/>
        </w:rPr>
        <w:t>” shall have the meaning assigned to such term in Section 2.21(e).</w:t>
      </w:r>
    </w:p>
    <w:p>
      <w:pPr>
        <w:spacing w:after="0" w:line="202"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Facility</w:t>
      </w:r>
      <w:r>
        <w:rPr>
          <w:rFonts w:ascii="Times New Roman" w:cs="Times New Roman" w:eastAsia="Times New Roman" w:hAnsi="Times New Roman"/>
          <w:sz w:val="20"/>
          <w:szCs w:val="20"/>
          <w:color w:val="auto"/>
        </w:rPr>
        <w:t>” shall mean the respective facility and commitments utilized in making Loans and credit extensions hereunder, it being understood that, (i) from and after the 2021 Effective Date there are two Facilities (i.e., the Term B Facility and the Revolving Facility Commitments in effect on the 2021 Effective Date and the extensions of credit thereunder) and (ii) thereafter, the term “Facility” may include any other Class of Commitments and the extensions of credit thereunder.</w:t>
      </w:r>
    </w:p>
    <w:p>
      <w:pPr>
        <w:spacing w:after="0" w:line="159"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FATCA</w:t>
      </w:r>
      <w:r>
        <w:rPr>
          <w:rFonts w:ascii="Times New Roman" w:cs="Times New Roman" w:eastAsia="Times New Roman" w:hAnsi="Times New Roman"/>
          <w:sz w:val="20"/>
          <w:szCs w:val="20"/>
          <w:color w:val="auto"/>
        </w:rPr>
        <w:t>” shall mean Sections 1471 through 1474 of the Code, as of the Closing Date (or any amended or successor version that is substantively comparable and not materially more onerous to comply with), or any Treasury Regulations promulgated thereunder or official administrative interpretations thereof and any agreements entered into pursuant to Section 1471(b)(1) of the Code or any fiscal or regulatory legislation, rules or practices adopted pursuant to any intergovernmental agreement entered into in connection with the implementation of such Sections of the Code.</w:t>
      </w:r>
    </w:p>
    <w:p>
      <w:pPr>
        <w:spacing w:after="0" w:line="159"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Federal Funds Effective Rate</w:t>
      </w:r>
      <w:r>
        <w:rPr>
          <w:rFonts w:ascii="Times New Roman" w:cs="Times New Roman" w:eastAsia="Times New Roman" w:hAnsi="Times New Roman"/>
          <w:sz w:val="20"/>
          <w:szCs w:val="20"/>
          <w:color w:val="auto"/>
        </w:rPr>
        <w:t xml:space="preserve">” shall mean, for any day, the rate per annum equal to the weighted average of the rates on overnight Federal funds transactions with members of the Federal Reserve System arranged by Federal funds brokers on such day, as published by the Federal Reserve Bank of New York on the Business Day next succeeding such day;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if such day is not a Business Day, the Federal Funds Effective Rate for such day shall be such rate on such transactions on the next preceding Business Day as so published on the next succeeding Business Day, (b) if no such rate is so published on such next succeeding Business Day, the Federal Funds Effective Rate for such day shall be the average (rounded upward, if necessary, to a whole multiple of 1/100 of 1.00%) of the quotations for such day for such transactions received by the Administrative Agent from three Federal funds brokers of recognized standing selected by it and (c) if the Federal Funds Effective Rate shall be less than zero, such rate shall be deemed to be zero.</w:t>
      </w:r>
    </w:p>
    <w:p>
      <w:pPr>
        <w:spacing w:after="0" w:line="168"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Fee Letter</w:t>
      </w:r>
      <w:r>
        <w:rPr>
          <w:rFonts w:ascii="Times New Roman" w:cs="Times New Roman" w:eastAsia="Times New Roman" w:hAnsi="Times New Roman"/>
          <w:sz w:val="20"/>
          <w:szCs w:val="20"/>
          <w:color w:val="auto"/>
        </w:rPr>
        <w:t xml:space="preserve">” shall mean that certain Fee Letter dated as of </w:t>
      </w:r>
      <w:r>
        <w:rPr>
          <w:rFonts w:ascii="Times New Roman" w:cs="Times New Roman" w:eastAsia="Times New Roman" w:hAnsi="Times New Roman"/>
          <w:sz w:val="20"/>
          <w:szCs w:val="20"/>
          <w:color w:val="FF0000"/>
          <w:strike w:val="1"/>
        </w:rPr>
        <w:t>August 26, 2016 (as supplemented by that certain Additional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FF0000"/>
          <w:strike w:val="1"/>
        </w:rPr>
        <w:t>Lender Agreement dated as of September 9, 2016) by and among Holdings, Citigroup Global Markets Inc., Deutsche Bank AG New York Branch, Deutsche Bank AG Cayman Islands Branch, Deutsche Bank Securities Inc., Barclays Bank PLC, Royal Bank of Canada, Credit Suisse AG, Cayman Islands Branch, Credit Suisse Securities (USA) LLC, and the other parties thereto.</w:t>
      </w:r>
      <w:r>
        <w:rPr>
          <w:rFonts w:ascii="Times New Roman" w:cs="Times New Roman" w:eastAsia="Times New Roman" w:hAnsi="Times New Roman"/>
          <w:sz w:val="20"/>
          <w:szCs w:val="20"/>
          <w:b w:val="1"/>
          <w:bCs w:val="1"/>
          <w:u w:val="single" w:color="auto"/>
          <w:color w:val="0000FF"/>
          <w:strike w:val="1"/>
        </w:rPr>
        <w:t>November 15, 2024 between the</w:t>
      </w:r>
    </w:p>
    <w:p>
      <w:pPr>
        <w:spacing w:after="0"/>
        <w:rPr>
          <w:sz w:val="20"/>
          <w:szCs w:val="20"/>
          <w:color w:val="auto"/>
        </w:rPr>
      </w:pPr>
      <w:r>
        <w:rPr>
          <w:rFonts w:ascii="Times New Roman" w:cs="Times New Roman" w:eastAsia="Times New Roman" w:hAnsi="Times New Roman"/>
          <w:sz w:val="20"/>
          <w:szCs w:val="20"/>
          <w:b w:val="1"/>
          <w:bCs w:val="1"/>
          <w:u w:val="single" w:color="auto"/>
          <w:color w:val="0000FF"/>
        </w:rPr>
        <w:t>Borrower and the Agents.</w:t>
      </w:r>
    </w:p>
    <w:p>
      <w:pPr>
        <w:spacing w:after="0" w:line="187"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Fees</w:t>
      </w:r>
      <w:r>
        <w:rPr>
          <w:rFonts w:ascii="Times New Roman" w:cs="Times New Roman" w:eastAsia="Times New Roman" w:hAnsi="Times New Roman"/>
          <w:sz w:val="20"/>
          <w:szCs w:val="20"/>
          <w:color w:val="auto"/>
        </w:rPr>
        <w:t>” shall mean the Commitment Fees, the L/C Participation Fees, the Issuing Bank Fees, the Collateral Agent Fees and the Administrative Agent Fees.</w:t>
      </w:r>
    </w:p>
    <w:p>
      <w:pPr>
        <w:spacing w:after="0" w:line="1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Financial Covenant</w:t>
      </w:r>
      <w:r>
        <w:rPr>
          <w:rFonts w:ascii="Times New Roman" w:cs="Times New Roman" w:eastAsia="Times New Roman" w:hAnsi="Times New Roman"/>
          <w:sz w:val="20"/>
          <w:szCs w:val="20"/>
          <w:color w:val="auto"/>
        </w:rPr>
        <w:t>” shall mean the covenant of the Borrower set forth in Section 6.11.</w:t>
      </w:r>
    </w:p>
    <w:p>
      <w:pPr>
        <w:spacing w:after="0" w:line="202"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Financial Officer</w:t>
      </w:r>
      <w:r>
        <w:rPr>
          <w:rFonts w:ascii="Times New Roman" w:cs="Times New Roman" w:eastAsia="Times New Roman" w:hAnsi="Times New Roman"/>
          <w:sz w:val="20"/>
          <w:szCs w:val="20"/>
          <w:color w:val="auto"/>
        </w:rPr>
        <w:t>” of any person shall mean the Chief Financial Officer or an equivalent financial officer, principal accounting officer, Treasurer, Assistant Treasurer or Controller of such person.</w:t>
      </w:r>
    </w:p>
    <w:p>
      <w:pPr>
        <w:sectPr>
          <w:pgSz w:w="11900" w:h="16838" w:orient="portrait"/>
          <w:cols w:equalWidth="0" w:num="1">
            <w:col w:w="11240"/>
          </w:cols>
          <w:pgMar w:left="320" w:top="108" w:right="339" w:bottom="1440" w:gutter="0" w:footer="0" w:header="0"/>
        </w:sectPr>
      </w:pPr>
    </w:p>
    <w:bookmarkStart w:id="218" w:name="page219"/>
    <w:bookmarkEnd w:id="218"/>
    <w:p>
      <w:pPr>
        <w:jc w:val="right"/>
        <w:spacing w:after="0"/>
        <w:rPr>
          <w:sz w:val="20"/>
          <w:szCs w:val="20"/>
          <w:color w:val="auto"/>
        </w:rPr>
      </w:pPr>
      <w:r>
        <w:rPr>
          <w:rFonts w:ascii="Times New Roman" w:cs="Times New Roman" w:eastAsia="Times New Roman" w:hAnsi="Times New Roman"/>
          <w:sz w:val="22"/>
          <w:szCs w:val="22"/>
          <w:color w:val="FF0000"/>
          <w:strike w:val="1"/>
        </w:rPr>
        <w:t>ANNEX</w:t>
      </w:r>
      <w:r>
        <w:rPr>
          <w:rFonts w:ascii="Times New Roman" w:cs="Times New Roman" w:eastAsia="Times New Roman" w:hAnsi="Times New Roman"/>
          <w:sz w:val="22"/>
          <w:szCs w:val="22"/>
          <w:b w:val="1"/>
          <w:bCs w:val="1"/>
          <w:u w:val="single" w:color="auto"/>
          <w:color w:val="0000FF"/>
        </w:rPr>
        <w:t>EXHIBIT</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First Lien/First Lien Intercreditor Agreement</w:t>
      </w:r>
      <w:r>
        <w:rPr>
          <w:rFonts w:ascii="Times New Roman" w:cs="Times New Roman" w:eastAsia="Times New Roman" w:hAnsi="Times New Roman"/>
          <w:sz w:val="20"/>
          <w:szCs w:val="20"/>
          <w:color w:val="auto"/>
        </w:rPr>
        <w:t>” shall mean that certain First Lien/First Lien Intercreditor Agreement dated as of the 2021 Effective Date by and among Citibank, N.A., as Collateral Agent (as defined therein), Citibank, N.A., as Administrative Agent (as defined therein), Citibank, N.A., as Initial Other Authorized Representative (as defined therein), and each additional Authorized Representative (as defined therein) from time to time party thereto for the Other First-Priority Secured Parties of the Series (each as defined therein) with respect to which it is acting in such capacity, as such document may be amended, restated, supplemented or otherwise modified from time to time.</w:t>
      </w:r>
    </w:p>
    <w:p>
      <w:pPr>
        <w:spacing w:after="0" w:line="16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First Lien/Second Lien Intercreditor Agreement</w:t>
      </w:r>
      <w:r>
        <w:rPr>
          <w:rFonts w:ascii="Times New Roman" w:cs="Times New Roman" w:eastAsia="Times New Roman" w:hAnsi="Times New Roman"/>
          <w:sz w:val="20"/>
          <w:szCs w:val="20"/>
          <w:color w:val="auto"/>
        </w:rPr>
        <w:t xml:space="preserve">” shall mean an intercreditor agreement substantially in the form of </w:t>
      </w:r>
      <w:r>
        <w:rPr>
          <w:rFonts w:ascii="Times New Roman" w:cs="Times New Roman" w:eastAsia="Times New Roman" w:hAnsi="Times New Roman"/>
          <w:sz w:val="20"/>
          <w:szCs w:val="20"/>
          <w:u w:val="single" w:color="auto"/>
          <w:color w:val="auto"/>
        </w:rPr>
        <w:t>Exhibit H</w:t>
      </w:r>
      <w:r>
        <w:rPr>
          <w:rFonts w:ascii="Times New Roman" w:cs="Times New Roman" w:eastAsia="Times New Roman" w:hAnsi="Times New Roman"/>
          <w:sz w:val="20"/>
          <w:szCs w:val="20"/>
          <w:color w:val="auto"/>
        </w:rPr>
        <w:t xml:space="preserve"> to the Original Credit Agreement, or such other customary form reasonably acceptable to the Administrative Agent and the Borrower, in each case, as such document may be amended, restated, supplemented or otherwise modified from time to time.</w:t>
      </w:r>
    </w:p>
    <w:p>
      <w:pPr>
        <w:spacing w:after="0" w:line="168"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Flood Documentation</w:t>
      </w:r>
      <w:r>
        <w:rPr>
          <w:rFonts w:ascii="Times New Roman" w:cs="Times New Roman" w:eastAsia="Times New Roman" w:hAnsi="Times New Roman"/>
          <w:sz w:val="20"/>
          <w:szCs w:val="20"/>
          <w:color w:val="auto"/>
        </w:rPr>
        <w:t xml:space="preserve">” shall mean, with respect to each Mortgaged Property located in the United States of America or any territory thereof, (i) a completed “life-of-loan” Federal Emergency Management Agency standard flood hazard determination (to the extent a Mortgaged Property is located in a Special Flood Hazard Area, together with a notice about Special Flood Hazard Area status and flood disaster assistance duly executed by the Borrower and the applicable Loan Party relating thereto) and (ii) evidence of flood insurance as required by Section 5.02(c) hereof and the applicable provisions of the Security Documents, each of which shall (A) be endorsed or otherwise amended to include a “standard” or “New York” lender’s loss payable or mortgagee endorsement (as applicable), (B) name the Collateral Agent, on behalf of the Secured Parties, as additional insured and loss payee/mortgagee, (C) identify the address of each property located in a Special Flood Hazard Area, the applicable flood zone designation and the flood insurance coverage and deductible relating thereto and (D) be otherwise in form and substance reasonably satisfactory to the Administrative Agent </w:t>
      </w:r>
      <w:r>
        <w:rPr>
          <w:rFonts w:ascii="Times New Roman" w:cs="Times New Roman" w:eastAsia="Times New Roman" w:hAnsi="Times New Roman"/>
          <w:sz w:val="20"/>
          <w:szCs w:val="20"/>
          <w:b w:val="1"/>
          <w:bCs w:val="1"/>
          <w:u w:val="single" w:color="auto"/>
          <w:color w:val="0000FF"/>
        </w:rPr>
        <w:t>(acting at the direction of the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u w:val="single" w:color="auto"/>
          <w:color w:val="0000FF"/>
        </w:rPr>
        <w:t>Required Lenders)</w:t>
      </w:r>
      <w:r>
        <w:rPr>
          <w:rFonts w:ascii="Times New Roman" w:cs="Times New Roman" w:eastAsia="Times New Roman" w:hAnsi="Times New Roman"/>
          <w:sz w:val="20"/>
          <w:szCs w:val="20"/>
          <w:color w:val="000000"/>
        </w:rPr>
        <w:t>.</w:t>
      </w:r>
    </w:p>
    <w:p>
      <w:pPr>
        <w:spacing w:after="0" w:line="169"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Flood Insurance Laws</w:t>
      </w:r>
      <w:r>
        <w:rPr>
          <w:rFonts w:ascii="Times New Roman" w:cs="Times New Roman" w:eastAsia="Times New Roman" w:hAnsi="Times New Roman"/>
          <w:sz w:val="20"/>
          <w:szCs w:val="20"/>
          <w:color w:val="auto"/>
        </w:rPr>
        <w:t>” shall mean, collectively, (i) the National Flood Insurance Reform Act of 1994 (which comprehensively revised the National Flood Insurance Act of 1968 and the Flood Disaster Protection Act of 1973) as now or hereafter in effect or any successor statute thereto, (ii) the Flood Insurance Reform Act of 2004 as now or hereafter in effect or any successor statute thereto and (iii) the Biggert-Waters Flood Insurance Reform Act of 2012 as now or hereafter in effect or any successor statute thereto.</w:t>
      </w:r>
    </w:p>
    <w:p>
      <w:pPr>
        <w:spacing w:after="0" w:line="159"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Floor</w:t>
      </w:r>
      <w:r>
        <w:rPr>
          <w:rFonts w:ascii="Times New Roman" w:cs="Times New Roman" w:eastAsia="Times New Roman" w:hAnsi="Times New Roman"/>
          <w:sz w:val="20"/>
          <w:szCs w:val="20"/>
          <w:color w:val="auto"/>
        </w:rPr>
        <w:t>” shall mean a rate of interest equal to, (x) in the case of SOFR Borrowings composed of Term Loans, 0.75%, (y) in the case of SOFR Revolving Facility Borrowing made pursuant to the Revolving Facility Commitments in effect on the 2021 Effective Date, 1.00% and (z) in the case of all other Borrowings, 0.00%.</w:t>
      </w:r>
    </w:p>
    <w:p>
      <w:pPr>
        <w:spacing w:after="0" w:line="168"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Foreign Lender</w:t>
      </w:r>
      <w:r>
        <w:rPr>
          <w:rFonts w:ascii="Times New Roman" w:cs="Times New Roman" w:eastAsia="Times New Roman" w:hAnsi="Times New Roman"/>
          <w:sz w:val="20"/>
          <w:szCs w:val="20"/>
          <w:color w:val="auto"/>
        </w:rPr>
        <w:t>” shall mean any Lender (a) that is not disregarded as separate from its owner for U.S. federal income tax purposes and that is not a “United States person” as defined by Section 7701(a)(30) of the Code or (b) that is disregarded as separate from its owner for U.S. federal income tax purposes and whose regarded owner is not a “United States person” as defined in Section 7701(a)(30) of the Code.</w:t>
      </w:r>
    </w:p>
    <w:p>
      <w:pPr>
        <w:spacing w:after="0" w:line="159"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Foreign Subsidiary</w:t>
      </w:r>
      <w:r>
        <w:rPr>
          <w:rFonts w:ascii="Times New Roman" w:cs="Times New Roman" w:eastAsia="Times New Roman" w:hAnsi="Times New Roman"/>
          <w:sz w:val="20"/>
          <w:szCs w:val="20"/>
          <w:color w:val="auto"/>
        </w:rPr>
        <w:t>” shall mean any Subsidiary that is incorporated or organized under the laws of any jurisdiction other than the United States of America, any state thereof or the District of Columbia.</w:t>
      </w:r>
    </w:p>
    <w:p>
      <w:pPr>
        <w:sectPr>
          <w:pgSz w:w="11900" w:h="16838" w:orient="portrait"/>
          <w:cols w:equalWidth="0" w:num="1">
            <w:col w:w="11240"/>
          </w:cols>
          <w:pgMar w:left="320" w:top="108" w:right="339" w:bottom="1440" w:gutter="0" w:footer="0" w:header="0"/>
        </w:sectPr>
      </w:pPr>
    </w:p>
    <w:bookmarkStart w:id="219" w:name="page220"/>
    <w:bookmarkEnd w:id="219"/>
    <w:p>
      <w:pPr>
        <w:jc w:val="right"/>
        <w:spacing w:after="0"/>
        <w:rPr>
          <w:sz w:val="20"/>
          <w:szCs w:val="20"/>
          <w:color w:val="auto"/>
        </w:rPr>
      </w:pPr>
      <w:r>
        <w:rPr>
          <w:rFonts w:ascii="Times New Roman" w:cs="Times New Roman" w:eastAsia="Times New Roman" w:hAnsi="Times New Roman"/>
          <w:sz w:val="22"/>
          <w:szCs w:val="22"/>
          <w:color w:val="FF0000"/>
          <w:strike w:val="1"/>
        </w:rPr>
        <w:t>ANNEX</w:t>
      </w:r>
      <w:r>
        <w:rPr>
          <w:rFonts w:ascii="Times New Roman" w:cs="Times New Roman" w:eastAsia="Times New Roman" w:hAnsi="Times New Roman"/>
          <w:sz w:val="22"/>
          <w:szCs w:val="22"/>
          <w:b w:val="1"/>
          <w:bCs w:val="1"/>
          <w:u w:val="single" w:color="auto"/>
          <w:color w:val="0000FF"/>
        </w:rPr>
        <w:t>EXHIBIT</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ind w:firstLine="1296"/>
        <w:spacing w:after="0" w:line="27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Fronting Exposure</w:t>
      </w:r>
      <w:r>
        <w:rPr>
          <w:rFonts w:ascii="Times New Roman" w:cs="Times New Roman" w:eastAsia="Times New Roman" w:hAnsi="Times New Roman"/>
          <w:sz w:val="19"/>
          <w:szCs w:val="19"/>
          <w:color w:val="auto"/>
        </w:rPr>
        <w:t>” shall mean, at any time there is a Defaulting Lender, (a) with respect to any Issuing Bank, such Defaulting Lender’s Revolving Facility Percentage of Revolving L/C Exposure with respect to Letters of Credit issued by such Issuing Bank other than such Revolving L/C Exposure as to which such Defaulting Lender’s participation obligation has been reallocated to other Lenders or Cash Collateralized in accordance with the terms hereof and (b) with respect to the Swingline Lender, such Defaulting Lender’s Swingline Exposure other than Swingline Loans as to which such Defaulting Lender’s participation obligation has been reallocated to other Lenders.</w:t>
      </w:r>
    </w:p>
    <w:p>
      <w:pPr>
        <w:spacing w:after="0" w:line="162" w:lineRule="exact"/>
        <w:rPr>
          <w:sz w:val="20"/>
          <w:szCs w:val="20"/>
          <w:color w:val="auto"/>
        </w:rPr>
      </w:pPr>
    </w:p>
    <w:p>
      <w:pPr>
        <w:jc w:val="both"/>
        <w:ind w:right="20"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FSHCO</w:t>
      </w:r>
      <w:r>
        <w:rPr>
          <w:rFonts w:ascii="Times New Roman" w:cs="Times New Roman" w:eastAsia="Times New Roman" w:hAnsi="Times New Roman"/>
          <w:sz w:val="20"/>
          <w:szCs w:val="20"/>
          <w:color w:val="auto"/>
        </w:rPr>
        <w:t>” shall mean any Subsidiary that owns no material assets other than the Equity Interests of one or more Foreign Subsidiaries that are CFCs and/or of one or more FSHCOs.</w:t>
      </w:r>
    </w:p>
    <w:p>
      <w:pPr>
        <w:spacing w:after="0" w:line="14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Fund</w:t>
      </w:r>
      <w:r>
        <w:rPr>
          <w:rFonts w:ascii="Times New Roman" w:cs="Times New Roman" w:eastAsia="Times New Roman" w:hAnsi="Times New Roman"/>
          <w:sz w:val="20"/>
          <w:szCs w:val="20"/>
          <w:color w:val="auto"/>
        </w:rPr>
        <w:t>” shall mean, collectively, investment funds managed by Affiliates of Apollo Global Management, Inc.</w:t>
      </w:r>
    </w:p>
    <w:p>
      <w:pPr>
        <w:spacing w:after="0" w:line="21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Fund Affiliate</w:t>
      </w:r>
      <w:r>
        <w:rPr>
          <w:rFonts w:ascii="Times New Roman" w:cs="Times New Roman" w:eastAsia="Times New Roman" w:hAnsi="Times New Roman"/>
          <w:sz w:val="20"/>
          <w:szCs w:val="20"/>
          <w:color w:val="auto"/>
        </w:rPr>
        <w:t>” shall mean (i) each Affiliate of the Fund that is neither a “portfolio company” (which means a company actively engaged in providing goods or services to unaffiliated customers), whether or not controlled, nor a company controlled by a “portfolio company” and (ii) any individual who is a partner or employee of Apollo Management, L.P. or Apollo Management VIII, L.P.</w:t>
      </w:r>
    </w:p>
    <w:p>
      <w:pPr>
        <w:spacing w:after="0" w:line="154"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GAAP</w:t>
      </w:r>
      <w:r>
        <w:rPr>
          <w:rFonts w:ascii="Times New Roman" w:cs="Times New Roman" w:eastAsia="Times New Roman" w:hAnsi="Times New Roman"/>
          <w:sz w:val="20"/>
          <w:szCs w:val="20"/>
          <w:color w:val="auto"/>
        </w:rPr>
        <w:t xml:space="preserve">” shall mean generally accepted accounting principles in effect from time to time in the United States of America, applied on a consistent basis, subject to the provisions of Section 1.02;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any reference to the application of GAAP in Sections 3.13(b), 3.20, 5.03, 5.07 and 6.02(e) to a Foreign Subsidiary (and not as a consolidated Subsidiary of the Borrower) shall mean generally accepted accounting principles in effect from time to time in the jurisdiction of organization of such Foreign Subsidiary.</w:t>
      </w:r>
    </w:p>
    <w:p>
      <w:pPr>
        <w:spacing w:after="0" w:line="159"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Governmental Authority</w:t>
      </w:r>
      <w:r>
        <w:rPr>
          <w:rFonts w:ascii="Times New Roman" w:cs="Times New Roman" w:eastAsia="Times New Roman" w:hAnsi="Times New Roman"/>
          <w:sz w:val="20"/>
          <w:szCs w:val="20"/>
          <w:color w:val="auto"/>
        </w:rPr>
        <w:t>” shall mean any federal, state, local or foreign court or governmental agency, authority, instrumentality or regulatory or legislative body.</w:t>
      </w:r>
    </w:p>
    <w:p>
      <w:pPr>
        <w:spacing w:after="0" w:line="133"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Guarantee</w:t>
      </w:r>
      <w:r>
        <w:rPr>
          <w:rFonts w:ascii="Times New Roman" w:cs="Times New Roman" w:eastAsia="Times New Roman" w:hAnsi="Times New Roman"/>
          <w:sz w:val="20"/>
          <w:szCs w:val="20"/>
          <w:color w:val="auto"/>
        </w:rPr>
        <w:t>” of or by any person (the “</w:t>
      </w:r>
      <w:r>
        <w:rPr>
          <w:rFonts w:ascii="Times New Roman" w:cs="Times New Roman" w:eastAsia="Times New Roman" w:hAnsi="Times New Roman"/>
          <w:sz w:val="20"/>
          <w:szCs w:val="20"/>
          <w:u w:val="single" w:color="auto"/>
          <w:color w:val="auto"/>
        </w:rPr>
        <w:t>guarantor</w:t>
      </w:r>
      <w:r>
        <w:rPr>
          <w:rFonts w:ascii="Times New Roman" w:cs="Times New Roman" w:eastAsia="Times New Roman" w:hAnsi="Times New Roman"/>
          <w:sz w:val="20"/>
          <w:szCs w:val="20"/>
          <w:color w:val="auto"/>
        </w:rPr>
        <w:t>”) shall mean (a) any obligation, contingent or otherwise, of the guarantor guaranteeing or having the economic effect of guaranteeing any Indebtedness or other monetary obligation payable or performable by another person (the “</w:t>
      </w:r>
      <w:r>
        <w:rPr>
          <w:rFonts w:ascii="Times New Roman" w:cs="Times New Roman" w:eastAsia="Times New Roman" w:hAnsi="Times New Roman"/>
          <w:sz w:val="20"/>
          <w:szCs w:val="20"/>
          <w:u w:val="single" w:color="auto"/>
          <w:color w:val="auto"/>
        </w:rPr>
        <w:t>primary obligor</w:t>
      </w:r>
      <w:r>
        <w:rPr>
          <w:rFonts w:ascii="Times New Roman" w:cs="Times New Roman" w:eastAsia="Times New Roman" w:hAnsi="Times New Roman"/>
          <w:sz w:val="20"/>
          <w:szCs w:val="20"/>
          <w:color w:val="auto"/>
        </w:rPr>
        <w:t xml:space="preserve">”) in any manner, whether directly or indirectly, and including any obligation of the guarantor, direct or indirect, (i) to purchase or pay (or advance or supply funds for the purchase or payment of) such Indebtedness or other obligation, (ii) to purchase or lease property, securities or services for the purpose of assuring the owner of such Indebtedness or other obligation of the payment thereof, (iii) to maintain working capital, equity capital or any other financial statement condition or liquidity of the primary obligor so as to enable the primary obligor to pay such Indebtedness or other obligation or (iv) entered into for the purpose of assuring in any other manner the holders of such Indebtedness or other obligation of the payment thereof or to protect such holders against loss in respect thereof (in whole or in part), or (b) any Lien on any assets of the guarantor securing any Indebtedness or other obligation (or any existing right, contingent or otherwise, of the holder of Indebtedness or other obligation to be secured by such a Lien) of any other person, whether or not such Indebtedness or other obligation is assumed by the guarantor;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the term “Guarantee” shall not include endorsements of instruments for deposit or collection in the ordinary course of business or customary and reasonable indemnity obligations in effect on the Closing Date or entered into in connection with any acquisition or Disposition of assets permitted by this Agreement (other than such obligations with respect to Indebtedness). The amount of any Guarantee shall be deemed to be an amount equal to the stated or determinable amount of the Indebtedness in respect of which such Guarantee is made or, if not stated or determinable, the maximum reasonably anticipated liability in respect thereof as determined by such person in good faith.</w:t>
      </w:r>
    </w:p>
    <w:p>
      <w:pPr>
        <w:sectPr>
          <w:pgSz w:w="11900" w:h="16838" w:orient="portrait"/>
          <w:cols w:equalWidth="0" w:num="1">
            <w:col w:w="11240"/>
          </w:cols>
          <w:pgMar w:left="320" w:top="108" w:right="339" w:bottom="1440" w:gutter="0" w:footer="0" w:header="0"/>
        </w:sectPr>
      </w:pPr>
    </w:p>
    <w:bookmarkStart w:id="220" w:name="page221"/>
    <w:bookmarkEnd w:id="220"/>
    <w:p>
      <w:pPr>
        <w:ind w:left="9360"/>
        <w:spacing w:after="0"/>
        <w:rPr>
          <w:sz w:val="20"/>
          <w:szCs w:val="20"/>
          <w:color w:val="auto"/>
        </w:rPr>
      </w:pPr>
      <w:r>
        <w:rPr>
          <w:rFonts w:ascii="Times New Roman" w:cs="Times New Roman" w:eastAsia="Times New Roman" w:hAnsi="Times New Roman"/>
          <w:sz w:val="21"/>
          <w:szCs w:val="21"/>
          <w:color w:val="FF0000"/>
          <w:strike w:val="1"/>
        </w:rPr>
        <w:t>ANNEX</w:t>
      </w:r>
      <w:r>
        <w:rPr>
          <w:rFonts w:ascii="Times New Roman" w:cs="Times New Roman" w:eastAsia="Times New Roman" w:hAnsi="Times New Roman"/>
          <w:sz w:val="21"/>
          <w:szCs w:val="21"/>
          <w:b w:val="1"/>
          <w:bCs w:val="1"/>
          <w:u w:val="single" w:color="auto"/>
          <w:color w:val="0000FF"/>
        </w:rPr>
        <w:t>EXHIBIT</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000000"/>
        </w:rPr>
        <w: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300" w:right="2060"/>
        <w:spacing w:after="0" w:line="4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guarantor</w:t>
      </w:r>
      <w:r>
        <w:rPr>
          <w:rFonts w:ascii="Times New Roman" w:cs="Times New Roman" w:eastAsia="Times New Roman" w:hAnsi="Times New Roman"/>
          <w:sz w:val="20"/>
          <w:szCs w:val="20"/>
          <w:color w:val="auto"/>
        </w:rPr>
        <w:t>” shall have the meaning assigned to such term in the definition of the term “Guarantee.” “</w:t>
      </w:r>
      <w:r>
        <w:rPr>
          <w:rFonts w:ascii="Times New Roman" w:cs="Times New Roman" w:eastAsia="Times New Roman" w:hAnsi="Times New Roman"/>
          <w:sz w:val="20"/>
          <w:szCs w:val="20"/>
          <w:u w:val="single" w:color="auto"/>
          <w:color w:val="auto"/>
        </w:rPr>
        <w:t>Guarantors</w:t>
      </w:r>
      <w:r>
        <w:rPr>
          <w:rFonts w:ascii="Times New Roman" w:cs="Times New Roman" w:eastAsia="Times New Roman" w:hAnsi="Times New Roman"/>
          <w:sz w:val="20"/>
          <w:szCs w:val="20"/>
          <w:color w:val="auto"/>
        </w:rPr>
        <w:t>” shall mean the Loan Parties other than the Borrower.</w:t>
      </w:r>
    </w:p>
    <w:p>
      <w:pPr>
        <w:spacing w:after="0" w:line="2"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Hazardous Materials</w:t>
      </w:r>
      <w:r>
        <w:rPr>
          <w:rFonts w:ascii="Times New Roman" w:cs="Times New Roman" w:eastAsia="Times New Roman" w:hAnsi="Times New Roman"/>
          <w:sz w:val="20"/>
          <w:szCs w:val="20"/>
          <w:color w:val="auto"/>
        </w:rPr>
        <w:t>” shall mean all pollutants, contaminants, wastes, chemicals, materials, substances and constituents, including, without limitation, explosive or radioactive substances or petroleum by products or petroleum distillates, asbestos or asbestos-containing materials, polychlorinated biphenyls, radon gas or pesticides, fungicides, fertilizers or other agricultural chemicals, of any nature subject to regulation or which can give rise to liability under any Environmental Law.</w:t>
      </w:r>
    </w:p>
    <w:p>
      <w:pPr>
        <w:spacing w:after="0" w:line="174"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Hedge Bank</w:t>
      </w:r>
      <w:r>
        <w:rPr>
          <w:rFonts w:ascii="Times New Roman" w:cs="Times New Roman" w:eastAsia="Times New Roman" w:hAnsi="Times New Roman"/>
          <w:sz w:val="20"/>
          <w:szCs w:val="20"/>
          <w:color w:val="auto"/>
        </w:rPr>
        <w:t xml:space="preserve">” shall mean any person that is (or an Affiliate thereof is) (a) an Agent, an Arranger or a Lender on the Closing Date (or any person that becomes an Agent, Arranger or Lender or Affiliate thereof after the Closing Date) and that enters into a Hedging Agreement, in each case, in its capacity as a party to such Hedging Agreement or (b) listed in </w:t>
      </w:r>
      <w:r>
        <w:rPr>
          <w:rFonts w:ascii="Times New Roman" w:cs="Times New Roman" w:eastAsia="Times New Roman" w:hAnsi="Times New Roman"/>
          <w:sz w:val="20"/>
          <w:szCs w:val="20"/>
          <w:u w:val="single" w:color="auto"/>
          <w:color w:val="auto"/>
        </w:rPr>
        <w:t>Schedule 1.01(G)</w:t>
      </w:r>
      <w:r>
        <w:rPr>
          <w:rFonts w:ascii="Times New Roman" w:cs="Times New Roman" w:eastAsia="Times New Roman" w:hAnsi="Times New Roman"/>
          <w:sz w:val="20"/>
          <w:szCs w:val="20"/>
          <w:color w:val="auto"/>
        </w:rPr>
        <w:t xml:space="preserve"> to the Original Credit Agreement.</w:t>
      </w:r>
    </w:p>
    <w:p>
      <w:pPr>
        <w:spacing w:after="0" w:line="174"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Hedging Agreement</w:t>
      </w:r>
      <w:r>
        <w:rPr>
          <w:rFonts w:ascii="Times New Roman" w:cs="Times New Roman" w:eastAsia="Times New Roman" w:hAnsi="Times New Roman"/>
          <w:sz w:val="19"/>
          <w:szCs w:val="19"/>
          <w:color w:val="auto"/>
        </w:rPr>
        <w:t xml:space="preserve">” shall mean any agreement with respect to any swap, forward, future or derivative transaction, or option or similar agreement involving, or settled by reference to, one or more rates, currencies, commodities, equity or debt instruments or securities, or economic, financial or pricing indices or measures of economic, financial or pricing risk or value, or credit spread transaction, repurchase transaction, reserve repurchase transaction, securities lending transaction, weather index transaction, spot contracts, fixed price physical delivery contracts, or any similar transaction or any combination of these transactions, in each case of the foregoing, whether or not exchange traded;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that no phantom stock or similar plan providing for payments only on account of services provided by current or former directors, officers, employees or consultants of Holdings, the Borrower or any of the Subsidiaries shall be a Hedging Agreement.</w:t>
      </w:r>
    </w:p>
    <w:p>
      <w:pPr>
        <w:spacing w:after="0" w:line="15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Holdings</w:t>
      </w:r>
      <w:r>
        <w:rPr>
          <w:rFonts w:ascii="Times New Roman" w:cs="Times New Roman" w:eastAsia="Times New Roman" w:hAnsi="Times New Roman"/>
          <w:sz w:val="20"/>
          <w:szCs w:val="20"/>
          <w:color w:val="auto"/>
        </w:rPr>
        <w:t>” shall have the meaning assigned to such term in the introductory paragraph of this Agreement.</w:t>
      </w:r>
    </w:p>
    <w:p>
      <w:pPr>
        <w:spacing w:after="0" w:line="21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Holdings Guarantee and Pledge Agreement</w:t>
      </w:r>
      <w:r>
        <w:rPr>
          <w:rFonts w:ascii="Times New Roman" w:cs="Times New Roman" w:eastAsia="Times New Roman" w:hAnsi="Times New Roman"/>
          <w:sz w:val="20"/>
          <w:szCs w:val="20"/>
          <w:color w:val="auto"/>
        </w:rPr>
        <w:t>” shall mean the Holdings Guarantee and Pledge Agreement, dated as of the Closing Date, as may be amended, restated, supplemented or otherwise modified from time to time, between Holdings and the Collateral Agent.</w:t>
      </w:r>
    </w:p>
    <w:p>
      <w:pPr>
        <w:spacing w:after="0" w:line="154"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Immaterial Subsidiary</w:t>
      </w:r>
      <w:r>
        <w:rPr>
          <w:rFonts w:ascii="Times New Roman" w:cs="Times New Roman" w:eastAsia="Times New Roman" w:hAnsi="Times New Roman"/>
          <w:sz w:val="20"/>
          <w:szCs w:val="20"/>
          <w:color w:val="auto"/>
        </w:rPr>
        <w:t xml:space="preserve">” shall mean any Subsidiary that (a) did not, as of the last day of the fiscal quarter of the Borrower most recently ended for which financial statements have been (or were required to be) delivered pursuant to Section 5.04(a) or 5.04(b), have assets with a value in excess of 5.0% of the Consolidated Total Assets or revenues representing in excess of 5.0% of total revenues of the Borrower and the Subsidiaries on a consolidated basis as of such date, and (b) taken together with all Immaterial Subsidiaries as of such date, did not have assets with a value in excess of 10% of Consolidated Total Assets or revenues representing in excess of 10% of total revenues of the Borrower and the Subsidiaries on a consolidated basis as of such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the Borrower may elect in its sole discretion to exclude as an Immaterial Subsidiary any Subsidiary that would otherwise meet the definition thereof.</w:t>
      </w:r>
    </w:p>
    <w:p>
      <w:pPr>
        <w:spacing w:after="0" w:line="16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Increased Amount</w:t>
      </w:r>
      <w:r>
        <w:rPr>
          <w:rFonts w:ascii="Times New Roman" w:cs="Times New Roman" w:eastAsia="Times New Roman" w:hAnsi="Times New Roman"/>
          <w:sz w:val="20"/>
          <w:szCs w:val="20"/>
          <w:color w:val="auto"/>
        </w:rPr>
        <w:t>” of any Indebtedness shall mean any increase in the amount of such Indebtedness in connection with any accrual of interest, the accretion of accreted value, the amortization of original issue discount or deferred financing fees, the payment of interest or dividends in the form of additional Indebtedness or in the form of Equity Interests, as applicable, the accretion of original issue</w:t>
      </w:r>
    </w:p>
    <w:p>
      <w:pPr>
        <w:sectPr>
          <w:pgSz w:w="11900" w:h="16838" w:orient="portrait"/>
          <w:cols w:equalWidth="0" w:num="1">
            <w:col w:w="11240"/>
          </w:cols>
          <w:pgMar w:left="320" w:top="108" w:right="339" w:bottom="1440" w:gutter="0" w:footer="0" w:header="0"/>
        </w:sectPr>
      </w:pPr>
    </w:p>
    <w:bookmarkStart w:id="221" w:name="page222"/>
    <w:bookmarkEnd w:id="221"/>
    <w:p>
      <w:pPr>
        <w:jc w:val="right"/>
        <w:spacing w:after="0"/>
        <w:rPr>
          <w:sz w:val="20"/>
          <w:szCs w:val="20"/>
          <w:color w:val="auto"/>
        </w:rPr>
      </w:pPr>
      <w:r>
        <w:rPr>
          <w:rFonts w:ascii="Times New Roman" w:cs="Times New Roman" w:eastAsia="Times New Roman" w:hAnsi="Times New Roman"/>
          <w:sz w:val="22"/>
          <w:szCs w:val="22"/>
          <w:color w:val="FF0000"/>
          <w:strike w:val="1"/>
        </w:rPr>
        <w:t>ANNEX</w:t>
      </w:r>
      <w:r>
        <w:rPr>
          <w:rFonts w:ascii="Times New Roman" w:cs="Times New Roman" w:eastAsia="Times New Roman" w:hAnsi="Times New Roman"/>
          <w:sz w:val="22"/>
          <w:szCs w:val="22"/>
          <w:b w:val="1"/>
          <w:bCs w:val="1"/>
          <w:u w:val="single" w:color="auto"/>
          <w:color w:val="0000FF"/>
        </w:rPr>
        <w:t>EXHIBIT</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discount, deferred financing fees or liquidation preference and increases in the amount of Indebtedness outstanding solely as a result of fluctuations in the exchange rate of currencies.</w:t>
      </w:r>
    </w:p>
    <w:p>
      <w:pPr>
        <w:spacing w:after="0" w:line="133"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Incremental Amount</w:t>
      </w:r>
      <w:r>
        <w:rPr>
          <w:rFonts w:ascii="Times New Roman" w:cs="Times New Roman" w:eastAsia="Times New Roman" w:hAnsi="Times New Roman"/>
          <w:sz w:val="20"/>
          <w:szCs w:val="20"/>
          <w:color w:val="auto"/>
        </w:rPr>
        <w:t>” shall mean, at the time of the establishment of the commitments in respect of the Indebtedness to be incurred utilizing this definition (or, at the option of the Borrower, at the time of incurrence of such Indebtedness), the sum of:</w:t>
      </w:r>
    </w:p>
    <w:p>
      <w:pPr>
        <w:spacing w:after="0" w:line="159" w:lineRule="exact"/>
        <w:rPr>
          <w:sz w:val="20"/>
          <w:szCs w:val="20"/>
          <w:color w:val="auto"/>
        </w:rPr>
      </w:pPr>
    </w:p>
    <w:p>
      <w:pPr>
        <w:jc w:val="both"/>
        <w:ind w:left="660" w:firstLine="644"/>
        <w:spacing w:after="0" w:line="251" w:lineRule="auto"/>
        <w:tabs>
          <w:tab w:leader="none" w:pos="1765" w:val="left"/>
        </w:tabs>
        <w:numPr>
          <w:ilvl w:val="1"/>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excess (if any) of (a) the greater of (x) $860,000,000 and (y) 1.0 </w:t>
      </w:r>
      <w:r>
        <w:rPr>
          <w:rFonts w:ascii="Times New Roman" w:cs="Times New Roman" w:eastAsia="Times New Roman" w:hAnsi="Times New Roman"/>
          <w:sz w:val="20"/>
          <w:szCs w:val="20"/>
          <w:u w:val="single" w:color="auto"/>
          <w:color w:val="auto"/>
        </w:rPr>
        <w:t>multiplied by</w:t>
      </w:r>
      <w:r>
        <w:rPr>
          <w:rFonts w:ascii="Times New Roman" w:cs="Times New Roman" w:eastAsia="Times New Roman" w:hAnsi="Times New Roman"/>
          <w:sz w:val="20"/>
          <w:szCs w:val="20"/>
          <w:color w:val="auto"/>
        </w:rPr>
        <w:t xml:space="preserve"> the EBITDA calculated on a Pro Forma Basis for the then most recently ended Test Period </w:t>
      </w:r>
      <w:r>
        <w:rPr>
          <w:rFonts w:ascii="Times New Roman" w:cs="Times New Roman" w:eastAsia="Times New Roman" w:hAnsi="Times New Roman"/>
          <w:sz w:val="20"/>
          <w:szCs w:val="20"/>
          <w:u w:val="single" w:color="auto"/>
          <w:color w:val="auto"/>
        </w:rPr>
        <w:t>over</w:t>
      </w:r>
      <w:r>
        <w:rPr>
          <w:rFonts w:ascii="Times New Roman" w:cs="Times New Roman" w:eastAsia="Times New Roman" w:hAnsi="Times New Roman"/>
          <w:sz w:val="20"/>
          <w:szCs w:val="20"/>
          <w:color w:val="auto"/>
        </w:rPr>
        <w:t xml:space="preserve"> (b) the sum of (x) the aggregate outstanding principal amount of all Incremental Term Loans and Incremental Revolving Facility Commitments, in each case incurred or established after the 2021 Effective Date and outstanding at such time pursuant to Section 2.21 utilizing this clause (i) (other than Incremental Term Loans and Incremental Revolving Facility Commitments in respect of Refinancing Term Loans, Extended Term Loans, Extended Revolving Facility Commitments or Replacement Revolving Facility Commitments, respectively) and (y) the aggregate principal amount of Indebtedness outstanding under Section 6.01(z) at such time that was incurred utilizing this clause (i); </w:t>
      </w:r>
      <w:r>
        <w:rPr>
          <w:rFonts w:ascii="Times New Roman" w:cs="Times New Roman" w:eastAsia="Times New Roman" w:hAnsi="Times New Roman"/>
          <w:sz w:val="20"/>
          <w:szCs w:val="20"/>
          <w:u w:val="single" w:color="auto"/>
          <w:color w:val="auto"/>
        </w:rPr>
        <w:t>plus</w:t>
      </w:r>
    </w:p>
    <w:p>
      <w:pPr>
        <w:spacing w:after="0" w:line="179" w:lineRule="exact"/>
        <w:rPr>
          <w:rFonts w:ascii="Times New Roman" w:cs="Times New Roman" w:eastAsia="Times New Roman" w:hAnsi="Times New Roman"/>
          <w:sz w:val="20"/>
          <w:szCs w:val="20"/>
          <w:color w:val="auto"/>
        </w:rPr>
      </w:pPr>
    </w:p>
    <w:p>
      <w:pPr>
        <w:jc w:val="both"/>
        <w:ind w:left="660" w:firstLine="644"/>
        <w:spacing w:after="0" w:line="267" w:lineRule="auto"/>
        <w:tabs>
          <w:tab w:leader="none" w:pos="1835" w:val="left"/>
        </w:tabs>
        <w:numPr>
          <w:ilvl w:val="1"/>
          <w:numId w:val="1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amounts so long as immediately after giving effect to the establishment of the commitments in respect thereof utilizing this clause (ii) (and assuming any Incremental Revolving Facility Commitments established at such time utilizing this clause</w:t>
      </w:r>
    </w:p>
    <w:p>
      <w:pPr>
        <w:spacing w:after="0" w:line="1" w:lineRule="exact"/>
        <w:rPr>
          <w:rFonts w:ascii="Times New Roman" w:cs="Times New Roman" w:eastAsia="Times New Roman" w:hAnsi="Times New Roman"/>
          <w:sz w:val="19"/>
          <w:szCs w:val="19"/>
          <w:color w:val="auto"/>
        </w:rPr>
      </w:pPr>
    </w:p>
    <w:p>
      <w:pPr>
        <w:jc w:val="both"/>
        <w:ind w:left="660" w:hanging="4"/>
        <w:spacing w:after="0" w:line="248" w:lineRule="auto"/>
        <w:tabs>
          <w:tab w:leader="none" w:pos="954"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are fully drawn unless such commitments have been drawn or have otherwise been terminated) (or, at the option of the Borrower, immediately after giving effect to the incurrence of the Incremental Loans thereunder) and the use of proceeds of the loans thereunder, (a) in the case of Incremental Loans secured by Liens on the Collateral that rank pari passu with the Liens on the Collateral securing the Term B Loans or the Initial Revolving Loans, the Net First Lien Leverage Ratio on a Pro Forma Basis is not greater than 3.10 to 1.00 and (b) in the case of Incremental Loans secured by Liens on the Collateral that rank junior to the Liens on the Collateral securing the Term B Loans and the Initial Revolving Loans, the Net Secured Leverage Ratio on a Pro Forma Basis is not greater than 3.60 to 1.00;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for purposes of this clause (ii), net cash proceeds funded by financing sources upon the incurrence of Incremental Loans incurred at such time shall not be netted against the applicable amount of Consolidated Debt for purposes of such calculation of the Net First Lien Leverage Ratio or the Net Secured Leverage Ratio at such time and (II) with respect to any Incremental Loans incurred in connection with an acquisition of assets or Equity Interests (including a Permitted Business Acquisition, merger, consolidation or amalgamation) or any other Investment permitted hereunder, this clause (ii) shall also be deemed to be satisfied if (A) in the case of Incremental Loans described in clause (a) above, the Net First Lien Leverage Ratio on a Pro Forma Basis immediately after giving effect to such acquisition, merger, consolidation, amalgamation or Investment, the incurrence of such Indebtedness and the use of proceeds thereof and any related transactions is no greater than the Net First Lien Leverage Ratio in effect immediately prior thereto and (B) in the case of Incremental Loans described in clause (b) above, the Net Secured Leverage Ratio on a Pro Forma Basis immediately after giving effect to such acquisition, merger, consolidation, amalgamation or Investment, the incurrence of such Indebtedness and the use of proceeds thereof and any related transactions is no greater than the Net Secured Leverage Ratio in effect immediately prior thereto; </w:t>
      </w:r>
      <w:r>
        <w:rPr>
          <w:rFonts w:ascii="Times New Roman" w:cs="Times New Roman" w:eastAsia="Times New Roman" w:hAnsi="Times New Roman"/>
          <w:sz w:val="20"/>
          <w:szCs w:val="20"/>
          <w:u w:val="single" w:color="auto"/>
          <w:color w:val="auto"/>
        </w:rPr>
        <w:t>plus</w:t>
      </w:r>
    </w:p>
    <w:p>
      <w:pPr>
        <w:spacing w:after="0" w:line="175" w:lineRule="exact"/>
        <w:rPr>
          <w:rFonts w:ascii="Times New Roman" w:cs="Times New Roman" w:eastAsia="Times New Roman" w:hAnsi="Times New Roman"/>
          <w:sz w:val="20"/>
          <w:szCs w:val="20"/>
          <w:color w:val="auto"/>
        </w:rPr>
      </w:pPr>
    </w:p>
    <w:p>
      <w:pPr>
        <w:jc w:val="both"/>
        <w:ind w:left="660" w:firstLine="644"/>
        <w:spacing w:after="0" w:line="261" w:lineRule="auto"/>
        <w:tabs>
          <w:tab w:leader="none" w:pos="1903" w:val="left"/>
        </w:tabs>
        <w:numPr>
          <w:ilvl w:val="1"/>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aggregate amount of all voluntary prepayments of Term B Loans outstanding on the 2021 Effective Date and Revolving Facility Loans pursuant to Section 2.11(a) (and accompanied by a reduction of Revolving Facility Commitments pursuant to Section 2.08(b) in</w:t>
      </w:r>
    </w:p>
    <w:p>
      <w:pPr>
        <w:sectPr>
          <w:pgSz w:w="11900" w:h="16838" w:orient="portrait"/>
          <w:cols w:equalWidth="0" w:num="1">
            <w:col w:w="11240"/>
          </w:cols>
          <w:pgMar w:left="320" w:top="108" w:right="339" w:bottom="1440" w:gutter="0" w:footer="0" w:header="0"/>
        </w:sectPr>
      </w:pPr>
    </w:p>
    <w:bookmarkStart w:id="222" w:name="page223"/>
    <w:bookmarkEnd w:id="222"/>
    <w:p>
      <w:pPr>
        <w:jc w:val="right"/>
        <w:spacing w:after="0"/>
        <w:rPr>
          <w:sz w:val="20"/>
          <w:szCs w:val="20"/>
          <w:color w:val="auto"/>
        </w:rPr>
      </w:pPr>
      <w:r>
        <w:rPr>
          <w:rFonts w:ascii="Times New Roman" w:cs="Times New Roman" w:eastAsia="Times New Roman" w:hAnsi="Times New Roman"/>
          <w:sz w:val="22"/>
          <w:szCs w:val="22"/>
          <w:color w:val="FF0000"/>
          <w:strike w:val="1"/>
        </w:rPr>
        <w:t>ANNEX</w:t>
      </w:r>
      <w:r>
        <w:rPr>
          <w:rFonts w:ascii="Times New Roman" w:cs="Times New Roman" w:eastAsia="Times New Roman" w:hAnsi="Times New Roman"/>
          <w:sz w:val="22"/>
          <w:szCs w:val="22"/>
          <w:b w:val="1"/>
          <w:bCs w:val="1"/>
          <w:u w:val="single" w:color="auto"/>
          <w:color w:val="0000FF"/>
        </w:rPr>
        <w:t>EXHIBIT</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ind w:left="660"/>
        <w:spacing w:after="0" w:line="283" w:lineRule="auto"/>
        <w:rPr>
          <w:sz w:val="20"/>
          <w:szCs w:val="20"/>
          <w:color w:val="auto"/>
        </w:rPr>
      </w:pPr>
      <w:r>
        <w:rPr>
          <w:rFonts w:ascii="Times New Roman" w:cs="Times New Roman" w:eastAsia="Times New Roman" w:hAnsi="Times New Roman"/>
          <w:sz w:val="20"/>
          <w:szCs w:val="20"/>
          <w:color w:val="auto"/>
        </w:rPr>
        <w:t>the case of a prepayment of Revolving Facility Loans) made prior to such time except to the extent funded with the proceeds of long-term Indebtedness (other than revolving Indebtedness);</w:t>
      </w:r>
    </w:p>
    <w:p>
      <w:pPr>
        <w:spacing w:after="0" w:line="1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for the avoidance of doubt, (A) amounts may be established or incurred utilizing clause (ii) above prior to utilizing clause (i) or (iii) above and (B) any calculation of the Net First Lien Leverage Ratio or the Net Secured Leverage Ratio on a Pro Forma Basis pursuant to clause (ii) above may be determined, at the option of the Borrower, without giving effect to any simultaneous establishment or incurrence of any amounts utilizing clause (i) or (iii) above.</w:t>
      </w:r>
    </w:p>
    <w:p>
      <w:pPr>
        <w:spacing w:after="0" w:line="159"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Incremental Assumption Agreement</w:t>
      </w:r>
      <w:r>
        <w:rPr>
          <w:rFonts w:ascii="Times New Roman" w:cs="Times New Roman" w:eastAsia="Times New Roman" w:hAnsi="Times New Roman"/>
          <w:sz w:val="20"/>
          <w:szCs w:val="20"/>
          <w:color w:val="auto"/>
        </w:rPr>
        <w:t>” shall mean an Incremental Assumption Agreement in form and substance reasonably satisfactory to the Administrative Agent, among the Borrower, the Administrative Agent and, if applicable, one or more Incremental Term Lenders and/or Incremental Revolving Facility Lenders.</w:t>
      </w:r>
    </w:p>
    <w:p>
      <w:pPr>
        <w:spacing w:after="0" w:line="15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Incremental Commitment</w:t>
      </w:r>
      <w:r>
        <w:rPr>
          <w:rFonts w:ascii="Times New Roman" w:cs="Times New Roman" w:eastAsia="Times New Roman" w:hAnsi="Times New Roman"/>
          <w:sz w:val="20"/>
          <w:szCs w:val="20"/>
          <w:color w:val="auto"/>
        </w:rPr>
        <w:t>” shall mean an Incremental Term Loan Commitment or an Incremental Revolving Facility</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Commitment.</w:t>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Incremental Loan</w:t>
      </w:r>
      <w:r>
        <w:rPr>
          <w:rFonts w:ascii="Times New Roman" w:cs="Times New Roman" w:eastAsia="Times New Roman" w:hAnsi="Times New Roman"/>
          <w:sz w:val="20"/>
          <w:szCs w:val="20"/>
          <w:color w:val="auto"/>
        </w:rPr>
        <w:t>” shall mean an Incremental Term Loan or an Incremental Revolving Loan.</w:t>
      </w:r>
    </w:p>
    <w:p>
      <w:pPr>
        <w:spacing w:after="0" w:line="20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Incremental Revolving Borrowing</w:t>
      </w:r>
      <w:r>
        <w:rPr>
          <w:rFonts w:ascii="Times New Roman" w:cs="Times New Roman" w:eastAsia="Times New Roman" w:hAnsi="Times New Roman"/>
          <w:sz w:val="20"/>
          <w:szCs w:val="20"/>
          <w:color w:val="auto"/>
        </w:rPr>
        <w:t>” shall mean a Borrowing comprised of Incremental Revolving Loans.</w:t>
      </w:r>
    </w:p>
    <w:p>
      <w:pPr>
        <w:spacing w:after="0" w:line="216"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Incremental Revolving Facility</w:t>
      </w:r>
      <w:r>
        <w:rPr>
          <w:rFonts w:ascii="Times New Roman" w:cs="Times New Roman" w:eastAsia="Times New Roman" w:hAnsi="Times New Roman"/>
          <w:sz w:val="20"/>
          <w:szCs w:val="20"/>
          <w:color w:val="auto"/>
        </w:rPr>
        <w:t>” shall mean any Class of Incremental Revolving Facility Commitments and the Incremental Revolving Loans made thereunder.</w:t>
      </w:r>
    </w:p>
    <w:p>
      <w:pPr>
        <w:spacing w:after="0" w:line="159" w:lineRule="exact"/>
        <w:rPr>
          <w:sz w:val="20"/>
          <w:szCs w:val="20"/>
          <w:color w:val="auto"/>
        </w:rPr>
      </w:pPr>
    </w:p>
    <w:p>
      <w:pPr>
        <w:jc w:val="both"/>
        <w:ind w:right="20"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Incremental Revolving Facility Commitment</w:t>
      </w:r>
      <w:r>
        <w:rPr>
          <w:rFonts w:ascii="Times New Roman" w:cs="Times New Roman" w:eastAsia="Times New Roman" w:hAnsi="Times New Roman"/>
          <w:sz w:val="20"/>
          <w:szCs w:val="20"/>
          <w:color w:val="auto"/>
        </w:rPr>
        <w:t>” shall mean the commitment of any Lender, established pursuant to Section 2.21, to make Incremental Revolving Loans to the Borrower.</w:t>
      </w:r>
    </w:p>
    <w:p>
      <w:pPr>
        <w:spacing w:after="0" w:line="146"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Incremental Revolving Facility Lender</w:t>
      </w:r>
      <w:r>
        <w:rPr>
          <w:rFonts w:ascii="Times New Roman" w:cs="Times New Roman" w:eastAsia="Times New Roman" w:hAnsi="Times New Roman"/>
          <w:sz w:val="20"/>
          <w:szCs w:val="20"/>
          <w:color w:val="auto"/>
        </w:rPr>
        <w:t>” shall mean a Lender with an Incremental Revolving Facility Commitment or an outstanding Incremental Revolving Loan.</w:t>
      </w:r>
    </w:p>
    <w:p>
      <w:pPr>
        <w:spacing w:after="0" w:line="133"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Incremental Revolving Loan</w:t>
      </w:r>
      <w:r>
        <w:rPr>
          <w:rFonts w:ascii="Times New Roman" w:cs="Times New Roman" w:eastAsia="Times New Roman" w:hAnsi="Times New Roman"/>
          <w:sz w:val="20"/>
          <w:szCs w:val="20"/>
          <w:color w:val="auto"/>
        </w:rPr>
        <w:t>” shall mean (i) Revolving Facility Loans made by one or more Revolving Facility Lenders to the Borrower pursuant to an Incremental Revolving Facility Commitment to make additional Initial Revolving Loans and (ii) to the extent permitted by Section 2.21 and provided for in the relevant Incremental Assumption Agreement, Other Revolving Loans (including in the form of Extended Revolving Loans or Replacement Revolving Loans, as applicable), or (iii) any of the foregoing.</w:t>
      </w:r>
    </w:p>
    <w:p>
      <w:pPr>
        <w:spacing w:after="0" w:line="15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Incremental Term Borrowing</w:t>
      </w:r>
      <w:r>
        <w:rPr>
          <w:rFonts w:ascii="Times New Roman" w:cs="Times New Roman" w:eastAsia="Times New Roman" w:hAnsi="Times New Roman"/>
          <w:sz w:val="20"/>
          <w:szCs w:val="20"/>
          <w:color w:val="auto"/>
        </w:rPr>
        <w:t>” shall mean a Borrowing comprised of Incremental Term Loans.</w:t>
      </w:r>
    </w:p>
    <w:p>
      <w:pPr>
        <w:spacing w:after="0" w:line="202" w:lineRule="exact"/>
        <w:rPr>
          <w:sz w:val="20"/>
          <w:szCs w:val="20"/>
          <w:color w:val="auto"/>
        </w:rPr>
      </w:pPr>
    </w:p>
    <w:p>
      <w:pPr>
        <w:jc w:val="both"/>
        <w:ind w:right="20"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Incremental Term Facility</w:t>
      </w:r>
      <w:r>
        <w:rPr>
          <w:rFonts w:ascii="Times New Roman" w:cs="Times New Roman" w:eastAsia="Times New Roman" w:hAnsi="Times New Roman"/>
          <w:sz w:val="20"/>
          <w:szCs w:val="20"/>
          <w:color w:val="auto"/>
        </w:rPr>
        <w:t>” shall mean any Class of Incremental Term Loan Commitments and the Incremental Term Loans made thereunder.</w:t>
      </w:r>
    </w:p>
    <w:p>
      <w:pPr>
        <w:spacing w:after="0" w:line="1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Incremental Term Lender</w:t>
      </w:r>
      <w:r>
        <w:rPr>
          <w:rFonts w:ascii="Times New Roman" w:cs="Times New Roman" w:eastAsia="Times New Roman" w:hAnsi="Times New Roman"/>
          <w:sz w:val="19"/>
          <w:szCs w:val="19"/>
          <w:color w:val="auto"/>
        </w:rPr>
        <w:t>” shall mean a Lender with an Incremental Term Loan Commitment or an outstanding Incremental</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Term Loan.</w:t>
      </w:r>
    </w:p>
    <w:p>
      <w:pPr>
        <w:spacing w:after="0" w:line="187"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Incremental Term Loan Commitment</w:t>
      </w:r>
      <w:r>
        <w:rPr>
          <w:rFonts w:ascii="Times New Roman" w:cs="Times New Roman" w:eastAsia="Times New Roman" w:hAnsi="Times New Roman"/>
          <w:sz w:val="20"/>
          <w:szCs w:val="20"/>
          <w:color w:val="auto"/>
        </w:rPr>
        <w:t>” shall mean the commitment of any Lender, established pursuant to Section 2.21, to make Incremental Term Loans to the Borrower.</w:t>
      </w:r>
    </w:p>
    <w:p>
      <w:pPr>
        <w:sectPr>
          <w:pgSz w:w="11900" w:h="16838" w:orient="portrait"/>
          <w:cols w:equalWidth="0" w:num="1">
            <w:col w:w="11240"/>
          </w:cols>
          <w:pgMar w:left="320" w:top="108" w:right="339" w:bottom="1440" w:gutter="0" w:footer="0" w:header="0"/>
        </w:sectPr>
      </w:pPr>
    </w:p>
    <w:bookmarkStart w:id="223" w:name="page224"/>
    <w:bookmarkEnd w:id="223"/>
    <w:p>
      <w:pPr>
        <w:ind w:left="9360"/>
        <w:spacing w:after="0"/>
        <w:rPr>
          <w:sz w:val="20"/>
          <w:szCs w:val="20"/>
          <w:color w:val="auto"/>
        </w:rPr>
      </w:pPr>
      <w:r>
        <w:rPr>
          <w:rFonts w:ascii="Times New Roman" w:cs="Times New Roman" w:eastAsia="Times New Roman" w:hAnsi="Times New Roman"/>
          <w:sz w:val="21"/>
          <w:szCs w:val="21"/>
          <w:color w:val="FF0000"/>
          <w:strike w:val="1"/>
        </w:rPr>
        <w:t>ANNEX</w:t>
      </w:r>
      <w:r>
        <w:rPr>
          <w:rFonts w:ascii="Times New Roman" w:cs="Times New Roman" w:eastAsia="Times New Roman" w:hAnsi="Times New Roman"/>
          <w:sz w:val="21"/>
          <w:szCs w:val="21"/>
          <w:b w:val="1"/>
          <w:bCs w:val="1"/>
          <w:u w:val="single" w:color="auto"/>
          <w:color w:val="0000FF"/>
        </w:rPr>
        <w:t>EXHIBIT</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000000"/>
        </w:rPr>
        <w: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Incremental Term Loan Installment Date</w:t>
      </w:r>
      <w:r>
        <w:rPr>
          <w:rFonts w:ascii="Times New Roman" w:cs="Times New Roman" w:eastAsia="Times New Roman" w:hAnsi="Times New Roman"/>
          <w:sz w:val="20"/>
          <w:szCs w:val="20"/>
          <w:color w:val="auto"/>
        </w:rPr>
        <w:t>” shall have, with respect to any Class of Incremental Term Loans established pursuant to an Incremental Assumption Agreement, the meaning assigned to such term in Section 2.10(a)(ii).</w:t>
      </w:r>
    </w:p>
    <w:p>
      <w:pPr>
        <w:spacing w:after="0" w:line="133"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Incremental Term Loans</w:t>
      </w:r>
      <w:r>
        <w:rPr>
          <w:rFonts w:ascii="Times New Roman" w:cs="Times New Roman" w:eastAsia="Times New Roman" w:hAnsi="Times New Roman"/>
          <w:sz w:val="20"/>
          <w:szCs w:val="20"/>
          <w:color w:val="auto"/>
        </w:rPr>
        <w:t>” shall mean (i) Term Loans made by one or more Lenders to the Borrower pursuant to Section 2.01(c) consisting of additional Term B Loans and (ii) to the extent permitted by Section 2.21 and provided for in the relevant Incremental Assumption Agreement, Other Term Loans (including in the form of Extended Term Loans or Refinancing Term Loans, as applicable), or (iii) any of the foregoing.</w:t>
      </w:r>
    </w:p>
    <w:p>
      <w:pPr>
        <w:spacing w:after="0" w:line="159"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Indebtedness</w:t>
      </w:r>
      <w:r>
        <w:rPr>
          <w:rFonts w:ascii="Times New Roman" w:cs="Times New Roman" w:eastAsia="Times New Roman" w:hAnsi="Times New Roman"/>
          <w:sz w:val="19"/>
          <w:szCs w:val="19"/>
          <w:color w:val="auto"/>
        </w:rPr>
        <w:t xml:space="preserve">” of any person shall mean, if and to the extent (other than with respect to clause (i)) the same would constitute indebtedness or a liability on a balance sheet prepared in accordance with GAAP, without duplication, (a) all obligations of such person for borrowed money, (b) all obligations of such person evidenced by bonds, debentures, notes or similar instruments, (c) all obligations of such person under conditional sale or other title retention agreements relating to property or assets purchased by such person, (d) all obligations of such person issued or assumed as the deferred purchase price of property or services (other than such obligations accrued in the ordinary course), to the extent that the same would be required to be shown as a long term liability on a balance sheet prepared in accordance with GAAP, (e) all Capitalized Lease Obligations of such person, (f) all net payments that such person would have to make in the event of an early termination, on the date Indebtedness of such person is being determined, in respect of outstanding Hedging Agreements, (g) the principal component of all obligations, contingent or otherwise, of such person as an account party in respect of letters of credit, (h) the principal component of all obligations of such person in respect of bankers’ acceptances, (i) all Guarantees by such person of Indebtedness described in clauses (a) to (h) above and (j) the amount of all obligations of such person with respect to the redemption, repayment or other repurchase of any Disqualified Stock (excluding accrued dividends that have not increased the liquidation preference of such Disqualified Stock);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that Indebtedness shall not include (A) trade and other ordinary-course payables, accrued expenses, and intercompany liabilities arising in the ordinary course of business, (B) prepaid or deferred revenue, (C) purchase price holdbacks arising in the ordinary course of business in respect of a portion of the purchase prices of an asset to satisfy unperformed obligations of the seller of such asset,</w:t>
      </w:r>
    </w:p>
    <w:p>
      <w:pPr>
        <w:spacing w:after="0" w:line="2" w:lineRule="exact"/>
        <w:rPr>
          <w:sz w:val="20"/>
          <w:szCs w:val="20"/>
          <w:color w:val="auto"/>
        </w:rPr>
      </w:pPr>
    </w:p>
    <w:p>
      <w:pPr>
        <w:jc w:val="both"/>
        <w:ind w:firstLine="8"/>
        <w:spacing w:after="0" w:line="248" w:lineRule="auto"/>
        <w:tabs>
          <w:tab w:leader="none" w:pos="332"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Obligations under or in respect of Permitted Securitization Financings, (E) earn-out obligations until such obligations become a liability on the balance sheet of such person in accordance with GAAP, (F) obligations in respect of Third Party Funds, (G) in the case of the Borrower and its Subsidiaries, (I) all intercompany Indebtedness having a term not exceeding 364 days (inclusive of any roll-over or extensions of terms) and made in the ordinary course of business and (II) intercompany liabilities in connection with the cash management, tax and accounting operations of the Borrower and the Subsidiaries or (H) obligations under or in respect of the Merger Agreement. The Indebtedness of any person shall include the Indebtedness of any partnership in which such person is a general partner, other than to the extent that the instrument or agreement evidencing such Indebtedness limits the liability of such person in respect thereof.</w:t>
      </w:r>
    </w:p>
    <w:p>
      <w:pPr>
        <w:spacing w:after="0" w:line="184"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Indemnified Taxes</w:t>
      </w:r>
      <w:r>
        <w:rPr>
          <w:rFonts w:ascii="Times New Roman" w:cs="Times New Roman" w:eastAsia="Times New Roman" w:hAnsi="Times New Roman"/>
          <w:sz w:val="20"/>
          <w:szCs w:val="20"/>
          <w:color w:val="auto"/>
        </w:rPr>
        <w:t>” shall mean all Taxes imposed on or with respect to or measured by any payment by or on account of any obligation of any Loan Party hereunder or under any other Loan Document other than (a) Excluded Taxes and (b) Other Taxes.</w:t>
      </w:r>
    </w:p>
    <w:p>
      <w:pPr>
        <w:spacing w:after="0" w:line="14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Indemnitee</w:t>
      </w:r>
      <w:r>
        <w:rPr>
          <w:rFonts w:ascii="Times New Roman" w:cs="Times New Roman" w:eastAsia="Times New Roman" w:hAnsi="Times New Roman"/>
          <w:sz w:val="20"/>
          <w:szCs w:val="20"/>
          <w:color w:val="auto"/>
        </w:rPr>
        <w:t>” shall have the meaning assigned to such term in Section 9.05(b).</w:t>
      </w:r>
    </w:p>
    <w:p>
      <w:pPr>
        <w:spacing w:after="0" w:line="21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Ineligible Institution</w:t>
      </w:r>
      <w:r>
        <w:rPr>
          <w:rFonts w:ascii="Times New Roman" w:cs="Times New Roman" w:eastAsia="Times New Roman" w:hAnsi="Times New Roman"/>
          <w:sz w:val="20"/>
          <w:szCs w:val="20"/>
          <w:color w:val="auto"/>
        </w:rPr>
        <w:t>” shall mean (i) the persons identified as “Disqualified Lenders” in writing to the Arrangers by Holdings or the Borrower on or prior to the 2021 Effective Date, and (ii) the persons as may be identified in writing to the Administrative Agent by the Borrower from time to time</w:t>
      </w:r>
    </w:p>
    <w:p>
      <w:pPr>
        <w:sectPr>
          <w:pgSz w:w="11900" w:h="16838" w:orient="portrait"/>
          <w:cols w:equalWidth="0" w:num="1">
            <w:col w:w="11240"/>
          </w:cols>
          <w:pgMar w:left="320" w:top="108" w:right="339" w:bottom="1440" w:gutter="0" w:footer="0" w:header="0"/>
        </w:sectPr>
      </w:pPr>
    </w:p>
    <w:bookmarkStart w:id="224" w:name="page225"/>
    <w:bookmarkEnd w:id="224"/>
    <w:p>
      <w:pPr>
        <w:jc w:val="right"/>
        <w:spacing w:after="0"/>
        <w:rPr>
          <w:sz w:val="20"/>
          <w:szCs w:val="20"/>
          <w:color w:val="auto"/>
        </w:rPr>
      </w:pPr>
      <w:r>
        <w:rPr>
          <w:rFonts w:ascii="Times New Roman" w:cs="Times New Roman" w:eastAsia="Times New Roman" w:hAnsi="Times New Roman"/>
          <w:sz w:val="22"/>
          <w:szCs w:val="22"/>
          <w:color w:val="FF0000"/>
          <w:strike w:val="1"/>
        </w:rPr>
        <w:t>ANNEX</w:t>
      </w:r>
      <w:r>
        <w:rPr>
          <w:rFonts w:ascii="Times New Roman" w:cs="Times New Roman" w:eastAsia="Times New Roman" w:hAnsi="Times New Roman"/>
          <w:sz w:val="22"/>
          <w:szCs w:val="22"/>
          <w:b w:val="1"/>
          <w:bCs w:val="1"/>
          <w:u w:val="single" w:color="auto"/>
          <w:color w:val="0000FF"/>
        </w:rPr>
        <w:t>EXHIBIT</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thereafter (in the case of this clause (ii)) in respect of bona fide business competitors of the Borrower (in the good faith determination of the Borrower), by delivery of a notice thereof to the Administrative Agent setting forth such person or persons (or the person or persons previously identified to the Administrative Agent that are to be no longer considered “Ineligible Institutions”);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no such updates pursuant to this clause (ii) shall be deemed to retroactively disqualify any parties that have previously acquired an assignment or participation interest in respect of the Loans from continuing to hold or vote such previously acquired assignments and participations on the terms set forth herein for Lenders that are not Ineligible Institutions.</w:t>
      </w:r>
    </w:p>
    <w:p>
      <w:pPr>
        <w:spacing w:after="0" w:line="16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Information</w:t>
      </w:r>
      <w:r>
        <w:rPr>
          <w:rFonts w:ascii="Times New Roman" w:cs="Times New Roman" w:eastAsia="Times New Roman" w:hAnsi="Times New Roman"/>
          <w:sz w:val="20"/>
          <w:szCs w:val="20"/>
          <w:color w:val="auto"/>
        </w:rPr>
        <w:t>” shall have the meaning assigned to such term in Section 3.14(a).</w:t>
      </w:r>
    </w:p>
    <w:p>
      <w:pPr>
        <w:spacing w:after="0" w:line="202"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Information Memorandum</w:t>
      </w:r>
      <w:r>
        <w:rPr>
          <w:rFonts w:ascii="Times New Roman" w:cs="Times New Roman" w:eastAsia="Times New Roman" w:hAnsi="Times New Roman"/>
          <w:sz w:val="20"/>
          <w:szCs w:val="20"/>
          <w:color w:val="auto"/>
        </w:rPr>
        <w:t>” shall mean the Confidential Information Memorandum dated October 2016, as modified or supplemented prior to the Closing Date.</w:t>
      </w:r>
    </w:p>
    <w:p>
      <w:pPr>
        <w:spacing w:after="0" w:line="1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Initial Revolving Facility Maturity Date</w:t>
      </w:r>
      <w:r>
        <w:rPr>
          <w:rFonts w:ascii="Times New Roman" w:cs="Times New Roman" w:eastAsia="Times New Roman" w:hAnsi="Times New Roman"/>
          <w:sz w:val="20"/>
          <w:szCs w:val="20"/>
          <w:color w:val="auto"/>
        </w:rPr>
        <w:t>” shall mean the date that is five years from the 2020 Effective Date.</w:t>
      </w:r>
    </w:p>
    <w:p>
      <w:pPr>
        <w:spacing w:after="0" w:line="216" w:lineRule="exact"/>
        <w:rPr>
          <w:sz w:val="20"/>
          <w:szCs w:val="20"/>
          <w:color w:val="auto"/>
        </w:rPr>
      </w:pPr>
    </w:p>
    <w:p>
      <w:pPr>
        <w:jc w:val="both"/>
        <w:ind w:firstLine="1296"/>
        <w:spacing w:after="0" w:line="28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Initial Revolving Loan</w:t>
      </w:r>
      <w:r>
        <w:rPr>
          <w:rFonts w:ascii="Times New Roman" w:cs="Times New Roman" w:eastAsia="Times New Roman" w:hAnsi="Times New Roman"/>
          <w:sz w:val="19"/>
          <w:szCs w:val="19"/>
          <w:color w:val="auto"/>
        </w:rPr>
        <w:t>” shall mean a Revolving Facility Loan made (i) pursuant to the Revolving Facility Commitments in effect on the 2020 Effective Date (as the same may be amended from time to time in accordance with this Agreement) or (ii) pursuant to any Incremental Revolving Facility Commitment on the same terms as the Revolving Facility Loans referred to in clause (i) of this definition.</w:t>
      </w:r>
    </w:p>
    <w:p>
      <w:pPr>
        <w:spacing w:after="0" w:line="13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Intellectual Property</w:t>
      </w:r>
      <w:r>
        <w:rPr>
          <w:rFonts w:ascii="Times New Roman" w:cs="Times New Roman" w:eastAsia="Times New Roman" w:hAnsi="Times New Roman"/>
          <w:sz w:val="20"/>
          <w:szCs w:val="20"/>
          <w:color w:val="auto"/>
        </w:rPr>
        <w:t>” shall have the meaning assigned to such term in the Collateral Agreement.</w:t>
      </w:r>
    </w:p>
    <w:p>
      <w:pPr>
        <w:spacing w:after="0" w:line="20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Intercreditor Agreement</w:t>
      </w:r>
      <w:r>
        <w:rPr>
          <w:rFonts w:ascii="Times New Roman" w:cs="Times New Roman" w:eastAsia="Times New Roman" w:hAnsi="Times New Roman"/>
          <w:sz w:val="20"/>
          <w:szCs w:val="20"/>
          <w:color w:val="auto"/>
        </w:rPr>
        <w:t>” shall have the meaning assigned to such term in Section 8.11.</w:t>
      </w:r>
    </w:p>
    <w:p>
      <w:pPr>
        <w:spacing w:after="0" w:line="21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Interest Coverage Ratio</w:t>
      </w:r>
      <w:r>
        <w:rPr>
          <w:rFonts w:ascii="Times New Roman" w:cs="Times New Roman" w:eastAsia="Times New Roman" w:hAnsi="Times New Roman"/>
          <w:sz w:val="20"/>
          <w:szCs w:val="20"/>
          <w:color w:val="auto"/>
        </w:rPr>
        <w:t xml:space="preserve">” shall mean, on any date, the ratio of (a) EBITDA to (b) Cash Interest Expense, in each case, for the Test Period most recently ended as of such date, all determined on a consolidated basis in accordance with GAAP;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Interest Coverage Ratio shall be determined for the relevant Test Period on a Pro Forma Basis.</w:t>
      </w:r>
    </w:p>
    <w:p>
      <w:pPr>
        <w:spacing w:after="0" w:line="150"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Interest Election Request</w:t>
      </w:r>
      <w:r>
        <w:rPr>
          <w:rFonts w:ascii="Times New Roman" w:cs="Times New Roman" w:eastAsia="Times New Roman" w:hAnsi="Times New Roman"/>
          <w:sz w:val="20"/>
          <w:szCs w:val="20"/>
          <w:color w:val="auto"/>
        </w:rPr>
        <w:t xml:space="preserve">” shall mean a </w:t>
      </w:r>
      <w:r>
        <w:rPr>
          <w:rFonts w:ascii="Times New Roman" w:cs="Times New Roman" w:eastAsia="Times New Roman" w:hAnsi="Times New Roman"/>
          <w:sz w:val="20"/>
          <w:szCs w:val="20"/>
          <w:b w:val="1"/>
          <w:bCs w:val="1"/>
          <w:u w:val="single" w:color="auto"/>
          <w:color w:val="0000FF"/>
        </w:rPr>
        <w:t>written</w:t>
      </w:r>
      <w:r>
        <w:rPr>
          <w:rFonts w:ascii="Times New Roman" w:cs="Times New Roman" w:eastAsia="Times New Roman" w:hAnsi="Times New Roman"/>
          <w:sz w:val="20"/>
          <w:szCs w:val="20"/>
          <w:color w:val="auto"/>
        </w:rPr>
        <w:t xml:space="preserve"> request by the Borrower to convert or continue a Borrowing in accordance with Section 2.07 and substantially in the form of </w:t>
      </w:r>
      <w:r>
        <w:rPr>
          <w:rFonts w:ascii="Times New Roman" w:cs="Times New Roman" w:eastAsia="Times New Roman" w:hAnsi="Times New Roman"/>
          <w:sz w:val="20"/>
          <w:szCs w:val="20"/>
          <w:u w:val="single" w:color="auto"/>
          <w:color w:val="auto"/>
        </w:rPr>
        <w:t>Exhibit E</w:t>
      </w:r>
      <w:r>
        <w:rPr>
          <w:rFonts w:ascii="Times New Roman" w:cs="Times New Roman" w:eastAsia="Times New Roman" w:hAnsi="Times New Roman"/>
          <w:sz w:val="20"/>
          <w:szCs w:val="20"/>
          <w:color w:val="auto"/>
        </w:rPr>
        <w:t xml:space="preserve"> to the Original Credit Agreement or another form approved by the Administrative Agent.</w:t>
      </w:r>
    </w:p>
    <w:p>
      <w:pPr>
        <w:spacing w:after="0" w:line="15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Interest Expense</w:t>
      </w:r>
      <w:r>
        <w:rPr>
          <w:rFonts w:ascii="Times New Roman" w:cs="Times New Roman" w:eastAsia="Times New Roman" w:hAnsi="Times New Roman"/>
          <w:sz w:val="19"/>
          <w:szCs w:val="19"/>
          <w:color w:val="auto"/>
        </w:rPr>
        <w:t xml:space="preserve">” shall mean, with respect to any person for any period, the sum of (a) gross interest expense of such person for such period on a consolidated basis, including the portion of any payments or accruals with respect to Capitalized Lease Obligations allocable to interest expense and excluding amortization of deferred financing fees and original issue discount, debt issuance costs, commissions, fees and expenses, expensing of any bridge, commitment or other financing fees and non-cash interest expense attributable to movement in mark to market of obligations in respect of Hedging Agreements or other derivatives (in each case permitted hereunder) under GAAP and (b) capitalized interest of such person, </w:t>
      </w:r>
      <w:r>
        <w:rPr>
          <w:rFonts w:ascii="Times New Roman" w:cs="Times New Roman" w:eastAsia="Times New Roman" w:hAnsi="Times New Roman"/>
          <w:sz w:val="19"/>
          <w:szCs w:val="19"/>
          <w:u w:val="single" w:color="auto"/>
          <w:color w:val="auto"/>
        </w:rPr>
        <w:t>minus</w:t>
      </w:r>
      <w:r>
        <w:rPr>
          <w:rFonts w:ascii="Times New Roman" w:cs="Times New Roman" w:eastAsia="Times New Roman" w:hAnsi="Times New Roman"/>
          <w:sz w:val="19"/>
          <w:szCs w:val="19"/>
          <w:color w:val="auto"/>
        </w:rPr>
        <w:t xml:space="preserve"> interest income for such period. For purposes of the foregoing, gross interest expense shall be determined after giving effect to any net payments made or received and costs incurred by the Borrower and the Subsidiaries with respect to Hedging Agreements, and interest on a Capitalized Lease Obligation shall be deemed to accrue at an interest rate reasonably determined by the Borrower to be the rate of interest implicit in such Capitalized Lease Obligation in accordance with GAAP.</w:t>
      </w:r>
    </w:p>
    <w:p>
      <w:pPr>
        <w:sectPr>
          <w:pgSz w:w="11900" w:h="16838" w:orient="portrait"/>
          <w:cols w:equalWidth="0" w:num="1">
            <w:col w:w="11240"/>
          </w:cols>
          <w:pgMar w:left="320" w:top="108" w:right="339" w:bottom="1440" w:gutter="0" w:footer="0" w:header="0"/>
        </w:sectPr>
      </w:pPr>
    </w:p>
    <w:bookmarkStart w:id="225" w:name="page226"/>
    <w:bookmarkEnd w:id="225"/>
    <w:p>
      <w:pPr>
        <w:jc w:val="right"/>
        <w:spacing w:after="0"/>
        <w:rPr>
          <w:sz w:val="20"/>
          <w:szCs w:val="20"/>
          <w:color w:val="auto"/>
        </w:rPr>
      </w:pPr>
      <w:r>
        <w:rPr>
          <w:rFonts w:ascii="Times New Roman" w:cs="Times New Roman" w:eastAsia="Times New Roman" w:hAnsi="Times New Roman"/>
          <w:sz w:val="22"/>
          <w:szCs w:val="22"/>
          <w:color w:val="FF0000"/>
          <w:strike w:val="1"/>
        </w:rPr>
        <w:t>ANNEX</w:t>
      </w:r>
      <w:r>
        <w:rPr>
          <w:rFonts w:ascii="Times New Roman" w:cs="Times New Roman" w:eastAsia="Times New Roman" w:hAnsi="Times New Roman"/>
          <w:sz w:val="22"/>
          <w:szCs w:val="22"/>
          <w:b w:val="1"/>
          <w:bCs w:val="1"/>
          <w:u w:val="single" w:color="auto"/>
          <w:color w:val="0000FF"/>
        </w:rPr>
        <w:t>EXHIBIT</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Interest Payment Date</w:t>
      </w:r>
      <w:r>
        <w:rPr>
          <w:rFonts w:ascii="Times New Roman" w:cs="Times New Roman" w:eastAsia="Times New Roman" w:hAnsi="Times New Roman"/>
          <w:sz w:val="20"/>
          <w:szCs w:val="20"/>
          <w:color w:val="auto"/>
        </w:rPr>
        <w:t>” shall mean, (a) with respect to any SOFR Loan, (i) the last day of the Interest Period applicable to the Borrowing of which such Loan is a part, (ii) in the case of a SOFR Borrowing with an Interest Period of more than three months’ duration, each day that would have been an Interest Payment Date had successive Interest Periods of three months’ duration been applicable to such Borrowing and (iii) in addition, the date of any refinancing or conversion of such Borrowing with or to a Borrowing of a different Type, (b) with respect to any ABR Loan, the last Business Day of each calendar quarter and (c) with respect to any Swingline Loan, the day that such Swingline Loan is required to be repaid pursuant to Section 2.09(a).</w:t>
      </w:r>
    </w:p>
    <w:p>
      <w:pPr>
        <w:spacing w:after="0" w:line="16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Interest Period</w:t>
      </w:r>
      <w:r>
        <w:rPr>
          <w:rFonts w:ascii="Times New Roman" w:cs="Times New Roman" w:eastAsia="Times New Roman" w:hAnsi="Times New Roman"/>
          <w:sz w:val="20"/>
          <w:szCs w:val="20"/>
          <w:color w:val="auto"/>
        </w:rPr>
        <w:t xml:space="preserve">” shall mean, as to any SOFR Borrowing, the period commencing on the date of such Borrowing or on the last day of the immediately preceding Interest Period applicable to such Borrowing, as applicable, and ending on the numerically corresponding day (or, if there is no numerically corresponding day, on the last day) in the calendar month that is 1, 3 or 6 months thereafter (in each case, subject to the availability thereof) as the Borrower may elect;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Interest shall accrue from and including the first day of an Interest Period to but excluding the last day of such Interest Period.</w:t>
      </w:r>
    </w:p>
    <w:p>
      <w:pPr>
        <w:spacing w:after="0" w:line="16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Intermediate Holdings</w:t>
      </w:r>
      <w:r>
        <w:rPr>
          <w:rFonts w:ascii="Times New Roman" w:cs="Times New Roman" w:eastAsia="Times New Roman" w:hAnsi="Times New Roman"/>
          <w:sz w:val="20"/>
          <w:szCs w:val="20"/>
          <w:color w:val="auto"/>
        </w:rPr>
        <w:t>” shall have the meaning assigned to such term in Section 1.09.</w:t>
      </w:r>
    </w:p>
    <w:p>
      <w:pPr>
        <w:spacing w:after="0" w:line="20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Investment</w:t>
      </w:r>
      <w:r>
        <w:rPr>
          <w:rFonts w:ascii="Times New Roman" w:cs="Times New Roman" w:eastAsia="Times New Roman" w:hAnsi="Times New Roman"/>
          <w:sz w:val="20"/>
          <w:szCs w:val="20"/>
          <w:color w:val="auto"/>
        </w:rPr>
        <w:t>” shall have the meaning assigned to such term in Section 6.04.</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Investment Incurrence Clauses</w:t>
      </w:r>
      <w:r>
        <w:rPr>
          <w:rFonts w:ascii="Times New Roman" w:cs="Times New Roman" w:eastAsia="Times New Roman" w:hAnsi="Times New Roman"/>
          <w:sz w:val="20"/>
          <w:szCs w:val="20"/>
          <w:color w:val="auto"/>
        </w:rPr>
        <w:t>” shall have the meaning assigned to such term in the last paragraph of Section 6.04.</w:t>
      </w:r>
    </w:p>
    <w:p>
      <w:pPr>
        <w:spacing w:after="0" w:line="20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IPO Entity</w:t>
      </w:r>
      <w:r>
        <w:rPr>
          <w:rFonts w:ascii="Times New Roman" w:cs="Times New Roman" w:eastAsia="Times New Roman" w:hAnsi="Times New Roman"/>
          <w:sz w:val="20"/>
          <w:szCs w:val="20"/>
          <w:color w:val="auto"/>
        </w:rPr>
        <w:t>” shall have the meaning assigned to such term in the definition of “Qualified IPO”.</w:t>
      </w:r>
    </w:p>
    <w:p>
      <w:pPr>
        <w:spacing w:after="0" w:line="20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IRS</w:t>
      </w:r>
      <w:r>
        <w:rPr>
          <w:rFonts w:ascii="Times New Roman" w:cs="Times New Roman" w:eastAsia="Times New Roman" w:hAnsi="Times New Roman"/>
          <w:sz w:val="20"/>
          <w:szCs w:val="20"/>
          <w:color w:val="auto"/>
        </w:rPr>
        <w:t>” shall mean the U.S. Internal Revenue Service.</w:t>
      </w:r>
    </w:p>
    <w:p>
      <w:pPr>
        <w:spacing w:after="0" w:line="202"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Issuing Bank</w:t>
      </w:r>
      <w:r>
        <w:rPr>
          <w:rFonts w:ascii="Times New Roman" w:cs="Times New Roman" w:eastAsia="Times New Roman" w:hAnsi="Times New Roman"/>
          <w:sz w:val="20"/>
          <w:szCs w:val="20"/>
          <w:color w:val="auto"/>
        </w:rPr>
        <w:t xml:space="preserve">” shall mean (i) each of Citibank, N.A., Deutsche Bank AG New York Branch, Barclays Bank PLC, Royal Bank of Canada and Credit Suisse AG, Cayman Islands Branch and, (ii) for purposes of the Existing Roll-Over Letters of Credit, the Issuing Bank set forth on </w:t>
      </w:r>
      <w:r>
        <w:rPr>
          <w:rFonts w:ascii="Times New Roman" w:cs="Times New Roman" w:eastAsia="Times New Roman" w:hAnsi="Times New Roman"/>
          <w:sz w:val="20"/>
          <w:szCs w:val="20"/>
          <w:u w:val="single" w:color="auto"/>
          <w:color w:val="auto"/>
        </w:rPr>
        <w:t>Schedule 1.01(C)</w:t>
      </w:r>
      <w:r>
        <w:rPr>
          <w:rFonts w:ascii="Times New Roman" w:cs="Times New Roman" w:eastAsia="Times New Roman" w:hAnsi="Times New Roman"/>
          <w:sz w:val="20"/>
          <w:szCs w:val="20"/>
          <w:color w:val="auto"/>
        </w:rPr>
        <w:t xml:space="preserve"> to the Original Credit Agreement, and (iii) each other Issuing Bank designated pursuant to Section 2.05(l), in each case in its capacity as an issuer of Letters of Credit hereunder, and its successors in such capacity. An Issuing Bank may, in its discretion, arrange for one or more Letters of Credit to be issued by any domestic or foreign branch or Affiliate of such Issuing Bank, in which case the term “Issuing Bank” shall include any such branch or Affiliate with respect to Letters of Credit issued by such branch or Affiliate.</w:t>
      </w:r>
    </w:p>
    <w:p>
      <w:pPr>
        <w:spacing w:after="0" w:line="16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Issuing Bank Fees</w:t>
      </w:r>
      <w:r>
        <w:rPr>
          <w:rFonts w:ascii="Times New Roman" w:cs="Times New Roman" w:eastAsia="Times New Roman" w:hAnsi="Times New Roman"/>
          <w:sz w:val="20"/>
          <w:szCs w:val="20"/>
          <w:color w:val="auto"/>
        </w:rPr>
        <w:t>” shall have the meaning assigned to such term in Section 2.12(b).</w:t>
      </w:r>
    </w:p>
    <w:p>
      <w:pPr>
        <w:spacing w:after="0" w:line="202"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Joint Bookrunners</w:t>
      </w:r>
      <w:r>
        <w:rPr>
          <w:rFonts w:ascii="Times New Roman" w:cs="Times New Roman" w:eastAsia="Times New Roman" w:hAnsi="Times New Roman"/>
          <w:sz w:val="20"/>
          <w:szCs w:val="20"/>
          <w:color w:val="auto"/>
        </w:rPr>
        <w:t>” shall mean, collectively, Citibank, N.A., Barclays Bank PLC, BMO Capital Markets Corp., MUFG Union Bank, N.A., JPMorgan Chase Bank, N.A., Goldman Sachs Bank USA, Mizuho Bank, Ltd., RBC Capital Markets, LLC, Credit Suisse Loan Funding LLC, Deutsche Bank Securities Inc. and HSBC Securities (USA) Inc.</w:t>
      </w:r>
    </w:p>
    <w:p>
      <w:pPr>
        <w:spacing w:after="0" w:line="14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Judgment Currency</w:t>
      </w:r>
      <w:r>
        <w:rPr>
          <w:rFonts w:ascii="Times New Roman" w:cs="Times New Roman" w:eastAsia="Times New Roman" w:hAnsi="Times New Roman"/>
          <w:sz w:val="20"/>
          <w:szCs w:val="20"/>
          <w:color w:val="auto"/>
        </w:rPr>
        <w:t>” shall have the meaning assigned to such term in Section 9.19.</w:t>
      </w:r>
    </w:p>
    <w:p>
      <w:pPr>
        <w:sectPr>
          <w:pgSz w:w="11900" w:h="16838" w:orient="portrait"/>
          <w:cols w:equalWidth="0" w:num="1">
            <w:col w:w="11240"/>
          </w:cols>
          <w:pgMar w:left="320" w:top="108" w:right="339" w:bottom="1440" w:gutter="0" w:footer="0" w:header="0"/>
        </w:sectPr>
      </w:pPr>
    </w:p>
    <w:bookmarkStart w:id="226" w:name="page227"/>
    <w:bookmarkEnd w:id="226"/>
    <w:p>
      <w:pPr>
        <w:jc w:val="right"/>
        <w:spacing w:after="0"/>
        <w:rPr>
          <w:sz w:val="20"/>
          <w:szCs w:val="20"/>
          <w:color w:val="auto"/>
        </w:rPr>
      </w:pPr>
      <w:r>
        <w:rPr>
          <w:rFonts w:ascii="Times New Roman" w:cs="Times New Roman" w:eastAsia="Times New Roman" w:hAnsi="Times New Roman"/>
          <w:sz w:val="22"/>
          <w:szCs w:val="22"/>
          <w:color w:val="FF0000"/>
          <w:strike w:val="1"/>
        </w:rPr>
        <w:t>ANNEX</w:t>
      </w:r>
      <w:r>
        <w:rPr>
          <w:rFonts w:ascii="Times New Roman" w:cs="Times New Roman" w:eastAsia="Times New Roman" w:hAnsi="Times New Roman"/>
          <w:sz w:val="22"/>
          <w:szCs w:val="22"/>
          <w:b w:val="1"/>
          <w:bCs w:val="1"/>
          <w:u w:val="single" w:color="auto"/>
          <w:color w:val="0000FF"/>
        </w:rPr>
        <w:t>EXHIBIT</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Junior Financing</w:t>
      </w:r>
      <w:r>
        <w:rPr>
          <w:rFonts w:ascii="Times New Roman" w:cs="Times New Roman" w:eastAsia="Times New Roman" w:hAnsi="Times New Roman"/>
          <w:sz w:val="20"/>
          <w:szCs w:val="20"/>
          <w:color w:val="auto"/>
        </w:rPr>
        <w:t>” shall mean any Indebtedness that is subordinated in right of payment to the Loan Obligations.</w:t>
      </w:r>
    </w:p>
    <w:p>
      <w:pPr>
        <w:spacing w:after="0" w:line="202"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Junior Liens</w:t>
      </w:r>
      <w:r>
        <w:rPr>
          <w:rFonts w:ascii="Times New Roman" w:cs="Times New Roman" w:eastAsia="Times New Roman" w:hAnsi="Times New Roman"/>
          <w:sz w:val="20"/>
          <w:szCs w:val="20"/>
          <w:color w:val="auto"/>
        </w:rPr>
        <w:t>” shall mean Liens on the Collateral that are junior to the Liens thereon securing the Term B Loans (and other Loan Obligations that are pari passu with the Term B Loans) pursuant to a Permitted Junior Intercreditor Agreement (it being understood that Junior Liens are not required to be pari passu with other Junior Liens, and that Indebtedness secured by Junior Liens may have Liens that are senior in priority to, or pari passu with, or junior in priority to, other Liens constituting Junior Liens).</w:t>
      </w:r>
    </w:p>
    <w:p>
      <w:pPr>
        <w:spacing w:after="0" w:line="15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L/C Disbursement</w:t>
      </w:r>
      <w:r>
        <w:rPr>
          <w:rFonts w:ascii="Times New Roman" w:cs="Times New Roman" w:eastAsia="Times New Roman" w:hAnsi="Times New Roman"/>
          <w:sz w:val="20"/>
          <w:szCs w:val="20"/>
          <w:color w:val="auto"/>
        </w:rPr>
        <w:t>” shall mean a payment or disbursement made by an Issuing Bank pursuant to a Letter of Credit.</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L/C Participation Fee</w:t>
      </w:r>
      <w:r>
        <w:rPr>
          <w:rFonts w:ascii="Times New Roman" w:cs="Times New Roman" w:eastAsia="Times New Roman" w:hAnsi="Times New Roman"/>
          <w:sz w:val="20"/>
          <w:szCs w:val="20"/>
          <w:color w:val="auto"/>
        </w:rPr>
        <w:t>” shall have the meaning assigned to such term in Section 2.12(b).</w:t>
      </w:r>
    </w:p>
    <w:p>
      <w:pPr>
        <w:spacing w:after="0" w:line="202"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Latest Maturity Date</w:t>
      </w:r>
      <w:r>
        <w:rPr>
          <w:rFonts w:ascii="Times New Roman" w:cs="Times New Roman" w:eastAsia="Times New Roman" w:hAnsi="Times New Roman"/>
          <w:sz w:val="20"/>
          <w:szCs w:val="20"/>
          <w:color w:val="auto"/>
        </w:rPr>
        <w:t>” shall mean, at any date of determination, the latest of the latest Revolving Facility Maturity Date and the latest Term Facility Maturity Date, in each case then in effect on such date of determination.</w:t>
      </w:r>
    </w:p>
    <w:p>
      <w:pPr>
        <w:spacing w:after="0" w:line="159"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Lender</w:t>
      </w:r>
      <w:r>
        <w:rPr>
          <w:rFonts w:ascii="Times New Roman" w:cs="Times New Roman" w:eastAsia="Times New Roman" w:hAnsi="Times New Roman"/>
          <w:sz w:val="20"/>
          <w:szCs w:val="20"/>
          <w:color w:val="auto"/>
        </w:rPr>
        <w:t>” shall mean each Lender under this Agreement as of the 2021 Effective Date (after giving effect to the effectiveness of the 2021 Incremental Assumption and Amendment Agreement) (in each case, other than any such person that has ceased to be a party hereto pursuant to an Assignment and Acceptance in accordance with Section 9.04), as well as any person that becomes a “Lender” hereunder pursuant to Section 9.04 or Section 2.21. Unless the context clearly indicates otherwise, the term “Lenders” shall include any Swingline Lender.</w:t>
      </w:r>
    </w:p>
    <w:p>
      <w:pPr>
        <w:spacing w:after="0" w:line="165"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Lending Office</w:t>
      </w:r>
      <w:r>
        <w:rPr>
          <w:rFonts w:ascii="Times New Roman" w:cs="Times New Roman" w:eastAsia="Times New Roman" w:hAnsi="Times New Roman"/>
          <w:sz w:val="20"/>
          <w:szCs w:val="20"/>
          <w:color w:val="auto"/>
        </w:rPr>
        <w:t>” shall mean, as to any Lender, the applicable branch, office or Affiliate of such Lender designated by such Lender to make Loans.</w:t>
      </w:r>
    </w:p>
    <w:p>
      <w:pPr>
        <w:spacing w:after="0" w:line="133"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Letter of Credit</w:t>
      </w:r>
      <w:r>
        <w:rPr>
          <w:rFonts w:ascii="Times New Roman" w:cs="Times New Roman" w:eastAsia="Times New Roman" w:hAnsi="Times New Roman"/>
          <w:sz w:val="20"/>
          <w:szCs w:val="20"/>
          <w:color w:val="auto"/>
        </w:rPr>
        <w:t>” shall mean any letter of credit or bank guarantee issued pursuant to Section 2.05, including any Alternate Currency Letter of Credit. Each Existing Roll-Over Letter of Credit shall be deemed to constitute a Letter of Credit issued hereunder on the Closing Date for all purposes of the Loan Documents.</w:t>
      </w:r>
    </w:p>
    <w:p>
      <w:pPr>
        <w:spacing w:after="0" w:line="168"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Letter of Credit Commitment</w:t>
      </w:r>
      <w:r>
        <w:rPr>
          <w:rFonts w:ascii="Times New Roman" w:cs="Times New Roman" w:eastAsia="Times New Roman" w:hAnsi="Times New Roman"/>
          <w:sz w:val="20"/>
          <w:szCs w:val="20"/>
          <w:color w:val="auto"/>
        </w:rPr>
        <w:t>” shall mean, with respect to each Issuing Bank, the commitment of such Issuing Bank to issue Letters of Credit pursuant to Section 2.05.</w:t>
      </w:r>
    </w:p>
    <w:p>
      <w:pPr>
        <w:spacing w:after="0" w:line="14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Letter of Credit Sublimit</w:t>
      </w:r>
      <w:r>
        <w:rPr>
          <w:rFonts w:ascii="Times New Roman" w:cs="Times New Roman" w:eastAsia="Times New Roman" w:hAnsi="Times New Roman"/>
          <w:sz w:val="20"/>
          <w:szCs w:val="20"/>
          <w:color w:val="auto"/>
        </w:rPr>
        <w:t>” shall mean the aggregate Letter of Credit Commitments of the Issuing Banks, in an aggregate amount not to exceed $100,000,000 (calculated, in the case of Alternate Currency Letters of Credit, based on the Dollar Equivalent thereof) or such larger amount not to exceed the Revolving Facility Commitment as the Administrative Agent and the applicable Issuing Bank may agree.</w:t>
      </w:r>
    </w:p>
    <w:p>
      <w:pPr>
        <w:spacing w:after="0" w:line="159"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Lien</w:t>
      </w:r>
      <w:r>
        <w:rPr>
          <w:rFonts w:ascii="Times New Roman" w:cs="Times New Roman" w:eastAsia="Times New Roman" w:hAnsi="Times New Roman"/>
          <w:sz w:val="20"/>
          <w:szCs w:val="20"/>
          <w:color w:val="auto"/>
        </w:rPr>
        <w:t xml:space="preserve">” shall mean, with respect to any asset, (a) any mortgage, deed of trust, lien, hypothecation, pledge, charge, security interest or similar monetary encumbrance in or on such asset and (b) the interest of a vendor or a lessor under any conditional sale agreement, capital lease or title retention agreement (or any financing lease having substantially the same economic effect as any of the foregoing) relating to such asset;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in no event shall an operating lease or an agreement to sell be deemed to constitute a Lien.</w:t>
      </w:r>
    </w:p>
    <w:p>
      <w:pPr>
        <w:sectPr>
          <w:pgSz w:w="11900" w:h="16838" w:orient="portrait"/>
          <w:cols w:equalWidth="0" w:num="1">
            <w:col w:w="11240"/>
          </w:cols>
          <w:pgMar w:left="320" w:top="108" w:right="339" w:bottom="1440" w:gutter="0" w:footer="0" w:header="0"/>
        </w:sectPr>
      </w:pPr>
    </w:p>
    <w:bookmarkStart w:id="227" w:name="page228"/>
    <w:bookmarkEnd w:id="227"/>
    <w:p>
      <w:pPr>
        <w:jc w:val="right"/>
        <w:spacing w:after="0"/>
        <w:rPr>
          <w:sz w:val="20"/>
          <w:szCs w:val="20"/>
          <w:color w:val="auto"/>
        </w:rPr>
      </w:pPr>
      <w:r>
        <w:rPr>
          <w:rFonts w:ascii="Times New Roman" w:cs="Times New Roman" w:eastAsia="Times New Roman" w:hAnsi="Times New Roman"/>
          <w:sz w:val="22"/>
          <w:szCs w:val="22"/>
          <w:color w:val="FF0000"/>
          <w:strike w:val="1"/>
        </w:rPr>
        <w:t>ANNEX</w:t>
      </w:r>
      <w:r>
        <w:rPr>
          <w:rFonts w:ascii="Times New Roman" w:cs="Times New Roman" w:eastAsia="Times New Roman" w:hAnsi="Times New Roman"/>
          <w:sz w:val="22"/>
          <w:szCs w:val="22"/>
          <w:b w:val="1"/>
          <w:bCs w:val="1"/>
          <w:u w:val="single" w:color="auto"/>
          <w:color w:val="0000FF"/>
        </w:rPr>
        <w:t>EXHIBIT</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Loan Documents</w:t>
      </w:r>
      <w:r>
        <w:rPr>
          <w:rFonts w:ascii="Times New Roman" w:cs="Times New Roman" w:eastAsia="Times New Roman" w:hAnsi="Times New Roman"/>
          <w:sz w:val="20"/>
          <w:szCs w:val="20"/>
          <w:color w:val="auto"/>
        </w:rPr>
        <w:t>” shall mean (i) this Agreement, (ii) the Subsidiary Guarantee Agreement, (iii) the Security Documents,</w:t>
      </w:r>
    </w:p>
    <w:p>
      <w:pPr>
        <w:spacing w:after="0" w:line="28" w:lineRule="exact"/>
        <w:rPr>
          <w:sz w:val="20"/>
          <w:szCs w:val="20"/>
          <w:color w:val="auto"/>
        </w:rPr>
      </w:pPr>
    </w:p>
    <w:p>
      <w:pPr>
        <w:jc w:val="both"/>
        <w:ind w:firstLine="8"/>
        <w:spacing w:after="0" w:line="253" w:lineRule="auto"/>
        <w:tabs>
          <w:tab w:leader="none" w:pos="376" w:val="left"/>
        </w:tabs>
        <w:numPr>
          <w:ilvl w:val="0"/>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Incremental Assumption Agreement (including the 2021 Incremental Assumption and Amendment Agreement), (v) the First Lien/First Lien Intercreditor Agreement, (vi) any other Intercreditor Agreement, (vii) any Note issued under Section 2.09(e), (viii) the Letters of Credit and (ix) solely for the purposes of Section 7.01 hereof, the Fee Letter.</w:t>
      </w:r>
    </w:p>
    <w:p>
      <w:pPr>
        <w:spacing w:after="0" w:line="162"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Loan Obligations</w:t>
      </w:r>
      <w:r>
        <w:rPr>
          <w:rFonts w:ascii="Times New Roman" w:cs="Times New Roman" w:eastAsia="Times New Roman" w:hAnsi="Times New Roman"/>
          <w:sz w:val="20"/>
          <w:szCs w:val="20"/>
          <w:color w:val="auto"/>
        </w:rPr>
        <w:t>” shall mean (a) the due and punctual payment by the Borrower of (i) the unpaid principal of and interest (including interest accruing during the pendency of any bankruptcy, insolvency, receivership or other similar proceeding, regardless of whether allowed or allowable in such proceeding) on the Loans made to the Borrower under this Agreement, when and as due, whether at maturity, by acceleration, upon one or more dates set for prepayment or otherwise, (ii) each payment required to be made by the Borrower under this Agreement in respect of any Letter of Credit, when and as due, including payments in respect of reimbursement of disbursements, interest thereon (including interest accruing during the pendency of any bankruptcy, insolvency, receivership or other similar proceeding, regardless of whether allowed or allowable in such proceeding) and obligations to provide Cash Collateral and (iii) all other monetary obligations of the Borrower owed under or pursuant to this Agreement and each other Loan Document, including obligations to pay fees, expense reimbursement obligations and indemnification obligations, whether primary, secondary, direct, contingent, fixed or otherwise (including monetary obligations incurred during the pendency of any bankruptcy, insolvency, receivership or other similar proceeding, regardless of whether allowed or allowable in such proceeding), and (b) the due and punctual payment of all obligations of each other Loan Party under or pursuant to each of the Loan Documents.</w:t>
      </w:r>
    </w:p>
    <w:p>
      <w:pPr>
        <w:spacing w:after="0" w:line="16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Loan Parties</w:t>
      </w:r>
      <w:r>
        <w:rPr>
          <w:rFonts w:ascii="Times New Roman" w:cs="Times New Roman" w:eastAsia="Times New Roman" w:hAnsi="Times New Roman"/>
          <w:sz w:val="20"/>
          <w:szCs w:val="20"/>
          <w:color w:val="auto"/>
        </w:rPr>
        <w:t>” shall mean Holdings (prior to a Qualified IPO), the Borrower and the Subsidiary Loan Parties.</w:t>
      </w:r>
    </w:p>
    <w:p>
      <w:pPr>
        <w:spacing w:after="0" w:line="20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Loans</w:t>
      </w:r>
      <w:r>
        <w:rPr>
          <w:rFonts w:ascii="Times New Roman" w:cs="Times New Roman" w:eastAsia="Times New Roman" w:hAnsi="Times New Roman"/>
          <w:sz w:val="20"/>
          <w:szCs w:val="20"/>
          <w:color w:val="auto"/>
        </w:rPr>
        <w:t>” shall mean the Term Loans, the Revolving Facility Loans and the Swingline Loans.</w:t>
      </w:r>
    </w:p>
    <w:p>
      <w:pPr>
        <w:spacing w:after="0" w:line="202"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Local Time</w:t>
      </w:r>
      <w:r>
        <w:rPr>
          <w:rFonts w:ascii="Times New Roman" w:cs="Times New Roman" w:eastAsia="Times New Roman" w:hAnsi="Times New Roman"/>
          <w:sz w:val="20"/>
          <w:szCs w:val="20"/>
          <w:color w:val="auto"/>
        </w:rPr>
        <w:t xml:space="preserve">” shall mean New York City time (daylight or standard, as applicable);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with respect to any Alternate Currency Loan, “Local Time” shall mean the local time of the applicable Lending Office.</w:t>
      </w:r>
    </w:p>
    <w:p>
      <w:pPr>
        <w:spacing w:after="0" w:line="133"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Majority Lenders</w:t>
      </w:r>
      <w:r>
        <w:rPr>
          <w:rFonts w:ascii="Times New Roman" w:cs="Times New Roman" w:eastAsia="Times New Roman" w:hAnsi="Times New Roman"/>
          <w:sz w:val="20"/>
          <w:szCs w:val="20"/>
          <w:color w:val="auto"/>
        </w:rPr>
        <w:t>” of any Facility shall mean, at any time, Lenders under such Facility having Loans and unused Commitments representing more than 50% of the sum of all Loans outstanding under such Facility and unused Commitments under such Facility at such time (subject to the last paragraph of Section 9.08(b)).</w:t>
      </w:r>
    </w:p>
    <w:p>
      <w:pPr>
        <w:spacing w:after="0" w:line="168"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Management Group</w:t>
      </w:r>
      <w:r>
        <w:rPr>
          <w:rFonts w:ascii="Times New Roman" w:cs="Times New Roman" w:eastAsia="Times New Roman" w:hAnsi="Times New Roman"/>
          <w:sz w:val="20"/>
          <w:szCs w:val="20"/>
          <w:color w:val="auto"/>
        </w:rPr>
        <w:t>” shall mean the group consisting of the directors, executive officers and other management personnel of the Borrower, Holdings or any Parent Entity, as the case may be, on the Closing Date after giving effect to the Transactions together with</w:t>
      </w:r>
    </w:p>
    <w:p>
      <w:pPr>
        <w:spacing w:after="0" w:line="1" w:lineRule="exact"/>
        <w:rPr>
          <w:sz w:val="20"/>
          <w:szCs w:val="20"/>
          <w:color w:val="auto"/>
        </w:rPr>
      </w:pPr>
    </w:p>
    <w:p>
      <w:pPr>
        <w:jc w:val="both"/>
        <w:ind w:firstLine="8"/>
        <w:spacing w:after="0" w:line="250" w:lineRule="auto"/>
        <w:tabs>
          <w:tab w:leader="none" w:pos="290"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new directors whose election by such boards of directors or whose nomination for election by the equityholders of the Borrower, Holdings or any Parent Entity, as the case may be, was approved by a vote of a majority of the directors of the Borrower, Holdings or any Parent Entity, as the case may be, then still in office who were either directors on the Closing Date after giving effect to the Transactions or whose election or nomination was previously so approved and (b) executive officers and other management personnel of the Borrower, Holdings or any Parent Entity, as the case may be, hired at a time when the directors on the Closing Date after giving effect to the Transactions together with the directors so approved constituted a majority of the directors of the Borrower or Holdings, as the case may be.</w:t>
      </w:r>
    </w:p>
    <w:p>
      <w:pPr>
        <w:sectPr>
          <w:pgSz w:w="11900" w:h="16838" w:orient="portrait"/>
          <w:cols w:equalWidth="0" w:num="1">
            <w:col w:w="11240"/>
          </w:cols>
          <w:pgMar w:left="320" w:top="108" w:right="339" w:bottom="1440" w:gutter="0" w:footer="0" w:header="0"/>
        </w:sectPr>
      </w:pPr>
    </w:p>
    <w:bookmarkStart w:id="228" w:name="page229"/>
    <w:bookmarkEnd w:id="228"/>
    <w:p>
      <w:pPr>
        <w:ind w:left="9360"/>
        <w:spacing w:after="0"/>
        <w:rPr>
          <w:sz w:val="20"/>
          <w:szCs w:val="20"/>
          <w:color w:val="auto"/>
        </w:rPr>
      </w:pPr>
      <w:r>
        <w:rPr>
          <w:rFonts w:ascii="Times New Roman" w:cs="Times New Roman" w:eastAsia="Times New Roman" w:hAnsi="Times New Roman"/>
          <w:sz w:val="21"/>
          <w:szCs w:val="21"/>
          <w:color w:val="FF0000"/>
          <w:strike w:val="1"/>
        </w:rPr>
        <w:t>ANNEX</w:t>
      </w:r>
      <w:r>
        <w:rPr>
          <w:rFonts w:ascii="Times New Roman" w:cs="Times New Roman" w:eastAsia="Times New Roman" w:hAnsi="Times New Roman"/>
          <w:sz w:val="21"/>
          <w:szCs w:val="21"/>
          <w:b w:val="1"/>
          <w:bCs w:val="1"/>
          <w:u w:val="single" w:color="auto"/>
          <w:color w:val="0000FF"/>
        </w:rPr>
        <w:t>EXHIBIT</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000000"/>
        </w:rPr>
        <w: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Margin Stock</w:t>
      </w:r>
      <w:r>
        <w:rPr>
          <w:rFonts w:ascii="Times New Roman" w:cs="Times New Roman" w:eastAsia="Times New Roman" w:hAnsi="Times New Roman"/>
          <w:sz w:val="20"/>
          <w:szCs w:val="20"/>
          <w:color w:val="auto"/>
        </w:rPr>
        <w:t>” shall have the meaning assigned to such term in Regulation U.</w:t>
      </w:r>
    </w:p>
    <w:p>
      <w:pPr>
        <w:spacing w:after="0" w:line="202"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Market Capitalization</w:t>
      </w:r>
      <w:r>
        <w:rPr>
          <w:rFonts w:ascii="Times New Roman" w:cs="Times New Roman" w:eastAsia="Times New Roman" w:hAnsi="Times New Roman"/>
          <w:sz w:val="20"/>
          <w:szCs w:val="20"/>
          <w:color w:val="auto"/>
        </w:rPr>
        <w:t xml:space="preserve">” shall mean an amount equal to (i) the total number of issued and outstanding shares of common (or common equivalent) Equity Interests of the IPO Entity on the date of the declaration of the relevant Restricted Payment </w:t>
      </w:r>
      <w:r>
        <w:rPr>
          <w:rFonts w:ascii="Times New Roman" w:cs="Times New Roman" w:eastAsia="Times New Roman" w:hAnsi="Times New Roman"/>
          <w:sz w:val="20"/>
          <w:szCs w:val="20"/>
          <w:u w:val="single" w:color="auto"/>
          <w:color w:val="auto"/>
        </w:rPr>
        <w:t>multiplied by</w:t>
      </w:r>
      <w:r>
        <w:rPr>
          <w:rFonts w:ascii="Times New Roman" w:cs="Times New Roman" w:eastAsia="Times New Roman" w:hAnsi="Times New Roman"/>
          <w:sz w:val="20"/>
          <w:szCs w:val="20"/>
          <w:color w:val="auto"/>
        </w:rPr>
        <w:t xml:space="preserve"> (ii) the arithmetic mean of the closing prices per share of the common (or common equivalent) Equity Interests for the 30 consecutive trading days immediately preceding the date of declaration of such Restricted Payment.</w:t>
      </w:r>
    </w:p>
    <w:p>
      <w:pPr>
        <w:spacing w:after="0" w:line="159"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Material Adverse Effect</w:t>
      </w:r>
      <w:r>
        <w:rPr>
          <w:rFonts w:ascii="Times New Roman" w:cs="Times New Roman" w:eastAsia="Times New Roman" w:hAnsi="Times New Roman"/>
          <w:sz w:val="20"/>
          <w:szCs w:val="20"/>
          <w:color w:val="auto"/>
        </w:rPr>
        <w:t>” shall mean a material adverse effect on the business, property, operations or financial condition of the Borrower and its Subsidiaries, taken as a whole, or the validity or enforceability of any of the Loan Documents or the rights and remedies of the Administrative Agent and the Lenders thereunder.</w:t>
      </w:r>
    </w:p>
    <w:p>
      <w:pPr>
        <w:spacing w:after="0" w:line="168"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Material Indebtedness</w:t>
      </w:r>
      <w:r>
        <w:rPr>
          <w:rFonts w:ascii="Times New Roman" w:cs="Times New Roman" w:eastAsia="Times New Roman" w:hAnsi="Times New Roman"/>
          <w:sz w:val="20"/>
          <w:szCs w:val="20"/>
          <w:color w:val="auto"/>
        </w:rPr>
        <w:t xml:space="preserve">” shall mean Indebtedness (other than Loans and Letters of Credit) of any one or more of the Borrower or any Subsidiary in an aggregate principal amount exceeding $100,000,000;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no event shall any Permitted Securitization Financing be considered Material Indebtedness.</w:t>
      </w:r>
    </w:p>
    <w:p>
      <w:pPr>
        <w:spacing w:after="0" w:line="154"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Material Real Property</w:t>
      </w:r>
      <w:r>
        <w:rPr>
          <w:rFonts w:ascii="Times New Roman" w:cs="Times New Roman" w:eastAsia="Times New Roman" w:hAnsi="Times New Roman"/>
          <w:sz w:val="20"/>
          <w:szCs w:val="20"/>
          <w:color w:val="auto"/>
        </w:rPr>
        <w:t xml:space="preserve">” shall mean any parcel or parcels of Real Property located in the United States now or hereafter owned in fee by the Borrower or any Subsidiary Loan Party and having a fair market value (on a per-property basis) of at least $10,000,000 as of (x) the Closing Date, for Real Property now owned or (y) the date of acquisition, for Real Property acquired after the Closing Date, in each case as determined by the Borrower in good faith;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“Material Real Property” shall not include (i) any Real Property in respect of which the Borrower or a Subsidiary Loan Party does not own the land in fee simple or (ii) any Real Property which the Borrower or a Subsidiary Loan Party leases to a third party.</w:t>
      </w:r>
    </w:p>
    <w:p>
      <w:pPr>
        <w:spacing w:after="0" w:line="16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Material Subsidiary</w:t>
      </w:r>
      <w:r>
        <w:rPr>
          <w:rFonts w:ascii="Times New Roman" w:cs="Times New Roman" w:eastAsia="Times New Roman" w:hAnsi="Times New Roman"/>
          <w:sz w:val="20"/>
          <w:szCs w:val="20"/>
          <w:color w:val="auto"/>
        </w:rPr>
        <w:t>” shall mean any Subsidiary other than an Immaterial Subsidiary.</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Maximum Rate</w:t>
      </w:r>
      <w:r>
        <w:rPr>
          <w:rFonts w:ascii="Times New Roman" w:cs="Times New Roman" w:eastAsia="Times New Roman" w:hAnsi="Times New Roman"/>
          <w:sz w:val="20"/>
          <w:szCs w:val="20"/>
          <w:color w:val="auto"/>
        </w:rPr>
        <w:t>” shall have the meaning assigned to such term in Section 9.09.</w:t>
      </w:r>
    </w:p>
    <w:p>
      <w:pPr>
        <w:spacing w:after="0" w:line="202"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Merger</w:t>
      </w:r>
      <w:r>
        <w:rPr>
          <w:rFonts w:ascii="Times New Roman" w:cs="Times New Roman" w:eastAsia="Times New Roman" w:hAnsi="Times New Roman"/>
          <w:sz w:val="20"/>
          <w:szCs w:val="20"/>
          <w:color w:val="auto"/>
        </w:rPr>
        <w:t>” shall mean the merger of Merger Sub with and into the Company, with the Company surviving as a wholly-owned subsidiary of Holdings, pursuant to the Merger Agreement.</w:t>
      </w:r>
    </w:p>
    <w:p>
      <w:pPr>
        <w:spacing w:after="0" w:line="159"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Merger Agreement</w:t>
      </w:r>
      <w:r>
        <w:rPr>
          <w:rFonts w:ascii="Times New Roman" w:cs="Times New Roman" w:eastAsia="Times New Roman" w:hAnsi="Times New Roman"/>
          <w:sz w:val="20"/>
          <w:szCs w:val="20"/>
          <w:color w:val="auto"/>
        </w:rPr>
        <w:t>” shall mean the Agreement and Plan of Merger, dated as of August 26, 2016, by and among Holdings, Merger Sub and the Company, and any other agreements or instruments contemplated thereby, in each case, as may be amended, restated, supplemented or otherwise modified from time to time.</w:t>
      </w:r>
    </w:p>
    <w:p>
      <w:pPr>
        <w:spacing w:after="0" w:line="15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Merger Sub</w:t>
      </w:r>
      <w:r>
        <w:rPr>
          <w:rFonts w:ascii="Times New Roman" w:cs="Times New Roman" w:eastAsia="Times New Roman" w:hAnsi="Times New Roman"/>
          <w:sz w:val="20"/>
          <w:szCs w:val="20"/>
          <w:color w:val="auto"/>
        </w:rPr>
        <w:t>” shall have the meaning assigned to such term in the recitals hereto.</w:t>
      </w:r>
    </w:p>
    <w:p>
      <w:pPr>
        <w:spacing w:after="0" w:line="202"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Minimum L/C Collateral Amount</w:t>
      </w:r>
      <w:r>
        <w:rPr>
          <w:rFonts w:ascii="Times New Roman" w:cs="Times New Roman" w:eastAsia="Times New Roman" w:hAnsi="Times New Roman"/>
          <w:sz w:val="20"/>
          <w:szCs w:val="20"/>
          <w:color w:val="auto"/>
        </w:rPr>
        <w:t>” shall mean, at any time, in connection with any Letter of Credit, (i) with respect to Cash Collateral consisting of cash or deposit account balances, an amount equal to 102% of the Revolving L/C Exposure with respect to such Letter of Credit at such time and (ii) otherwise, an amount sufficient to provide credit support with respect to such Revolving L/C Exposure as determined by the Administrative Agent and the Issuing Banks in their sole discretion.</w:t>
      </w:r>
    </w:p>
    <w:p>
      <w:pPr>
        <w:spacing w:after="0" w:line="15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Moody’s</w:t>
      </w:r>
      <w:r>
        <w:rPr>
          <w:rFonts w:ascii="Times New Roman" w:cs="Times New Roman" w:eastAsia="Times New Roman" w:hAnsi="Times New Roman"/>
          <w:sz w:val="20"/>
          <w:szCs w:val="20"/>
          <w:color w:val="auto"/>
        </w:rPr>
        <w:t>” shall mean Moody’s Investors Service, Inc. and its successors and assigns.</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Mortgaged Properties</w:t>
      </w:r>
      <w:r>
        <w:rPr>
          <w:rFonts w:ascii="Times New Roman" w:cs="Times New Roman" w:eastAsia="Times New Roman" w:hAnsi="Times New Roman"/>
          <w:sz w:val="20"/>
          <w:szCs w:val="20"/>
          <w:color w:val="auto"/>
        </w:rPr>
        <w:t>” shall mean each Material Real Property encumbered by a Mortgage pursuant to Section 5.10.</w:t>
      </w:r>
    </w:p>
    <w:p>
      <w:pPr>
        <w:sectPr>
          <w:pgSz w:w="11900" w:h="16838" w:orient="portrait"/>
          <w:cols w:equalWidth="0" w:num="1">
            <w:col w:w="11240"/>
          </w:cols>
          <w:pgMar w:left="320" w:top="108" w:right="339" w:bottom="1440" w:gutter="0" w:footer="0" w:header="0"/>
        </w:sectPr>
      </w:pPr>
    </w:p>
    <w:bookmarkStart w:id="229" w:name="page230"/>
    <w:bookmarkEnd w:id="229"/>
    <w:p>
      <w:pPr>
        <w:jc w:val="right"/>
        <w:spacing w:after="0"/>
        <w:rPr>
          <w:sz w:val="20"/>
          <w:szCs w:val="20"/>
          <w:color w:val="auto"/>
        </w:rPr>
      </w:pPr>
      <w:r>
        <w:rPr>
          <w:rFonts w:ascii="Times New Roman" w:cs="Times New Roman" w:eastAsia="Times New Roman" w:hAnsi="Times New Roman"/>
          <w:sz w:val="22"/>
          <w:szCs w:val="22"/>
          <w:color w:val="FF0000"/>
          <w:strike w:val="1"/>
        </w:rPr>
        <w:t>ANNEX</w:t>
      </w:r>
      <w:r>
        <w:rPr>
          <w:rFonts w:ascii="Times New Roman" w:cs="Times New Roman" w:eastAsia="Times New Roman" w:hAnsi="Times New Roman"/>
          <w:sz w:val="22"/>
          <w:szCs w:val="22"/>
          <w:b w:val="1"/>
          <w:bCs w:val="1"/>
          <w:u w:val="single" w:color="auto"/>
          <w:color w:val="0000FF"/>
        </w:rPr>
        <w:t>EXHIBIT</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Mortgages</w:t>
      </w:r>
      <w:r>
        <w:rPr>
          <w:rFonts w:ascii="Times New Roman" w:cs="Times New Roman" w:eastAsia="Times New Roman" w:hAnsi="Times New Roman"/>
          <w:sz w:val="20"/>
          <w:szCs w:val="20"/>
          <w:color w:val="auto"/>
        </w:rPr>
        <w:t>” shall mean, collectively, the mortgages, trust deeds, deeds of trust, deeds to secure debt, assignments of leases and rents, and other security documents (including amendments to any of the foregoing) delivered with respect to Mortgaged Properties in a customary form for Affiliates of the Fund and otherwise reasonably satisfactory to the Administrative Agent and the Borrower, in each case, as amended, supplemented or otherwise modified from time to time.</w:t>
      </w:r>
    </w:p>
    <w:p>
      <w:pPr>
        <w:spacing w:after="0" w:line="159"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Multiemployer Plan</w:t>
      </w:r>
      <w:r>
        <w:rPr>
          <w:rFonts w:ascii="Times New Roman" w:cs="Times New Roman" w:eastAsia="Times New Roman" w:hAnsi="Times New Roman"/>
          <w:sz w:val="20"/>
          <w:szCs w:val="20"/>
          <w:color w:val="auto"/>
        </w:rPr>
        <w:t>” shall mean a multiemployer plan as defined in Section 4001(a)(3) of ERISA to which the Borrower, Holdings or any Subsidiary or any ERISA Affiliate (other than one considered an ERISA Affiliate only pursuant to subsection (m) or (o) of Code Section 414) is making or accruing an obligation to make contributions, or has within any of the preceding six plan years made or accrued an obligation to make contributions.</w:t>
      </w:r>
    </w:p>
    <w:p>
      <w:pPr>
        <w:spacing w:after="0" w:line="159"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Net First Lien Leverage Ratio</w:t>
      </w:r>
      <w:r>
        <w:rPr>
          <w:rFonts w:ascii="Times New Roman" w:cs="Times New Roman" w:eastAsia="Times New Roman" w:hAnsi="Times New Roman"/>
          <w:sz w:val="20"/>
          <w:szCs w:val="20"/>
          <w:color w:val="auto"/>
        </w:rPr>
        <w:t>” shall mean, on any date, the ratio of (A) (i) the sum of, without duplication, (x) the aggregate principal amount of any Consolidated Debt consisting of Loan Obligations outstanding as of the last day of the Test Period most recently ended as of such date (other than Excluded Transaction Debt and other than Loan Obligations secured only by Junior Liens) and</w:t>
      </w:r>
    </w:p>
    <w:p>
      <w:pPr>
        <w:spacing w:after="0" w:line="1" w:lineRule="exact"/>
        <w:rPr>
          <w:sz w:val="20"/>
          <w:szCs w:val="20"/>
          <w:color w:val="auto"/>
        </w:rPr>
      </w:pPr>
    </w:p>
    <w:p>
      <w:pPr>
        <w:jc w:val="both"/>
        <w:ind w:firstLine="8"/>
        <w:spacing w:after="0" w:line="249" w:lineRule="auto"/>
        <w:tabs>
          <w:tab w:leader="none" w:pos="284"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aggregate principal amount of any other Consolidated Debt of the Borrower and its Subsidiaries outstanding as of the last day of such Test Period that is then secured by Liens on the Collateral that are Other First Liens (other than Excluded Transaction Debt) </w:t>
      </w:r>
      <w:r>
        <w:rPr>
          <w:rFonts w:ascii="Times New Roman" w:cs="Times New Roman" w:eastAsia="Times New Roman" w:hAnsi="Times New Roman"/>
          <w:sz w:val="20"/>
          <w:szCs w:val="20"/>
          <w:u w:val="single" w:color="auto"/>
          <w:color w:val="auto"/>
        </w:rPr>
        <w:t>less</w:t>
      </w:r>
      <w:r>
        <w:rPr>
          <w:rFonts w:ascii="Times New Roman" w:cs="Times New Roman" w:eastAsia="Times New Roman" w:hAnsi="Times New Roman"/>
          <w:sz w:val="20"/>
          <w:szCs w:val="20"/>
          <w:color w:val="auto"/>
        </w:rPr>
        <w:t xml:space="preserve"> (ii) without duplication, the Unrestricted Cash and unrestricted Permitted Investments of the Borrower and its Subsidiaries as of the last day of such Test Period, to (B) EBITDA for such Test Period, all determined on a consolidated basis in accordance with GAAP;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the Net First Lien Leverage Ratio shall be determined for the relevant Test Period on a Pro Forma Basis.</w:t>
      </w:r>
    </w:p>
    <w:p>
      <w:pPr>
        <w:spacing w:after="0" w:line="169" w:lineRule="exact"/>
        <w:rPr>
          <w:sz w:val="20"/>
          <w:szCs w:val="20"/>
          <w:color w:val="auto"/>
        </w:rPr>
      </w:pPr>
    </w:p>
    <w:p>
      <w:pPr>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Net Income</w:t>
      </w:r>
      <w:r>
        <w:rPr>
          <w:rFonts w:ascii="Times New Roman" w:cs="Times New Roman" w:eastAsia="Times New Roman" w:hAnsi="Times New Roman"/>
          <w:sz w:val="20"/>
          <w:szCs w:val="20"/>
          <w:color w:val="auto"/>
        </w:rPr>
        <w:t>” shall mean, with respect to any person, the net income (loss) of such person, determined in accordance with GAAP and before any reduction in respect of preferred stock dividends.</w:t>
      </w:r>
    </w:p>
    <w:p>
      <w:pPr>
        <w:spacing w:after="0" w:line="1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Net Proceeds</w:t>
      </w:r>
      <w:r>
        <w:rPr>
          <w:rFonts w:ascii="Times New Roman" w:cs="Times New Roman" w:eastAsia="Times New Roman" w:hAnsi="Times New Roman"/>
          <w:sz w:val="20"/>
          <w:szCs w:val="20"/>
          <w:color w:val="auto"/>
        </w:rPr>
        <w:t>” shall mean:</w:t>
      </w:r>
    </w:p>
    <w:p>
      <w:pPr>
        <w:spacing w:after="0" w:line="216" w:lineRule="exact"/>
        <w:rPr>
          <w:sz w:val="20"/>
          <w:szCs w:val="20"/>
          <w:color w:val="auto"/>
        </w:rPr>
      </w:pPr>
    </w:p>
    <w:p>
      <w:pPr>
        <w:jc w:val="both"/>
        <w:ind w:left="660" w:firstLine="644"/>
        <w:spacing w:after="0" w:line="249" w:lineRule="auto"/>
        <w:tabs>
          <w:tab w:leader="none" w:pos="1741" w:val="left"/>
        </w:tabs>
        <w:numPr>
          <w:ilvl w:val="0"/>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100% of the cash proceeds actually received by the Borrower or any Subsidiary (including any cash payments received by way of deferred payment of principal pursuant to a note or installment receivable or purchase price adjustment receivable or otherwise and including casualty insurance settlements and condemnation awards, but only as and when received) from any Asset Sale under Section 6.05(g) (or Sale and Lease-back Transactions under Section 6.03(b)(x)), net of (i) attorneys’ fees, accountants’ fees, investment banking fees, survey costs, title insurance premiums, and related search and recording charges, transfer taxes, deed or mortgage recording taxes, required debt payments and required payments of other obligations relating to the applicable asset to the extent such debt or obligations are secured by a Lien permitted hereunder (other than pursuant to the Loan Documents) on such asset, other customary expenses and brokerage, consultant and other customary fees actually incurred in connection therewith, (ii) Taxes paid or payable (in the good faith determination of the Borrower) as a result thereof (including the amount of any distributions in respect thereof pursuant to Section 6.06(b)(iii) or Section 6.06(b)(v)), (iii) the amount of any reasonable reserve established in accordance with GAAP against any adjustment to the sale price or any liabilities (other than any taxes deducted pursuant to clause (i) or (ii) above) (x) related to any of the applicable assets and (y) retained by the Borrower or any of the Subsidiaries including, without limitation, pension and other post-employment benefit liabilities and liabilities related to environmental matters or against any indemnification obligations associated with such transaction (however, the amount of any subsequent reduction of such reserve (other than in connection with a payment in respect of</w:t>
      </w:r>
    </w:p>
    <w:p>
      <w:pPr>
        <w:sectPr>
          <w:pgSz w:w="11900" w:h="16838" w:orient="portrait"/>
          <w:cols w:equalWidth="0" w:num="1">
            <w:col w:w="11240"/>
          </w:cols>
          <w:pgMar w:left="320" w:top="108" w:right="339" w:bottom="1440" w:gutter="0" w:footer="0" w:header="0"/>
        </w:sectPr>
      </w:pPr>
    </w:p>
    <w:bookmarkStart w:id="230" w:name="page231"/>
    <w:bookmarkEnd w:id="230"/>
    <w:p>
      <w:pPr>
        <w:ind w:left="9360"/>
        <w:spacing w:after="0"/>
        <w:rPr>
          <w:sz w:val="20"/>
          <w:szCs w:val="20"/>
          <w:color w:val="auto"/>
        </w:rPr>
      </w:pPr>
      <w:r>
        <w:rPr>
          <w:rFonts w:ascii="Times New Roman" w:cs="Times New Roman" w:eastAsia="Times New Roman" w:hAnsi="Times New Roman"/>
          <w:sz w:val="21"/>
          <w:szCs w:val="21"/>
          <w:color w:val="FF0000"/>
          <w:strike w:val="1"/>
        </w:rPr>
        <w:t>ANNEX</w:t>
      </w:r>
      <w:r>
        <w:rPr>
          <w:rFonts w:ascii="Times New Roman" w:cs="Times New Roman" w:eastAsia="Times New Roman" w:hAnsi="Times New Roman"/>
          <w:sz w:val="21"/>
          <w:szCs w:val="21"/>
          <w:b w:val="1"/>
          <w:bCs w:val="1"/>
          <w:u w:val="single" w:color="auto"/>
          <w:color w:val="0000FF"/>
        </w:rPr>
        <w:t>EXHIBIT</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000000"/>
        </w:rPr>
        <w: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ind w:left="660"/>
        <w:spacing w:after="0" w:line="263" w:lineRule="auto"/>
        <w:rPr>
          <w:sz w:val="20"/>
          <w:szCs w:val="20"/>
          <w:color w:val="auto"/>
        </w:rPr>
      </w:pPr>
      <w:r>
        <w:rPr>
          <w:rFonts w:ascii="Times New Roman" w:cs="Times New Roman" w:eastAsia="Times New Roman" w:hAnsi="Times New Roman"/>
          <w:sz w:val="19"/>
          <w:szCs w:val="19"/>
          <w:color w:val="auto"/>
        </w:rPr>
        <w:t xml:space="preserve">any such liability) shall be deemed to be cash proceeds of such Asset Sale occurring on the date of such reduction) and (iv) payments made on a ratable basis (or less than ratable basis) to holders of non-controlling interests in non-Wholly-Owned Subsidiaries as a result of such Asset Sale;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the Borrower or any Subsidiary uses or commits to use any portion of such proceeds, within 15 months of such receipt, to acquire, maintain, develop, construct, improve, upgrade or repair assets useful in the business of the Borrower and the Subsidiaries or to make Permitted Business Acquisitions and other Investments permitted hereunder (excluding Permitted Investments or intercompany Investments in Subsidiaries) or to reimburse the cost of any of the foregoing incurred on or after the date on which the Asset Sale giving rise to such proceeds was contractually committed, such portion of such proceeds shall not constitute Net Proceeds except to the extent not, within 15 months of such receipt, so used or contractually committed to be so used (it being understood that if any portion of such proceeds are not so used within such 15 month period but within such 15 month period are contractually committed to be used, then such remaining portion if not so used within six months following the end of such 15 month period shall constitute Net Proceeds as of such date without giving effect to this proviso);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further</w:t>
      </w:r>
      <w:r>
        <w:rPr>
          <w:rFonts w:ascii="Times New Roman" w:cs="Times New Roman" w:eastAsia="Times New Roman" w:hAnsi="Times New Roman"/>
          <w:sz w:val="19"/>
          <w:szCs w:val="19"/>
          <w:color w:val="auto"/>
        </w:rPr>
        <w:t>, that</w:t>
      </w:r>
    </w:p>
    <w:p>
      <w:pPr>
        <w:spacing w:after="0" w:line="1" w:lineRule="exact"/>
        <w:rPr>
          <w:sz w:val="20"/>
          <w:szCs w:val="20"/>
          <w:color w:val="auto"/>
        </w:rPr>
      </w:pPr>
    </w:p>
    <w:p>
      <w:pPr>
        <w:jc w:val="both"/>
        <w:ind w:left="660" w:hanging="4"/>
        <w:spacing w:after="0" w:line="248" w:lineRule="auto"/>
        <w:tabs>
          <w:tab w:leader="none" w:pos="950"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net cash proceeds calculated in accordance with the foregoing realized in a single transaction or series of related transactions shall constitute Net Proceeds unless such net cash proceeds shall exceed $40,000,000 (and thereafter only net cash proceeds in excess of such amount shall constitute Net Proceeds), (y) no net cash proceeds calculated in accordance with the foregoing shall constitute Net Proceeds in any fiscal year until the aggregate amount of all such net cash proceeds otherwise constituting Net Proceeds pursuant to the foregoing clause (x) in such fiscal year shall exceed $100,000,000 (and thereafter only net cash proceeds in excess of such amount shall constitute Net Proceeds) and (z) if at the time of receipt of such net cash proceeds or at any time during the 15 month (or 21 month, as applicable) reinvestment period contemplated by the immediately preceding proviso, if Holdings or the Borrower shall deliver a certificate of a Responsible Officer of Holdings or the Borrower to the Administrative Agent certifying that on a Pro Forma Basis immediately after giving effect to the Asset Sale and the application of the proceeds thereof or at the relevant time during such 15 month (or 21 month, as applicable) period, (I) the Net First Lien Leverage Ratio is less than or equal to 2.60 to 1.00 but greater than 2.10 to 1.00, 50% of such net cash proceeds that would otherwise constitute Net Proceeds under this proviso shall not constitute Net Proceeds or (II) the Net First Lien Leverage Ratio is less than or equal to 2.10 to 1.00, none of such net cash proceeds shall constitute Net Proceeds; and</w:t>
      </w:r>
    </w:p>
    <w:p>
      <w:pPr>
        <w:spacing w:after="0" w:line="175" w:lineRule="exact"/>
        <w:rPr>
          <w:rFonts w:ascii="Times New Roman" w:cs="Times New Roman" w:eastAsia="Times New Roman" w:hAnsi="Times New Roman"/>
          <w:sz w:val="20"/>
          <w:szCs w:val="20"/>
          <w:color w:val="auto"/>
        </w:rPr>
      </w:pPr>
    </w:p>
    <w:p>
      <w:pPr>
        <w:jc w:val="both"/>
        <w:ind w:left="660" w:firstLine="644"/>
        <w:spacing w:after="0" w:line="261" w:lineRule="auto"/>
        <w:tabs>
          <w:tab w:leader="none" w:pos="1764" w:val="left"/>
        </w:tabs>
        <w:numPr>
          <w:ilvl w:val="1"/>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100% of the cash proceeds from the incurrence, issuance or sale by the Borrower or any Subsidiary Loan Party of any Indebtedness (other than Excluded Indebtedness), net of all taxes and fees (including investment banking fees), commissions, costs and other expenses, in each case incurred in connection with such incurrence, issuance or sale.</w:t>
      </w:r>
    </w:p>
    <w:p>
      <w:pPr>
        <w:spacing w:after="0" w:line="154"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Net Secured Leverage Ratio</w:t>
      </w:r>
      <w:r>
        <w:rPr>
          <w:rFonts w:ascii="Times New Roman" w:cs="Times New Roman" w:eastAsia="Times New Roman" w:hAnsi="Times New Roman"/>
          <w:sz w:val="20"/>
          <w:szCs w:val="20"/>
          <w:color w:val="auto"/>
        </w:rPr>
        <w:t xml:space="preserve">” shall mean, on any date, the ratio of (A) (i) the sum of, without duplication, (x) the aggregate principal amount of any Consolidated Debt consisting of Loan Obligations outstanding as of the last day of the Test Period most recently ended as of such date (other than Excluded Transaction Debt) and (y) the aggregate principal amount of any other Consolidated Debt of the Borrower and its Subsidiaries outstanding as of the last day of such Test Period that is then secured by Liens on the Collateral (other than Excluded Transaction Debt) </w:t>
      </w:r>
      <w:r>
        <w:rPr>
          <w:rFonts w:ascii="Times New Roman" w:cs="Times New Roman" w:eastAsia="Times New Roman" w:hAnsi="Times New Roman"/>
          <w:sz w:val="20"/>
          <w:szCs w:val="20"/>
          <w:u w:val="single" w:color="auto"/>
          <w:color w:val="auto"/>
        </w:rPr>
        <w:t>less</w:t>
      </w:r>
      <w:r>
        <w:rPr>
          <w:rFonts w:ascii="Times New Roman" w:cs="Times New Roman" w:eastAsia="Times New Roman" w:hAnsi="Times New Roman"/>
          <w:sz w:val="20"/>
          <w:szCs w:val="20"/>
          <w:color w:val="auto"/>
        </w:rPr>
        <w:t xml:space="preserve"> (ii) without duplication, the Unrestricted Cash and unrestricted Permitted Investments of the Borrower and its Subsidiaries as of the last day of such Test Period, to (B) EBITDA for such Test Period, all determined on a consolidated basis in accordance with GAAP;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the Net Secured Leverage Ratio shall be determined for the relevant Test Period on a Pro Forma Basis.</w:t>
      </w:r>
    </w:p>
    <w:p>
      <w:pPr>
        <w:sectPr>
          <w:pgSz w:w="11900" w:h="16838" w:orient="portrait"/>
          <w:cols w:equalWidth="0" w:num="1">
            <w:col w:w="11240"/>
          </w:cols>
          <w:pgMar w:left="320" w:top="108" w:right="339" w:bottom="1440" w:gutter="0" w:footer="0" w:header="0"/>
        </w:sectPr>
      </w:pPr>
    </w:p>
    <w:bookmarkStart w:id="231" w:name="page232"/>
    <w:bookmarkEnd w:id="231"/>
    <w:p>
      <w:pPr>
        <w:jc w:val="right"/>
        <w:spacing w:after="0"/>
        <w:rPr>
          <w:sz w:val="20"/>
          <w:szCs w:val="20"/>
          <w:color w:val="auto"/>
        </w:rPr>
      </w:pPr>
      <w:r>
        <w:rPr>
          <w:rFonts w:ascii="Times New Roman" w:cs="Times New Roman" w:eastAsia="Times New Roman" w:hAnsi="Times New Roman"/>
          <w:sz w:val="22"/>
          <w:szCs w:val="22"/>
          <w:color w:val="FF0000"/>
          <w:strike w:val="1"/>
        </w:rPr>
        <w:t>ANNEX</w:t>
      </w:r>
      <w:r>
        <w:rPr>
          <w:rFonts w:ascii="Times New Roman" w:cs="Times New Roman" w:eastAsia="Times New Roman" w:hAnsi="Times New Roman"/>
          <w:sz w:val="22"/>
          <w:szCs w:val="22"/>
          <w:b w:val="1"/>
          <w:bCs w:val="1"/>
          <w:u w:val="single" w:color="auto"/>
          <w:color w:val="0000FF"/>
        </w:rPr>
        <w:t>EXHIBIT</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Net Total Leverage Ratio</w:t>
      </w:r>
      <w:r>
        <w:rPr>
          <w:rFonts w:ascii="Times New Roman" w:cs="Times New Roman" w:eastAsia="Times New Roman" w:hAnsi="Times New Roman"/>
          <w:sz w:val="20"/>
          <w:szCs w:val="20"/>
          <w:color w:val="auto"/>
        </w:rPr>
        <w:t xml:space="preserve">” shall mean, on any date, the ratio of (A) (i) without duplication, the aggregate principal amount of any Consolidated Debt of the Borrower and its Subsidiaries outstanding as of the last day of the Test Period most recently ended as of such date (other than Excluded Transaction Debt) </w:t>
      </w:r>
      <w:r>
        <w:rPr>
          <w:rFonts w:ascii="Times New Roman" w:cs="Times New Roman" w:eastAsia="Times New Roman" w:hAnsi="Times New Roman"/>
          <w:sz w:val="20"/>
          <w:szCs w:val="20"/>
          <w:u w:val="single" w:color="auto"/>
          <w:color w:val="auto"/>
        </w:rPr>
        <w:t>less</w:t>
      </w:r>
      <w:r>
        <w:rPr>
          <w:rFonts w:ascii="Times New Roman" w:cs="Times New Roman" w:eastAsia="Times New Roman" w:hAnsi="Times New Roman"/>
          <w:sz w:val="20"/>
          <w:szCs w:val="20"/>
          <w:color w:val="auto"/>
        </w:rPr>
        <w:t xml:space="preserve"> (ii) without duplication, the Unrestricted Cash and unrestricted Permitted Investments of the Borrower and its Subsidiaries as of the last day of such Test Period, to (B) EBITDA for such Test Period, all determined on a consolidated basis in accordance with GAAP;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the Net Total Leverage Ratio shall be determined for the relevant Test Period on a Pro Forma Basis.</w:t>
      </w:r>
    </w:p>
    <w:p>
      <w:pPr>
        <w:spacing w:after="0" w:line="16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New Class Loans</w:t>
      </w:r>
      <w:r>
        <w:rPr>
          <w:rFonts w:ascii="Times New Roman" w:cs="Times New Roman" w:eastAsia="Times New Roman" w:hAnsi="Times New Roman"/>
          <w:sz w:val="20"/>
          <w:szCs w:val="20"/>
          <w:color w:val="auto"/>
        </w:rPr>
        <w:t>” shall have the meaning assigned to such term in Section 9.08(f).</w:t>
      </w:r>
    </w:p>
    <w:p>
      <w:pPr>
        <w:spacing w:after="0" w:line="20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New Parent</w:t>
      </w:r>
      <w:r>
        <w:rPr>
          <w:rFonts w:ascii="Times New Roman" w:cs="Times New Roman" w:eastAsia="Times New Roman" w:hAnsi="Times New Roman"/>
          <w:sz w:val="20"/>
          <w:szCs w:val="20"/>
          <w:color w:val="auto"/>
        </w:rPr>
        <w:t>” shall have the meaning assigned to such term in the definition of the term “Change in Control”.</w:t>
      </w:r>
    </w:p>
    <w:p>
      <w:pPr>
        <w:spacing w:after="0" w:line="216"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New Project</w:t>
      </w:r>
      <w:r>
        <w:rPr>
          <w:rFonts w:ascii="Times New Roman" w:cs="Times New Roman" w:eastAsia="Times New Roman" w:hAnsi="Times New Roman"/>
          <w:sz w:val="20"/>
          <w:szCs w:val="20"/>
          <w:color w:val="auto"/>
        </w:rPr>
        <w:t>” shall mean (x) each plant, facility, branch, office or business unit which is either a new plant, facility, branch, office or business unit or an expansion, relocation, remodeling, refurbishment or substantial modernization of an existing plant, facility, branch, office or business unit owned by the Borrower or the Subsidiaries which in fact commences operations and (y) each creation (in one or a series of related transactions) of a business unit, product line or information technology offering to the extent such business unit commences operations or such product line or information technology is offered or each expansion (in one or a series of related transactions) of business into a new market or through a new distribution method or channel.</w:t>
      </w:r>
    </w:p>
    <w:p>
      <w:pPr>
        <w:spacing w:after="0" w:line="16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Non-Bank Tax Certificate</w:t>
      </w:r>
      <w:r>
        <w:rPr>
          <w:rFonts w:ascii="Times New Roman" w:cs="Times New Roman" w:eastAsia="Times New Roman" w:hAnsi="Times New Roman"/>
          <w:sz w:val="20"/>
          <w:szCs w:val="20"/>
          <w:color w:val="auto"/>
        </w:rPr>
        <w:t>” shall have the meaning assigned to such term in Section 2.17(e)(i).</w:t>
      </w:r>
    </w:p>
    <w:p>
      <w:pPr>
        <w:spacing w:after="0" w:line="20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Non-Consenting Lender</w:t>
      </w:r>
      <w:r>
        <w:rPr>
          <w:rFonts w:ascii="Times New Roman" w:cs="Times New Roman" w:eastAsia="Times New Roman" w:hAnsi="Times New Roman"/>
          <w:sz w:val="20"/>
          <w:szCs w:val="20"/>
          <w:color w:val="auto"/>
        </w:rPr>
        <w:t>” shall have the meaning assigned to such term in Section 2.19(c).</w:t>
      </w:r>
    </w:p>
    <w:p>
      <w:pPr>
        <w:spacing w:after="0" w:line="20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Non-Defaulting Lender</w:t>
      </w:r>
      <w:r>
        <w:rPr>
          <w:rFonts w:ascii="Times New Roman" w:cs="Times New Roman" w:eastAsia="Times New Roman" w:hAnsi="Times New Roman"/>
          <w:sz w:val="20"/>
          <w:szCs w:val="20"/>
          <w:color w:val="auto"/>
        </w:rPr>
        <w:t>” shall mean, at any time, each Lender that is not a Defaulting Lender at such time.</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Note</w:t>
      </w:r>
      <w:r>
        <w:rPr>
          <w:rFonts w:ascii="Times New Roman" w:cs="Times New Roman" w:eastAsia="Times New Roman" w:hAnsi="Times New Roman"/>
          <w:sz w:val="20"/>
          <w:szCs w:val="20"/>
          <w:color w:val="auto"/>
        </w:rPr>
        <w:t>” shall have the meaning assigned to such term in Section 2.09(e).</w:t>
      </w:r>
    </w:p>
    <w:p>
      <w:pPr>
        <w:spacing w:after="0" w:line="202" w:lineRule="exact"/>
        <w:rPr>
          <w:sz w:val="20"/>
          <w:szCs w:val="20"/>
          <w:color w:val="auto"/>
        </w:rPr>
      </w:pPr>
    </w:p>
    <w:p>
      <w:pPr>
        <w:jc w:val="both"/>
        <w:ind w:right="20"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Obligations</w:t>
      </w:r>
      <w:r>
        <w:rPr>
          <w:rFonts w:ascii="Times New Roman" w:cs="Times New Roman" w:eastAsia="Times New Roman" w:hAnsi="Times New Roman"/>
          <w:sz w:val="20"/>
          <w:szCs w:val="20"/>
          <w:color w:val="auto"/>
        </w:rPr>
        <w:t>” shall mean, collectively, (a) the Loan Obligations, (b) obligations in respect of any Secured Cash Management Agreement and (c) obligations in respect of any Secured Hedge Agreement.</w:t>
      </w:r>
    </w:p>
    <w:p>
      <w:pPr>
        <w:spacing w:after="0" w:line="1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OFAC</w:t>
      </w:r>
      <w:r>
        <w:rPr>
          <w:rFonts w:ascii="Times New Roman" w:cs="Times New Roman" w:eastAsia="Times New Roman" w:hAnsi="Times New Roman"/>
          <w:sz w:val="20"/>
          <w:szCs w:val="20"/>
          <w:color w:val="auto"/>
        </w:rPr>
        <w:t>” shall have the meaning provided in Section 3.25(b).</w:t>
      </w:r>
    </w:p>
    <w:p>
      <w:pPr>
        <w:spacing w:after="0" w:line="20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Original Credit Agreement</w:t>
      </w:r>
      <w:r>
        <w:rPr>
          <w:rFonts w:ascii="Times New Roman" w:cs="Times New Roman" w:eastAsia="Times New Roman" w:hAnsi="Times New Roman"/>
          <w:sz w:val="20"/>
          <w:szCs w:val="20"/>
          <w:color w:val="auto"/>
        </w:rPr>
        <w:t>” shall have the meaning assigned to such term in the recitals hereto.</w:t>
      </w:r>
    </w:p>
    <w:p>
      <w:pPr>
        <w:spacing w:after="0" w:line="202"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Other First Lien Debt</w:t>
      </w:r>
      <w:r>
        <w:rPr>
          <w:rFonts w:ascii="Times New Roman" w:cs="Times New Roman" w:eastAsia="Times New Roman" w:hAnsi="Times New Roman"/>
          <w:sz w:val="20"/>
          <w:szCs w:val="20"/>
          <w:color w:val="auto"/>
        </w:rPr>
        <w:t>” shall mean obligations secured by Other First Liens. On the 2021 Effective Date, the Senior Secured Notes outstanding on the 2021 Effective Date constitute Other First Lien Debt hereunder.</w:t>
      </w:r>
    </w:p>
    <w:p>
      <w:pPr>
        <w:spacing w:after="0" w:line="133"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Other First Liens</w:t>
      </w:r>
      <w:r>
        <w:rPr>
          <w:rFonts w:ascii="Times New Roman" w:cs="Times New Roman" w:eastAsia="Times New Roman" w:hAnsi="Times New Roman"/>
          <w:sz w:val="20"/>
          <w:szCs w:val="20"/>
          <w:color w:val="auto"/>
        </w:rPr>
        <w:t>” shall mean Liens on the Collateral that are pari passu with the Liens thereon securing the Term B Loans (and other Loan Obligations that are pari passu with the Term B Loans) pursuant to a Permitted Pari Passu Intercreditor Agreement.</w:t>
      </w:r>
    </w:p>
    <w:p>
      <w:pPr>
        <w:sectPr>
          <w:pgSz w:w="11900" w:h="16838" w:orient="portrait"/>
          <w:cols w:equalWidth="0" w:num="1">
            <w:col w:w="11240"/>
          </w:cols>
          <w:pgMar w:left="320" w:top="108" w:right="339" w:bottom="1440" w:gutter="0" w:footer="0" w:header="0"/>
        </w:sectPr>
      </w:pPr>
    </w:p>
    <w:bookmarkStart w:id="232" w:name="page233"/>
    <w:bookmarkEnd w:id="232"/>
    <w:p>
      <w:pPr>
        <w:jc w:val="right"/>
        <w:spacing w:after="0"/>
        <w:rPr>
          <w:sz w:val="20"/>
          <w:szCs w:val="20"/>
          <w:color w:val="auto"/>
        </w:rPr>
      </w:pPr>
      <w:r>
        <w:rPr>
          <w:rFonts w:ascii="Times New Roman" w:cs="Times New Roman" w:eastAsia="Times New Roman" w:hAnsi="Times New Roman"/>
          <w:sz w:val="22"/>
          <w:szCs w:val="22"/>
          <w:color w:val="FF0000"/>
          <w:strike w:val="1"/>
        </w:rPr>
        <w:t>ANNEX</w:t>
      </w:r>
      <w:r>
        <w:rPr>
          <w:rFonts w:ascii="Times New Roman" w:cs="Times New Roman" w:eastAsia="Times New Roman" w:hAnsi="Times New Roman"/>
          <w:sz w:val="22"/>
          <w:szCs w:val="22"/>
          <w:b w:val="1"/>
          <w:bCs w:val="1"/>
          <w:u w:val="single" w:color="auto"/>
          <w:color w:val="0000FF"/>
        </w:rPr>
        <w:t>EXHIBIT</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ind w:right="20"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Other Revolving Facility Commitments</w:t>
      </w:r>
      <w:r>
        <w:rPr>
          <w:rFonts w:ascii="Times New Roman" w:cs="Times New Roman" w:eastAsia="Times New Roman" w:hAnsi="Times New Roman"/>
          <w:sz w:val="20"/>
          <w:szCs w:val="20"/>
          <w:color w:val="auto"/>
        </w:rPr>
        <w:t>” shall mean Incremental Revolving Facility Commitments to make Other Revolving Loans.</w:t>
      </w:r>
    </w:p>
    <w:p>
      <w:pPr>
        <w:spacing w:after="0" w:line="1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Other Revolving Loans</w:t>
      </w:r>
      <w:r>
        <w:rPr>
          <w:rFonts w:ascii="Times New Roman" w:cs="Times New Roman" w:eastAsia="Times New Roman" w:hAnsi="Times New Roman"/>
          <w:sz w:val="20"/>
          <w:szCs w:val="20"/>
          <w:color w:val="auto"/>
        </w:rPr>
        <w:t>” shall have the meaning assigned to such term in Section 2.21.</w:t>
      </w:r>
    </w:p>
    <w:p>
      <w:pPr>
        <w:spacing w:after="0" w:line="202"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Other Taxes</w:t>
      </w:r>
      <w:r>
        <w:rPr>
          <w:rFonts w:ascii="Times New Roman" w:cs="Times New Roman" w:eastAsia="Times New Roman" w:hAnsi="Times New Roman"/>
          <w:sz w:val="20"/>
          <w:szCs w:val="20"/>
          <w:color w:val="auto"/>
        </w:rPr>
        <w:t>” shall mean any and all present or future stamp or documentary Taxes or any other excise, transfer, sales, property, intangible, mortgage recording or similar Taxes arising from any payment made hereunder or under any other Loan Document or from the execution, registration, delivery or enforcement of, consummation or administration of, from the receipt or perfection of security interest under, or otherwise with respect to, the Loan Documents (but excluding any Excluded Taxes).</w:t>
      </w:r>
    </w:p>
    <w:p>
      <w:pPr>
        <w:spacing w:after="0" w:line="159"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Other Term Loans</w:t>
      </w:r>
      <w:r>
        <w:rPr>
          <w:rFonts w:ascii="Times New Roman" w:cs="Times New Roman" w:eastAsia="Times New Roman" w:hAnsi="Times New Roman"/>
          <w:sz w:val="20"/>
          <w:szCs w:val="20"/>
          <w:color w:val="auto"/>
        </w:rPr>
        <w:t>” shall have the meaning assigned to such term in Section 2.21 (including in the form of Extended Term Loans or Refinancing Term Loans, as applicable).</w:t>
      </w:r>
    </w:p>
    <w:p>
      <w:pPr>
        <w:spacing w:after="0" w:line="1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Parent Entity</w:t>
      </w:r>
      <w:r>
        <w:rPr>
          <w:rFonts w:ascii="Times New Roman" w:cs="Times New Roman" w:eastAsia="Times New Roman" w:hAnsi="Times New Roman"/>
          <w:sz w:val="20"/>
          <w:szCs w:val="20"/>
          <w:color w:val="auto"/>
        </w:rPr>
        <w:t>” shall mean any direct or indirect parent of the Borrower.</w:t>
      </w:r>
    </w:p>
    <w:p>
      <w:pPr>
        <w:spacing w:after="0" w:line="20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Pari Term Loans</w:t>
      </w:r>
      <w:r>
        <w:rPr>
          <w:rFonts w:ascii="Times New Roman" w:cs="Times New Roman" w:eastAsia="Times New Roman" w:hAnsi="Times New Roman"/>
          <w:sz w:val="20"/>
          <w:szCs w:val="20"/>
          <w:color w:val="auto"/>
        </w:rPr>
        <w:t>” shall have the meaning assigned to such term in Section 6.02.</w:t>
      </w:r>
    </w:p>
    <w:p>
      <w:pPr>
        <w:spacing w:after="0" w:line="20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Pari Yield Differential</w:t>
      </w:r>
      <w:r>
        <w:rPr>
          <w:rFonts w:ascii="Times New Roman" w:cs="Times New Roman" w:eastAsia="Times New Roman" w:hAnsi="Times New Roman"/>
          <w:sz w:val="20"/>
          <w:szCs w:val="20"/>
          <w:color w:val="auto"/>
        </w:rPr>
        <w:t>” shall have the meaning assigned to such term in Section 6.02.</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Participant</w:t>
      </w:r>
      <w:r>
        <w:rPr>
          <w:rFonts w:ascii="Times New Roman" w:cs="Times New Roman" w:eastAsia="Times New Roman" w:hAnsi="Times New Roman"/>
          <w:sz w:val="20"/>
          <w:szCs w:val="20"/>
          <w:color w:val="auto"/>
        </w:rPr>
        <w:t>” shall have the meaning assigned to such term in Section 9.04(d)(i).</w:t>
      </w:r>
    </w:p>
    <w:p>
      <w:pPr>
        <w:spacing w:after="0" w:line="20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Participant Register</w:t>
      </w:r>
      <w:r>
        <w:rPr>
          <w:rFonts w:ascii="Times New Roman" w:cs="Times New Roman" w:eastAsia="Times New Roman" w:hAnsi="Times New Roman"/>
          <w:sz w:val="20"/>
          <w:szCs w:val="20"/>
          <w:color w:val="auto"/>
        </w:rPr>
        <w:t>” shall have the meaning assigned to such term in Section 9.04(d)(ii).</w:t>
      </w:r>
    </w:p>
    <w:p>
      <w:pPr>
        <w:spacing w:after="0" w:line="20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Participating Member State</w:t>
      </w:r>
      <w:r>
        <w:rPr>
          <w:rFonts w:ascii="Times New Roman" w:cs="Times New Roman" w:eastAsia="Times New Roman" w:hAnsi="Times New Roman"/>
          <w:sz w:val="20"/>
          <w:szCs w:val="20"/>
          <w:color w:val="auto"/>
        </w:rPr>
        <w:t>” shall mean each state so described in any EMU Legislation.</w:t>
      </w:r>
    </w:p>
    <w:p>
      <w:pPr>
        <w:spacing w:after="0" w:line="20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PBGC</w:t>
      </w:r>
      <w:r>
        <w:rPr>
          <w:rFonts w:ascii="Times New Roman" w:cs="Times New Roman" w:eastAsia="Times New Roman" w:hAnsi="Times New Roman"/>
          <w:sz w:val="20"/>
          <w:szCs w:val="20"/>
          <w:color w:val="auto"/>
        </w:rPr>
        <w:t>” shall mean the Pension Benefit Guaranty Corporation referred to and defined in ERISA.</w:t>
      </w:r>
    </w:p>
    <w:p>
      <w:pPr>
        <w:spacing w:after="0" w:line="21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Perfection Certificate</w:t>
      </w:r>
      <w:r>
        <w:rPr>
          <w:rFonts w:ascii="Times New Roman" w:cs="Times New Roman" w:eastAsia="Times New Roman" w:hAnsi="Times New Roman"/>
          <w:sz w:val="20"/>
          <w:szCs w:val="20"/>
          <w:color w:val="auto"/>
        </w:rPr>
        <w:t>” shall mean the Perfection Certificate with respect to the Borrower and the other Loan Parties in a form reasonably satisfactory to the Administrative Agent, as the same may be supplemented from time to time to the extent required by Section 5.04(f).</w:t>
      </w:r>
    </w:p>
    <w:p>
      <w:pPr>
        <w:spacing w:after="0" w:line="15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Periodic Term SOFR Determination Day</w:t>
      </w:r>
      <w:r>
        <w:rPr>
          <w:rFonts w:ascii="Times New Roman" w:cs="Times New Roman" w:eastAsia="Times New Roman" w:hAnsi="Times New Roman"/>
          <w:sz w:val="20"/>
          <w:szCs w:val="20"/>
          <w:color w:val="auto"/>
        </w:rPr>
        <w:t>” shall have the meaning specified in the definition of “Term SOFR.”</w:t>
      </w:r>
    </w:p>
    <w:p>
      <w:pPr>
        <w:spacing w:after="0" w:line="202"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Business Acquisition</w:t>
      </w:r>
      <w:r>
        <w:rPr>
          <w:rFonts w:ascii="Times New Roman" w:cs="Times New Roman" w:eastAsia="Times New Roman" w:hAnsi="Times New Roman"/>
          <w:sz w:val="20"/>
          <w:szCs w:val="20"/>
          <w:color w:val="auto"/>
        </w:rPr>
        <w:t xml:space="preserve">” shall mean any acquisition of all or substantially all the assets of, or all or substantially all the Equity Interests (other than directors’ qualifying shares) not previously held by the Borrower and its Subsidiaries in, or merger, consolidation or amalgamation with, a person or division or line of business of a person (or any subsequent investment made in a person or division or line of business previously acquired in a Permitted Business Acquisition), if immediately after giving effect thereto: (i) no Event of Default under clause (b), (c), (h) or (i) of Section 7.01 shall have occurred and be continuing or would result therefrom,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with respect to a proposed acquisition or investment pursuant to an executed agreement, at the option of the Borrower, the determination of whether such an Event of Default shall exist shall be made solely at the time of the execution of the agreement related to such acquisition or investment; (ii) all transactions related thereto shall be consummated in accordance with applicable laws; (iii) with respect to any such acquisition or investment with cash consideration in excess of $50,000,000, the Borrower shall be in Pro Forma Compliance immediately after giving effect to such acquisition or investment and any related transaction,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with respect to a proposed acquisition or investment pursuant to an executed</w:t>
      </w:r>
    </w:p>
    <w:p>
      <w:pPr>
        <w:sectPr>
          <w:pgSz w:w="11900" w:h="16838" w:orient="portrait"/>
          <w:cols w:equalWidth="0" w:num="1">
            <w:col w:w="11240"/>
          </w:cols>
          <w:pgMar w:left="320" w:top="108" w:right="339" w:bottom="1440" w:gutter="0" w:footer="0" w:header="0"/>
        </w:sectPr>
      </w:pPr>
    </w:p>
    <w:bookmarkStart w:id="233" w:name="page234"/>
    <w:bookmarkEnd w:id="233"/>
    <w:p>
      <w:pPr>
        <w:jc w:val="right"/>
        <w:spacing w:after="0"/>
        <w:rPr>
          <w:sz w:val="20"/>
          <w:szCs w:val="20"/>
          <w:color w:val="auto"/>
        </w:rPr>
      </w:pPr>
      <w:r>
        <w:rPr>
          <w:rFonts w:ascii="Times New Roman" w:cs="Times New Roman" w:eastAsia="Times New Roman" w:hAnsi="Times New Roman"/>
          <w:sz w:val="22"/>
          <w:szCs w:val="22"/>
          <w:color w:val="FF0000"/>
          <w:strike w:val="1"/>
        </w:rPr>
        <w:t>ANNEX</w:t>
      </w:r>
      <w:r>
        <w:rPr>
          <w:rFonts w:ascii="Times New Roman" w:cs="Times New Roman" w:eastAsia="Times New Roman" w:hAnsi="Times New Roman"/>
          <w:sz w:val="22"/>
          <w:szCs w:val="22"/>
          <w:b w:val="1"/>
          <w:bCs w:val="1"/>
          <w:u w:val="single" w:color="auto"/>
          <w:color w:val="0000FF"/>
        </w:rPr>
        <w:t>EXHIBIT</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agreement, at the option of the Borrower, the determination of whether the Borrower is in such Pro Forma Compliance shall be made solely at the time of the execution of the agreement related to such acquisition or investment; (iv) any acquired or newly formed Subsidiary shall not be liable for any Indebtedness except for Indebtedness permitted by Section 6.01; and (v) to the extent required by Section 5.10, any person acquired in such acquisition, if acquired by the Borrower or a Domestic Subsidiary, shall be merged into the Borrower or a Subsidiary or become upon consummation of such acquisition a Subsidiary.</w:t>
      </w:r>
    </w:p>
    <w:p>
      <w:pPr>
        <w:spacing w:after="0" w:line="178"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Cure Securities</w:t>
      </w:r>
      <w:r>
        <w:rPr>
          <w:rFonts w:ascii="Times New Roman" w:cs="Times New Roman" w:eastAsia="Times New Roman" w:hAnsi="Times New Roman"/>
          <w:sz w:val="20"/>
          <w:szCs w:val="20"/>
          <w:color w:val="auto"/>
        </w:rPr>
        <w:t>” shall mean any Equity Interests of the Borrower, Holdings or any Parent Entity issued pursuant to the Cure Right other than Disqualified Stock.</w:t>
      </w:r>
    </w:p>
    <w:p>
      <w:pPr>
        <w:spacing w:after="0" w:line="14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Holder Group</w:t>
      </w:r>
      <w:r>
        <w:rPr>
          <w:rFonts w:ascii="Times New Roman" w:cs="Times New Roman" w:eastAsia="Times New Roman" w:hAnsi="Times New Roman"/>
          <w:sz w:val="20"/>
          <w:szCs w:val="20"/>
          <w:color w:val="auto"/>
        </w:rPr>
        <w:t>” shall have the meaning assigned to such term in the definition of “Permitted Holders.”</w:t>
      </w:r>
    </w:p>
    <w:p>
      <w:pPr>
        <w:spacing w:after="0" w:line="216"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Permitted Holders</w:t>
      </w:r>
      <w:r>
        <w:rPr>
          <w:rFonts w:ascii="Times New Roman" w:cs="Times New Roman" w:eastAsia="Times New Roman" w:hAnsi="Times New Roman"/>
          <w:sz w:val="19"/>
          <w:szCs w:val="19"/>
          <w:color w:val="auto"/>
        </w:rPr>
        <w:t>” shall mean (i) the Co-Investors (and each other person that owns Equity Interests of the Borrower, Holdings or any Parent Entity on the Closing Date after giving effect to the Transactions), (ii) any person that, directly or indirectly, holds or acquires beneficial ownership of 100% on a fully diluted basis of the voting Equity Interests of the Borrower, and of which no other person or “group” (within the meaning of Rules 13d-3 and 13d-5 under the Exchange Act as in effect on the Closing Date), other than any of the other Permitted Holders, beneficially owns more than 50% on a fully diluted basis of the voting Equity Interests thereof, Rackspace Technology, Inc. and its subsidiaries and any New Parent and its subsidiaries, (iii) any person who is acting solely as an underwriter in connection with a public or private offering of Equity Interests of the Borrower or any of its direct or indirect parent companies, acting in such capacity, and</w:t>
      </w:r>
    </w:p>
    <w:p>
      <w:pPr>
        <w:spacing w:after="0" w:line="6" w:lineRule="exact"/>
        <w:rPr>
          <w:sz w:val="20"/>
          <w:szCs w:val="20"/>
          <w:color w:val="auto"/>
        </w:rPr>
      </w:pPr>
    </w:p>
    <w:p>
      <w:pPr>
        <w:jc w:val="both"/>
        <w:ind w:firstLine="8"/>
        <w:spacing w:after="0" w:line="249" w:lineRule="auto"/>
        <w:tabs>
          <w:tab w:leader="none" w:pos="335"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“group” (within the meaning of Rules 13(d)(3) or Section 14(d)(2) under the Exchange Act, or any successor provision) the members of which include any of the other Permitted Holders and that, directly or indirectly, hold or acquire beneficial ownership of the voting Equity Interests of the Borrower (a “</w:t>
      </w:r>
      <w:r>
        <w:rPr>
          <w:rFonts w:ascii="Times New Roman" w:cs="Times New Roman" w:eastAsia="Times New Roman" w:hAnsi="Times New Roman"/>
          <w:sz w:val="20"/>
          <w:szCs w:val="20"/>
          <w:u w:val="single" w:color="auto"/>
          <w:color w:val="auto"/>
        </w:rPr>
        <w:t>Permitted Holder Group</w:t>
      </w:r>
      <w:r>
        <w:rPr>
          <w:rFonts w:ascii="Times New Roman" w:cs="Times New Roman" w:eastAsia="Times New Roman" w:hAnsi="Times New Roman"/>
          <w:sz w:val="20"/>
          <w:szCs w:val="20"/>
          <w:color w:val="auto"/>
        </w:rPr>
        <w:t xml:space="preserve">”), so long as (1) no member of the Permitted Holder Group (other than Permitted Holders specified in clauses (i), (ii) and (iv) above) has the right to elect a number of directors that is greater than such member’s proportional share of directors (with such member’s proportional share of directors being determined based on the total number of directors on the applicable board of directors </w:t>
      </w:r>
      <w:r>
        <w:rPr>
          <w:rFonts w:ascii="Times New Roman" w:cs="Times New Roman" w:eastAsia="Times New Roman" w:hAnsi="Times New Roman"/>
          <w:sz w:val="20"/>
          <w:szCs w:val="20"/>
          <w:u w:val="single" w:color="auto"/>
          <w:color w:val="auto"/>
        </w:rPr>
        <w:t>multiplied by</w:t>
      </w:r>
      <w:r>
        <w:rPr>
          <w:rFonts w:ascii="Times New Roman" w:cs="Times New Roman" w:eastAsia="Times New Roman" w:hAnsi="Times New Roman"/>
          <w:sz w:val="20"/>
          <w:szCs w:val="20"/>
          <w:color w:val="auto"/>
        </w:rPr>
        <w:t xml:space="preserve"> the percentage of Voting Stock held or acquired by such member and (2) no person or other “group” (other than the other Permitted Holders specified in clauses (i), (ii) and (iii) above) beneficially owns more than 50% on a fully diluted basis of the voting Equity Interests held by the Permitted Holder Group.</w:t>
      </w:r>
    </w:p>
    <w:p>
      <w:pPr>
        <w:spacing w:after="0" w:line="16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Investments</w:t>
      </w:r>
      <w:r>
        <w:rPr>
          <w:rFonts w:ascii="Times New Roman" w:cs="Times New Roman" w:eastAsia="Times New Roman" w:hAnsi="Times New Roman"/>
          <w:sz w:val="20"/>
          <w:szCs w:val="20"/>
          <w:color w:val="auto"/>
        </w:rPr>
        <w:t>” shall mean:</w:t>
      </w:r>
    </w:p>
    <w:p>
      <w:pPr>
        <w:spacing w:after="0" w:line="216" w:lineRule="exact"/>
        <w:rPr>
          <w:sz w:val="20"/>
          <w:szCs w:val="20"/>
          <w:color w:val="auto"/>
        </w:rPr>
      </w:pPr>
    </w:p>
    <w:p>
      <w:pPr>
        <w:jc w:val="both"/>
        <w:ind w:left="660" w:firstLine="644"/>
        <w:spacing w:after="0" w:line="261" w:lineRule="auto"/>
        <w:tabs>
          <w:tab w:leader="none" w:pos="1810" w:val="left"/>
        </w:tabs>
        <w:numPr>
          <w:ilvl w:val="0"/>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direct obligations of the United States of America or any member of the European Union or any agency thereof or obligations guaranteed by the United States of America or any member of the European Union or any agency thereof, in each case with maturities not exceeding two years from the date of acquisition thereof;</w:t>
      </w:r>
    </w:p>
    <w:p>
      <w:pPr>
        <w:spacing w:after="0" w:line="154" w:lineRule="exact"/>
        <w:rPr>
          <w:rFonts w:ascii="Times New Roman" w:cs="Times New Roman" w:eastAsia="Times New Roman" w:hAnsi="Times New Roman"/>
          <w:sz w:val="20"/>
          <w:szCs w:val="20"/>
          <w:color w:val="auto"/>
        </w:rPr>
      </w:pPr>
    </w:p>
    <w:p>
      <w:pPr>
        <w:jc w:val="both"/>
        <w:ind w:left="660" w:firstLine="644"/>
        <w:spacing w:after="0" w:line="253" w:lineRule="auto"/>
        <w:tabs>
          <w:tab w:leader="none" w:pos="1771" w:val="left"/>
        </w:tabs>
        <w:numPr>
          <w:ilvl w:val="0"/>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time or demand deposit accounts, certificates of deposit, money market deposits, banker’s acceptances and other bank deposits maturing within 180 days of the date of acquisition thereof issued by a bank or trust company that is organized under the laws of the United States of America, any state thereof or any foreign country recognized by the United States of America having capital, surplus and undivided profits in excess of $250,000,000 and whose long-term debt, or whose parent holding company’s long-term debt, is rated A (or such similar equivalent rating or higher by at least one nationally recognized statistical rating organization (as defined in Rule 436 under the Securities Act));</w:t>
      </w:r>
    </w:p>
    <w:p>
      <w:pPr>
        <w:sectPr>
          <w:pgSz w:w="11900" w:h="16838" w:orient="portrait"/>
          <w:cols w:equalWidth="0" w:num="1">
            <w:col w:w="11240"/>
          </w:cols>
          <w:pgMar w:left="320" w:top="108" w:right="339" w:bottom="1440" w:gutter="0" w:footer="0" w:header="0"/>
        </w:sectPr>
      </w:pPr>
    </w:p>
    <w:bookmarkStart w:id="234" w:name="page235"/>
    <w:bookmarkEnd w:id="234"/>
    <w:p>
      <w:pPr>
        <w:jc w:val="right"/>
        <w:spacing w:after="0"/>
        <w:rPr>
          <w:sz w:val="20"/>
          <w:szCs w:val="20"/>
          <w:color w:val="auto"/>
        </w:rPr>
      </w:pPr>
      <w:r>
        <w:rPr>
          <w:rFonts w:ascii="Times New Roman" w:cs="Times New Roman" w:eastAsia="Times New Roman" w:hAnsi="Times New Roman"/>
          <w:sz w:val="22"/>
          <w:szCs w:val="22"/>
          <w:color w:val="FF0000"/>
          <w:strike w:val="1"/>
        </w:rPr>
        <w:t>ANNEX</w:t>
      </w:r>
      <w:r>
        <w:rPr>
          <w:rFonts w:ascii="Times New Roman" w:cs="Times New Roman" w:eastAsia="Times New Roman" w:hAnsi="Times New Roman"/>
          <w:sz w:val="22"/>
          <w:szCs w:val="22"/>
          <w:b w:val="1"/>
          <w:bCs w:val="1"/>
          <w:u w:val="single" w:color="auto"/>
          <w:color w:val="0000FF"/>
        </w:rPr>
        <w:t>EXHIBIT</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740" w:hanging="436"/>
        <w:spacing w:after="0"/>
        <w:tabs>
          <w:tab w:leader="none" w:pos="1740" w:val="left"/>
        </w:tabs>
        <w:numPr>
          <w:ilvl w:val="1"/>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repurchase obligations with a term of not more than 180 days for underlying securities of the types described in clause</w:t>
      </w:r>
    </w:p>
    <w:p>
      <w:pPr>
        <w:spacing w:after="0" w:line="28" w:lineRule="exact"/>
        <w:rPr>
          <w:rFonts w:ascii="Times New Roman" w:cs="Times New Roman" w:eastAsia="Times New Roman" w:hAnsi="Times New Roman"/>
          <w:sz w:val="20"/>
          <w:szCs w:val="20"/>
          <w:color w:val="auto"/>
        </w:rPr>
      </w:pPr>
    </w:p>
    <w:p>
      <w:pPr>
        <w:ind w:left="920" w:hanging="264"/>
        <w:spacing w:after="0"/>
        <w:tabs>
          <w:tab w:leader="none" w:pos="920" w:val="left"/>
        </w:tabs>
        <w:numPr>
          <w:ilvl w:val="0"/>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above entered into with a bank meeting the qualifications described in clause (b) above;</w:t>
      </w:r>
    </w:p>
    <w:p>
      <w:pPr>
        <w:spacing w:after="0" w:line="186" w:lineRule="exact"/>
        <w:rPr>
          <w:rFonts w:ascii="Times New Roman" w:cs="Times New Roman" w:eastAsia="Times New Roman" w:hAnsi="Times New Roman"/>
          <w:sz w:val="20"/>
          <w:szCs w:val="20"/>
          <w:color w:val="auto"/>
        </w:rPr>
      </w:pPr>
    </w:p>
    <w:p>
      <w:pPr>
        <w:jc w:val="both"/>
        <w:ind w:left="660" w:firstLine="644"/>
        <w:spacing w:after="0" w:line="253" w:lineRule="auto"/>
        <w:tabs>
          <w:tab w:leader="none" w:pos="1753" w:val="left"/>
        </w:tabs>
        <w:numPr>
          <w:ilvl w:val="1"/>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commercial paper, maturing not more than one year after the date of acquisition, issued by a corporation (other than an Affiliate of the Borrower) organized and in existence under the laws of the United States of America or any foreign country recognized by the United States of America with a rating at the time as of which any investment therein is made of P 1 (or higher) according to Moody’s, F 1 (or higher) according to Fitch, or A 1 (or higher) according to S&amp;P (or such similar equivalent rating or higher by at least one nationally recognized statistical rating organization (as defined in Rule 436 under the Securities Act));</w:t>
      </w:r>
    </w:p>
    <w:p>
      <w:pPr>
        <w:spacing w:after="0" w:line="164" w:lineRule="exact"/>
        <w:rPr>
          <w:rFonts w:ascii="Times New Roman" w:cs="Times New Roman" w:eastAsia="Times New Roman" w:hAnsi="Times New Roman"/>
          <w:sz w:val="20"/>
          <w:szCs w:val="20"/>
          <w:color w:val="auto"/>
        </w:rPr>
      </w:pPr>
    </w:p>
    <w:p>
      <w:pPr>
        <w:jc w:val="both"/>
        <w:ind w:left="660" w:firstLine="644"/>
        <w:spacing w:after="0" w:line="258" w:lineRule="auto"/>
        <w:tabs>
          <w:tab w:leader="none" w:pos="1808" w:val="left"/>
        </w:tabs>
        <w:numPr>
          <w:ilvl w:val="1"/>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securities with maturities of two years or less from the date of acquisition, issued or fully guaranteed by any State, commonwealth or territory of the United States of America, or by any political subdivision or taxing authority thereof, and rated at least A by S&amp;P, A by Moody’s or A by Fitch (or such similar equivalent rating or higher by at least one nationally recognized statistical rating organization (as defined in Rule 436 under the Securities Act));</w:t>
      </w:r>
    </w:p>
    <w:p>
      <w:pPr>
        <w:spacing w:after="0" w:line="172" w:lineRule="exact"/>
        <w:rPr>
          <w:rFonts w:ascii="Times New Roman" w:cs="Times New Roman" w:eastAsia="Times New Roman" w:hAnsi="Times New Roman"/>
          <w:sz w:val="20"/>
          <w:szCs w:val="20"/>
          <w:color w:val="auto"/>
        </w:rPr>
      </w:pPr>
    </w:p>
    <w:p>
      <w:pPr>
        <w:ind w:left="660" w:firstLine="644"/>
        <w:spacing w:after="0" w:line="269" w:lineRule="auto"/>
        <w:tabs>
          <w:tab w:leader="none" w:pos="1790" w:val="left"/>
        </w:tabs>
        <w:numPr>
          <w:ilvl w:val="1"/>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shares of mutual funds whose investment guidelines restrict 95% of such funds’ investments to those satisfying the provisions of clauses (a) through (e) above;</w:t>
      </w:r>
    </w:p>
    <w:p>
      <w:pPr>
        <w:spacing w:after="0" w:line="145"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1"/>
          <w:numId w:val="1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money market funds that (i) comply with the criteria set forth in Rule 2a 7 under the Investment Company Act of 1940,</w:t>
      </w:r>
    </w:p>
    <w:p>
      <w:pPr>
        <w:spacing w:after="0" w:line="39" w:lineRule="exact"/>
        <w:rPr>
          <w:rFonts w:ascii="Times New Roman" w:cs="Times New Roman" w:eastAsia="Times New Roman" w:hAnsi="Times New Roman"/>
          <w:sz w:val="19"/>
          <w:szCs w:val="19"/>
          <w:color w:val="auto"/>
        </w:rPr>
      </w:pPr>
    </w:p>
    <w:p>
      <w:pPr>
        <w:ind w:left="660" w:right="20" w:hanging="4"/>
        <w:spacing w:after="0" w:line="267" w:lineRule="auto"/>
        <w:tabs>
          <w:tab w:leader="none" w:pos="971" w:val="left"/>
        </w:tabs>
        <w:numPr>
          <w:ilvl w:val="0"/>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are rated by any two of (1) AAA by S&amp;P, (2) Aaa by Moody’s or (3) AAA by Fitch and (iii) have portfolio assets of at least $5,000,000,000;</w:t>
      </w:r>
    </w:p>
    <w:p>
      <w:pPr>
        <w:spacing w:after="0" w:line="147" w:lineRule="exact"/>
        <w:rPr>
          <w:rFonts w:ascii="Times New Roman" w:cs="Times New Roman" w:eastAsia="Times New Roman" w:hAnsi="Times New Roman"/>
          <w:sz w:val="20"/>
          <w:szCs w:val="20"/>
          <w:color w:val="auto"/>
        </w:rPr>
      </w:pPr>
    </w:p>
    <w:p>
      <w:pPr>
        <w:jc w:val="both"/>
        <w:ind w:left="660" w:firstLine="644"/>
        <w:spacing w:after="0" w:line="261" w:lineRule="auto"/>
        <w:tabs>
          <w:tab w:leader="none" w:pos="1768" w:val="left"/>
        </w:tabs>
        <w:numPr>
          <w:ilvl w:val="1"/>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time deposit accounts, certificates of deposit, money market deposits, banker’s acceptances and other bank deposits in an aggregate face amount not in excess of 0.5% of the total assets of the Borrower and the Subsidiaries, on a consolidated basis, as of the end of the Borrower’s most recently completed fiscal year; and</w:t>
      </w:r>
    </w:p>
    <w:p>
      <w:pPr>
        <w:spacing w:after="0" w:line="154" w:lineRule="exact"/>
        <w:rPr>
          <w:rFonts w:ascii="Times New Roman" w:cs="Times New Roman" w:eastAsia="Times New Roman" w:hAnsi="Times New Roman"/>
          <w:sz w:val="20"/>
          <w:szCs w:val="20"/>
          <w:color w:val="auto"/>
        </w:rPr>
      </w:pPr>
    </w:p>
    <w:p>
      <w:pPr>
        <w:jc w:val="both"/>
        <w:ind w:left="660" w:firstLine="644"/>
        <w:spacing w:after="0" w:line="258" w:lineRule="auto"/>
        <w:tabs>
          <w:tab w:leader="none" w:pos="1825" w:val="left"/>
        </w:tabs>
        <w:numPr>
          <w:ilvl w:val="1"/>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instruments equivalent to those referred to in clauses (a) through (h) above denominated in any foreign currency comparable in credit quality and tenor to those referred to above and commonly used by corporations for cash management purposes in any jurisdiction outside the United States of America to the extent reasonably required in connection with any business conducted by any Subsidiary organized in such jurisdiction.</w:t>
      </w:r>
    </w:p>
    <w:p>
      <w:pPr>
        <w:spacing w:after="0" w:line="159"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Junior Intercreditor Agreement</w:t>
      </w:r>
      <w:r>
        <w:rPr>
          <w:rFonts w:ascii="Times New Roman" w:cs="Times New Roman" w:eastAsia="Times New Roman" w:hAnsi="Times New Roman"/>
          <w:sz w:val="20"/>
          <w:szCs w:val="20"/>
          <w:color w:val="auto"/>
        </w:rPr>
        <w:t xml:space="preserve">” shall mean, with respect to any Liens on Collateral that are intended to be junior to any Liens securing the Term B Loans (and other Loan Obligations that are pari passu with the Term B Loans) (including, for the avoidance of doubt, junior Liens pursuant to Section 2.21(b)(ii) or (v)), either (as the Borrower shall elect) (x) the First Lien/Second Lien Intercreditor Agreement if such Liens secure “Second Lien Obligations” (as defined therein), (y) another intercreditor agreement not materially less favorable to the Lenders vis-à-vis such junior Liens than the First Lien/Second Lien Intercreditor Agreement (as determined by the Borrower in good faith) or (z) another intercreditor agreement the terms of which are consistent with market terms governing security arrangements for the sharing of liens on a junior basis at the time such intercreditor agreement is proposed to be established in light of the type of Indebtedness to be secured by such liens, as determined by the Administrative Agent </w:t>
      </w:r>
      <w:r>
        <w:rPr>
          <w:rFonts w:ascii="Times New Roman" w:cs="Times New Roman" w:eastAsia="Times New Roman" w:hAnsi="Times New Roman"/>
          <w:sz w:val="20"/>
          <w:szCs w:val="20"/>
          <w:b w:val="1"/>
          <w:bCs w:val="1"/>
          <w:u w:val="single" w:color="auto"/>
          <w:color w:val="0000FF"/>
        </w:rPr>
        <w:t>(acting at the direction of the Required Lenders)</w:t>
      </w:r>
      <w:r>
        <w:rPr>
          <w:rFonts w:ascii="Times New Roman" w:cs="Times New Roman" w:eastAsia="Times New Roman" w:hAnsi="Times New Roman"/>
          <w:sz w:val="20"/>
          <w:szCs w:val="20"/>
          <w:color w:val="auto"/>
        </w:rPr>
        <w:t xml:space="preserve"> and the Borrower in the exercise of reasonable judgment.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Liens</w:t>
      </w:r>
      <w:r>
        <w:rPr>
          <w:rFonts w:ascii="Times New Roman" w:cs="Times New Roman" w:eastAsia="Times New Roman" w:hAnsi="Times New Roman"/>
          <w:sz w:val="20"/>
          <w:szCs w:val="20"/>
          <w:color w:val="auto"/>
        </w:rPr>
        <w:t>” shall have the meaning assigned to such term in Section 6.02.</w:t>
      </w:r>
    </w:p>
    <w:p>
      <w:pPr>
        <w:sectPr>
          <w:pgSz w:w="11900" w:h="16838" w:orient="portrait"/>
          <w:cols w:equalWidth="0" w:num="1">
            <w:col w:w="11240"/>
          </w:cols>
          <w:pgMar w:left="320" w:top="108" w:right="339" w:bottom="1440" w:gutter="0" w:footer="0" w:header="0"/>
        </w:sectPr>
      </w:pPr>
    </w:p>
    <w:bookmarkStart w:id="235" w:name="page236"/>
    <w:bookmarkEnd w:id="235"/>
    <w:p>
      <w:pPr>
        <w:jc w:val="right"/>
        <w:spacing w:after="0"/>
        <w:rPr>
          <w:sz w:val="20"/>
          <w:szCs w:val="20"/>
          <w:color w:val="auto"/>
        </w:rPr>
      </w:pPr>
      <w:r>
        <w:rPr>
          <w:rFonts w:ascii="Times New Roman" w:cs="Times New Roman" w:eastAsia="Times New Roman" w:hAnsi="Times New Roman"/>
          <w:sz w:val="22"/>
          <w:szCs w:val="22"/>
          <w:color w:val="FF0000"/>
          <w:strike w:val="1"/>
        </w:rPr>
        <w:t>ANNEX</w:t>
      </w:r>
      <w:r>
        <w:rPr>
          <w:rFonts w:ascii="Times New Roman" w:cs="Times New Roman" w:eastAsia="Times New Roman" w:hAnsi="Times New Roman"/>
          <w:sz w:val="22"/>
          <w:szCs w:val="22"/>
          <w:b w:val="1"/>
          <w:bCs w:val="1"/>
          <w:u w:val="single" w:color="auto"/>
          <w:color w:val="0000FF"/>
        </w:rPr>
        <w:t>EXHIBIT</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Loan Purchase</w:t>
      </w:r>
      <w:r>
        <w:rPr>
          <w:rFonts w:ascii="Times New Roman" w:cs="Times New Roman" w:eastAsia="Times New Roman" w:hAnsi="Times New Roman"/>
          <w:sz w:val="20"/>
          <w:szCs w:val="20"/>
          <w:color w:val="auto"/>
        </w:rPr>
        <w:t>” shall have the meaning assigned to such term in Section 9.04(i).</w:t>
      </w:r>
    </w:p>
    <w:p>
      <w:pPr>
        <w:spacing w:after="0" w:line="202"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Loan Purchase Assignment and Acceptance</w:t>
      </w:r>
      <w:r>
        <w:rPr>
          <w:rFonts w:ascii="Times New Roman" w:cs="Times New Roman" w:eastAsia="Times New Roman" w:hAnsi="Times New Roman"/>
          <w:sz w:val="20"/>
          <w:szCs w:val="20"/>
          <w:color w:val="auto"/>
        </w:rPr>
        <w:t xml:space="preserve">” shall mean an assignment and acceptance entered into by a Lender as an Assignor and Holdings, the Borrower or any of the Subsidiaries as an Assignee, as accepted by the Administrative Agent (if required by Section 9.04) in the form of </w:t>
      </w:r>
      <w:r>
        <w:rPr>
          <w:rFonts w:ascii="Times New Roman" w:cs="Times New Roman" w:eastAsia="Times New Roman" w:hAnsi="Times New Roman"/>
          <w:sz w:val="20"/>
          <w:szCs w:val="20"/>
          <w:u w:val="single" w:color="auto"/>
          <w:color w:val="auto"/>
        </w:rPr>
        <w:t>Exhibit F</w:t>
      </w:r>
      <w:r>
        <w:rPr>
          <w:rFonts w:ascii="Times New Roman" w:cs="Times New Roman" w:eastAsia="Times New Roman" w:hAnsi="Times New Roman"/>
          <w:sz w:val="20"/>
          <w:szCs w:val="20"/>
          <w:color w:val="auto"/>
        </w:rPr>
        <w:t xml:space="preserve"> to the Original Credit Agreement or such other form as shall be approved by the Administrative Agent and the Borrower (such approval not to be unreasonably withheld or delayed).</w:t>
      </w:r>
    </w:p>
    <w:p>
      <w:pPr>
        <w:spacing w:after="0" w:line="159"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Pari Passu Intercreditor Agreement</w:t>
      </w:r>
      <w:r>
        <w:rPr>
          <w:rFonts w:ascii="Times New Roman" w:cs="Times New Roman" w:eastAsia="Times New Roman" w:hAnsi="Times New Roman"/>
          <w:sz w:val="20"/>
          <w:szCs w:val="20"/>
          <w:color w:val="auto"/>
        </w:rPr>
        <w:t xml:space="preserve">” shall mean, with respect to any Liens on Collateral that are intended to be pari passu with the Liens securing the Term B Loans (and other Loan Obligations that are pari passu with the Term B Loans), either (as the Borrower shall elect) (x) the First Lien/First Lien Intercreditor Agreement, (y) another intercreditor agreement not materially less favorable to the Lenders vis-à-vis such pari passu Liens than the First Lien/First Lien Intercreditor Agreement (as determined by the Borrower in good faith) or (z) another intercreditor agreement the terms of which are consistent with market terms governing security arrangements for the sharing of liens on a pari passu basis at the time such intercreditor agreement is proposed to be established in light of the type of Indebtedness to be secured by such liens, as determined by the Administrative Agent </w:t>
      </w:r>
      <w:r>
        <w:rPr>
          <w:rFonts w:ascii="Times New Roman" w:cs="Times New Roman" w:eastAsia="Times New Roman" w:hAnsi="Times New Roman"/>
          <w:sz w:val="20"/>
          <w:szCs w:val="20"/>
          <w:b w:val="1"/>
          <w:bCs w:val="1"/>
          <w:u w:val="single" w:color="auto"/>
          <w:color w:val="0000FF"/>
        </w:rPr>
        <w:t>(acting at the direction of the Required Lenders)</w:t>
      </w:r>
      <w:r>
        <w:rPr>
          <w:rFonts w:ascii="Times New Roman" w:cs="Times New Roman" w:eastAsia="Times New Roman" w:hAnsi="Times New Roman"/>
          <w:sz w:val="20"/>
          <w:szCs w:val="20"/>
          <w:color w:val="auto"/>
        </w:rPr>
        <w:t xml:space="preserve"> and the Borrower in the exercise of reasonable judgment.</w:t>
      </w:r>
    </w:p>
    <w:p>
      <w:pPr>
        <w:spacing w:after="0" w:line="182"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Permitted Refinancing Indebtedness</w:t>
      </w:r>
      <w:r>
        <w:rPr>
          <w:rFonts w:ascii="Times New Roman" w:cs="Times New Roman" w:eastAsia="Times New Roman" w:hAnsi="Times New Roman"/>
          <w:sz w:val="19"/>
          <w:szCs w:val="19"/>
          <w:color w:val="auto"/>
        </w:rPr>
        <w:t>” shall mean any Indebtedness issued in exchange for, or the net proceeds of which are used to extend, refinance, renew, replace, defease or refund (collectively, to “</w:t>
      </w:r>
      <w:r>
        <w:rPr>
          <w:rFonts w:ascii="Times New Roman" w:cs="Times New Roman" w:eastAsia="Times New Roman" w:hAnsi="Times New Roman"/>
          <w:sz w:val="19"/>
          <w:szCs w:val="19"/>
          <w:u w:val="single" w:color="auto"/>
          <w:color w:val="auto"/>
        </w:rPr>
        <w:t>Refinance</w:t>
      </w:r>
      <w:r>
        <w:rPr>
          <w:rFonts w:ascii="Times New Roman" w:cs="Times New Roman" w:eastAsia="Times New Roman" w:hAnsi="Times New Roman"/>
          <w:sz w:val="19"/>
          <w:szCs w:val="19"/>
          <w:color w:val="auto"/>
        </w:rPr>
        <w:t xml:space="preserve">”), the Indebtedness being Refinanced (or previous refinancings thereof constituting Permitted Refinancing Indebtedness);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that (a) the principal amount (or accreted value, if applicable) of such Permitted Refinancing Indebtedness does not exceed the principal amount (or accreted value, if applicable) of the Indebtedness so Refinanced (</w:t>
      </w: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19"/>
          <w:szCs w:val="19"/>
          <w:color w:val="auto"/>
        </w:rPr>
        <w:t xml:space="preserve"> unpaid accrued interest and premium (including tender premiums) thereon and underwriting discounts, defeasance costs, fees, commissions, expenses, </w:t>
      </w: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19"/>
          <w:szCs w:val="19"/>
          <w:color w:val="auto"/>
        </w:rPr>
        <w:t xml:space="preserve"> an amount equal to any existing commitment unutilized thereunder and letters of credit undrawn thereunder), (b) except with respect to Section 6.01(i), (i) the final maturity date of such Permitted Refinancing Indebtedness is on or after the earlier of (x) the final maturity date of the Indebtedness being Refinanced and (y) the Latest Maturity Date in effect at the time of incurrence thereof and (ii) the Weighted Average Life to Maturity of such Permitted Refinancing Indebtedness is greater than or equal to the lesser of (i) the Weighted Average Life to Maturity of the Indebtedness being Refinanced and (ii) the Weighted Average Life to Maturity of the Class of Term Loans then outstanding with the greatest remaining Weighted Average Life to Maturity, (c) if the Indebtedness being Refinanced is subordinated in right of payment to the Loan Obligations under this Agreement, such Permitted Refinancing Indebtedness shall be subordinated in right of payment to such Loan Obligations on terms in the aggregate not materially less favorable to the Lenders as those contained in the documentation governing the Indebtedness being Refinanced, (d) no Permitted Refinancing Indebtedness shall have obligors that are not (or would not have been) obligated with respect to the Indebtedness being so Refinanced (except that a Loan Party may be added as an additional obligor) and (e) if the Indebtedness being Refinanced is secured by Liens on any Collateral (whether senior to, equally and ratably with, or junior to the Liens on such Collateral securing the Loan Obligations or otherwise), such Permitted Refinancing Indebtedness may be secured by such Collateral (including any Collateral pursuant to after-acquired property clauses to the extent any such Collateral secured (or would have secured) the Indebtedness being Refinanced) on terms in the aggregate that are substantially similar to, or not materially less favorable to the Secured Parties than, the Indebtedness being refinanced or on terms otherwise permitted by Section 6.02.</w:t>
      </w:r>
    </w:p>
    <w:p>
      <w:pPr>
        <w:sectPr>
          <w:pgSz w:w="11900" w:h="16838" w:orient="portrait"/>
          <w:cols w:equalWidth="0" w:num="1">
            <w:col w:w="11240"/>
          </w:cols>
          <w:pgMar w:left="320" w:top="108" w:right="339" w:bottom="1440" w:gutter="0" w:footer="0" w:header="0"/>
        </w:sectPr>
      </w:pPr>
    </w:p>
    <w:bookmarkStart w:id="236" w:name="page237"/>
    <w:bookmarkEnd w:id="236"/>
    <w:p>
      <w:pPr>
        <w:ind w:left="9360"/>
        <w:spacing w:after="0"/>
        <w:rPr>
          <w:sz w:val="20"/>
          <w:szCs w:val="20"/>
          <w:color w:val="auto"/>
        </w:rPr>
      </w:pPr>
      <w:r>
        <w:rPr>
          <w:rFonts w:ascii="Times New Roman" w:cs="Times New Roman" w:eastAsia="Times New Roman" w:hAnsi="Times New Roman"/>
          <w:sz w:val="21"/>
          <w:szCs w:val="21"/>
          <w:color w:val="FF0000"/>
          <w:strike w:val="1"/>
        </w:rPr>
        <w:t>ANNEX</w:t>
      </w:r>
      <w:r>
        <w:rPr>
          <w:rFonts w:ascii="Times New Roman" w:cs="Times New Roman" w:eastAsia="Times New Roman" w:hAnsi="Times New Roman"/>
          <w:sz w:val="21"/>
          <w:szCs w:val="21"/>
          <w:b w:val="1"/>
          <w:bCs w:val="1"/>
          <w:u w:val="single" w:color="auto"/>
          <w:color w:val="0000FF"/>
        </w:rPr>
        <w:t>EXHIBIT</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000000"/>
        </w:rPr>
        <w: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Securitization Documents</w:t>
      </w:r>
      <w:r>
        <w:rPr>
          <w:rFonts w:ascii="Times New Roman" w:cs="Times New Roman" w:eastAsia="Times New Roman" w:hAnsi="Times New Roman"/>
          <w:sz w:val="20"/>
          <w:szCs w:val="20"/>
          <w:color w:val="auto"/>
        </w:rPr>
        <w:t>” shall mean all documents and agreements evidencing, relating to or otherwise governing a Permitted Securitization Financing.</w:t>
      </w:r>
    </w:p>
    <w:p>
      <w:pPr>
        <w:spacing w:after="0" w:line="133"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Securitization Financing</w:t>
      </w:r>
      <w:r>
        <w:rPr>
          <w:rFonts w:ascii="Times New Roman" w:cs="Times New Roman" w:eastAsia="Times New Roman" w:hAnsi="Times New Roman"/>
          <w:sz w:val="20"/>
          <w:szCs w:val="20"/>
          <w:color w:val="auto"/>
        </w:rPr>
        <w:t xml:space="preserve">” shall mean one or more transactions pursuant to which (i) Securitization Assets or interests therein are sold or transferred to or financed by one or more Special Purpose Securitization Subsidiaries, and (ii) such Special Purpose Securitization Subsidiaries finance (or refinance) their acquisition of such Securitization Assets or interests therein, or the financing thereof, by selling or borrowing against Securitization Assets (including conduit and warehouse financings) and any Hedging Agreements entered into in connection with such Securitization Assets;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recourse to the Borrower or any Subsidiary (other than the Special Purpose Securitization Subsidiaries) in connection with such transactions shall be limited to the extent customary (as determined by the Borrower in good faith) for similar transactions in the applicable jurisdictions (including, to the extent applicable, in a manner consistent with the delivery of a “true sale”/“absolute transfer” opinion with respect to any transfer by the Borrower or any Subsidiary (other than a Special Purpose Securitization Subsidiary).</w:t>
      </w:r>
    </w:p>
    <w:p>
      <w:pPr>
        <w:spacing w:after="0" w:line="162"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person</w:t>
      </w:r>
      <w:r>
        <w:rPr>
          <w:rFonts w:ascii="Times New Roman" w:cs="Times New Roman" w:eastAsia="Times New Roman" w:hAnsi="Times New Roman"/>
          <w:sz w:val="20"/>
          <w:szCs w:val="20"/>
          <w:color w:val="auto"/>
        </w:rPr>
        <w:t>” shall mean any natural person, corporation, business trust, joint venture, association, company, partnership, limited liability company or government, individual or family trusts, or any agency or political subdivision thereof.</w:t>
      </w:r>
    </w:p>
    <w:p>
      <w:pPr>
        <w:spacing w:after="0" w:line="159"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Plan</w:t>
      </w:r>
      <w:r>
        <w:rPr>
          <w:rFonts w:ascii="Times New Roman" w:cs="Times New Roman" w:eastAsia="Times New Roman" w:hAnsi="Times New Roman"/>
          <w:sz w:val="20"/>
          <w:szCs w:val="20"/>
          <w:color w:val="auto"/>
        </w:rPr>
        <w:t>” shall mean any employee pension benefit plan (other than a Multiemployer Plan) that is (i) subject to the provisions of Title IV of ERISA or Section 412 of the Code or Section 302 of ERISA, (ii) sponsored or maintained (at the time of determination or at any time within the five years prior thereto) by Holdings, the Borrower, any Subsidiary or any ERISA Affiliate, and (iii) in respect of which Holdings, the Borrower, any Subsidiary or any ERISA Affiliate is (or, if such plan were terminated, would under Section 4069 of ERISA be deemed to be) an “employer” as defined in Section 3(5) of ERISA.</w:t>
      </w:r>
    </w:p>
    <w:p>
      <w:pPr>
        <w:spacing w:after="0" w:line="16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Platform</w:t>
      </w:r>
      <w:r>
        <w:rPr>
          <w:rFonts w:ascii="Times New Roman" w:cs="Times New Roman" w:eastAsia="Times New Roman" w:hAnsi="Times New Roman"/>
          <w:sz w:val="20"/>
          <w:szCs w:val="20"/>
          <w:color w:val="auto"/>
        </w:rPr>
        <w:t>” shall have the meaning assigned to such term in Section 9.17(a).</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Pledged Collateral</w:t>
      </w:r>
      <w:r>
        <w:rPr>
          <w:rFonts w:ascii="Times New Roman" w:cs="Times New Roman" w:eastAsia="Times New Roman" w:hAnsi="Times New Roman"/>
          <w:sz w:val="20"/>
          <w:szCs w:val="20"/>
          <w:color w:val="auto"/>
        </w:rPr>
        <w:t>” shall have the meaning assigned to such term in the Collateral Agreement.</w:t>
      </w:r>
    </w:p>
    <w:p>
      <w:pPr>
        <w:spacing w:after="0" w:line="202"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Pre-Opening Expenses</w:t>
      </w:r>
      <w:r>
        <w:rPr>
          <w:rFonts w:ascii="Times New Roman" w:cs="Times New Roman" w:eastAsia="Times New Roman" w:hAnsi="Times New Roman"/>
          <w:sz w:val="20"/>
          <w:szCs w:val="20"/>
          <w:color w:val="auto"/>
        </w:rPr>
        <w:t>” shall mean, with respect to any fiscal period, the amount of expenses (other than interest expense) incurred that are classified as “pre-opening rent”, “pre-opening expenses” or “opening costs” (or any similar or equivalent caption).</w:t>
      </w:r>
    </w:p>
    <w:p>
      <w:pPr>
        <w:sectPr>
          <w:pgSz w:w="11900" w:h="16838" w:orient="portrait"/>
          <w:cols w:equalWidth="0" w:num="1">
            <w:col w:w="11240"/>
          </w:cols>
          <w:pgMar w:left="320" w:top="108" w:right="339" w:bottom="1440" w:gutter="0" w:footer="0" w:header="0"/>
        </w:sectPr>
      </w:pPr>
    </w:p>
    <w:bookmarkStart w:id="237" w:name="page238"/>
    <w:bookmarkEnd w:id="237"/>
    <w:p>
      <w:pPr>
        <w:jc w:val="right"/>
        <w:spacing w:after="0"/>
        <w:rPr>
          <w:sz w:val="20"/>
          <w:szCs w:val="20"/>
          <w:color w:val="auto"/>
        </w:rPr>
      </w:pPr>
      <w:r>
        <w:rPr>
          <w:rFonts w:ascii="Times New Roman" w:cs="Times New Roman" w:eastAsia="Times New Roman" w:hAnsi="Times New Roman"/>
          <w:sz w:val="22"/>
          <w:szCs w:val="22"/>
          <w:color w:val="FF0000"/>
          <w:strike w:val="1"/>
        </w:rPr>
        <w:t>ANNEX</w:t>
      </w:r>
      <w:r>
        <w:rPr>
          <w:rFonts w:ascii="Times New Roman" w:cs="Times New Roman" w:eastAsia="Times New Roman" w:hAnsi="Times New Roman"/>
          <w:sz w:val="22"/>
          <w:szCs w:val="22"/>
          <w:b w:val="1"/>
          <w:bCs w:val="1"/>
          <w:u w:val="single" w:color="auto"/>
          <w:color w:val="0000FF"/>
        </w:rPr>
        <w:t>EXHIBIT</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Pricing Grid</w:t>
      </w:r>
      <w:r>
        <w:rPr>
          <w:rFonts w:ascii="Times New Roman" w:cs="Times New Roman" w:eastAsia="Times New Roman" w:hAnsi="Times New Roman"/>
          <w:sz w:val="20"/>
          <w:szCs w:val="20"/>
          <w:color w:val="auto"/>
        </w:rPr>
        <w:t>” shall mean, with respect to the Loans and Revolving Facility Commitments, the table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160020</wp:posOffset>
            </wp:positionV>
            <wp:extent cx="7012305" cy="100266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24">
                      <a:extLst>
                        <a:ext uri="{28A0092B-C50C-407E-A947-70E740481C1C}"/>
                      </a:extLst>
                    </a:blip>
                    <a:srcRect/>
                    <a:stretch>
                      <a:fillRect/>
                    </a:stretch>
                  </pic:blipFill>
                  <pic:spPr bwMode="auto">
                    <a:xfrm>
                      <a:off x="0" y="0"/>
                      <a:ext cx="7012305" cy="1002665"/>
                    </a:xfrm>
                    <a:prstGeom prst="rect">
                      <a:avLst/>
                    </a:prstGeom>
                    <a:noFill/>
                  </pic:spPr>
                </pic:pic>
              </a:graphicData>
            </a:graphic>
          </wp:anchor>
        </w:drawing>
      </w:r>
    </w:p>
    <w:p>
      <w:pPr>
        <w:spacing w:after="0" w:line="24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b w:val="1"/>
          <w:bCs w:val="1"/>
          <w:color w:val="auto"/>
        </w:rPr>
        <w:t>Pricing Grid for Revolving Loans</w:t>
      </w:r>
    </w:p>
    <w:p>
      <w:pPr>
        <w:spacing w:after="0" w:line="32" w:lineRule="exact"/>
        <w:rPr>
          <w:sz w:val="20"/>
          <w:szCs w:val="20"/>
          <w:color w:val="auto"/>
        </w:rPr>
      </w:pPr>
    </w:p>
    <w:tbl>
      <w:tblPr>
        <w:tblLayout w:type="fixed"/>
        <w:tblInd w:w="40" w:type="dxa"/>
        <w:tblCellMar>
          <w:top w:w="0" w:type="dxa"/>
          <w:left w:w="0" w:type="dxa"/>
          <w:bottom w:w="0" w:type="dxa"/>
          <w:right w:w="0" w:type="dxa"/>
        </w:tblCellMar>
      </w:tblPr>
      <w:tr>
        <w:trPr>
          <w:trHeight w:val="258"/>
        </w:trPr>
        <w:tc>
          <w:tcPr>
            <w:tcW w:w="700" w:type="dxa"/>
            <w:vAlign w:val="bottom"/>
            <w:tcBorders>
              <w:top w:val="single" w:sz="8" w:color="auto"/>
              <w:bottom w:val="single" w:sz="8" w:color="auto"/>
            </w:tcBorders>
          </w:tcPr>
          <w:p>
            <w:pPr>
              <w:spacing w:after="0"/>
              <w:rPr>
                <w:sz w:val="22"/>
                <w:szCs w:val="22"/>
                <w:color w:val="auto"/>
              </w:rPr>
            </w:pPr>
          </w:p>
        </w:tc>
        <w:tc>
          <w:tcPr>
            <w:tcW w:w="3560" w:type="dxa"/>
            <w:vAlign w:val="bottom"/>
            <w:tcBorders>
              <w:top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20"/>
                <w:szCs w:val="20"/>
                <w:b w:val="1"/>
                <w:bCs w:val="1"/>
                <w:color w:val="auto"/>
              </w:rPr>
              <w:t>Net First Lien Leverage Ratio</w:t>
            </w:r>
          </w:p>
        </w:tc>
        <w:tc>
          <w:tcPr>
            <w:tcW w:w="3220" w:type="dxa"/>
            <w:vAlign w:val="bottom"/>
            <w:tcBorders>
              <w:top w:val="single" w:sz="8" w:color="auto"/>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Applicable Margin for ABR Loans</w:t>
            </w:r>
          </w:p>
        </w:tc>
        <w:tc>
          <w:tcPr>
            <w:tcW w:w="3580" w:type="dxa"/>
            <w:vAlign w:val="bottom"/>
            <w:tcBorders>
              <w:top w:val="single" w:sz="8" w:color="auto"/>
              <w:bottom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20"/>
                <w:szCs w:val="20"/>
                <w:b w:val="1"/>
                <w:bCs w:val="1"/>
                <w:color w:val="auto"/>
                <w:w w:val="98"/>
              </w:rPr>
              <w:t>Applicable Margin for SOFR Loans</w:t>
            </w:r>
          </w:p>
        </w:tc>
      </w:tr>
      <w:tr>
        <w:trPr>
          <w:trHeight w:val="250"/>
        </w:trPr>
        <w:tc>
          <w:tcPr>
            <w:tcW w:w="4260" w:type="dxa"/>
            <w:vAlign w:val="bottom"/>
            <w:tcBorders>
              <w:bottom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20"/>
                <w:szCs w:val="20"/>
                <w:color w:val="auto"/>
              </w:rPr>
              <w:t>Greater than 1.50 to 1.00</w:t>
            </w:r>
          </w:p>
        </w:tc>
        <w:tc>
          <w:tcPr>
            <w:tcW w:w="322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20"/>
                <w:szCs w:val="20"/>
                <w:color w:val="auto"/>
              </w:rPr>
              <w:t>2.00%</w:t>
            </w:r>
          </w:p>
        </w:tc>
        <w:tc>
          <w:tcPr>
            <w:tcW w:w="3580" w:type="dxa"/>
            <w:vAlign w:val="bottom"/>
            <w:tcBorders>
              <w:bottom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20"/>
                <w:szCs w:val="20"/>
                <w:color w:val="auto"/>
              </w:rPr>
              <w:t>3.00%</w:t>
            </w:r>
          </w:p>
        </w:tc>
      </w:tr>
      <w:tr>
        <w:trPr>
          <w:trHeight w:val="187"/>
        </w:trPr>
        <w:tc>
          <w:tcPr>
            <w:tcW w:w="4260" w:type="dxa"/>
            <w:vAlign w:val="bottom"/>
            <w:tcBorders>
              <w:right w:val="single" w:sz="8" w:color="auto"/>
            </w:tcBorders>
            <w:gridSpan w:val="2"/>
          </w:tcPr>
          <w:p>
            <w:pPr>
              <w:ind w:left="100"/>
              <w:spacing w:after="0" w:line="186" w:lineRule="exact"/>
              <w:rPr>
                <w:sz w:val="20"/>
                <w:szCs w:val="20"/>
                <w:color w:val="auto"/>
              </w:rPr>
            </w:pPr>
            <w:r>
              <w:rPr>
                <w:rFonts w:ascii="Times New Roman" w:cs="Times New Roman" w:eastAsia="Times New Roman" w:hAnsi="Times New Roman"/>
                <w:sz w:val="20"/>
                <w:szCs w:val="20"/>
                <w:color w:val="auto"/>
              </w:rPr>
              <w:t>Less than or equal to 1.50 to 1.00 but greater than</w:t>
            </w:r>
          </w:p>
        </w:tc>
        <w:tc>
          <w:tcPr>
            <w:tcW w:w="3220" w:type="dxa"/>
            <w:vAlign w:val="bottom"/>
            <w:tcBorders>
              <w:right w:val="single" w:sz="8" w:color="auto"/>
            </w:tcBorders>
            <w:gridSpan w:val="2"/>
          </w:tcPr>
          <w:p>
            <w:pPr>
              <w:jc w:val="center"/>
              <w:spacing w:after="0" w:line="186" w:lineRule="exact"/>
              <w:rPr>
                <w:sz w:val="20"/>
                <w:szCs w:val="20"/>
                <w:color w:val="auto"/>
              </w:rPr>
            </w:pPr>
            <w:r>
              <w:rPr>
                <w:rFonts w:ascii="Times New Roman" w:cs="Times New Roman" w:eastAsia="Times New Roman" w:hAnsi="Times New Roman"/>
                <w:sz w:val="20"/>
                <w:szCs w:val="20"/>
                <w:color w:val="auto"/>
              </w:rPr>
              <w:t>1.75%</w:t>
            </w:r>
          </w:p>
        </w:tc>
        <w:tc>
          <w:tcPr>
            <w:tcW w:w="3580" w:type="dxa"/>
            <w:vAlign w:val="bottom"/>
            <w:gridSpan w:val="2"/>
          </w:tcPr>
          <w:p>
            <w:pPr>
              <w:jc w:val="center"/>
              <w:ind w:right="20"/>
              <w:spacing w:after="0" w:line="186" w:lineRule="exact"/>
              <w:rPr>
                <w:sz w:val="20"/>
                <w:szCs w:val="20"/>
                <w:color w:val="auto"/>
              </w:rPr>
            </w:pPr>
            <w:r>
              <w:rPr>
                <w:rFonts w:ascii="Times New Roman" w:cs="Times New Roman" w:eastAsia="Times New Roman" w:hAnsi="Times New Roman"/>
                <w:sz w:val="20"/>
                <w:szCs w:val="20"/>
                <w:color w:val="auto"/>
              </w:rPr>
              <w:t>2.75%</w:t>
            </w:r>
          </w:p>
        </w:tc>
      </w:tr>
      <w:tr>
        <w:trPr>
          <w:trHeight w:val="252"/>
        </w:trPr>
        <w:tc>
          <w:tcPr>
            <w:tcW w:w="4260" w:type="dxa"/>
            <w:vAlign w:val="bottom"/>
            <w:tcBorders>
              <w:bottom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20"/>
                <w:szCs w:val="20"/>
                <w:color w:val="auto"/>
              </w:rPr>
              <w:t>1.00 to 1.00</w:t>
            </w:r>
          </w:p>
        </w:tc>
        <w:tc>
          <w:tcPr>
            <w:tcW w:w="420" w:type="dxa"/>
            <w:vAlign w:val="bottom"/>
            <w:tcBorders>
              <w:bottom w:val="single" w:sz="8" w:color="auto"/>
            </w:tcBorders>
          </w:tcPr>
          <w:p>
            <w:pPr>
              <w:spacing w:after="0"/>
              <w:rPr>
                <w:sz w:val="21"/>
                <w:szCs w:val="21"/>
                <w:color w:val="auto"/>
              </w:rPr>
            </w:pPr>
          </w:p>
        </w:tc>
        <w:tc>
          <w:tcPr>
            <w:tcW w:w="2800" w:type="dxa"/>
            <w:vAlign w:val="bottom"/>
            <w:tcBorders>
              <w:bottom w:val="single" w:sz="8" w:color="auto"/>
              <w:right w:val="single" w:sz="8" w:color="auto"/>
            </w:tcBorders>
          </w:tcPr>
          <w:p>
            <w:pPr>
              <w:spacing w:after="0"/>
              <w:rPr>
                <w:sz w:val="21"/>
                <w:szCs w:val="21"/>
                <w:color w:val="auto"/>
              </w:rPr>
            </w:pPr>
          </w:p>
        </w:tc>
        <w:tc>
          <w:tcPr>
            <w:tcW w:w="194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spacing w:after="0"/>
              <w:rPr>
                <w:sz w:val="21"/>
                <w:szCs w:val="21"/>
                <w:color w:val="auto"/>
              </w:rPr>
            </w:pPr>
          </w:p>
        </w:tc>
      </w:tr>
      <w:tr>
        <w:trPr>
          <w:trHeight w:val="257"/>
        </w:trPr>
        <w:tc>
          <w:tcPr>
            <w:tcW w:w="4260" w:type="dxa"/>
            <w:vAlign w:val="bottom"/>
            <w:tcBorders>
              <w:bottom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20"/>
                <w:szCs w:val="20"/>
                <w:color w:val="auto"/>
              </w:rPr>
              <w:t>Less than or equal to 1.00 to 1.00</w:t>
            </w:r>
          </w:p>
        </w:tc>
        <w:tc>
          <w:tcPr>
            <w:tcW w:w="322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20"/>
                <w:szCs w:val="20"/>
                <w:color w:val="auto"/>
              </w:rPr>
              <w:t>1.50%</w:t>
            </w:r>
          </w:p>
        </w:tc>
        <w:tc>
          <w:tcPr>
            <w:tcW w:w="3580" w:type="dxa"/>
            <w:vAlign w:val="bottom"/>
            <w:tcBorders>
              <w:bottom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20"/>
                <w:szCs w:val="20"/>
                <w:color w:val="auto"/>
              </w:rPr>
              <w:t>2.50%</w:t>
            </w:r>
          </w:p>
        </w:tc>
      </w:tr>
      <w:tr>
        <w:trPr>
          <w:trHeight w:val="574"/>
        </w:trPr>
        <w:tc>
          <w:tcPr>
            <w:tcW w:w="700" w:type="dxa"/>
            <w:vAlign w:val="bottom"/>
          </w:tcPr>
          <w:p>
            <w:pPr>
              <w:spacing w:after="0"/>
              <w:rPr>
                <w:sz w:val="24"/>
                <w:szCs w:val="24"/>
                <w:color w:val="auto"/>
              </w:rPr>
            </w:pPr>
          </w:p>
        </w:tc>
        <w:tc>
          <w:tcPr>
            <w:tcW w:w="6780" w:type="dxa"/>
            <w:vAlign w:val="bottom"/>
            <w:tcBorders>
              <w:bottom w:val="single" w:sz="8" w:color="auto"/>
            </w:tcBorders>
            <w:gridSpan w:val="3"/>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1640" w:type="dxa"/>
            <w:vAlign w:val="bottom"/>
          </w:tcPr>
          <w:p>
            <w:pPr>
              <w:spacing w:after="0"/>
              <w:rPr>
                <w:sz w:val="24"/>
                <w:szCs w:val="24"/>
                <w:color w:val="auto"/>
              </w:rPr>
            </w:pPr>
          </w:p>
        </w:tc>
      </w:tr>
      <w:tr>
        <w:trPr>
          <w:trHeight w:val="256"/>
        </w:trPr>
        <w:tc>
          <w:tcPr>
            <w:tcW w:w="700" w:type="dxa"/>
            <w:vAlign w:val="bottom"/>
            <w:tcBorders>
              <w:right w:val="single" w:sz="8" w:color="auto"/>
            </w:tcBorders>
          </w:tcPr>
          <w:p>
            <w:pPr>
              <w:spacing w:after="0"/>
              <w:rPr>
                <w:sz w:val="22"/>
                <w:szCs w:val="22"/>
                <w:color w:val="auto"/>
              </w:rPr>
            </w:pPr>
          </w:p>
        </w:tc>
        <w:tc>
          <w:tcPr>
            <w:tcW w:w="6780" w:type="dxa"/>
            <w:vAlign w:val="bottom"/>
            <w:tcBorders>
              <w:bottom w:val="single" w:sz="8" w:color="auto"/>
            </w:tcBorders>
            <w:gridSpan w:val="3"/>
          </w:tcPr>
          <w:p>
            <w:pPr>
              <w:ind w:left="2240"/>
              <w:spacing w:after="0"/>
              <w:rPr>
                <w:sz w:val="20"/>
                <w:szCs w:val="20"/>
                <w:color w:val="auto"/>
              </w:rPr>
            </w:pPr>
            <w:r>
              <w:rPr>
                <w:rFonts w:ascii="Times New Roman" w:cs="Times New Roman" w:eastAsia="Times New Roman" w:hAnsi="Times New Roman"/>
                <w:sz w:val="20"/>
                <w:szCs w:val="20"/>
                <w:b w:val="1"/>
                <w:bCs w:val="1"/>
                <w:color w:val="auto"/>
              </w:rPr>
              <w:t>Pricing Grid for Revolving Facility Commitments</w:t>
            </w:r>
          </w:p>
        </w:tc>
        <w:tc>
          <w:tcPr>
            <w:tcW w:w="1940" w:type="dxa"/>
            <w:vAlign w:val="bottom"/>
            <w:tcBorders>
              <w:bottom w:val="single" w:sz="8" w:color="auto"/>
              <w:right w:val="single" w:sz="8" w:color="auto"/>
            </w:tcBorders>
          </w:tcPr>
          <w:p>
            <w:pPr>
              <w:spacing w:after="0"/>
              <w:rPr>
                <w:sz w:val="22"/>
                <w:szCs w:val="22"/>
                <w:color w:val="auto"/>
              </w:rPr>
            </w:pPr>
          </w:p>
        </w:tc>
        <w:tc>
          <w:tcPr>
            <w:tcW w:w="1640" w:type="dxa"/>
            <w:vAlign w:val="bottom"/>
          </w:tcPr>
          <w:p>
            <w:pPr>
              <w:spacing w:after="0"/>
              <w:rPr>
                <w:sz w:val="22"/>
                <w:szCs w:val="22"/>
                <w:color w:val="auto"/>
              </w:rPr>
            </w:pPr>
          </w:p>
        </w:tc>
      </w:tr>
      <w:tr>
        <w:trPr>
          <w:trHeight w:val="250"/>
        </w:trPr>
        <w:tc>
          <w:tcPr>
            <w:tcW w:w="700" w:type="dxa"/>
            <w:vAlign w:val="bottom"/>
            <w:tcBorders>
              <w:right w:val="single" w:sz="8" w:color="auto"/>
            </w:tcBorders>
          </w:tcPr>
          <w:p>
            <w:pPr>
              <w:spacing w:after="0"/>
              <w:rPr>
                <w:sz w:val="21"/>
                <w:szCs w:val="21"/>
                <w:color w:val="auto"/>
              </w:rPr>
            </w:pPr>
          </w:p>
        </w:tc>
        <w:tc>
          <w:tcPr>
            <w:tcW w:w="356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20"/>
                <w:szCs w:val="20"/>
                <w:b w:val="1"/>
                <w:bCs w:val="1"/>
                <w:color w:val="auto"/>
              </w:rPr>
              <w:t>Net First Lien Leverage Ratio</w:t>
            </w:r>
          </w:p>
        </w:tc>
        <w:tc>
          <w:tcPr>
            <w:tcW w:w="420" w:type="dxa"/>
            <w:vAlign w:val="bottom"/>
            <w:tcBorders>
              <w:bottom w:val="single" w:sz="8" w:color="auto"/>
              <w:right w:val="single" w:sz="8" w:color="auto"/>
            </w:tcBorders>
          </w:tcPr>
          <w:p>
            <w:pPr>
              <w:spacing w:after="0"/>
              <w:rPr>
                <w:sz w:val="21"/>
                <w:szCs w:val="21"/>
                <w:color w:val="auto"/>
              </w:rPr>
            </w:pPr>
          </w:p>
        </w:tc>
        <w:tc>
          <w:tcPr>
            <w:tcW w:w="4740" w:type="dxa"/>
            <w:vAlign w:val="bottom"/>
            <w:tcBorders>
              <w:bottom w:val="single" w:sz="8" w:color="auto"/>
              <w:right w:val="single" w:sz="8" w:color="auto"/>
            </w:tcBorders>
            <w:gridSpan w:val="2"/>
          </w:tcPr>
          <w:p>
            <w:pPr>
              <w:ind w:left="1140"/>
              <w:spacing w:after="0"/>
              <w:rPr>
                <w:sz w:val="20"/>
                <w:szCs w:val="20"/>
                <w:color w:val="auto"/>
              </w:rPr>
            </w:pPr>
            <w:r>
              <w:rPr>
                <w:rFonts w:ascii="Times New Roman" w:cs="Times New Roman" w:eastAsia="Times New Roman" w:hAnsi="Times New Roman"/>
                <w:sz w:val="20"/>
                <w:szCs w:val="20"/>
                <w:b w:val="1"/>
                <w:bCs w:val="1"/>
                <w:color w:val="auto"/>
              </w:rPr>
              <w:t>Applicable Commitment Fee</w:t>
            </w:r>
          </w:p>
        </w:tc>
        <w:tc>
          <w:tcPr>
            <w:tcW w:w="1640" w:type="dxa"/>
            <w:vAlign w:val="bottom"/>
          </w:tcPr>
          <w:p>
            <w:pPr>
              <w:spacing w:after="0"/>
              <w:rPr>
                <w:sz w:val="21"/>
                <w:szCs w:val="21"/>
                <w:color w:val="auto"/>
              </w:rPr>
            </w:pPr>
          </w:p>
        </w:tc>
      </w:tr>
      <w:tr>
        <w:trPr>
          <w:trHeight w:val="250"/>
        </w:trPr>
        <w:tc>
          <w:tcPr>
            <w:tcW w:w="700" w:type="dxa"/>
            <w:vAlign w:val="bottom"/>
            <w:tcBorders>
              <w:right w:val="single" w:sz="8" w:color="auto"/>
            </w:tcBorders>
          </w:tcPr>
          <w:p>
            <w:pPr>
              <w:spacing w:after="0"/>
              <w:rPr>
                <w:sz w:val="21"/>
                <w:szCs w:val="21"/>
                <w:color w:val="auto"/>
              </w:rPr>
            </w:pPr>
          </w:p>
        </w:tc>
        <w:tc>
          <w:tcPr>
            <w:tcW w:w="35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Greater than 2.00 to 1.00</w:t>
            </w:r>
          </w:p>
        </w:tc>
        <w:tc>
          <w:tcPr>
            <w:tcW w:w="420" w:type="dxa"/>
            <w:vAlign w:val="bottom"/>
            <w:tcBorders>
              <w:bottom w:val="single" w:sz="8" w:color="auto"/>
              <w:right w:val="single" w:sz="8" w:color="auto"/>
            </w:tcBorders>
          </w:tcPr>
          <w:p>
            <w:pPr>
              <w:spacing w:after="0"/>
              <w:rPr>
                <w:sz w:val="21"/>
                <w:szCs w:val="21"/>
                <w:color w:val="auto"/>
              </w:rPr>
            </w:pPr>
          </w:p>
        </w:tc>
        <w:tc>
          <w:tcPr>
            <w:tcW w:w="280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20"/>
                <w:szCs w:val="20"/>
                <w:color w:val="auto"/>
              </w:rPr>
              <w:t>0.50%</w:t>
            </w:r>
          </w:p>
        </w:tc>
        <w:tc>
          <w:tcPr>
            <w:tcW w:w="1940" w:type="dxa"/>
            <w:vAlign w:val="bottom"/>
            <w:tcBorders>
              <w:bottom w:val="single" w:sz="8" w:color="auto"/>
              <w:right w:val="single" w:sz="8" w:color="auto"/>
            </w:tcBorders>
          </w:tcPr>
          <w:p>
            <w:pPr>
              <w:spacing w:after="0"/>
              <w:rPr>
                <w:sz w:val="21"/>
                <w:szCs w:val="21"/>
                <w:color w:val="auto"/>
              </w:rPr>
            </w:pPr>
          </w:p>
        </w:tc>
        <w:tc>
          <w:tcPr>
            <w:tcW w:w="1640" w:type="dxa"/>
            <w:vAlign w:val="bottom"/>
          </w:tcPr>
          <w:p>
            <w:pPr>
              <w:spacing w:after="0"/>
              <w:rPr>
                <w:sz w:val="21"/>
                <w:szCs w:val="21"/>
                <w:color w:val="auto"/>
              </w:rPr>
            </w:pPr>
          </w:p>
        </w:tc>
      </w:tr>
      <w:tr>
        <w:trPr>
          <w:trHeight w:val="257"/>
        </w:trPr>
        <w:tc>
          <w:tcPr>
            <w:tcW w:w="700" w:type="dxa"/>
            <w:vAlign w:val="bottom"/>
            <w:tcBorders>
              <w:right w:val="single" w:sz="8" w:color="auto"/>
            </w:tcBorders>
          </w:tcPr>
          <w:p>
            <w:pPr>
              <w:spacing w:after="0"/>
              <w:rPr>
                <w:sz w:val="22"/>
                <w:szCs w:val="22"/>
                <w:color w:val="auto"/>
              </w:rPr>
            </w:pPr>
          </w:p>
        </w:tc>
        <w:tc>
          <w:tcPr>
            <w:tcW w:w="35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Less than or equal to 2.00 to 1.00</w:t>
            </w:r>
          </w:p>
        </w:tc>
        <w:tc>
          <w:tcPr>
            <w:tcW w:w="420" w:type="dxa"/>
            <w:vAlign w:val="bottom"/>
            <w:tcBorders>
              <w:bottom w:val="single" w:sz="8" w:color="auto"/>
              <w:right w:val="single" w:sz="8" w:color="auto"/>
            </w:tcBorders>
          </w:tcPr>
          <w:p>
            <w:pPr>
              <w:spacing w:after="0"/>
              <w:rPr>
                <w:sz w:val="22"/>
                <w:szCs w:val="22"/>
                <w:color w:val="auto"/>
              </w:rPr>
            </w:pPr>
          </w:p>
        </w:tc>
        <w:tc>
          <w:tcPr>
            <w:tcW w:w="280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20"/>
                <w:szCs w:val="20"/>
                <w:color w:val="auto"/>
              </w:rPr>
              <w:t>0.375%</w:t>
            </w:r>
          </w:p>
        </w:tc>
        <w:tc>
          <w:tcPr>
            <w:tcW w:w="1940" w:type="dxa"/>
            <w:vAlign w:val="bottom"/>
            <w:tcBorders>
              <w:bottom w:val="single" w:sz="8" w:color="auto"/>
              <w:right w:val="single" w:sz="8" w:color="auto"/>
            </w:tcBorders>
          </w:tcPr>
          <w:p>
            <w:pPr>
              <w:spacing w:after="0"/>
              <w:rPr>
                <w:sz w:val="22"/>
                <w:szCs w:val="22"/>
                <w:color w:val="auto"/>
              </w:rPr>
            </w:pPr>
          </w:p>
        </w:tc>
        <w:tc>
          <w:tcPr>
            <w:tcW w:w="1640" w:type="dxa"/>
            <w:vAlign w:val="bottom"/>
          </w:tcPr>
          <w:p>
            <w:pPr>
              <w:spacing w:after="0"/>
              <w:rPr>
                <w:sz w:val="22"/>
                <w:szCs w:val="22"/>
                <w:color w:val="auto"/>
              </w:rPr>
            </w:pPr>
          </w:p>
        </w:tc>
      </w:tr>
    </w:tbl>
    <w:p>
      <w:pPr>
        <w:spacing w:after="0" w:line="200" w:lineRule="exact"/>
        <w:rPr>
          <w:sz w:val="20"/>
          <w:szCs w:val="20"/>
          <w:color w:val="auto"/>
        </w:rPr>
      </w:pPr>
    </w:p>
    <w:p>
      <w:pPr>
        <w:spacing w:after="0" w:line="304"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0"/>
          <w:szCs w:val="20"/>
          <w:color w:val="auto"/>
        </w:rPr>
        <w:t>For the purposes of the Pricing Grid, changes in the Applicable Margin and Applicable Commitment Fee resulting from changes in the Net First Lien Leverage Ratio shall become effective on the date (the “</w:t>
      </w:r>
      <w:r>
        <w:rPr>
          <w:rFonts w:ascii="Times New Roman" w:cs="Times New Roman" w:eastAsia="Times New Roman" w:hAnsi="Times New Roman"/>
          <w:sz w:val="20"/>
          <w:szCs w:val="20"/>
          <w:u w:val="single" w:color="auto"/>
          <w:color w:val="auto"/>
        </w:rPr>
        <w:t>Adjustment Date</w:t>
      </w:r>
      <w:r>
        <w:rPr>
          <w:rFonts w:ascii="Times New Roman" w:cs="Times New Roman" w:eastAsia="Times New Roman" w:hAnsi="Times New Roman"/>
          <w:sz w:val="20"/>
          <w:szCs w:val="20"/>
          <w:color w:val="auto"/>
        </w:rPr>
        <w:t>”) that is three Business Days after the date on which the relevant financial statements are delivered to the Administrative Agent pursuant to Section 5.04 for each fiscal quarter beginning with the first full fiscal quarter of the Borrower ended after the Closing Date, and shall remain in effect until the next change to be effected pursuant to this paragraph. If any financial statements referred to in the preceding sentence are not delivered within the time periods specified in Section 5.04, then, at the option of the Administrative Agent or the Required Lenders, until the date that is three Business Days after the date on which such financial statements are delivered, the pricing level that is one pricing level higher than the pricing level theretofore in effect shall apply as of the first Business Day after the date on which such financial statements were to have been delivered but were not delivered. Each determination of the Net First Lien Leverage Ratio pursuant to the Pricing Grid shall be made in a manner consistent with the determination thereof pursuant to Section 6.11.</w:t>
      </w:r>
    </w:p>
    <w:p>
      <w:pPr>
        <w:spacing w:after="0" w:line="16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primary obligor</w:t>
      </w:r>
      <w:r>
        <w:rPr>
          <w:rFonts w:ascii="Times New Roman" w:cs="Times New Roman" w:eastAsia="Times New Roman" w:hAnsi="Times New Roman"/>
          <w:sz w:val="20"/>
          <w:szCs w:val="20"/>
          <w:color w:val="auto"/>
        </w:rPr>
        <w:t>” shall have the meaning assigned to such term in the definition of the term “Guarantee.”</w:t>
      </w:r>
    </w:p>
    <w:p>
      <w:pPr>
        <w:spacing w:after="0" w:line="212" w:lineRule="exact"/>
        <w:rPr>
          <w:sz w:val="20"/>
          <w:szCs w:val="20"/>
          <w:color w:val="auto"/>
        </w:rPr>
      </w:pPr>
    </w:p>
    <w:p>
      <w:pPr>
        <w:jc w:val="both"/>
        <w:ind w:firstLine="1296"/>
        <w:spacing w:after="0" w:line="27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Prime Rate</w:t>
      </w:r>
      <w:r>
        <w:rPr>
          <w:rFonts w:ascii="Times New Roman" w:cs="Times New Roman" w:eastAsia="Times New Roman" w:hAnsi="Times New Roman"/>
          <w:sz w:val="19"/>
          <w:szCs w:val="19"/>
          <w:color w:val="auto"/>
        </w:rPr>
        <w:t xml:space="preserve">” shall mean </w:t>
      </w:r>
      <w:r>
        <w:rPr>
          <w:rFonts w:ascii="Times New Roman" w:cs="Times New Roman" w:eastAsia="Times New Roman" w:hAnsi="Times New Roman"/>
          <w:sz w:val="19"/>
          <w:szCs w:val="19"/>
          <w:b w:val="1"/>
          <w:bCs w:val="1"/>
          <w:u w:val="single" w:color="auto"/>
          <w:color w:val="0000FF"/>
        </w:rPr>
        <w:t>means</w:t>
      </w:r>
      <w:r>
        <w:rPr>
          <w:rFonts w:ascii="Times New Roman" w:cs="Times New Roman" w:eastAsia="Times New Roman" w:hAnsi="Times New Roman"/>
          <w:sz w:val="19"/>
          <w:szCs w:val="19"/>
          <w:color w:val="auto"/>
        </w:rPr>
        <w:t xml:space="preserve"> the rate of interest </w:t>
      </w:r>
      <w:r>
        <w:rPr>
          <w:rFonts w:ascii="Times New Roman" w:cs="Times New Roman" w:eastAsia="Times New Roman" w:hAnsi="Times New Roman"/>
          <w:sz w:val="19"/>
          <w:szCs w:val="19"/>
          <w:color w:val="FF0000"/>
          <w:strike w:val="1"/>
        </w:rPr>
        <w:t>per annum as announced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008000"/>
          <w:strike w:val="1"/>
        </w:rPr>
        <w:t>from time to time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FF0000"/>
          <w:strike w:val="1"/>
        </w:rPr>
        <w:t>by Citibank, N.A. as its prime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FF0000"/>
          <w:strike w:val="1"/>
        </w:rPr>
        <w:t>rate in effect at its principal office in New York City.</w:t>
      </w:r>
      <w:r>
        <w:rPr>
          <w:rFonts w:ascii="Times New Roman" w:cs="Times New Roman" w:eastAsia="Times New Roman" w:hAnsi="Times New Roman"/>
          <w:sz w:val="19"/>
          <w:szCs w:val="19"/>
          <w:b w:val="1"/>
          <w:bCs w:val="1"/>
          <w:u w:val="single" w:color="auto"/>
          <w:color w:val="0000FF"/>
          <w:strike w:val="1"/>
        </w:rPr>
        <w:t>last quoted by The Wall Street Journal as the “Prime Rate” in the U.S. or, if The</w:t>
      </w:r>
    </w:p>
    <w:p>
      <w:pPr>
        <w:jc w:val="both"/>
        <w:spacing w:after="0" w:line="267" w:lineRule="auto"/>
        <w:rPr>
          <w:sz w:val="20"/>
          <w:szCs w:val="20"/>
          <w:color w:val="auto"/>
        </w:rPr>
      </w:pPr>
      <w:r>
        <w:rPr>
          <w:rFonts w:ascii="Times New Roman" w:cs="Times New Roman" w:eastAsia="Times New Roman" w:hAnsi="Times New Roman"/>
          <w:sz w:val="20"/>
          <w:szCs w:val="20"/>
          <w:b w:val="1"/>
          <w:bCs w:val="1"/>
          <w:u w:val="single" w:color="auto"/>
          <w:color w:val="0000FF"/>
        </w:rPr>
        <w:t>Wall Street Journal ceases to quote such rate, the highest per annum interest rate published by the Federal Reserve Board in Federal Reserve Statistical Release H.15 (519) (Selected Interest Rates) as the “bank prime loan”</w:t>
      </w:r>
    </w:p>
    <w:p>
      <w:pPr>
        <w:sectPr>
          <w:pgSz w:w="11900" w:h="16838" w:orient="portrait"/>
          <w:cols w:equalWidth="0" w:num="1">
            <w:col w:w="11240"/>
          </w:cols>
          <w:pgMar w:left="320" w:top="108" w:right="339" w:bottom="1440" w:gutter="0" w:footer="0" w:header="0"/>
        </w:sectPr>
      </w:pPr>
    </w:p>
    <w:bookmarkStart w:id="238" w:name="page239"/>
    <w:bookmarkEnd w:id="238"/>
    <w:p>
      <w:pPr>
        <w:jc w:val="right"/>
        <w:spacing w:after="0"/>
        <w:rPr>
          <w:sz w:val="20"/>
          <w:szCs w:val="20"/>
          <w:color w:val="auto"/>
        </w:rPr>
      </w:pPr>
      <w:r>
        <w:rPr>
          <w:rFonts w:ascii="Times New Roman" w:cs="Times New Roman" w:eastAsia="Times New Roman" w:hAnsi="Times New Roman"/>
          <w:sz w:val="22"/>
          <w:szCs w:val="22"/>
          <w:color w:val="FF0000"/>
          <w:strike w:val="1"/>
        </w:rPr>
        <w:t>ANNEX</w:t>
      </w:r>
      <w:r>
        <w:rPr>
          <w:rFonts w:ascii="Times New Roman" w:cs="Times New Roman" w:eastAsia="Times New Roman" w:hAnsi="Times New Roman"/>
          <w:sz w:val="22"/>
          <w:szCs w:val="22"/>
          <w:b w:val="1"/>
          <w:bCs w:val="1"/>
          <w:u w:val="single" w:color="auto"/>
          <w:color w:val="0000FF"/>
        </w:rPr>
        <w:t>EXHIBIT</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0000FF"/>
        </w:rPr>
        <w:t>rate or, if such rate is no longer quoted therein, any similar rate quoted therein or any similar release by the Federal Reserve Board.</w:t>
      </w:r>
    </w:p>
    <w:p>
      <w:pPr>
        <w:spacing w:after="0" w:line="21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Prior Amendments</w:t>
      </w:r>
      <w:r>
        <w:rPr>
          <w:rFonts w:ascii="Times New Roman" w:cs="Times New Roman" w:eastAsia="Times New Roman" w:hAnsi="Times New Roman"/>
          <w:sz w:val="20"/>
          <w:szCs w:val="20"/>
          <w:color w:val="auto"/>
        </w:rPr>
        <w:t>” shall have the meaning assigned to such term in the recitals hereto.</w:t>
      </w:r>
    </w:p>
    <w:p>
      <w:pPr>
        <w:spacing w:after="0" w:line="216"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Pro Forma Basis</w:t>
      </w:r>
      <w:r>
        <w:rPr>
          <w:rFonts w:ascii="Times New Roman" w:cs="Times New Roman" w:eastAsia="Times New Roman" w:hAnsi="Times New Roman"/>
          <w:sz w:val="20"/>
          <w:szCs w:val="20"/>
          <w:color w:val="auto"/>
        </w:rPr>
        <w:t>” shall mean, as to any person, for any events as described below that occur subsequent to the commencement of a period for which the financial effect of such events is being calculated, and giving effect to the events for which such calculation is being made, such calculation as will give pro forma effect to such events as if such events occurred on the first day of the four consecutive fiscal quarter period ended on or before the occurrence of such event (the “</w:t>
      </w:r>
      <w:r>
        <w:rPr>
          <w:rFonts w:ascii="Times New Roman" w:cs="Times New Roman" w:eastAsia="Times New Roman" w:hAnsi="Times New Roman"/>
          <w:sz w:val="20"/>
          <w:szCs w:val="20"/>
          <w:u w:val="single" w:color="auto"/>
          <w:color w:val="auto"/>
        </w:rPr>
        <w:t>Reference Period</w:t>
      </w:r>
      <w:r>
        <w:rPr>
          <w:rFonts w:ascii="Times New Roman" w:cs="Times New Roman" w:eastAsia="Times New Roman" w:hAnsi="Times New Roman"/>
          <w:sz w:val="20"/>
          <w:szCs w:val="20"/>
          <w:color w:val="auto"/>
        </w:rPr>
        <w:t>”): (i) pro forma effect shall be given to any Disposition, any acquisition, Investment, capital expenditure, construction, repair, replacement, improvement, development, disposition, merger, amalgamation, consolidation (including the Transactions, the 2021 Transactions and the Prior Amendments) (or any similar transaction or transactions not otherwise permitted under Section 6.04 or 6.05 that require a waiver or consent of the Required Lenders and such waiver or consent has been obtained), any dividend, distribution or other similar payment, any designation of any Subsidiary as an Unrestricted Subsidiary and any Subsidiary Redesignation, New Project, and any restructurings of the business of the Borrower or any of its Subsidiaries that the Borrower or any of the Subsidiaries has determined to make and/or made and in the good faith determination of a Responsible Officer of the Borrower are expected to have a continuing impact and are factually supportable, which would include cost savings resulting from head count reduction, closure of facilities and similar operational and other cost savings, which adjustments the Borrower determines are reasonable as set forth in a certificate of a Financial Officer of the Borrower (the foregoing, together with any transactions related thereto or in connection therewith, the “</w:t>
      </w:r>
      <w:r>
        <w:rPr>
          <w:rFonts w:ascii="Times New Roman" w:cs="Times New Roman" w:eastAsia="Times New Roman" w:hAnsi="Times New Roman"/>
          <w:sz w:val="20"/>
          <w:szCs w:val="20"/>
          <w:u w:val="single" w:color="auto"/>
          <w:color w:val="auto"/>
        </w:rPr>
        <w:t>relevant transactions</w:t>
      </w:r>
      <w:r>
        <w:rPr>
          <w:rFonts w:ascii="Times New Roman" w:cs="Times New Roman" w:eastAsia="Times New Roman" w:hAnsi="Times New Roman"/>
          <w:sz w:val="20"/>
          <w:szCs w:val="20"/>
          <w:color w:val="auto"/>
        </w:rPr>
        <w:t>”), in each case that occurred during the Reference Period (or, in the case of determinations made pursuant to Section 2.21 or Article VI (other than Section 6.11), occurring during the Reference Period or thereafter and through and including the date upon which the relevant transaction is consummated), (ii) in making any determination on a Pro Forma Basis, (x) all Indebtedness (including Indebtedness issued, incurred or assumed as a result of, or to finance, any relevant transactions and for which the financial effect is being calculated, whether incurred under this Agreement or otherwise, but excluding normal fluctuations in revolving Indebtedness incurred for working capital purposes and amounts outstanding under any Permitted Securitization Financing, in each case not to finance any acquisition) issued, incurred, assumed or permanently repaid during the Reference Period (or, in the case of determinations made pursuant to Section 2.21 or Article VI (other than Section 6.11), occurring during the Reference Period or thereafter and through and including the date upon which the relevant transaction is consummated) shall be deemed to have been issued, incurred, assumed or permanently repaid at the beginning of such period, (y) Interest Expense of such person attributable to interest on any Indebtedness, for which pro forma effect is being given as provided in the preceding clause (x), bearing floating interest rates shall be computed on a pro forma basis as if the rates that would have been in effect during the period for which pro forma effect is being given had been actually in effect during such periods, and (z) in giving effect to clause (i) above with respect to each New Project which commences operations and records not less than one full fiscal quarter’s operations during the Reference Period, the operating results of such New Project shall be annualized on a straight line basis during such period, taking into account any seasonality adjustments determined by the Borrower in good faith, and (iii) (A) for any Subsidiary Redesignation then being designated, effect shall be given to such Subsidiary Redesignation and all other Subsidiary Redesignations after the first day of the relevant Reference Period and on or prior to the date of the respective Subsidiary Redesignation then being designated, collectively, and (B) for any designation of a Subsidiary as an Unrestricted Subsidiary, effect shall be given to such designation and all other designations of Subsidiaries as Unrestricted Subsidiaries after the first day of the relevant Reference</w:t>
      </w:r>
    </w:p>
    <w:p>
      <w:pPr>
        <w:sectPr>
          <w:pgSz w:w="11900" w:h="16838" w:orient="portrait"/>
          <w:cols w:equalWidth="0" w:num="1">
            <w:col w:w="11240"/>
          </w:cols>
          <w:pgMar w:left="320" w:top="108" w:right="339" w:bottom="1440" w:gutter="0" w:footer="0" w:header="0"/>
        </w:sectPr>
      </w:pPr>
    </w:p>
    <w:bookmarkStart w:id="239" w:name="page240"/>
    <w:bookmarkEnd w:id="239"/>
    <w:p>
      <w:pPr>
        <w:jc w:val="right"/>
        <w:spacing w:after="0"/>
        <w:rPr>
          <w:sz w:val="20"/>
          <w:szCs w:val="20"/>
          <w:color w:val="auto"/>
        </w:rPr>
      </w:pPr>
      <w:r>
        <w:rPr>
          <w:rFonts w:ascii="Times New Roman" w:cs="Times New Roman" w:eastAsia="Times New Roman" w:hAnsi="Times New Roman"/>
          <w:sz w:val="22"/>
          <w:szCs w:val="22"/>
          <w:color w:val="FF0000"/>
          <w:strike w:val="1"/>
        </w:rPr>
        <w:t>ANNEX</w:t>
      </w:r>
      <w:r>
        <w:rPr>
          <w:rFonts w:ascii="Times New Roman" w:cs="Times New Roman" w:eastAsia="Times New Roman" w:hAnsi="Times New Roman"/>
          <w:sz w:val="22"/>
          <w:szCs w:val="22"/>
          <w:b w:val="1"/>
          <w:bCs w:val="1"/>
          <w:u w:val="single" w:color="auto"/>
          <w:color w:val="0000FF"/>
        </w:rPr>
        <w:t>EXHIBIT</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Period and on or prior to the date of the then applicable designation of a Subsidiary as an Unrestricted Subsidiary, collectively.</w:t>
      </w:r>
    </w:p>
    <w:p>
      <w:pPr>
        <w:spacing w:after="0" w:line="202"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0"/>
          <w:szCs w:val="20"/>
          <w:color w:val="auto"/>
        </w:rPr>
        <w:t>In the event that EBITDA or any financial ratio is being calculated for purposes of determining whether Indebtedness or any Lien relating thereto may be incurred or whether any Investment may be made, the Borrower may elect pursuant to a certificate of a Responsible Officer delivered to the Administrative Agent to treat all or any portion of the commitment relating thereto as being incurred at the time of such commitment, in which case any subsequent incurrence of Indebtedness under such commitment shall not be deemed, for purposes of this calculation, to be an incurrence at such subsequent time.</w:t>
      </w:r>
    </w:p>
    <w:p>
      <w:pPr>
        <w:spacing w:after="0" w:line="159"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0"/>
          <w:szCs w:val="20"/>
          <w:color w:val="auto"/>
        </w:rPr>
        <w:t>Pro forma calculations made pursuant to the definition of the term “Pro Forma Basis” shall be determined in good faith by a Responsible Officer of the Borrower and may include adjustments to reflect (1) operating expense reductions and other operating improvements, synergies or cost savings reasonably expected to result from any relevant pro forma event (including, to the extent applicable, the Transactions), (2) all adjustments of the nature used in connection with the calculation of “Pro Forma Adjusted EBITDA” as set forth in the “Summary Historical Consolidated Financial and Other Data” portion of the “Summary” section of the Senior Unsecured Notes Offering Memorandum and the Senior Secured Notes Offering Memorandum to the extent such adjustments, without duplication, continue to be applicable to such Reference Period and (3) adjustments to EBITDA anticipated to result from (i) the termination of contracts with existing customers and (ii) the anticipated run-rate earnings expected to be achieved from new business with such customers under new contracts to be entered into and the achievement of the related operational efficiencies associated therewith, in each case as determined by the Borrower in good faith as of the date of determination and, in each case, such adjustments pursuant to this clause (3) (i) are expected by the Borrower in good faith to be achieved within 15 months of the relevant contract termination and (ii) shall not exceed 15% of EBITDA for the applicable four fiscal quarter period (calculated prior to giving effect to such capped adjustments (but, for the avoidance of doubt, after giving effect to other uncapped pro forma adjustments)). The Borrower shall deliver to the Administrative Agent a certificate of a Financial Officer of the Borrower setting forth such operating expense reductions, other operating improvements or synergies and adjustments pursuant to clause (2) above, and information and calculations supporting them in reasonable detail.</w:t>
      </w:r>
    </w:p>
    <w:p>
      <w:pPr>
        <w:spacing w:after="0" w:line="174"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20"/>
          <w:szCs w:val="20"/>
          <w:color w:val="auto"/>
        </w:rPr>
        <w:t>For purposes of this definition, any amount in a currency other than Dollars will be converted to Dollars based on the average exchange rate for such currency for the most recent twelve month period immediately prior to the date of determination in a manner consistent with that used in calculating EBITDA for the applicable period.</w:t>
      </w:r>
    </w:p>
    <w:p>
      <w:pPr>
        <w:spacing w:after="0" w:line="148"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Pro Forma Compliance</w:t>
      </w:r>
      <w:r>
        <w:rPr>
          <w:rFonts w:ascii="Times New Roman" w:cs="Times New Roman" w:eastAsia="Times New Roman" w:hAnsi="Times New Roman"/>
          <w:sz w:val="20"/>
          <w:szCs w:val="20"/>
          <w:color w:val="auto"/>
        </w:rPr>
        <w:t>” shall mean, at any date of determination, that the Borrower and its Subsidiaries shall be in compliance, on a Pro Forma Basis after giving effect on a Pro Forma Basis to the relevant transactions (including the assumption, the issuance, incurrence and permanent repayment of Indebtedness), with the Financial Covenant recomputed as at the last day of the most recently ended fiscal quarter of the Borrower and its Subsidiaries for which the financial statements and certificates required pursuant to Section 5.04 have been delivered. For the avoidance of doubt, Pro Forma Compliance shall be tested without regard to whether or not the Financial Covenant was or was required to be tested on the applicable quarter end date.</w:t>
      </w:r>
    </w:p>
    <w:p>
      <w:pPr>
        <w:spacing w:after="0" w:line="16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Pro Rata Extension Offers</w:t>
      </w:r>
      <w:r>
        <w:rPr>
          <w:rFonts w:ascii="Times New Roman" w:cs="Times New Roman" w:eastAsia="Times New Roman" w:hAnsi="Times New Roman"/>
          <w:sz w:val="20"/>
          <w:szCs w:val="20"/>
          <w:color w:val="auto"/>
        </w:rPr>
        <w:t>” shall have the meaning assigned to such term in Section 2.21(e).</w:t>
      </w:r>
    </w:p>
    <w:p>
      <w:pPr>
        <w:spacing w:after="0" w:line="20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Pro Rata Share</w:t>
      </w:r>
      <w:r>
        <w:rPr>
          <w:rFonts w:ascii="Times New Roman" w:cs="Times New Roman" w:eastAsia="Times New Roman" w:hAnsi="Times New Roman"/>
          <w:sz w:val="20"/>
          <w:szCs w:val="20"/>
          <w:color w:val="auto"/>
        </w:rPr>
        <w:t>” shall have the meaning assigned to such term in Section 9.08(f).</w:t>
      </w:r>
    </w:p>
    <w:p>
      <w:pPr>
        <w:sectPr>
          <w:pgSz w:w="11900" w:h="16838" w:orient="portrait"/>
          <w:cols w:equalWidth="0" w:num="1">
            <w:col w:w="11240"/>
          </w:cols>
          <w:pgMar w:left="320" w:top="108" w:right="339" w:bottom="1440" w:gutter="0" w:footer="0" w:header="0"/>
        </w:sectPr>
      </w:pPr>
    </w:p>
    <w:bookmarkStart w:id="240" w:name="page241"/>
    <w:bookmarkEnd w:id="240"/>
    <w:p>
      <w:pPr>
        <w:jc w:val="right"/>
        <w:spacing w:after="0"/>
        <w:rPr>
          <w:sz w:val="20"/>
          <w:szCs w:val="20"/>
          <w:color w:val="auto"/>
        </w:rPr>
      </w:pPr>
      <w:r>
        <w:rPr>
          <w:rFonts w:ascii="Times New Roman" w:cs="Times New Roman" w:eastAsia="Times New Roman" w:hAnsi="Times New Roman"/>
          <w:sz w:val="22"/>
          <w:szCs w:val="22"/>
          <w:color w:val="FF0000"/>
          <w:strike w:val="1"/>
        </w:rPr>
        <w:t>ANNEX</w:t>
      </w:r>
      <w:r>
        <w:rPr>
          <w:rFonts w:ascii="Times New Roman" w:cs="Times New Roman" w:eastAsia="Times New Roman" w:hAnsi="Times New Roman"/>
          <w:sz w:val="22"/>
          <w:szCs w:val="22"/>
          <w:b w:val="1"/>
          <w:bCs w:val="1"/>
          <w:u w:val="single" w:color="auto"/>
          <w:color w:val="0000FF"/>
        </w:rPr>
        <w:t>EXHIBIT</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Projections</w:t>
      </w:r>
      <w:r>
        <w:rPr>
          <w:rFonts w:ascii="Times New Roman" w:cs="Times New Roman" w:eastAsia="Times New Roman" w:hAnsi="Times New Roman"/>
          <w:sz w:val="20"/>
          <w:szCs w:val="20"/>
          <w:color w:val="auto"/>
        </w:rPr>
        <w:t>” shall mean the projections and any forward-looking statements (including statements with respect to booked business) of the Borrower and the Subsidiaries furnished to the Lenders or the Administrative Agent by or on behalf of the Borrower or any of the Subsidiaries prior to the Closing Date.</w:t>
      </w:r>
    </w:p>
    <w:p>
      <w:pPr>
        <w:spacing w:after="0" w:line="154"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Public Company Compliance</w:t>
      </w:r>
      <w:r>
        <w:rPr>
          <w:rFonts w:ascii="Times New Roman" w:cs="Times New Roman" w:eastAsia="Times New Roman" w:hAnsi="Times New Roman"/>
          <w:sz w:val="20"/>
          <w:szCs w:val="20"/>
          <w:color w:val="auto"/>
        </w:rPr>
        <w:t>” shall mean compliance with the requirements of the Sarbanes-Oxley Act of 2002 and the rules and regulations promulgated in connection therewith, the provisions of the Securities Act and the Exchange Act, and the rules of national securities exchange listed companies (in each case, as applicable to companies with equity or debt securities held by the public), including procuring directors’ and officers’ insurance, legal and other professional fees, and listing fees.</w:t>
      </w:r>
    </w:p>
    <w:p>
      <w:pPr>
        <w:spacing w:after="0" w:line="15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Public Lender</w:t>
      </w:r>
      <w:r>
        <w:rPr>
          <w:rFonts w:ascii="Times New Roman" w:cs="Times New Roman" w:eastAsia="Times New Roman" w:hAnsi="Times New Roman"/>
          <w:sz w:val="20"/>
          <w:szCs w:val="20"/>
          <w:color w:val="auto"/>
        </w:rPr>
        <w:t>” shall have the meaning assigned to such term in Section 9.17(b).</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QFC Credit Support</w:t>
      </w:r>
      <w:r>
        <w:rPr>
          <w:rFonts w:ascii="Times New Roman" w:cs="Times New Roman" w:eastAsia="Times New Roman" w:hAnsi="Times New Roman"/>
          <w:sz w:val="20"/>
          <w:szCs w:val="20"/>
          <w:color w:val="auto"/>
        </w:rPr>
        <w:t>” shall have the meaning assigned to such term in Section 9.25.</w:t>
      </w:r>
    </w:p>
    <w:p>
      <w:pPr>
        <w:spacing w:after="0" w:line="20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Qualified Equity Interests</w:t>
      </w:r>
      <w:r>
        <w:rPr>
          <w:rFonts w:ascii="Times New Roman" w:cs="Times New Roman" w:eastAsia="Times New Roman" w:hAnsi="Times New Roman"/>
          <w:sz w:val="20"/>
          <w:szCs w:val="20"/>
          <w:color w:val="auto"/>
        </w:rPr>
        <w:t>” shall mean any Equity Interest other than Disqualified Stock.</w:t>
      </w:r>
    </w:p>
    <w:p>
      <w:pPr>
        <w:spacing w:after="0" w:line="20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Qualified IPO</w:t>
      </w:r>
      <w:r>
        <w:rPr>
          <w:rFonts w:ascii="Times New Roman" w:cs="Times New Roman" w:eastAsia="Times New Roman" w:hAnsi="Times New Roman"/>
          <w:sz w:val="20"/>
          <w:szCs w:val="20"/>
          <w:color w:val="auto"/>
        </w:rPr>
        <w:t>” shall mean an underwritten public offering of the Equity Interests of the Borrower, Holdings or any Parent Entity (the “</w:t>
      </w:r>
      <w:r>
        <w:rPr>
          <w:rFonts w:ascii="Times New Roman" w:cs="Times New Roman" w:eastAsia="Times New Roman" w:hAnsi="Times New Roman"/>
          <w:sz w:val="20"/>
          <w:szCs w:val="20"/>
          <w:u w:val="single" w:color="auto"/>
          <w:color w:val="auto"/>
        </w:rPr>
        <w:t>IPO Entity</w:t>
      </w:r>
      <w:r>
        <w:rPr>
          <w:rFonts w:ascii="Times New Roman" w:cs="Times New Roman" w:eastAsia="Times New Roman" w:hAnsi="Times New Roman"/>
          <w:sz w:val="20"/>
          <w:szCs w:val="20"/>
          <w:color w:val="auto"/>
        </w:rPr>
        <w:t>”) which generates (individually or in the aggregate together with any prior underwritten public offering) gross cash proceeds of at least $50,000,000. For the avoidance of doubt, a Qualified IPO has occurred prior to the 2021 Effective Date.</w:t>
      </w:r>
    </w:p>
    <w:p>
      <w:pPr>
        <w:spacing w:after="0" w:line="16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Rate</w:t>
      </w:r>
      <w:r>
        <w:rPr>
          <w:rFonts w:ascii="Times New Roman" w:cs="Times New Roman" w:eastAsia="Times New Roman" w:hAnsi="Times New Roman"/>
          <w:sz w:val="20"/>
          <w:szCs w:val="20"/>
          <w:color w:val="auto"/>
        </w:rPr>
        <w:t>” shall have the meaning assigned to such term in the definition of the term “Type.”</w:t>
      </w:r>
    </w:p>
    <w:p>
      <w:pPr>
        <w:spacing w:after="0" w:line="202"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Real Property</w:t>
      </w:r>
      <w:r>
        <w:rPr>
          <w:rFonts w:ascii="Times New Roman" w:cs="Times New Roman" w:eastAsia="Times New Roman" w:hAnsi="Times New Roman"/>
          <w:sz w:val="20"/>
          <w:szCs w:val="20"/>
          <w:color w:val="auto"/>
        </w:rPr>
        <w:t>” shall mean, collectively, all right, title and interest (including any leasehold estate) in and to any and all parcels of or interests in real property owned in fee or leased by any Loan Party, whether by lease, license, or other means, together with, in each case, all easements, hereditaments and appurtenances relating thereto, all improvements and appurtenant fixtures and equipment, incidental to the ownership, lease or operation thereof.</w:t>
      </w:r>
    </w:p>
    <w:p>
      <w:pPr>
        <w:spacing w:after="0" w:line="159" w:lineRule="exact"/>
        <w:rPr>
          <w:sz w:val="20"/>
          <w:szCs w:val="20"/>
          <w:color w:val="auto"/>
        </w:rPr>
      </w:pPr>
    </w:p>
    <w:p>
      <w:pPr>
        <w:jc w:val="both"/>
        <w:ind w:right="20"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Receivables Assets</w:t>
      </w:r>
      <w:r>
        <w:rPr>
          <w:rFonts w:ascii="Times New Roman" w:cs="Times New Roman" w:eastAsia="Times New Roman" w:hAnsi="Times New Roman"/>
          <w:sz w:val="20"/>
          <w:szCs w:val="20"/>
          <w:color w:val="auto"/>
        </w:rPr>
        <w:t>” shall mean accounts receivable (including any bills of exchange) and related assets and property from time to time originated, acquired or otherwise owned by the Borrower or any Subsidiary.</w:t>
      </w:r>
    </w:p>
    <w:p>
      <w:pPr>
        <w:spacing w:after="0" w:line="1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Reference Period</w:t>
      </w:r>
      <w:r>
        <w:rPr>
          <w:rFonts w:ascii="Times New Roman" w:cs="Times New Roman" w:eastAsia="Times New Roman" w:hAnsi="Times New Roman"/>
          <w:sz w:val="20"/>
          <w:szCs w:val="20"/>
          <w:color w:val="auto"/>
        </w:rPr>
        <w:t>” shall have the meaning assigned to such term in the definition of the term “Pro Forma Basis.”</w:t>
      </w:r>
    </w:p>
    <w:p>
      <w:pPr>
        <w:spacing w:after="0" w:line="202"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Refinance</w:t>
      </w:r>
      <w:r>
        <w:rPr>
          <w:rFonts w:ascii="Times New Roman" w:cs="Times New Roman" w:eastAsia="Times New Roman" w:hAnsi="Times New Roman"/>
          <w:sz w:val="20"/>
          <w:szCs w:val="20"/>
          <w:color w:val="auto"/>
        </w:rPr>
        <w:t>” shall have the meaning assigned to such term in the definition of the term “Permitted Refinancing Indebtedness,” and “Refinanced” and “Refinancings” shall have a meaning correlative thereto.</w:t>
      </w:r>
    </w:p>
    <w:p>
      <w:pPr>
        <w:spacing w:after="0" w:line="1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Refinancing Effective Date</w:t>
      </w:r>
      <w:r>
        <w:rPr>
          <w:rFonts w:ascii="Times New Roman" w:cs="Times New Roman" w:eastAsia="Times New Roman" w:hAnsi="Times New Roman"/>
          <w:sz w:val="20"/>
          <w:szCs w:val="20"/>
          <w:color w:val="auto"/>
        </w:rPr>
        <w:t>” shall have the meaning assigned to such term in Section 2.21(j).</w:t>
      </w:r>
    </w:p>
    <w:p>
      <w:pPr>
        <w:spacing w:after="0" w:line="202"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Refinancing Notes</w:t>
      </w:r>
      <w:r>
        <w:rPr>
          <w:rFonts w:ascii="Times New Roman" w:cs="Times New Roman" w:eastAsia="Times New Roman" w:hAnsi="Times New Roman"/>
          <w:sz w:val="20"/>
          <w:szCs w:val="20"/>
          <w:color w:val="auto"/>
        </w:rPr>
        <w:t xml:space="preserve">” shall mean any secured or unsecured notes or loans issued by the Borrower or any Subsidiary Loan Party (whether under an indenture, a credit agreement or otherwise) and the Indebtedness represented thereby;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(a) 100% of the Net Proceeds of such Refinancing Notes are used to permanently reduce Loans and/or replace Commitments substantially simultaneously with the issuance thereof; (b) the principal amount (or accreted value, if applicable) of such Refinancing Notes does not exceed the principal amount (or accreted value, if applicable) of the aggregate portion of the Loans so reduced and/or Commitments so replaced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unpaid accrued interest and premium</w:t>
      </w:r>
    </w:p>
    <w:p>
      <w:pPr>
        <w:sectPr>
          <w:pgSz w:w="11900" w:h="16838" w:orient="portrait"/>
          <w:cols w:equalWidth="0" w:num="1">
            <w:col w:w="11240"/>
          </w:cols>
          <w:pgMar w:left="320" w:top="108" w:right="339" w:bottom="1440" w:gutter="0" w:footer="0" w:header="0"/>
        </w:sectPr>
      </w:pPr>
    </w:p>
    <w:bookmarkStart w:id="241" w:name="page242"/>
    <w:bookmarkEnd w:id="241"/>
    <w:p>
      <w:pPr>
        <w:ind w:left="9360"/>
        <w:spacing w:after="0"/>
        <w:rPr>
          <w:sz w:val="20"/>
          <w:szCs w:val="20"/>
          <w:color w:val="auto"/>
        </w:rPr>
      </w:pPr>
      <w:r>
        <w:rPr>
          <w:rFonts w:ascii="Times New Roman" w:cs="Times New Roman" w:eastAsia="Times New Roman" w:hAnsi="Times New Roman"/>
          <w:sz w:val="21"/>
          <w:szCs w:val="21"/>
          <w:color w:val="FF0000"/>
          <w:strike w:val="1"/>
        </w:rPr>
        <w:t>ANNEX</w:t>
      </w:r>
      <w:r>
        <w:rPr>
          <w:rFonts w:ascii="Times New Roman" w:cs="Times New Roman" w:eastAsia="Times New Roman" w:hAnsi="Times New Roman"/>
          <w:sz w:val="21"/>
          <w:szCs w:val="21"/>
          <w:b w:val="1"/>
          <w:bCs w:val="1"/>
          <w:u w:val="single" w:color="auto"/>
          <w:color w:val="0000FF"/>
        </w:rPr>
        <w:t>EXHIBIT</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000000"/>
        </w:rPr>
        <w: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 xml:space="preserve">(including tender premiums) thereon and underwriting discounts, defeasance costs, fees, commissions and expenses); (c) the final maturity date of such Refinancing Notes is on or after the Term Facility Maturity Date or the Revolving Facility Maturity Date, as applicable, of the Term Loans so reduced or the Revolving Facility Commitments so replaced; (d) the Weighted Average Life to Maturity of such Refinancing Notes is greater than or equal to the Weighted Average Life to Maturity of the Term Loans so reduced or the Revolving Facility Commitments so replaced, as applicable; (e) in the case of Refinancing Notes in the form of notes issued under an indenture, the terms thereof do not provide for any scheduled repayment, mandatory redemption or sinking fund obligations prior to the Term Facility Maturity Date of the Term Loans so reduced or the Revolving Facility Maturity Date of the Revolving Facility Commitments so replaced, as applicable (other than customary offers to repurchase or mandatory prepayment provisions upon a change of control, asset sale or event of loss and customary acceleration rights after an event of default); (f) the other terms of such Refinancing Notes (other than interest rates, fees, floors, funding discounts and redemption or prepayment premiums and other pricing terms), taken as a whole, are substantially similar to, or not materially less favorable to the Borrower and its Subsidiaries than the terms, taken as a whole, applicable to the Term B Loans (except for covenants or other provisions applicable only to periods after the Latest Maturity Date in effect at the time such Refinancing Notes are issued or those that are otherwise reasonably acceptable to the Administrative Agent </w:t>
      </w:r>
      <w:r>
        <w:rPr>
          <w:rFonts w:ascii="Times New Roman" w:cs="Times New Roman" w:eastAsia="Times New Roman" w:hAnsi="Times New Roman"/>
          <w:sz w:val="20"/>
          <w:szCs w:val="20"/>
          <w:b w:val="1"/>
          <w:bCs w:val="1"/>
          <w:u w:val="single" w:color="auto"/>
          <w:color w:val="0000FF"/>
        </w:rPr>
        <w:t>(acting at the direction of the Required Lenders)</w:t>
      </w:r>
      <w:r>
        <w:rPr>
          <w:rFonts w:ascii="Times New Roman" w:cs="Times New Roman" w:eastAsia="Times New Roman" w:hAnsi="Times New Roman"/>
          <w:sz w:val="20"/>
          <w:szCs w:val="20"/>
          <w:color w:val="auto"/>
        </w:rPr>
        <w:t>), as determined by the Borrower in good faith (or, if more restrictive, the Loan Documents are amended to contain such more restrictive terms to the extent required to satisfy the foregoing standard); (g) there shall be no obligor in respect of such Refinancing Notes that is not a Loan Party; and (h) Refinancing Notes that are secured by Collateral shall be subject to the provisions of a Permitted Pari Passu Intercreditor Agreement or a Permitted Junior Intercreditor Agreement, as applicable.</w:t>
      </w:r>
    </w:p>
    <w:p>
      <w:pPr>
        <w:spacing w:after="0" w:line="16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Refinancing Term Loans</w:t>
      </w:r>
      <w:r>
        <w:rPr>
          <w:rFonts w:ascii="Times New Roman" w:cs="Times New Roman" w:eastAsia="Times New Roman" w:hAnsi="Times New Roman"/>
          <w:sz w:val="20"/>
          <w:szCs w:val="20"/>
          <w:color w:val="auto"/>
        </w:rPr>
        <w:t>” shall have the meaning assigned to such term in Section 2.21(j).</w:t>
      </w:r>
    </w:p>
    <w:p>
      <w:pPr>
        <w:spacing w:after="0" w:line="20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Register</w:t>
      </w:r>
      <w:r>
        <w:rPr>
          <w:rFonts w:ascii="Times New Roman" w:cs="Times New Roman" w:eastAsia="Times New Roman" w:hAnsi="Times New Roman"/>
          <w:sz w:val="20"/>
          <w:szCs w:val="20"/>
          <w:color w:val="auto"/>
        </w:rPr>
        <w:t>” shall have the meaning assigned to such term in Section 9.04(b)(iv).</w:t>
      </w:r>
    </w:p>
    <w:p>
      <w:pPr>
        <w:spacing w:after="0" w:line="202"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Regulation T</w:t>
      </w:r>
      <w:r>
        <w:rPr>
          <w:rFonts w:ascii="Times New Roman" w:cs="Times New Roman" w:eastAsia="Times New Roman" w:hAnsi="Times New Roman"/>
          <w:sz w:val="20"/>
          <w:szCs w:val="20"/>
          <w:color w:val="auto"/>
        </w:rPr>
        <w:t>” shall mean Regulation T of the Board as from time to time in effect and all official rulings and interpretations thereunder or thereof.</w:t>
      </w:r>
    </w:p>
    <w:p>
      <w:pPr>
        <w:spacing w:after="0" w:line="133"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Regulation U</w:t>
      </w:r>
      <w:r>
        <w:rPr>
          <w:rFonts w:ascii="Times New Roman" w:cs="Times New Roman" w:eastAsia="Times New Roman" w:hAnsi="Times New Roman"/>
          <w:sz w:val="20"/>
          <w:szCs w:val="20"/>
          <w:color w:val="auto"/>
        </w:rPr>
        <w:t>” shall mean Regulation U of the Board as from time to time in effect and all official rulings and interpretations thereunder or thereof.</w:t>
      </w:r>
    </w:p>
    <w:p>
      <w:pPr>
        <w:spacing w:after="0" w:line="133"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Regulation X</w:t>
      </w:r>
      <w:r>
        <w:rPr>
          <w:rFonts w:ascii="Times New Roman" w:cs="Times New Roman" w:eastAsia="Times New Roman" w:hAnsi="Times New Roman"/>
          <w:sz w:val="20"/>
          <w:szCs w:val="20"/>
          <w:color w:val="auto"/>
        </w:rPr>
        <w:t>” shall mean Regulation X of the Board as from time to time in effect and all official rulings and interpretations thereunder or thereof.</w:t>
      </w:r>
    </w:p>
    <w:p>
      <w:pPr>
        <w:spacing w:after="0" w:line="133"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Related Fund</w:t>
      </w:r>
      <w:r>
        <w:rPr>
          <w:rFonts w:ascii="Times New Roman" w:cs="Times New Roman" w:eastAsia="Times New Roman" w:hAnsi="Times New Roman"/>
          <w:sz w:val="20"/>
          <w:szCs w:val="20"/>
          <w:color w:val="auto"/>
        </w:rPr>
        <w:t>” shall mean, with respect to any Lender that is a fund that invests in bank or commercial loans and similar extensions of credit, any other fund that invests in bank or commercial loans and similar extensions of credit and is advised or managed by</w:t>
      </w:r>
    </w:p>
    <w:p>
      <w:pPr>
        <w:spacing w:after="0" w:line="1" w:lineRule="exact"/>
        <w:rPr>
          <w:sz w:val="20"/>
          <w:szCs w:val="20"/>
          <w:color w:val="auto"/>
        </w:rPr>
      </w:pPr>
    </w:p>
    <w:p>
      <w:pPr>
        <w:ind w:firstLine="8"/>
        <w:spacing w:after="0" w:line="267" w:lineRule="auto"/>
        <w:tabs>
          <w:tab w:leader="none" w:pos="289" w:val="left"/>
        </w:tabs>
        <w:numPr>
          <w:ilvl w:val="0"/>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Lender, (b) an Affiliate of such Lender or (c) an entity (or an Affiliate of such entity) that administers, advises or manages such Lender.</w:t>
      </w:r>
    </w:p>
    <w:p>
      <w:pPr>
        <w:spacing w:after="0" w:line="148" w:lineRule="exact"/>
        <w:rPr>
          <w:sz w:val="20"/>
          <w:szCs w:val="20"/>
          <w:color w:val="auto"/>
        </w:rPr>
      </w:pPr>
    </w:p>
    <w:p>
      <w:pPr>
        <w:ind w:right="20" w:firstLine="1296"/>
        <w:spacing w:after="0" w:line="29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Related Parties</w:t>
      </w:r>
      <w:r>
        <w:rPr>
          <w:rFonts w:ascii="Times New Roman" w:cs="Times New Roman" w:eastAsia="Times New Roman" w:hAnsi="Times New Roman"/>
          <w:sz w:val="19"/>
          <w:szCs w:val="19"/>
          <w:color w:val="auto"/>
        </w:rPr>
        <w:t>” shall mean, with respect to any specified person, such person’s Controlled or Controlling Affiliates and the respective directors, trustees, officers, employees, agents and advisors of such person and such person’s Controlled or Controlling Affiliates.</w:t>
      </w:r>
    </w:p>
    <w:p>
      <w:pPr>
        <w:spacing w:after="0" w:line="13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Related Sections</w:t>
      </w:r>
      <w:r>
        <w:rPr>
          <w:rFonts w:ascii="Times New Roman" w:cs="Times New Roman" w:eastAsia="Times New Roman" w:hAnsi="Times New Roman"/>
          <w:sz w:val="20"/>
          <w:szCs w:val="20"/>
          <w:color w:val="auto"/>
        </w:rPr>
        <w:t>” shall have the meaning assigned to such term in Section 6.04.</w:t>
      </w:r>
    </w:p>
    <w:p>
      <w:pPr>
        <w:sectPr>
          <w:pgSz w:w="11900" w:h="16838" w:orient="portrait"/>
          <w:cols w:equalWidth="0" w:num="1">
            <w:col w:w="11240"/>
          </w:cols>
          <w:pgMar w:left="320" w:top="108" w:right="339" w:bottom="1440" w:gutter="0" w:footer="0" w:header="0"/>
        </w:sectPr>
      </w:pPr>
    </w:p>
    <w:bookmarkStart w:id="242" w:name="page243"/>
    <w:bookmarkEnd w:id="242"/>
    <w:p>
      <w:pPr>
        <w:jc w:val="right"/>
        <w:spacing w:after="0"/>
        <w:rPr>
          <w:sz w:val="20"/>
          <w:szCs w:val="20"/>
          <w:color w:val="auto"/>
        </w:rPr>
      </w:pPr>
      <w:r>
        <w:rPr>
          <w:rFonts w:ascii="Times New Roman" w:cs="Times New Roman" w:eastAsia="Times New Roman" w:hAnsi="Times New Roman"/>
          <w:sz w:val="22"/>
          <w:szCs w:val="22"/>
          <w:color w:val="FF0000"/>
          <w:strike w:val="1"/>
        </w:rPr>
        <w:t>ANNEX</w:t>
      </w:r>
      <w:r>
        <w:rPr>
          <w:rFonts w:ascii="Times New Roman" w:cs="Times New Roman" w:eastAsia="Times New Roman" w:hAnsi="Times New Roman"/>
          <w:sz w:val="22"/>
          <w:szCs w:val="22"/>
          <w:b w:val="1"/>
          <w:bCs w:val="1"/>
          <w:u w:val="single" w:color="auto"/>
          <w:color w:val="0000FF"/>
        </w:rPr>
        <w:t>EXHIBIT</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Release</w:t>
      </w:r>
      <w:r>
        <w:rPr>
          <w:rFonts w:ascii="Times New Roman" w:cs="Times New Roman" w:eastAsia="Times New Roman" w:hAnsi="Times New Roman"/>
          <w:sz w:val="20"/>
          <w:szCs w:val="20"/>
          <w:color w:val="auto"/>
        </w:rPr>
        <w:t>” shall mean any spilling, leaking, seepage, pumping, pouring, emitting, emptying, discharging, injecting, escaping, leaching, dumping, disposing, depositing, emanating or migrating in, into, onto or through the Environment.</w:t>
      </w:r>
    </w:p>
    <w:p>
      <w:pPr>
        <w:spacing w:after="0" w:line="1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Replacement Revolving Facilities</w:t>
      </w:r>
      <w:r>
        <w:rPr>
          <w:rFonts w:ascii="Times New Roman" w:cs="Times New Roman" w:eastAsia="Times New Roman" w:hAnsi="Times New Roman"/>
          <w:sz w:val="20"/>
          <w:szCs w:val="20"/>
          <w:color w:val="auto"/>
        </w:rPr>
        <w:t>” shall have the meaning assigned to such term in Section 2.21(l).</w:t>
      </w:r>
    </w:p>
    <w:p>
      <w:pPr>
        <w:spacing w:after="0" w:line="20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Replacement Revolving Facility Commitments</w:t>
      </w:r>
      <w:r>
        <w:rPr>
          <w:rFonts w:ascii="Times New Roman" w:cs="Times New Roman" w:eastAsia="Times New Roman" w:hAnsi="Times New Roman"/>
          <w:sz w:val="20"/>
          <w:szCs w:val="20"/>
          <w:color w:val="auto"/>
        </w:rPr>
        <w:t>” shall have the meaning assigned to such term in Section 2.21(l).</w:t>
      </w:r>
    </w:p>
    <w:p>
      <w:pPr>
        <w:spacing w:after="0" w:line="20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Replacement Revolving Facility Effective Date</w:t>
      </w:r>
      <w:r>
        <w:rPr>
          <w:rFonts w:ascii="Times New Roman" w:cs="Times New Roman" w:eastAsia="Times New Roman" w:hAnsi="Times New Roman"/>
          <w:sz w:val="20"/>
          <w:szCs w:val="20"/>
          <w:color w:val="auto"/>
        </w:rPr>
        <w:t>” shall have the meaning assigned to such term in Section 2.21(l).</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Replacement Revolving Loans</w:t>
      </w:r>
      <w:r>
        <w:rPr>
          <w:rFonts w:ascii="Times New Roman" w:cs="Times New Roman" w:eastAsia="Times New Roman" w:hAnsi="Times New Roman"/>
          <w:sz w:val="20"/>
          <w:szCs w:val="20"/>
          <w:color w:val="auto"/>
        </w:rPr>
        <w:t>” shall have the meaning assigned to such term in Section 2.21(l).</w:t>
      </w:r>
    </w:p>
    <w:p>
      <w:pPr>
        <w:spacing w:after="0" w:line="202"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Reportable Event</w:t>
      </w:r>
      <w:r>
        <w:rPr>
          <w:rFonts w:ascii="Times New Roman" w:cs="Times New Roman" w:eastAsia="Times New Roman" w:hAnsi="Times New Roman"/>
          <w:sz w:val="20"/>
          <w:szCs w:val="20"/>
          <w:color w:val="auto"/>
        </w:rPr>
        <w:t>” shall mean any reportable event as defined in Section 4043(c) of ERISA or the regulations issued thereunder, other than those events as to which the 30-day notice period referred to in Section 4043(c) of ERISA has been waived, with respect to a Plan (other than a Plan maintained by an ERISA Affiliate that is considered an ERISA Affiliate only pursuant to subsection (m) or (o) of Section 414 of the Code).</w:t>
      </w:r>
    </w:p>
    <w:p>
      <w:pPr>
        <w:spacing w:after="0" w:line="15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Required Amount of Loans</w:t>
      </w:r>
      <w:r>
        <w:rPr>
          <w:rFonts w:ascii="Times New Roman" w:cs="Times New Roman" w:eastAsia="Times New Roman" w:hAnsi="Times New Roman"/>
          <w:sz w:val="19"/>
          <w:szCs w:val="19"/>
          <w:color w:val="auto"/>
        </w:rPr>
        <w:t>” shall have the meaning assigned to such term in the definition of the term “Required Lenders.”</w:t>
      </w:r>
    </w:p>
    <w:p>
      <w:pPr>
        <w:spacing w:after="0" w:line="21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Required Lenders</w:t>
      </w:r>
      <w:r>
        <w:rPr>
          <w:rFonts w:ascii="Times New Roman" w:cs="Times New Roman" w:eastAsia="Times New Roman" w:hAnsi="Times New Roman"/>
          <w:sz w:val="20"/>
          <w:szCs w:val="20"/>
          <w:color w:val="auto"/>
        </w:rPr>
        <w:t>” shall mean, at any time, Lenders having (a) Loans (other than Swingline Loans) outstanding,</w:t>
      </w:r>
    </w:p>
    <w:p>
      <w:pPr>
        <w:spacing w:after="0" w:line="28" w:lineRule="exact"/>
        <w:rPr>
          <w:sz w:val="20"/>
          <w:szCs w:val="20"/>
          <w:color w:val="auto"/>
        </w:rPr>
      </w:pPr>
    </w:p>
    <w:p>
      <w:pPr>
        <w:jc w:val="both"/>
        <w:ind w:firstLine="8"/>
        <w:spacing w:after="0" w:line="259" w:lineRule="auto"/>
        <w:tabs>
          <w:tab w:leader="none" w:pos="302" w:val="left"/>
        </w:tabs>
        <w:numPr>
          <w:ilvl w:val="0"/>
          <w:numId w:val="1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Revolving L/C Exposures, (c) Swingline Exposures and (d) Available Unused Commitments that, taken together, represent more than 50% of the sum of (w) all Loans (other than Swingline Loans) outstanding, (x) all Revolving L/C Exposures, (y) all Swingline Exposure and</w:t>
      </w:r>
    </w:p>
    <w:p>
      <w:pPr>
        <w:jc w:val="both"/>
        <w:ind w:firstLine="8"/>
        <w:spacing w:after="0" w:line="250" w:lineRule="auto"/>
        <w:tabs>
          <w:tab w:leader="none" w:pos="277" w:val="left"/>
        </w:tabs>
        <w:numPr>
          <w:ilvl w:val="0"/>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total Available Unused Commitments at such time;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(i) the Loans, Revolving L/C Exposures, Swingline Exposures and Available Unused Commitment of any Defaulting Lender shall be disregarded in determining Required Lenders at any time and (ii) the portion of any Term Loans held by Debt Fund Affiliate Lenders in the aggregate in excess of 49.9% of the Required Amount of Loans shall be disregarded in determining Required Lenders at any time. For purposes of the foregoing, “</w:t>
      </w:r>
      <w:r>
        <w:rPr>
          <w:rFonts w:ascii="Times New Roman" w:cs="Times New Roman" w:eastAsia="Times New Roman" w:hAnsi="Times New Roman"/>
          <w:sz w:val="20"/>
          <w:szCs w:val="20"/>
          <w:u w:val="single" w:color="auto"/>
          <w:color w:val="auto"/>
        </w:rPr>
        <w:t>Required Amount of Loans</w:t>
      </w:r>
      <w:r>
        <w:rPr>
          <w:rFonts w:ascii="Times New Roman" w:cs="Times New Roman" w:eastAsia="Times New Roman" w:hAnsi="Times New Roman"/>
          <w:sz w:val="20"/>
          <w:szCs w:val="20"/>
          <w:color w:val="auto"/>
        </w:rPr>
        <w:t>” shall mean, at any time, the amount of Loans required to be held by Lenders in order for such Lenders to constitute “Required Lenders” (without giving effect to the foregoing clause (ii)).</w:t>
      </w:r>
    </w:p>
    <w:p>
      <w:pPr>
        <w:spacing w:after="0" w:line="167"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Required Percentage</w:t>
      </w:r>
      <w:r>
        <w:rPr>
          <w:rFonts w:ascii="Times New Roman" w:cs="Times New Roman" w:eastAsia="Times New Roman" w:hAnsi="Times New Roman"/>
          <w:sz w:val="20"/>
          <w:szCs w:val="20"/>
          <w:color w:val="auto"/>
        </w:rPr>
        <w:t xml:space="preserve">” shall mean, with respect to an Applicable Period, 50%;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(a) if the Net First Lien Leverage Ratio as at the end of the Applicable Period is less than or equal to 2.60 to 1.00 but greater than 2.10 to 1.00, such percentage shall be 25% and (b) if the Net First Lien Leverage Ratio as at the end of the Applicable Period is less than or equal to 2.10 to 1.00, such percentage shall be 0%.</w:t>
      </w:r>
    </w:p>
    <w:p>
      <w:pPr>
        <w:spacing w:after="0" w:line="159"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Required Prepayment Lenders</w:t>
      </w:r>
      <w:r>
        <w:rPr>
          <w:rFonts w:ascii="Times New Roman" w:cs="Times New Roman" w:eastAsia="Times New Roman" w:hAnsi="Times New Roman"/>
          <w:sz w:val="20"/>
          <w:szCs w:val="20"/>
          <w:color w:val="auto"/>
        </w:rPr>
        <w:t>” shall mean, at any time, the holders of more than 50% of the aggregate unpaid principal amount of the Term Loans at such time (subject to the last paragraph of Section 9.08(b)).</w:t>
      </w:r>
    </w:p>
    <w:p>
      <w:pPr>
        <w:spacing w:after="0" w:line="133"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Required Revolving Facility Lenders</w:t>
      </w:r>
      <w:r>
        <w:rPr>
          <w:rFonts w:ascii="Times New Roman" w:cs="Times New Roman" w:eastAsia="Times New Roman" w:hAnsi="Times New Roman"/>
          <w:sz w:val="20"/>
          <w:szCs w:val="20"/>
          <w:color w:val="auto"/>
        </w:rPr>
        <w:t>” shall mean, at any time, Revolving Facility Lenders having (a) Revolving Facility Loans (other than Swingline Loans) outstanding, (b) Revolving L/C Exposures, (c) Swingline Exposures and (d) Available Unused Commitments that, taken together, represent more than 50% of the sum of (w) all Revolving Facility Loans (other than Swingline Loans)</w:t>
      </w:r>
    </w:p>
    <w:p>
      <w:pPr>
        <w:sectPr>
          <w:pgSz w:w="11900" w:h="16838" w:orient="portrait"/>
          <w:cols w:equalWidth="0" w:num="1">
            <w:col w:w="11240"/>
          </w:cols>
          <w:pgMar w:left="320" w:top="108" w:right="339" w:bottom="1440" w:gutter="0" w:footer="0" w:header="0"/>
        </w:sectPr>
      </w:pPr>
    </w:p>
    <w:bookmarkStart w:id="243" w:name="page244"/>
    <w:bookmarkEnd w:id="243"/>
    <w:p>
      <w:pPr>
        <w:jc w:val="right"/>
        <w:spacing w:after="0"/>
        <w:rPr>
          <w:sz w:val="20"/>
          <w:szCs w:val="20"/>
          <w:color w:val="auto"/>
        </w:rPr>
      </w:pPr>
      <w:r>
        <w:rPr>
          <w:rFonts w:ascii="Times New Roman" w:cs="Times New Roman" w:eastAsia="Times New Roman" w:hAnsi="Times New Roman"/>
          <w:sz w:val="22"/>
          <w:szCs w:val="22"/>
          <w:color w:val="FF0000"/>
          <w:strike w:val="1"/>
        </w:rPr>
        <w:t>ANNEX</w:t>
      </w:r>
      <w:r>
        <w:rPr>
          <w:rFonts w:ascii="Times New Roman" w:cs="Times New Roman" w:eastAsia="Times New Roman" w:hAnsi="Times New Roman"/>
          <w:sz w:val="22"/>
          <w:szCs w:val="22"/>
          <w:b w:val="1"/>
          <w:bCs w:val="1"/>
          <w:u w:val="single" w:color="auto"/>
          <w:color w:val="0000FF"/>
        </w:rPr>
        <w:t>EXHIBIT</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 xml:space="preserve">outstanding, (x) all Revolving L/C Exposures, (y) all Swingline Exposures and (z) the total Available Unused Commitments at such time;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the Revolving Facility Loans, Revolving L/C Exposures, Swingline Exposures and Available Unused Commitment of any Defaulting Lender shall be disregarded in determining Required Revolving Facility Lenders at any time.</w:t>
      </w:r>
    </w:p>
    <w:p>
      <w:pPr>
        <w:spacing w:after="0" w:line="154"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Requirement of Law</w:t>
      </w:r>
      <w:r>
        <w:rPr>
          <w:rFonts w:ascii="Times New Roman" w:cs="Times New Roman" w:eastAsia="Times New Roman" w:hAnsi="Times New Roman"/>
          <w:sz w:val="20"/>
          <w:szCs w:val="20"/>
          <w:color w:val="auto"/>
        </w:rPr>
        <w:t>” shall mean, as to any person, any law, treaty, rule, regulation, statute, order, ordinance, decree, judgment, consent decree, writ, injunction, settlement agreement or governmental requirement enacted, promulgated or imposed or entered into or agreed by any Governmental Authority, in each case applicable to or binding upon such person or any of its property or assets or to which such person or any of its property or assets is subject.</w:t>
      </w:r>
    </w:p>
    <w:p>
      <w:pPr>
        <w:spacing w:after="0" w:line="159"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Resolution Authority</w:t>
      </w:r>
      <w:r>
        <w:rPr>
          <w:rFonts w:ascii="Times New Roman" w:cs="Times New Roman" w:eastAsia="Times New Roman" w:hAnsi="Times New Roman"/>
          <w:sz w:val="20"/>
          <w:szCs w:val="20"/>
          <w:color w:val="auto"/>
        </w:rPr>
        <w:t>” shall mean an EEA Resolution Authority or, with respect to any UK Financial Institution, a UK Resolution Authority.</w:t>
      </w:r>
    </w:p>
    <w:p>
      <w:pPr>
        <w:spacing w:after="0" w:line="133"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Responsible Officer</w:t>
      </w:r>
      <w:r>
        <w:rPr>
          <w:rFonts w:ascii="Times New Roman" w:cs="Times New Roman" w:eastAsia="Times New Roman" w:hAnsi="Times New Roman"/>
          <w:sz w:val="20"/>
          <w:szCs w:val="20"/>
          <w:color w:val="auto"/>
        </w:rPr>
        <w:t>” of any person shall mean any executive officer or Financial Officer of such person and any other officer or similar official thereof responsible for the administration of the obligations of such person in respect of this Agreement, or any other duly authorized employee or signatory of such person.</w:t>
      </w:r>
    </w:p>
    <w:p>
      <w:pPr>
        <w:spacing w:after="0" w:line="148" w:lineRule="exact"/>
        <w:rPr>
          <w:sz w:val="20"/>
          <w:szCs w:val="20"/>
          <w:color w:val="auto"/>
        </w:rPr>
      </w:pPr>
    </w:p>
    <w:p>
      <w:pPr>
        <w:jc w:val="both"/>
        <w:ind w:right="20" w:firstLine="1296"/>
        <w:spacing w:after="0" w:line="29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Restricted Payments</w:t>
      </w:r>
      <w:r>
        <w:rPr>
          <w:rFonts w:ascii="Times New Roman" w:cs="Times New Roman" w:eastAsia="Times New Roman" w:hAnsi="Times New Roman"/>
          <w:sz w:val="19"/>
          <w:szCs w:val="19"/>
          <w:color w:val="auto"/>
        </w:rPr>
        <w:t>” shall have the meaning assigned to such term in Section 6.06. The amount of any Restricted Payment made other than in the form of cash or cash equivalents shall be the fair market value thereof (as determined by the Borrower in good faith).</w:t>
      </w:r>
    </w:p>
    <w:p>
      <w:pPr>
        <w:spacing w:after="0" w:line="13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Restricted Payments Incurrence Clause</w:t>
      </w:r>
      <w:r>
        <w:rPr>
          <w:rFonts w:ascii="Times New Roman" w:cs="Times New Roman" w:eastAsia="Times New Roman" w:hAnsi="Times New Roman"/>
          <w:sz w:val="19"/>
          <w:szCs w:val="19"/>
          <w:color w:val="auto"/>
        </w:rPr>
        <w:t>” shall have the meaning assigned to such term in the last paragraph of Section 6.06.</w:t>
      </w:r>
    </w:p>
    <w:p>
      <w:pPr>
        <w:spacing w:after="0" w:line="214"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Retained Excess Cash Flow Overfunding</w:t>
      </w:r>
      <w:r>
        <w:rPr>
          <w:rFonts w:ascii="Times New Roman" w:cs="Times New Roman" w:eastAsia="Times New Roman" w:hAnsi="Times New Roman"/>
          <w:sz w:val="20"/>
          <w:szCs w:val="20"/>
          <w:color w:val="auto"/>
        </w:rPr>
        <w:t>” shall mean, at any time, in respect of any Excess Cash Flow Period, the amount, if any, by which the portion of the Cumulative Credit attributable to the Retained Percentage of Excess Cash Flow for all Excess Cash Flow Interim Periods used in such Excess Cash Flow Period exceeds the actual Retained Percentage of Excess Cash Flow for such Excess Cash Flow Period.</w:t>
      </w:r>
    </w:p>
    <w:p>
      <w:pPr>
        <w:spacing w:after="0" w:line="159" w:lineRule="exact"/>
        <w:rPr>
          <w:sz w:val="20"/>
          <w:szCs w:val="20"/>
          <w:color w:val="auto"/>
        </w:rPr>
      </w:pPr>
    </w:p>
    <w:p>
      <w:pPr>
        <w:ind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Retained Percentage</w:t>
      </w:r>
      <w:r>
        <w:rPr>
          <w:rFonts w:ascii="Times New Roman" w:cs="Times New Roman" w:eastAsia="Times New Roman" w:hAnsi="Times New Roman"/>
          <w:sz w:val="20"/>
          <w:szCs w:val="20"/>
          <w:color w:val="auto"/>
        </w:rPr>
        <w:t xml:space="preserve">” shall mean, with respect to any Excess Cash Flow Period (or Excess Cash Flow Interim Period), (a) 100% </w:t>
      </w:r>
      <w:r>
        <w:rPr>
          <w:rFonts w:ascii="Times New Roman" w:cs="Times New Roman" w:eastAsia="Times New Roman" w:hAnsi="Times New Roman"/>
          <w:sz w:val="20"/>
          <w:szCs w:val="20"/>
          <w:u w:val="single" w:color="auto"/>
          <w:color w:val="auto"/>
        </w:rPr>
        <w:t>minus</w:t>
      </w:r>
      <w:r>
        <w:rPr>
          <w:rFonts w:ascii="Times New Roman" w:cs="Times New Roman" w:eastAsia="Times New Roman" w:hAnsi="Times New Roman"/>
          <w:sz w:val="20"/>
          <w:szCs w:val="20"/>
          <w:color w:val="auto"/>
        </w:rPr>
        <w:t xml:space="preserve"> (b) the Required Percentage with respect to such Excess Cash Flow Period (or Excess Cash Flow Interim Period).</w:t>
      </w:r>
    </w:p>
    <w:p>
      <w:pPr>
        <w:spacing w:after="0" w:line="159"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Revaluation Date</w:t>
      </w:r>
      <w:r>
        <w:rPr>
          <w:rFonts w:ascii="Times New Roman" w:cs="Times New Roman" w:eastAsia="Times New Roman" w:hAnsi="Times New Roman"/>
          <w:sz w:val="20"/>
          <w:szCs w:val="20"/>
          <w:color w:val="auto"/>
        </w:rPr>
        <w:t>” shall mean (a) with respect to any Alternate Currency Letter of Credit, each of the following: (i) each date of issuance, extension or renewal of an Alternate Currency Letter of Credit, (ii) each date of an amendment of any Alternate Currency Letter of Credit having the effect of increasing the amount thereof, (iii) each date of any payment by the applicable Issuing Bank under any Alternate Currency Letter of Credit, and (iv) such additional dates as the Administrative Agent or the applicable Issuing Bank shall determine or the Required Lenders shall require and (b) with respect to any Alternate Currency Loans, each of the following: (i) each date of a Borrowing of Revolving Loans denominated in an Alternate Currency, (ii) each date of a continuation of a Revolving Loan denominated in an Alternate Currency pursuant to Section 2.07, and (iii) such additional dates as the Administrative Agent shall determine or the Majority Lenders under the Revolving Facility shall require.</w:t>
      </w:r>
    </w:p>
    <w:p>
      <w:pPr>
        <w:spacing w:after="0" w:line="168"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Facility</w:t>
      </w:r>
      <w:r>
        <w:rPr>
          <w:rFonts w:ascii="Times New Roman" w:cs="Times New Roman" w:eastAsia="Times New Roman" w:hAnsi="Times New Roman"/>
          <w:sz w:val="20"/>
          <w:szCs w:val="20"/>
          <w:color w:val="auto"/>
        </w:rPr>
        <w:t>” shall mean the Revolving Facility Commitments of any Class and the extensions of credit made hereunder by the Revolving Facility Lenders of such Class and, for purposes of Section 9.08(b), shall refer to all such Revolving Facility Commitments as a single Class.</w:t>
      </w:r>
    </w:p>
    <w:p>
      <w:pPr>
        <w:sectPr>
          <w:pgSz w:w="11900" w:h="16838" w:orient="portrait"/>
          <w:cols w:equalWidth="0" w:num="1">
            <w:col w:w="11240"/>
          </w:cols>
          <w:pgMar w:left="320" w:top="108" w:right="339" w:bottom="1440" w:gutter="0" w:footer="0" w:header="0"/>
        </w:sectPr>
      </w:pPr>
    </w:p>
    <w:bookmarkStart w:id="244" w:name="page245"/>
    <w:bookmarkEnd w:id="244"/>
    <w:p>
      <w:pPr>
        <w:ind w:left="9360"/>
        <w:spacing w:after="0"/>
        <w:rPr>
          <w:sz w:val="20"/>
          <w:szCs w:val="20"/>
          <w:color w:val="auto"/>
        </w:rPr>
      </w:pPr>
      <w:r>
        <w:rPr>
          <w:rFonts w:ascii="Times New Roman" w:cs="Times New Roman" w:eastAsia="Times New Roman" w:hAnsi="Times New Roman"/>
          <w:sz w:val="21"/>
          <w:szCs w:val="21"/>
          <w:color w:val="FF0000"/>
          <w:strike w:val="1"/>
        </w:rPr>
        <w:t>ANNEX</w:t>
      </w:r>
      <w:r>
        <w:rPr>
          <w:rFonts w:ascii="Times New Roman" w:cs="Times New Roman" w:eastAsia="Times New Roman" w:hAnsi="Times New Roman"/>
          <w:sz w:val="21"/>
          <w:szCs w:val="21"/>
          <w:b w:val="1"/>
          <w:bCs w:val="1"/>
          <w:u w:val="single" w:color="auto"/>
          <w:color w:val="0000FF"/>
        </w:rPr>
        <w:t>EXHIBIT</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000000"/>
        </w:rPr>
        <w: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Facility Borrowing</w:t>
      </w:r>
      <w:r>
        <w:rPr>
          <w:rFonts w:ascii="Times New Roman" w:cs="Times New Roman" w:eastAsia="Times New Roman" w:hAnsi="Times New Roman"/>
          <w:sz w:val="20"/>
          <w:szCs w:val="20"/>
          <w:color w:val="auto"/>
        </w:rPr>
        <w:t>” shall mean a Borrowing comprised of Revolving Facility Loans of the same Class.</w:t>
      </w:r>
    </w:p>
    <w:p>
      <w:pPr>
        <w:spacing w:after="0" w:line="202" w:lineRule="exact"/>
        <w:rPr>
          <w:sz w:val="20"/>
          <w:szCs w:val="20"/>
          <w:color w:val="auto"/>
        </w:rPr>
      </w:pPr>
    </w:p>
    <w:p>
      <w:pPr>
        <w:jc w:val="both"/>
        <w:ind w:firstLine="1296"/>
        <w:spacing w:after="0" w:line="26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Revolving Facility Commitment</w:t>
      </w:r>
      <w:r>
        <w:rPr>
          <w:rFonts w:ascii="Times New Roman" w:cs="Times New Roman" w:eastAsia="Times New Roman" w:hAnsi="Times New Roman"/>
          <w:sz w:val="19"/>
          <w:szCs w:val="19"/>
          <w:color w:val="auto"/>
        </w:rPr>
        <w:t>” shall mean, with respect to each Revolving Facility Lender, the commitment of such Revolving Facility Lender to make Revolving Facility Loans pursuant to Section 2.01(b), expressed as an amount representing the maximum aggregate permitted amount of such Revolving Facility Lender’s Revolving Facility Credit Exposure hereunder, as such commitment may be</w:t>
      </w:r>
    </w:p>
    <w:p>
      <w:pPr>
        <w:spacing w:after="0" w:line="2" w:lineRule="exact"/>
        <w:rPr>
          <w:sz w:val="20"/>
          <w:szCs w:val="20"/>
          <w:color w:val="auto"/>
        </w:rPr>
      </w:pPr>
    </w:p>
    <w:p>
      <w:pPr>
        <w:jc w:val="both"/>
        <w:ind w:firstLine="8"/>
        <w:spacing w:after="0" w:line="249" w:lineRule="auto"/>
        <w:tabs>
          <w:tab w:leader="none" w:pos="282" w:val="left"/>
        </w:tabs>
        <w:numPr>
          <w:ilvl w:val="0"/>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reduced from time to time pursuant to Section 2.08, (b) reduced or increased from time to time pursuant to assignments by or to such Lender under Section 9.04, and (c) increased (or replaced) as provided under Section 2.21. The initial amount of each Lender’s Revolving Facility Commitment as of the 2020 Effective Date is set forth on Schedule 1 to the 2020 Incremental Assumption Agreement, or in the Assignment and Acceptance or Incremental Assumption Agreement pursuant to which such Lender shall have assumed its Revolving Facility Commitment (or Incremental Revolving Facility Commitment), as applicable. The aggregate amount of the Lenders’ Revolving Facility Commitments on the 2020 Effective Date is $375,000,000. On the 2020 Effective Date, there is only one Class of Revolving Facility Commitments. After the 2020 Effective Date, additional Classes of Revolving Facility Commitments may be added or created pursuant to Incremental Assumption Agreements.</w:t>
      </w:r>
    </w:p>
    <w:p>
      <w:pPr>
        <w:spacing w:after="0" w:line="168" w:lineRule="exact"/>
        <w:rPr>
          <w:sz w:val="20"/>
          <w:szCs w:val="20"/>
          <w:color w:val="auto"/>
        </w:rPr>
      </w:pPr>
    </w:p>
    <w:p>
      <w:pPr>
        <w:jc w:val="both"/>
        <w:ind w:firstLine="1296"/>
        <w:spacing w:after="0" w:line="27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Revolving Facility Credit Exposure</w:t>
      </w:r>
      <w:r>
        <w:rPr>
          <w:rFonts w:ascii="Times New Roman" w:cs="Times New Roman" w:eastAsia="Times New Roman" w:hAnsi="Times New Roman"/>
          <w:sz w:val="19"/>
          <w:szCs w:val="19"/>
          <w:color w:val="auto"/>
        </w:rPr>
        <w:t>” shall mean, at any time with respect to any Class of Revolving Facility Commitments, the sum of (a) the aggregate principal amount of the Revolving Facility Loans of such Class outstanding at such time (calculated, in the case of Alternate Currency Loans, based on the Dollar Equivalent thereof), (b) the Swingline Exposure applicable to such Class at such time and</w:t>
      </w:r>
    </w:p>
    <w:p>
      <w:pPr>
        <w:jc w:val="both"/>
        <w:ind w:firstLine="8"/>
        <w:spacing w:after="0" w:line="251" w:lineRule="auto"/>
        <w:tabs>
          <w:tab w:leader="none" w:pos="270" w:val="left"/>
        </w:tabs>
        <w:numPr>
          <w:ilvl w:val="0"/>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Revolving L/C Exposure applicable to such Class at such time </w:t>
      </w:r>
      <w:r>
        <w:rPr>
          <w:rFonts w:ascii="Times New Roman" w:cs="Times New Roman" w:eastAsia="Times New Roman" w:hAnsi="Times New Roman"/>
          <w:sz w:val="20"/>
          <w:szCs w:val="20"/>
          <w:u w:val="single" w:color="auto"/>
          <w:color w:val="auto"/>
        </w:rPr>
        <w:t>minus</w:t>
      </w:r>
      <w:r>
        <w:rPr>
          <w:rFonts w:ascii="Times New Roman" w:cs="Times New Roman" w:eastAsia="Times New Roman" w:hAnsi="Times New Roman"/>
          <w:sz w:val="20"/>
          <w:szCs w:val="20"/>
          <w:color w:val="auto"/>
        </w:rPr>
        <w:t>, for the purpose of Sections 6.11 and 7.03, the amount of Letters of Credit that have been Cash Collateralized in an amount equal to the Minimum L/C Collateral Amount at such time. The Revolving Facility Credit Exposure of any Revolving Facility Lender at any time shall be the product of (x) such Revolving Facility Lender’s Revolving Facility Percentage of the applicable Class and (y) the aggregate Revolving Facility Credit Exposure of such Class of all Revolving Facility Lenders, collectively, at such time.</w:t>
      </w:r>
    </w:p>
    <w:p>
      <w:pPr>
        <w:spacing w:after="0" w:line="166"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Facility Lender</w:t>
      </w:r>
      <w:r>
        <w:rPr>
          <w:rFonts w:ascii="Times New Roman" w:cs="Times New Roman" w:eastAsia="Times New Roman" w:hAnsi="Times New Roman"/>
          <w:sz w:val="20"/>
          <w:szCs w:val="20"/>
          <w:color w:val="auto"/>
        </w:rPr>
        <w:t>” shall mean a Lender (including an Incremental Revolving Facility Lender) with a Revolving Facility Commitment or with outstanding Revolving Facility Loans.</w:t>
      </w:r>
    </w:p>
    <w:p>
      <w:pPr>
        <w:spacing w:after="0" w:line="159" w:lineRule="exact"/>
        <w:rPr>
          <w:sz w:val="20"/>
          <w:szCs w:val="20"/>
          <w:color w:val="auto"/>
        </w:rPr>
      </w:pPr>
    </w:p>
    <w:p>
      <w:pPr>
        <w:jc w:val="both"/>
        <w:ind w:right="20"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Facility Loan</w:t>
      </w:r>
      <w:r>
        <w:rPr>
          <w:rFonts w:ascii="Times New Roman" w:cs="Times New Roman" w:eastAsia="Times New Roman" w:hAnsi="Times New Roman"/>
          <w:sz w:val="20"/>
          <w:szCs w:val="20"/>
          <w:color w:val="auto"/>
        </w:rPr>
        <w:t>” shall mean a Loan made by a Revolving Facility Lender pursuant to Section 2.01(b). Unless the context otherwise requires, the term “Revolving Facility Loans” shall include the Other Revolving Loans.</w:t>
      </w:r>
    </w:p>
    <w:p>
      <w:pPr>
        <w:spacing w:after="0" w:line="159"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Facility Maturity Date</w:t>
      </w:r>
      <w:r>
        <w:rPr>
          <w:rFonts w:ascii="Times New Roman" w:cs="Times New Roman" w:eastAsia="Times New Roman" w:hAnsi="Times New Roman"/>
          <w:sz w:val="20"/>
          <w:szCs w:val="20"/>
          <w:color w:val="auto"/>
        </w:rPr>
        <w:t>” shall mean, as the context may require, (a) with respect to the Revolving Facility in effect on the 2020 Effective Date, the Initial Revolving Facility Maturity Date and (b) with respect to any other Classes of Revolving Facility Commitments, the maturity dates specified therefor in the applicable Incremental Assumption Agreement.</w:t>
      </w:r>
    </w:p>
    <w:p>
      <w:pPr>
        <w:spacing w:after="0" w:line="154"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Facility Percentage</w:t>
      </w:r>
      <w:r>
        <w:rPr>
          <w:rFonts w:ascii="Times New Roman" w:cs="Times New Roman" w:eastAsia="Times New Roman" w:hAnsi="Times New Roman"/>
          <w:sz w:val="20"/>
          <w:szCs w:val="20"/>
          <w:color w:val="auto"/>
        </w:rPr>
        <w:t>” shall mean, with respect to any Revolving Facility Lender of any Class, the percentage of the total Revolving Facility Commitments of such Class represented by such Lender’s Revolving Facility Commitment of such Class. If the Revolving Facility Commitments of such Class have terminated or expired, the Revolving Facility Percentages of such Class shall be determined based upon the Revolving Facility Commitments of such Class most recently in effect, giving effect to any assignments pursuant to Section 9.04.</w:t>
      </w:r>
    </w:p>
    <w:p>
      <w:pPr>
        <w:spacing w:after="0" w:line="17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Facility Termination Event</w:t>
      </w:r>
      <w:r>
        <w:rPr>
          <w:rFonts w:ascii="Times New Roman" w:cs="Times New Roman" w:eastAsia="Times New Roman" w:hAnsi="Times New Roman"/>
          <w:sz w:val="20"/>
          <w:szCs w:val="20"/>
          <w:color w:val="auto"/>
        </w:rPr>
        <w:t>” shall have the meaning assigned to such term in Section 2.05(k).</w:t>
      </w:r>
    </w:p>
    <w:p>
      <w:pPr>
        <w:sectPr>
          <w:pgSz w:w="11900" w:h="16838" w:orient="portrait"/>
          <w:cols w:equalWidth="0" w:num="1">
            <w:col w:w="11240"/>
          </w:cols>
          <w:pgMar w:left="320" w:top="108" w:right="339" w:bottom="1440" w:gutter="0" w:footer="0" w:header="0"/>
        </w:sectPr>
      </w:pPr>
    </w:p>
    <w:bookmarkStart w:id="245" w:name="page246"/>
    <w:bookmarkEnd w:id="245"/>
    <w:p>
      <w:pPr>
        <w:ind w:left="9360"/>
        <w:spacing w:after="0"/>
        <w:rPr>
          <w:sz w:val="20"/>
          <w:szCs w:val="20"/>
          <w:color w:val="auto"/>
        </w:rPr>
      </w:pPr>
      <w:r>
        <w:rPr>
          <w:rFonts w:ascii="Times New Roman" w:cs="Times New Roman" w:eastAsia="Times New Roman" w:hAnsi="Times New Roman"/>
          <w:sz w:val="21"/>
          <w:szCs w:val="21"/>
          <w:color w:val="FF0000"/>
          <w:strike w:val="1"/>
        </w:rPr>
        <w:t>ANNEX</w:t>
      </w:r>
      <w:r>
        <w:rPr>
          <w:rFonts w:ascii="Times New Roman" w:cs="Times New Roman" w:eastAsia="Times New Roman" w:hAnsi="Times New Roman"/>
          <w:sz w:val="21"/>
          <w:szCs w:val="21"/>
          <w:b w:val="1"/>
          <w:bCs w:val="1"/>
          <w:u w:val="single" w:color="auto"/>
          <w:color w:val="0000FF"/>
        </w:rPr>
        <w:t>EXHIBIT</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000000"/>
        </w:rPr>
        <w: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L/C Exposure</w:t>
      </w:r>
      <w:r>
        <w:rPr>
          <w:rFonts w:ascii="Times New Roman" w:cs="Times New Roman" w:eastAsia="Times New Roman" w:hAnsi="Times New Roman"/>
          <w:sz w:val="20"/>
          <w:szCs w:val="20"/>
          <w:color w:val="auto"/>
        </w:rPr>
        <w:t xml:space="preserve">” of any Class shall mean at any time the sum of (a) the aggregate undrawn amount of all Letters of Credit applicable to such Class outstanding at such time (calculated, in the case of Alternate Currency Letters of Credit, based on the Dollar Equivalent thereof) and (b) the aggregate principal amount of all L/C Disbursements applicable to such Class that have not yet been reimbursed at such time (calculated, in the case of Alternate Currency Letters of Credit, based on the Dollar Equivalent thereof). The Revolving L/C Exposure of any Class of any Revolving Facility Lender at any time shall mean its applicable Revolving Facility Percentage of the aggregate Revolving L/C Exposure applicable to such Class at such time. For all purposes of this Agreement, if on any date of determination a Letter of Credit has expired by its terms but any amount may still be drawn thereunder by reason of the operation of Rule 3.14 of the International Standby Practices, International Chamber of Commerce No. 590, such Letter of Credit shall be deemed to be “outstanding” in the amount so remaining available to be drawn. Unless otherwise specified herein, the amount of a Letter of Credit at any time shall be deemed to be the stated amount of such Letter of Credit in effect at such time;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with respect to any Letter of Credit that, by its terms or the terms of any document related thereto, provides for one or more automatic increases in the stated amount thereof, the amount of such Letter of Credit shall be deemed to be the maximum stated amount of such Letter of Credit after giving effect to all such increases, whether or not such maximum stated amount is in effect at such time.</w:t>
      </w:r>
    </w:p>
    <w:p>
      <w:pPr>
        <w:spacing w:after="0" w:line="16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S&amp;P</w:t>
      </w:r>
      <w:r>
        <w:rPr>
          <w:rFonts w:ascii="Times New Roman" w:cs="Times New Roman" w:eastAsia="Times New Roman" w:hAnsi="Times New Roman"/>
          <w:sz w:val="20"/>
          <w:szCs w:val="20"/>
          <w:color w:val="auto"/>
        </w:rPr>
        <w:t>” shall mean Standard &amp; Poor’s Ratings Group, Inc. and its successors and assigns.</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Sale and Lease-Back Transaction</w:t>
      </w:r>
      <w:r>
        <w:rPr>
          <w:rFonts w:ascii="Times New Roman" w:cs="Times New Roman" w:eastAsia="Times New Roman" w:hAnsi="Times New Roman"/>
          <w:sz w:val="20"/>
          <w:szCs w:val="20"/>
          <w:color w:val="auto"/>
        </w:rPr>
        <w:t>” shall have the meaning assigned to such term in Section 6.03.</w:t>
      </w:r>
    </w:p>
    <w:p>
      <w:pPr>
        <w:spacing w:after="0" w:line="20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Sanctions</w:t>
      </w:r>
      <w:r>
        <w:rPr>
          <w:rFonts w:ascii="Times New Roman" w:cs="Times New Roman" w:eastAsia="Times New Roman" w:hAnsi="Times New Roman"/>
          <w:sz w:val="20"/>
          <w:szCs w:val="20"/>
          <w:color w:val="auto"/>
        </w:rPr>
        <w:t>” shall have the meaning assigned to such term in Section 3.25(b).</w:t>
      </w:r>
    </w:p>
    <w:p>
      <w:pPr>
        <w:spacing w:after="0" w:line="20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Sanctions Laws</w:t>
      </w:r>
      <w:r>
        <w:rPr>
          <w:rFonts w:ascii="Times New Roman" w:cs="Times New Roman" w:eastAsia="Times New Roman" w:hAnsi="Times New Roman"/>
          <w:sz w:val="20"/>
          <w:szCs w:val="20"/>
          <w:color w:val="auto"/>
        </w:rPr>
        <w:t>” shall have the meaning assigned to such term in Section 3.25(b).</w:t>
      </w:r>
    </w:p>
    <w:p>
      <w:pPr>
        <w:spacing w:after="0" w:line="20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w:t>
      </w:r>
      <w:r>
        <w:rPr>
          <w:rFonts w:ascii="Times New Roman" w:cs="Times New Roman" w:eastAsia="Times New Roman" w:hAnsi="Times New Roman"/>
          <w:sz w:val="20"/>
          <w:szCs w:val="20"/>
          <w:color w:val="auto"/>
        </w:rPr>
        <w:t>” shall mean the Securities and Exchange Commission or any successor thereto.</w:t>
      </w:r>
    </w:p>
    <w:p>
      <w:pPr>
        <w:spacing w:after="0" w:line="216"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Secured Cash Management Agreement</w:t>
      </w:r>
      <w:r>
        <w:rPr>
          <w:rFonts w:ascii="Times New Roman" w:cs="Times New Roman" w:eastAsia="Times New Roman" w:hAnsi="Times New Roman"/>
          <w:sz w:val="20"/>
          <w:szCs w:val="20"/>
          <w:color w:val="auto"/>
        </w:rPr>
        <w:t>” shall mean any Cash Management Agreement that is entered into by and between any Loan Party and any Cash Management Bank, or any Guarantee by any Loan Party of any Cash Management Agreement entered into by and between any Subsidiary and any Cash Management Bank, in each case to the extent that such Cash Management Agreement or such Guarantee, as applicable, is not otherwise designated in writing by the Borrower and such Cash Management Bank to the Administrative Agent to not be included as a Secured Cash Management Agreement.</w:t>
      </w:r>
    </w:p>
    <w:p>
      <w:pPr>
        <w:spacing w:after="0" w:line="16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Secured Hedge Agreement</w:t>
      </w:r>
      <w:r>
        <w:rPr>
          <w:rFonts w:ascii="Times New Roman" w:cs="Times New Roman" w:eastAsia="Times New Roman" w:hAnsi="Times New Roman"/>
          <w:sz w:val="20"/>
          <w:szCs w:val="20"/>
          <w:color w:val="auto"/>
        </w:rPr>
        <w:t>” shall mean any Hedging Agreement that is entered into by and between any Loan Party or any Subsidiary and any Hedge Bank, or any Guarantee by any Loan Party of any Hedging Agreement entered into by and between any Subsidiary and any Hedge Bank, in each case to the extent that such Hedging Agreement or such Guarantee, as applicable, is not otherwise designated in writing by the Borrower and such Hedge Bank to the Administrative Agent to not be included as a Secured Hedge Agreement. Notwithstanding the foregoing, for all purposes of the Loan Documents, any Guarantee of, or grant of any Lien to secure, any obligations in respect of a Secured Hedge Agreement by a Guarantor shall not include any Excluded Swap Obligations.</w:t>
      </w:r>
    </w:p>
    <w:p>
      <w:pPr>
        <w:spacing w:after="0" w:line="16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Secured Parties</w:t>
      </w:r>
      <w:r>
        <w:rPr>
          <w:rFonts w:ascii="Times New Roman" w:cs="Times New Roman" w:eastAsia="Times New Roman" w:hAnsi="Times New Roman"/>
          <w:sz w:val="20"/>
          <w:szCs w:val="20"/>
          <w:color w:val="auto"/>
        </w:rPr>
        <w:t>” shall mean, collectively, the Administrative Agent, the Collateral Agent, each Lender, each Issuing Bank, each Hedge Bank that is party to any Secured Hedge Agreement, each Cash Management Bank that is party to any Secured Cash Management Agreement and each sub-agent appointed pursuant to Section 8.02 by the Administrative Agent with respect to matters relating to</w:t>
      </w:r>
    </w:p>
    <w:p>
      <w:pPr>
        <w:sectPr>
          <w:pgSz w:w="11900" w:h="16838" w:orient="portrait"/>
          <w:cols w:equalWidth="0" w:num="1">
            <w:col w:w="11240"/>
          </w:cols>
          <w:pgMar w:left="320" w:top="108" w:right="339" w:bottom="1440" w:gutter="0" w:footer="0" w:header="0"/>
        </w:sectPr>
      </w:pPr>
    </w:p>
    <w:bookmarkStart w:id="246" w:name="page247"/>
    <w:bookmarkEnd w:id="246"/>
    <w:p>
      <w:pPr>
        <w:jc w:val="right"/>
        <w:spacing w:after="0"/>
        <w:rPr>
          <w:sz w:val="20"/>
          <w:szCs w:val="20"/>
          <w:color w:val="auto"/>
        </w:rPr>
      </w:pPr>
      <w:r>
        <w:rPr>
          <w:rFonts w:ascii="Times New Roman" w:cs="Times New Roman" w:eastAsia="Times New Roman" w:hAnsi="Times New Roman"/>
          <w:sz w:val="22"/>
          <w:szCs w:val="22"/>
          <w:color w:val="FF0000"/>
          <w:strike w:val="1"/>
        </w:rPr>
        <w:t>ANNEX</w:t>
      </w:r>
      <w:r>
        <w:rPr>
          <w:rFonts w:ascii="Times New Roman" w:cs="Times New Roman" w:eastAsia="Times New Roman" w:hAnsi="Times New Roman"/>
          <w:sz w:val="22"/>
          <w:szCs w:val="22"/>
          <w:b w:val="1"/>
          <w:bCs w:val="1"/>
          <w:u w:val="single" w:color="auto"/>
          <w:color w:val="0000FF"/>
        </w:rPr>
        <w:t>EXHIBIT</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Loan Documents or by the Collateral Agent with respect to matters relating to any Security Document.</w:t>
      </w:r>
    </w:p>
    <w:p>
      <w:pPr>
        <w:spacing w:after="0" w:line="20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Securities Act</w:t>
      </w:r>
      <w:r>
        <w:rPr>
          <w:rFonts w:ascii="Times New Roman" w:cs="Times New Roman" w:eastAsia="Times New Roman" w:hAnsi="Times New Roman"/>
          <w:sz w:val="20"/>
          <w:szCs w:val="20"/>
          <w:color w:val="auto"/>
        </w:rPr>
        <w:t>” shall mean the Securities Act of 1933, as amended.</w:t>
      </w:r>
    </w:p>
    <w:p>
      <w:pPr>
        <w:spacing w:after="0" w:line="216"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Securitization Assets</w:t>
      </w:r>
      <w:r>
        <w:rPr>
          <w:rFonts w:ascii="Times New Roman" w:cs="Times New Roman" w:eastAsia="Times New Roman" w:hAnsi="Times New Roman"/>
          <w:sz w:val="20"/>
          <w:szCs w:val="20"/>
          <w:color w:val="auto"/>
        </w:rPr>
        <w:t>” shall mean any of the following assets (or interests therein) from time to time originated, acquired or otherwise owned by the Borrower or any Subsidiary or in which the Borrower or any Subsidiary has any rights or interests, in each case, without regard to where such assets or interests are located: (a) Receivables Assets, (b) franchise fees, royalties and other similar payments made related to the use of trade names and other Intellectual Property, business support, training and other services, (c) revenues related to distribution and merchandising of the products of the Borrower and its Subsidiaries, (d) rents, real estate taxes and other non-royalty amounts due from franchisees, (e) Intellectual Property rights relating to the generation of any of the types of assets listed in this definition, (f) parcels of or interests in real property, together with all easements, hereditaments and appurtenances thereto, all improvements and appurtenant fixtures and equipment, incidental to the ownership, lease or operation thereof, (g) any Equity Interests of any Special Purpose Securitization Subsidiary or any Subsidiary of a Special Purpose Securitization Subsidiary and any rights under any limited liability company agreement, trust agreement, shareholders agreement, organization or formation documents or other agreement entered into in furtherance of the organization of such entity, (h) any equipment, contractual rights with unaffiliated third parties, website domains and associated property and rights necessary for a Special Purpose Securitization Subsidiary to operate in accordance with its stated purposes; (i) any rights and obligations associated with gift card or similar programs, and (j) other assets and property (or proceeds of such assets or property) to the extent customarily included in securitization transactions of the relevant type in the applicable jurisdictions (as determined by the Borrower in good faith).</w:t>
      </w:r>
    </w:p>
    <w:p>
      <w:pPr>
        <w:spacing w:after="0" w:line="174"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Security Documents</w:t>
      </w:r>
      <w:r>
        <w:rPr>
          <w:rFonts w:ascii="Times New Roman" w:cs="Times New Roman" w:eastAsia="Times New Roman" w:hAnsi="Times New Roman"/>
          <w:sz w:val="20"/>
          <w:szCs w:val="20"/>
          <w:color w:val="auto"/>
        </w:rPr>
        <w:t>” shall mean the Mortgages, the Collateral Agreement, the Holdings Guarantee and Pledge Agreement, the IP Security Agreements (as defined in the Collateral Agreement), and each of the security agreements, pledge agreements and other instruments and documents executed and delivered pursuant to any of the foregoing or pursuant to Section 5.10.</w:t>
      </w:r>
    </w:p>
    <w:p>
      <w:pPr>
        <w:spacing w:after="0" w:line="168"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Senior Secured Note Documents</w:t>
      </w:r>
      <w:r>
        <w:rPr>
          <w:rFonts w:ascii="Times New Roman" w:cs="Times New Roman" w:eastAsia="Times New Roman" w:hAnsi="Times New Roman"/>
          <w:sz w:val="20"/>
          <w:szCs w:val="20"/>
          <w:color w:val="auto"/>
        </w:rPr>
        <w:t>” shall mean the Senior Secured Notes Indenture and the other “Note Documents” under and as defined in the Senior Secured Notes Indenture, as each such document may be amended, restated, supplemented or otherwise modified from time to time.</w:t>
      </w:r>
    </w:p>
    <w:p>
      <w:pPr>
        <w:spacing w:after="0" w:line="154"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Senior Secured Notes</w:t>
      </w:r>
      <w:r>
        <w:rPr>
          <w:rFonts w:ascii="Times New Roman" w:cs="Times New Roman" w:eastAsia="Times New Roman" w:hAnsi="Times New Roman"/>
          <w:sz w:val="20"/>
          <w:szCs w:val="20"/>
          <w:color w:val="auto"/>
        </w:rPr>
        <w:t>” shall mean the $550,000,000 in aggregate principal amount of the Borrower’s First-Priority Senior Secured Notes due 2028 issued pursuant to the Senior Secured Notes Indenture.</w:t>
      </w:r>
    </w:p>
    <w:p>
      <w:pPr>
        <w:spacing w:after="0" w:line="133"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Senior Secured Notes Indenture</w:t>
      </w:r>
      <w:r>
        <w:rPr>
          <w:rFonts w:ascii="Times New Roman" w:cs="Times New Roman" w:eastAsia="Times New Roman" w:hAnsi="Times New Roman"/>
          <w:sz w:val="20"/>
          <w:szCs w:val="20"/>
          <w:color w:val="auto"/>
        </w:rPr>
        <w:t>” shall mean the Senior Secured Notes Indenture, dated February 9, 2021, among the Borrower, as issuer, Wells Fargo Bank, National Association, as indenture trustee, as such document may be amended, restated, supplemented or otherwise modified from time to time.</w:t>
      </w:r>
    </w:p>
    <w:p>
      <w:pPr>
        <w:spacing w:after="0" w:line="154"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Senior Secured Notes Offering Memorandum</w:t>
      </w:r>
      <w:r>
        <w:rPr>
          <w:rFonts w:ascii="Times New Roman" w:cs="Times New Roman" w:eastAsia="Times New Roman" w:hAnsi="Times New Roman"/>
          <w:sz w:val="20"/>
          <w:szCs w:val="20"/>
          <w:color w:val="auto"/>
        </w:rPr>
        <w:t>” shall mean the Offering Memorandum, dated February 2, 2021, in respect of the Senior Secured Notes.</w:t>
      </w:r>
    </w:p>
    <w:p>
      <w:pPr>
        <w:spacing w:after="0" w:line="133"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Senior Unsecured Note Documents</w:t>
      </w:r>
      <w:r>
        <w:rPr>
          <w:rFonts w:ascii="Times New Roman" w:cs="Times New Roman" w:eastAsia="Times New Roman" w:hAnsi="Times New Roman"/>
          <w:sz w:val="20"/>
          <w:szCs w:val="20"/>
          <w:color w:val="auto"/>
        </w:rPr>
        <w:t>” shall mean the Senior Unsecured Notes Indenture and the other “Note Documents” under and as defined in the Senior Unsecured Notes Indenture, as each such document may be amended, restated, supplemented or otherwise modified from time to time.</w:t>
      </w:r>
    </w:p>
    <w:p>
      <w:pPr>
        <w:sectPr>
          <w:pgSz w:w="11900" w:h="16838" w:orient="portrait"/>
          <w:cols w:equalWidth="0" w:num="1">
            <w:col w:w="11240"/>
          </w:cols>
          <w:pgMar w:left="320" w:top="108" w:right="339" w:bottom="1440" w:gutter="0" w:footer="0" w:header="0"/>
        </w:sectPr>
      </w:pPr>
    </w:p>
    <w:bookmarkStart w:id="247" w:name="page248"/>
    <w:bookmarkEnd w:id="247"/>
    <w:p>
      <w:pPr>
        <w:jc w:val="right"/>
        <w:spacing w:after="0"/>
        <w:rPr>
          <w:sz w:val="20"/>
          <w:szCs w:val="20"/>
          <w:color w:val="auto"/>
        </w:rPr>
      </w:pPr>
      <w:r>
        <w:rPr>
          <w:rFonts w:ascii="Times New Roman" w:cs="Times New Roman" w:eastAsia="Times New Roman" w:hAnsi="Times New Roman"/>
          <w:sz w:val="22"/>
          <w:szCs w:val="22"/>
          <w:color w:val="FF0000"/>
          <w:strike w:val="1"/>
        </w:rPr>
        <w:t>ANNEX</w:t>
      </w:r>
      <w:r>
        <w:rPr>
          <w:rFonts w:ascii="Times New Roman" w:cs="Times New Roman" w:eastAsia="Times New Roman" w:hAnsi="Times New Roman"/>
          <w:sz w:val="22"/>
          <w:szCs w:val="22"/>
          <w:b w:val="1"/>
          <w:bCs w:val="1"/>
          <w:u w:val="single" w:color="auto"/>
          <w:color w:val="0000FF"/>
        </w:rPr>
        <w:t>EXHIBIT</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Senior Unsecured Notes</w:t>
      </w:r>
      <w:r>
        <w:rPr>
          <w:rFonts w:ascii="Times New Roman" w:cs="Times New Roman" w:eastAsia="Times New Roman" w:hAnsi="Times New Roman"/>
          <w:sz w:val="20"/>
          <w:szCs w:val="20"/>
          <w:color w:val="auto"/>
        </w:rPr>
        <w:t>” shall mean the $550,000,000 in aggregate principal amount of the Borrower’s Senior Unsecured Notes due 2028 issued pursuant to the Senior Unsecured Notes Indenture.</w:t>
      </w:r>
    </w:p>
    <w:p>
      <w:pPr>
        <w:spacing w:after="0" w:line="133"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Senior Unsecured Notes Indenture</w:t>
      </w:r>
      <w:r>
        <w:rPr>
          <w:rFonts w:ascii="Times New Roman" w:cs="Times New Roman" w:eastAsia="Times New Roman" w:hAnsi="Times New Roman"/>
          <w:sz w:val="20"/>
          <w:szCs w:val="20"/>
          <w:color w:val="auto"/>
        </w:rPr>
        <w:t>” shall mean the Senior Unsecured Notes Indenture, dated December 1, 2020, among the Borrower, as issuer, and Wells Fargo Bank, National Association, as indenture trustee, as such document may be amended, restated, supplemented or otherwise modified from time to time.</w:t>
      </w:r>
    </w:p>
    <w:p>
      <w:pPr>
        <w:spacing w:after="0" w:line="154" w:lineRule="exact"/>
        <w:rPr>
          <w:sz w:val="20"/>
          <w:szCs w:val="20"/>
          <w:color w:val="auto"/>
        </w:rPr>
      </w:pPr>
    </w:p>
    <w:p>
      <w:pPr>
        <w:jc w:val="both"/>
        <w:ind w:right="20"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Senior Unsecured Notes Offering Memorandum</w:t>
      </w:r>
      <w:r>
        <w:rPr>
          <w:rFonts w:ascii="Times New Roman" w:cs="Times New Roman" w:eastAsia="Times New Roman" w:hAnsi="Times New Roman"/>
          <w:sz w:val="20"/>
          <w:szCs w:val="20"/>
          <w:color w:val="auto"/>
        </w:rPr>
        <w:t>” shall mean the Offering Memorandum, dated November 16, 2020, in respect of the Senior Unsecured Notes.</w:t>
      </w:r>
    </w:p>
    <w:p>
      <w:pPr>
        <w:spacing w:after="0" w:line="133"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Similar Business</w:t>
      </w:r>
      <w:r>
        <w:rPr>
          <w:rFonts w:ascii="Times New Roman" w:cs="Times New Roman" w:eastAsia="Times New Roman" w:hAnsi="Times New Roman"/>
          <w:sz w:val="20"/>
          <w:szCs w:val="20"/>
          <w:color w:val="auto"/>
        </w:rPr>
        <w:t>” shall mean any business, the majority of whose revenues are derived from (i) business or activities conducted by the Borrower and its Subsidiaries on the Closing Date, (ii) any business that is a natural outgrowth or reasonable extension, development or expansion of any such business or any business similar, reasonably related, incidental, complementary or ancillary to any of the foregoing or (iii) any business that in the Borrower’s good faith business judgment constitutes a reasonable diversification of businesses conducted by the Borrower and its Subsidiaries.</w:t>
      </w:r>
    </w:p>
    <w:p>
      <w:pPr>
        <w:spacing w:after="0" w:line="15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SOFR</w:t>
      </w:r>
      <w:r>
        <w:rPr>
          <w:rFonts w:ascii="Times New Roman" w:cs="Times New Roman" w:eastAsia="Times New Roman" w:hAnsi="Times New Roman"/>
          <w:sz w:val="20"/>
          <w:szCs w:val="20"/>
          <w:color w:val="auto"/>
        </w:rPr>
        <w:t>” shall mean a rate equal to the secured overnight financing rate as administered by the SOFR Administrator.</w:t>
      </w:r>
    </w:p>
    <w:p>
      <w:pPr>
        <w:spacing w:after="0" w:line="202"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SOFR Administrator</w:t>
      </w:r>
      <w:r>
        <w:rPr>
          <w:rFonts w:ascii="Times New Roman" w:cs="Times New Roman" w:eastAsia="Times New Roman" w:hAnsi="Times New Roman"/>
          <w:sz w:val="20"/>
          <w:szCs w:val="20"/>
          <w:color w:val="auto"/>
        </w:rPr>
        <w:t>” shall mean the Federal Reserve Bank of New York (or a successor administrator of the secured overnight financing rate).</w:t>
      </w:r>
    </w:p>
    <w:p>
      <w:pPr>
        <w:spacing w:after="0" w:line="1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SOFR Borrowing</w:t>
      </w:r>
      <w:r>
        <w:rPr>
          <w:rFonts w:ascii="Times New Roman" w:cs="Times New Roman" w:eastAsia="Times New Roman" w:hAnsi="Times New Roman"/>
          <w:sz w:val="20"/>
          <w:szCs w:val="20"/>
          <w:color w:val="auto"/>
        </w:rPr>
        <w:t>” shall mean, as to any Borrowing, the SOFR Loans comprising such Borrowing.</w:t>
      </w:r>
    </w:p>
    <w:p>
      <w:pPr>
        <w:spacing w:after="0" w:line="20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SOFR Loan</w:t>
      </w:r>
      <w:r>
        <w:rPr>
          <w:rFonts w:ascii="Times New Roman" w:cs="Times New Roman" w:eastAsia="Times New Roman" w:hAnsi="Times New Roman"/>
          <w:sz w:val="20"/>
          <w:szCs w:val="20"/>
          <w:color w:val="auto"/>
        </w:rPr>
        <w:t>” shall mean a Loan that bears interest at a rate based on Adjusted Term SOFR.</w:t>
      </w:r>
    </w:p>
    <w:p>
      <w:pPr>
        <w:spacing w:after="0" w:line="20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SOFR Revolving Facility Borrowing</w:t>
      </w:r>
      <w:r>
        <w:rPr>
          <w:rFonts w:ascii="Times New Roman" w:cs="Times New Roman" w:eastAsia="Times New Roman" w:hAnsi="Times New Roman"/>
          <w:sz w:val="20"/>
          <w:szCs w:val="20"/>
          <w:color w:val="auto"/>
        </w:rPr>
        <w:t>” shall mean a Borrowing comprised of SOFR Revolving Loans.</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SOFR Revolving Loan</w:t>
      </w:r>
      <w:r>
        <w:rPr>
          <w:rFonts w:ascii="Times New Roman" w:cs="Times New Roman" w:eastAsia="Times New Roman" w:hAnsi="Times New Roman"/>
          <w:sz w:val="20"/>
          <w:szCs w:val="20"/>
          <w:color w:val="auto"/>
        </w:rPr>
        <w:t>” shall mean any Revolving Facility Loan bearing interest at a rate based on Adjusted Term SOFR.</w:t>
      </w:r>
    </w:p>
    <w:p>
      <w:pPr>
        <w:spacing w:after="0" w:line="20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Special Flood Hazard Area</w:t>
      </w:r>
      <w:r>
        <w:rPr>
          <w:rFonts w:ascii="Times New Roman" w:cs="Times New Roman" w:eastAsia="Times New Roman" w:hAnsi="Times New Roman"/>
          <w:sz w:val="20"/>
          <w:szCs w:val="20"/>
          <w:color w:val="auto"/>
        </w:rPr>
        <w:t>” shall have the meaning assigned to such term in Section 5.02(c).</w:t>
      </w:r>
    </w:p>
    <w:p>
      <w:pPr>
        <w:spacing w:after="0" w:line="202"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Special Purpose Securitization Subsidiary</w:t>
      </w:r>
      <w:r>
        <w:rPr>
          <w:rFonts w:ascii="Times New Roman" w:cs="Times New Roman" w:eastAsia="Times New Roman" w:hAnsi="Times New Roman"/>
          <w:sz w:val="20"/>
          <w:szCs w:val="20"/>
          <w:color w:val="auto"/>
        </w:rPr>
        <w:t>” shall mean (i) a direct or indirect Subsidiary of the Borrower established in connection with a Permitted Securitization Financing for the acquisition of Securitization Assets or interests therein, and which is organized in a manner (as determined by the Borrower in good faith) intended to reduce the likelihood that it would be substantively consolidated with Holdings (prior to a Qualified IPO), the Borrower or any of the Subsidiaries (other than Special Purpose Securitization Subsidiaries) in the event Holdings (prior to a Qualified IPO), the Borrower or any such Subsidiary becomes subject to a proceeding under the U.S. Bankruptcy Code (or other insolvency law) and (ii) any subsidiary of a Special Purpose Securitization Subsidiary.</w:t>
      </w:r>
    </w:p>
    <w:p>
      <w:pPr>
        <w:spacing w:after="0" w:line="165"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Specified L/C Sublimit</w:t>
      </w:r>
      <w:r>
        <w:rPr>
          <w:rFonts w:ascii="Times New Roman" w:cs="Times New Roman" w:eastAsia="Times New Roman" w:hAnsi="Times New Roman"/>
          <w:sz w:val="20"/>
          <w:szCs w:val="20"/>
          <w:color w:val="auto"/>
        </w:rPr>
        <w:t xml:space="preserve">” shall mean, with respect to any Issuing Bank, the amounts set forth beside such Issuing Bank’s name on </w:t>
      </w:r>
      <w:r>
        <w:rPr>
          <w:rFonts w:ascii="Times New Roman" w:cs="Times New Roman" w:eastAsia="Times New Roman" w:hAnsi="Times New Roman"/>
          <w:sz w:val="20"/>
          <w:szCs w:val="20"/>
          <w:u w:val="single" w:color="auto"/>
          <w:color w:val="auto"/>
        </w:rPr>
        <w:t>Schedule 1.01(F)</w:t>
      </w:r>
      <w:r>
        <w:rPr>
          <w:rFonts w:ascii="Times New Roman" w:cs="Times New Roman" w:eastAsia="Times New Roman" w:hAnsi="Times New Roman"/>
          <w:sz w:val="20"/>
          <w:szCs w:val="20"/>
          <w:color w:val="auto"/>
        </w:rPr>
        <w:t xml:space="preserve"> to the Original Credit Agreement or, in each</w:t>
      </w:r>
    </w:p>
    <w:p>
      <w:pPr>
        <w:sectPr>
          <w:pgSz w:w="11900" w:h="16838" w:orient="portrait"/>
          <w:cols w:equalWidth="0" w:num="1">
            <w:col w:w="11240"/>
          </w:cols>
          <w:pgMar w:left="320" w:top="108" w:right="339" w:bottom="1440" w:gutter="0" w:footer="0" w:header="0"/>
        </w:sectPr>
      </w:pPr>
    </w:p>
    <w:bookmarkStart w:id="248" w:name="page249"/>
    <w:bookmarkEnd w:id="248"/>
    <w:p>
      <w:pPr>
        <w:ind w:left="9360"/>
        <w:spacing w:after="0"/>
        <w:rPr>
          <w:sz w:val="20"/>
          <w:szCs w:val="20"/>
          <w:color w:val="auto"/>
        </w:rPr>
      </w:pPr>
      <w:r>
        <w:rPr>
          <w:rFonts w:ascii="Times New Roman" w:cs="Times New Roman" w:eastAsia="Times New Roman" w:hAnsi="Times New Roman"/>
          <w:sz w:val="21"/>
          <w:szCs w:val="21"/>
          <w:color w:val="FF0000"/>
          <w:strike w:val="1"/>
        </w:rPr>
        <w:t>ANNEX</w:t>
      </w:r>
      <w:r>
        <w:rPr>
          <w:rFonts w:ascii="Times New Roman" w:cs="Times New Roman" w:eastAsia="Times New Roman" w:hAnsi="Times New Roman"/>
          <w:sz w:val="21"/>
          <w:szCs w:val="21"/>
          <w:b w:val="1"/>
          <w:bCs w:val="1"/>
          <w:u w:val="single" w:color="auto"/>
          <w:color w:val="0000FF"/>
        </w:rPr>
        <w:t>EXHIBIT</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000000"/>
        </w:rPr>
        <w: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case, such other amount as specified in the agreement pursuant to which such person becomes an Issuing Bank hereunder or, in each case, such larger amount not to exceed the Revolving Facility Commitment as the Administrative Agent and the applicable Issuing Bank may agree or, with respect to the Issuing Bank under an Existing Roll-Over Letter of Credit, the additional amount of such Existing Roll-Over Letter of Credit.</w:t>
      </w:r>
    </w:p>
    <w:p>
      <w:pPr>
        <w:spacing w:after="0" w:line="159"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Spot Rate</w:t>
      </w:r>
      <w:r>
        <w:rPr>
          <w:rFonts w:ascii="Times New Roman" w:cs="Times New Roman" w:eastAsia="Times New Roman" w:hAnsi="Times New Roman"/>
          <w:sz w:val="20"/>
          <w:szCs w:val="20"/>
          <w:color w:val="auto"/>
        </w:rPr>
        <w:t xml:space="preserve">” shall mean, with respect to any currency, the rate determined by the </w:t>
      </w:r>
      <w:r>
        <w:rPr>
          <w:rFonts w:ascii="Times New Roman" w:cs="Times New Roman" w:eastAsia="Times New Roman" w:hAnsi="Times New Roman"/>
          <w:sz w:val="20"/>
          <w:szCs w:val="20"/>
          <w:color w:val="008000"/>
          <w:strike w:val="1"/>
        </w:rPr>
        <w:t>Administrative Agent or the</w:t>
      </w:r>
      <w:r>
        <w:rPr>
          <w:rFonts w:ascii="Times New Roman" w:cs="Times New Roman" w:eastAsia="Times New Roman" w:hAnsi="Times New Roman"/>
          <w:sz w:val="20"/>
          <w:szCs w:val="20"/>
          <w:color w:val="auto"/>
        </w:rPr>
        <w:t xml:space="preserve"> applicable Issuing Bank, as applicable, to be the rate quoted by the person acting in such capacity as the spot rate for the purchase by such person of such currency with another currency through its principal foreign exchange trading office at approximately 11:00 a.m., Local Time on the date three Business Days prior to the date as of which the foreign exchange computation is made or if such rate cannot be computed as of such date such other date as </w:t>
      </w:r>
      <w:r>
        <w:rPr>
          <w:rFonts w:ascii="Times New Roman" w:cs="Times New Roman" w:eastAsia="Times New Roman" w:hAnsi="Times New Roman"/>
          <w:sz w:val="20"/>
          <w:szCs w:val="20"/>
          <w:color w:val="FF0000"/>
          <w:strike w:val="1"/>
        </w:rPr>
        <w:t>the Administrative Agent or</w:t>
      </w:r>
      <w:r>
        <w:rPr>
          <w:rFonts w:ascii="Times New Roman" w:cs="Times New Roman" w:eastAsia="Times New Roman" w:hAnsi="Times New Roman"/>
          <w:sz w:val="20"/>
          <w:szCs w:val="20"/>
          <w:color w:val="auto"/>
        </w:rPr>
        <w:t xml:space="preserve"> such Issuing Bank shall reasonably determine is appropriate under the circumstances;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w:t>
      </w:r>
      <w:r>
        <w:rPr>
          <w:rFonts w:ascii="Times New Roman" w:cs="Times New Roman" w:eastAsia="Times New Roman" w:hAnsi="Times New Roman"/>
          <w:sz w:val="20"/>
          <w:szCs w:val="20"/>
          <w:color w:val="FF0000"/>
          <w:strike w:val="1"/>
        </w:rPr>
        <w:t>the Administrative Agent or</w:t>
      </w:r>
      <w:r>
        <w:rPr>
          <w:rFonts w:ascii="Times New Roman" w:cs="Times New Roman" w:eastAsia="Times New Roman" w:hAnsi="Times New Roman"/>
          <w:sz w:val="20"/>
          <w:szCs w:val="20"/>
          <w:color w:val="auto"/>
        </w:rPr>
        <w:t xml:space="preserve"> such Issuing Bank may obtain such spot rate from another financial institution designated by </w:t>
      </w:r>
      <w:r>
        <w:rPr>
          <w:rFonts w:ascii="Times New Roman" w:cs="Times New Roman" w:eastAsia="Times New Roman" w:hAnsi="Times New Roman"/>
          <w:sz w:val="20"/>
          <w:szCs w:val="20"/>
          <w:color w:val="FF0000"/>
          <w:strike w:val="1"/>
        </w:rPr>
        <w:t>the Administrative Agent or</w:t>
      </w:r>
      <w:r>
        <w:rPr>
          <w:rFonts w:ascii="Times New Roman" w:cs="Times New Roman" w:eastAsia="Times New Roman" w:hAnsi="Times New Roman"/>
          <w:sz w:val="20"/>
          <w:szCs w:val="20"/>
          <w:color w:val="auto"/>
        </w:rPr>
        <w:t xml:space="preserve"> such Issuing Bank if the person acting in such capacity does not have as of the date of determination a spot buying rate for any such currency.</w:t>
      </w:r>
    </w:p>
    <w:p>
      <w:pPr>
        <w:spacing w:after="0" w:line="16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Standby Letters of Credit</w:t>
      </w:r>
      <w:r>
        <w:rPr>
          <w:rFonts w:ascii="Times New Roman" w:cs="Times New Roman" w:eastAsia="Times New Roman" w:hAnsi="Times New Roman"/>
          <w:sz w:val="20"/>
          <w:szCs w:val="20"/>
          <w:color w:val="auto"/>
        </w:rPr>
        <w:t>” shall have the meaning assigned to such term in Section 2.05(a).</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Subagent</w:t>
      </w:r>
      <w:r>
        <w:rPr>
          <w:rFonts w:ascii="Times New Roman" w:cs="Times New Roman" w:eastAsia="Times New Roman" w:hAnsi="Times New Roman"/>
          <w:sz w:val="20"/>
          <w:szCs w:val="20"/>
          <w:color w:val="auto"/>
        </w:rPr>
        <w:t>” shall have the meaning assigned to such term in Section 8.02.</w:t>
      </w:r>
    </w:p>
    <w:p>
      <w:pPr>
        <w:spacing w:after="0" w:line="202"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subsidiary</w:t>
      </w:r>
      <w:r>
        <w:rPr>
          <w:rFonts w:ascii="Times New Roman" w:cs="Times New Roman" w:eastAsia="Times New Roman" w:hAnsi="Times New Roman"/>
          <w:sz w:val="20"/>
          <w:szCs w:val="20"/>
          <w:color w:val="auto"/>
        </w:rPr>
        <w:t>” shall mean, with respect to any person (herein referred to as the “</w:t>
      </w:r>
      <w:r>
        <w:rPr>
          <w:rFonts w:ascii="Times New Roman" w:cs="Times New Roman" w:eastAsia="Times New Roman" w:hAnsi="Times New Roman"/>
          <w:sz w:val="20"/>
          <w:szCs w:val="20"/>
          <w:u w:val="single" w:color="auto"/>
          <w:color w:val="auto"/>
        </w:rPr>
        <w:t>parent</w:t>
      </w:r>
      <w:r>
        <w:rPr>
          <w:rFonts w:ascii="Times New Roman" w:cs="Times New Roman" w:eastAsia="Times New Roman" w:hAnsi="Times New Roman"/>
          <w:sz w:val="20"/>
          <w:szCs w:val="20"/>
          <w:color w:val="auto"/>
        </w:rPr>
        <w:t>”), any corporation, partnership, association or other business entity (a) of which securities or other ownership interests representing more than 50% of the equity or more than 50% of the ordinary voting power or more than 50% of the general partnership interests are, at the time any determination is being made, directly or indirectly, owned, Controlled or held, or (b) that is, at the time any determination is made, otherwise Controlled, by the parent or one or more subsidiaries of the parent or by the parent and one or more subsidiaries of the parent.</w:t>
      </w:r>
    </w:p>
    <w:p>
      <w:pPr>
        <w:spacing w:after="0" w:line="178"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Subsidiary</w:t>
      </w:r>
      <w:r>
        <w:rPr>
          <w:rFonts w:ascii="Times New Roman" w:cs="Times New Roman" w:eastAsia="Times New Roman" w:hAnsi="Times New Roman"/>
          <w:sz w:val="20"/>
          <w:szCs w:val="20"/>
          <w:color w:val="auto"/>
        </w:rPr>
        <w:t>” shall mean, unless the context otherwise requires, a subsidiary of the Borrower. Notwithstanding the foregoing (and except for purposes of the definition of “Unrestricted Subsidiary” contained herein) an Unrestricted Subsidiary shall be deemed not to be a Subsidiary of the Borrower or any of its Subsidiaries for purposes of this Agreement.</w:t>
      </w:r>
    </w:p>
    <w:p>
      <w:pPr>
        <w:spacing w:after="0" w:line="154"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Subsidiary Guarantee Agreement</w:t>
      </w:r>
      <w:r>
        <w:rPr>
          <w:rFonts w:ascii="Times New Roman" w:cs="Times New Roman" w:eastAsia="Times New Roman" w:hAnsi="Times New Roman"/>
          <w:sz w:val="20"/>
          <w:szCs w:val="20"/>
          <w:color w:val="auto"/>
        </w:rPr>
        <w:t>” shall mean the Subsidiary Guarantee Agreement dated as of the Closing Date as may be amended, restated, supplemented or otherwise modified from time to time, between each Subsidiary Loan Party and the Collateral Agent.</w:t>
      </w:r>
    </w:p>
    <w:p>
      <w:pPr>
        <w:spacing w:after="0" w:line="133"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Subsidiary Loan Party</w:t>
      </w:r>
      <w:r>
        <w:rPr>
          <w:rFonts w:ascii="Times New Roman" w:cs="Times New Roman" w:eastAsia="Times New Roman" w:hAnsi="Times New Roman"/>
          <w:sz w:val="20"/>
          <w:szCs w:val="20"/>
          <w:color w:val="auto"/>
        </w:rPr>
        <w:t>” shall mean (a) each Wholly Owned Domestic Subsidiary of the Borrower that is not an Excluded Subsidiary and (b) any other Subsidiary of the Borrower that may be designated by the Borrower (by way of delivering to the Collateral Agent a supplement to the Collateral Agreement and a supplement to the Subsidiary Guarantee Agreement, in each case, duly executed by such Subsidiary) in its sole discretion from time to time to be a guarantor in respect of the Obligations and the obligations in respect of the Loan Documents, whereupon such Subsidiary shall be obligated to comply with the other requirements of Section 5.10(d) as if it were newly acquired.</w:t>
      </w:r>
    </w:p>
    <w:p>
      <w:pPr>
        <w:spacing w:after="0" w:line="16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Subsidiary Redesignation</w:t>
      </w:r>
      <w:r>
        <w:rPr>
          <w:rFonts w:ascii="Times New Roman" w:cs="Times New Roman" w:eastAsia="Times New Roman" w:hAnsi="Times New Roman"/>
          <w:sz w:val="20"/>
          <w:szCs w:val="20"/>
          <w:color w:val="auto"/>
        </w:rPr>
        <w:t>” shall have the meaning provided in the definition of “Unrestricted Subsidiary” contained in this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Section 1.01.</w:t>
      </w:r>
    </w:p>
    <w:p>
      <w:pPr>
        <w:sectPr>
          <w:pgSz w:w="11900" w:h="16838" w:orient="portrait"/>
          <w:cols w:equalWidth="0" w:num="1">
            <w:col w:w="11240"/>
          </w:cols>
          <w:pgMar w:left="320" w:top="108" w:right="339" w:bottom="1440" w:gutter="0" w:footer="0" w:header="0"/>
        </w:sectPr>
      </w:pPr>
    </w:p>
    <w:bookmarkStart w:id="249" w:name="page250"/>
    <w:bookmarkEnd w:id="249"/>
    <w:p>
      <w:pPr>
        <w:jc w:val="right"/>
        <w:spacing w:after="0"/>
        <w:rPr>
          <w:sz w:val="20"/>
          <w:szCs w:val="20"/>
          <w:color w:val="auto"/>
        </w:rPr>
      </w:pPr>
      <w:r>
        <w:rPr>
          <w:rFonts w:ascii="Times New Roman" w:cs="Times New Roman" w:eastAsia="Times New Roman" w:hAnsi="Times New Roman"/>
          <w:sz w:val="22"/>
          <w:szCs w:val="22"/>
          <w:color w:val="FF0000"/>
          <w:strike w:val="1"/>
        </w:rPr>
        <w:t>ANNEX</w:t>
      </w:r>
      <w:r>
        <w:rPr>
          <w:rFonts w:ascii="Times New Roman" w:cs="Times New Roman" w:eastAsia="Times New Roman" w:hAnsi="Times New Roman"/>
          <w:sz w:val="22"/>
          <w:szCs w:val="22"/>
          <w:b w:val="1"/>
          <w:bCs w:val="1"/>
          <w:u w:val="single" w:color="auto"/>
          <w:color w:val="0000FF"/>
        </w:rPr>
        <w:t>EXHIBIT</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Successor Borrower</w:t>
      </w:r>
      <w:r>
        <w:rPr>
          <w:rFonts w:ascii="Times New Roman" w:cs="Times New Roman" w:eastAsia="Times New Roman" w:hAnsi="Times New Roman"/>
          <w:sz w:val="20"/>
          <w:szCs w:val="20"/>
          <w:color w:val="auto"/>
        </w:rPr>
        <w:t>” shall have the meaning assigned to such term in Section 6.05(o).</w:t>
      </w:r>
    </w:p>
    <w:p>
      <w:pPr>
        <w:spacing w:after="0" w:line="20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Supported QFC</w:t>
      </w:r>
      <w:r>
        <w:rPr>
          <w:rFonts w:ascii="Times New Roman" w:cs="Times New Roman" w:eastAsia="Times New Roman" w:hAnsi="Times New Roman"/>
          <w:sz w:val="20"/>
          <w:szCs w:val="20"/>
          <w:color w:val="auto"/>
        </w:rPr>
        <w:t>” shall have the meaning assigned to such term in Section 9.25.</w:t>
      </w:r>
    </w:p>
    <w:p>
      <w:pPr>
        <w:spacing w:after="0" w:line="216" w:lineRule="exact"/>
        <w:rPr>
          <w:sz w:val="20"/>
          <w:szCs w:val="20"/>
          <w:color w:val="auto"/>
        </w:rPr>
      </w:pPr>
    </w:p>
    <w:p>
      <w:pPr>
        <w:jc w:val="both"/>
        <w:ind w:right="20"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Swap Obligation</w:t>
      </w:r>
      <w:r>
        <w:rPr>
          <w:rFonts w:ascii="Times New Roman" w:cs="Times New Roman" w:eastAsia="Times New Roman" w:hAnsi="Times New Roman"/>
          <w:sz w:val="20"/>
          <w:szCs w:val="20"/>
          <w:color w:val="auto"/>
        </w:rPr>
        <w:t>” shall mean, with respect to any Guarantor, any obligation to pay or perform under any agreement, contract or transaction that constitutes a “swap” within the meaning of Section 1a(47) of the Commodity Exchange Act.</w:t>
      </w:r>
    </w:p>
    <w:p>
      <w:pPr>
        <w:spacing w:after="0" w:line="14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Swingline Borrowing</w:t>
      </w:r>
      <w:r>
        <w:rPr>
          <w:rFonts w:ascii="Times New Roman" w:cs="Times New Roman" w:eastAsia="Times New Roman" w:hAnsi="Times New Roman"/>
          <w:sz w:val="20"/>
          <w:szCs w:val="20"/>
          <w:color w:val="auto"/>
        </w:rPr>
        <w:t>” shall mean a Borrowing comprised of Swingline Loans.</w:t>
      </w:r>
    </w:p>
    <w:p>
      <w:pPr>
        <w:spacing w:after="0" w:line="216"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Swingline Borrowing Request</w:t>
      </w:r>
      <w:r>
        <w:rPr>
          <w:rFonts w:ascii="Times New Roman" w:cs="Times New Roman" w:eastAsia="Times New Roman" w:hAnsi="Times New Roman"/>
          <w:sz w:val="20"/>
          <w:szCs w:val="20"/>
          <w:color w:val="auto"/>
        </w:rPr>
        <w:t xml:space="preserve">” shall mean a request by the Borrower substantially in the form of </w:t>
      </w:r>
      <w:r>
        <w:rPr>
          <w:rFonts w:ascii="Times New Roman" w:cs="Times New Roman" w:eastAsia="Times New Roman" w:hAnsi="Times New Roman"/>
          <w:sz w:val="20"/>
          <w:szCs w:val="20"/>
          <w:u w:val="single" w:color="auto"/>
          <w:color w:val="auto"/>
        </w:rPr>
        <w:t>Exhibit D-2</w:t>
      </w:r>
      <w:r>
        <w:rPr>
          <w:rFonts w:ascii="Times New Roman" w:cs="Times New Roman" w:eastAsia="Times New Roman" w:hAnsi="Times New Roman"/>
          <w:sz w:val="20"/>
          <w:szCs w:val="20"/>
          <w:color w:val="auto"/>
        </w:rPr>
        <w:t xml:space="preserve"> to the Original Credit Agreement or such other form as shall be approved by the Swingline Lender.</w:t>
      </w:r>
    </w:p>
    <w:p>
      <w:pPr>
        <w:spacing w:after="0" w:line="146"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Swingline Commitment</w:t>
      </w:r>
      <w:r>
        <w:rPr>
          <w:rFonts w:ascii="Times New Roman" w:cs="Times New Roman" w:eastAsia="Times New Roman" w:hAnsi="Times New Roman"/>
          <w:sz w:val="20"/>
          <w:szCs w:val="20"/>
          <w:color w:val="auto"/>
        </w:rPr>
        <w:t>” shall mean, with respect to each Swingline Lender, the commitment of such Swingline Lender to make Swingline Loans pursuant to Section 2.04. The aggregate amount of the Swingline Commitments on the Closing Date is $30,000,000. The Swingline Commitment is part of, and not in addition to, the Revolving Facility Commitments.</w:t>
      </w:r>
    </w:p>
    <w:p>
      <w:pPr>
        <w:spacing w:after="0" w:line="148"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Swingline Exposure</w:t>
      </w:r>
      <w:r>
        <w:rPr>
          <w:rFonts w:ascii="Times New Roman" w:cs="Times New Roman" w:eastAsia="Times New Roman" w:hAnsi="Times New Roman"/>
          <w:sz w:val="20"/>
          <w:szCs w:val="20"/>
          <w:color w:val="auto"/>
        </w:rPr>
        <w:t>” shall mean at any time the aggregate principal amount of all outstanding Swingline Borrowings at such time (calculated, in the case of Alternate Currency Loans, based on the Dollar Equivalent thereof). The Swingline Exposure of any Revolving Facility Lender at any time shall mean its applicable Revolving Facility Percentage of the aggregate Swingline Exposure at such time.</w:t>
      </w:r>
    </w:p>
    <w:p>
      <w:pPr>
        <w:spacing w:after="0" w:line="15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Swingline Lender</w:t>
      </w:r>
      <w:r>
        <w:rPr>
          <w:rFonts w:ascii="Times New Roman" w:cs="Times New Roman" w:eastAsia="Times New Roman" w:hAnsi="Times New Roman"/>
          <w:sz w:val="20"/>
          <w:szCs w:val="20"/>
          <w:color w:val="auto"/>
        </w:rPr>
        <w:t xml:space="preserve">” shall mean (a) </w:t>
      </w:r>
      <w:r>
        <w:rPr>
          <w:rFonts w:ascii="Times New Roman" w:cs="Times New Roman" w:eastAsia="Times New Roman" w:hAnsi="Times New Roman"/>
          <w:sz w:val="20"/>
          <w:szCs w:val="20"/>
          <w:color w:val="008000"/>
          <w:strike w:val="1"/>
        </w:rPr>
        <w:t>the Administrative Agent,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FF0000"/>
          <w:strike w:val="1"/>
        </w:rPr>
        <w:t>in its capacity as a lender of Swingline Loans</w:t>
      </w:r>
      <w:r>
        <w:rPr>
          <w:rFonts w:ascii="Times New Roman" w:cs="Times New Roman" w:eastAsia="Times New Roman" w:hAnsi="Times New Roman"/>
          <w:sz w:val="20"/>
          <w:szCs w:val="20"/>
          <w:b w:val="1"/>
          <w:bCs w:val="1"/>
          <w:u w:val="single" w:color="auto"/>
          <w:color w:val="0000FF"/>
        </w:rPr>
        <w:t>[reserved]</w:t>
      </w:r>
      <w:r>
        <w:rPr>
          <w:rFonts w:ascii="Times New Roman" w:cs="Times New Roman" w:eastAsia="Times New Roman" w:hAnsi="Times New Roman"/>
          <w:sz w:val="20"/>
          <w:szCs w:val="20"/>
          <w:color w:val="auto"/>
        </w:rPr>
        <w:t>, and</w:t>
      </w:r>
    </w:p>
    <w:p>
      <w:pPr>
        <w:spacing w:after="0" w:line="32" w:lineRule="exact"/>
        <w:rPr>
          <w:sz w:val="20"/>
          <w:szCs w:val="20"/>
          <w:color w:val="auto"/>
        </w:rPr>
      </w:pPr>
    </w:p>
    <w:p>
      <w:pPr>
        <w:ind w:right="20" w:firstLine="8"/>
        <w:spacing w:after="0" w:line="253" w:lineRule="auto"/>
        <w:tabs>
          <w:tab w:leader="none" w:pos="285" w:val="left"/>
        </w:tabs>
        <w:numPr>
          <w:ilvl w:val="0"/>
          <w:numId w:val="1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Revolving Facility Lender that shall have become a Swingline Lender hereunder as provided in Section 2.04(d), each in its capacity as a lender of Swingline Loans hereunder.</w:t>
      </w:r>
    </w:p>
    <w:p>
      <w:pPr>
        <w:spacing w:after="0" w:line="16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Swingline Loans</w:t>
      </w:r>
      <w:r>
        <w:rPr>
          <w:rFonts w:ascii="Times New Roman" w:cs="Times New Roman" w:eastAsia="Times New Roman" w:hAnsi="Times New Roman"/>
          <w:sz w:val="20"/>
          <w:szCs w:val="20"/>
          <w:color w:val="auto"/>
        </w:rPr>
        <w:t>” shall mean the swingline loans made to the Borrower pursuant to Section 2.04.</w:t>
      </w:r>
    </w:p>
    <w:p>
      <w:pPr>
        <w:spacing w:after="0" w:line="21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Syndication Agents</w:t>
      </w:r>
      <w:r>
        <w:rPr>
          <w:rFonts w:ascii="Times New Roman" w:cs="Times New Roman" w:eastAsia="Times New Roman" w:hAnsi="Times New Roman"/>
          <w:sz w:val="20"/>
          <w:szCs w:val="20"/>
          <w:color w:val="auto"/>
        </w:rPr>
        <w:t xml:space="preserve"> ” shall mean, collectively, Citibank, N.A., Barclays Bank PLC, BMO Capital Markets Corp., MUFG Union Bank, N.A., JPMorgan Chase Bank, N.A., Goldman Sachs Bank USA, Mizuho Bank, Ltd., RBC Capital Markets, LLC, Credit Suisse Loan Funding LLC, Deutsche Bank Securities Inc. and HSBC Securities (USA) Inc.</w:t>
      </w:r>
    </w:p>
    <w:p>
      <w:pPr>
        <w:spacing w:after="0" w:line="154"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Taxes</w:t>
      </w:r>
      <w:r>
        <w:rPr>
          <w:rFonts w:ascii="Times New Roman" w:cs="Times New Roman" w:eastAsia="Times New Roman" w:hAnsi="Times New Roman"/>
          <w:sz w:val="20"/>
          <w:szCs w:val="20"/>
          <w:color w:val="auto"/>
        </w:rPr>
        <w:t>” shall mean any and all present or future taxes, duties, levies, imposts, assessments, deductions, withholdings or other similar charges imposed by any Governmental Authority, whether computed on a separate, consolidated, unitary, combined or other basis and any interest, fines, penalties or additions to tax with respect to the foregoing.</w:t>
      </w:r>
    </w:p>
    <w:p>
      <w:pPr>
        <w:spacing w:after="0" w:line="15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B Borrowing</w:t>
      </w:r>
      <w:r>
        <w:rPr>
          <w:rFonts w:ascii="Times New Roman" w:cs="Times New Roman" w:eastAsia="Times New Roman" w:hAnsi="Times New Roman"/>
          <w:sz w:val="20"/>
          <w:szCs w:val="20"/>
          <w:color w:val="auto"/>
        </w:rPr>
        <w:t>” shall mean any Borrowing comprised of Term B Loans.</w:t>
      </w:r>
    </w:p>
    <w:p>
      <w:pPr>
        <w:spacing w:after="0" w:line="216"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B Facility</w:t>
      </w:r>
      <w:r>
        <w:rPr>
          <w:rFonts w:ascii="Times New Roman" w:cs="Times New Roman" w:eastAsia="Times New Roman" w:hAnsi="Times New Roman"/>
          <w:sz w:val="20"/>
          <w:szCs w:val="20"/>
          <w:color w:val="auto"/>
        </w:rPr>
        <w:t>” shall mean the commitments to make the Term B Loans under the 2021 Incremental Assumption and Amendment Agreement and the Term B Loans made hereunder and thereunder.</w:t>
      </w:r>
    </w:p>
    <w:p>
      <w:pPr>
        <w:spacing w:after="0" w:line="15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B Facility Maturity Date</w:t>
      </w:r>
      <w:r>
        <w:rPr>
          <w:rFonts w:ascii="Times New Roman" w:cs="Times New Roman" w:eastAsia="Times New Roman" w:hAnsi="Times New Roman"/>
          <w:sz w:val="20"/>
          <w:szCs w:val="20"/>
          <w:color w:val="auto"/>
        </w:rPr>
        <w:t>” shall mean February 15, 2028.</w:t>
      </w:r>
    </w:p>
    <w:p>
      <w:pPr>
        <w:sectPr>
          <w:pgSz w:w="11900" w:h="16838" w:orient="portrait"/>
          <w:cols w:equalWidth="0" w:num="1">
            <w:col w:w="11240"/>
          </w:cols>
          <w:pgMar w:left="320" w:top="108" w:right="339" w:bottom="1440" w:gutter="0" w:footer="0" w:header="0"/>
        </w:sectPr>
      </w:pPr>
    </w:p>
    <w:bookmarkStart w:id="250" w:name="page251"/>
    <w:bookmarkEnd w:id="250"/>
    <w:p>
      <w:pPr>
        <w:jc w:val="right"/>
        <w:spacing w:after="0"/>
        <w:rPr>
          <w:sz w:val="20"/>
          <w:szCs w:val="20"/>
          <w:color w:val="auto"/>
        </w:rPr>
      </w:pPr>
      <w:r>
        <w:rPr>
          <w:rFonts w:ascii="Times New Roman" w:cs="Times New Roman" w:eastAsia="Times New Roman" w:hAnsi="Times New Roman"/>
          <w:sz w:val="22"/>
          <w:szCs w:val="22"/>
          <w:color w:val="FF0000"/>
          <w:strike w:val="1"/>
        </w:rPr>
        <w:t>ANNEX</w:t>
      </w:r>
      <w:r>
        <w:rPr>
          <w:rFonts w:ascii="Times New Roman" w:cs="Times New Roman" w:eastAsia="Times New Roman" w:hAnsi="Times New Roman"/>
          <w:sz w:val="22"/>
          <w:szCs w:val="22"/>
          <w:b w:val="1"/>
          <w:bCs w:val="1"/>
          <w:u w:val="single" w:color="auto"/>
          <w:color w:val="0000FF"/>
        </w:rPr>
        <w:t>EXHIBIT</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B Loan Installment Date</w:t>
      </w:r>
      <w:r>
        <w:rPr>
          <w:rFonts w:ascii="Times New Roman" w:cs="Times New Roman" w:eastAsia="Times New Roman" w:hAnsi="Times New Roman"/>
          <w:sz w:val="20"/>
          <w:szCs w:val="20"/>
          <w:color w:val="auto"/>
        </w:rPr>
        <w:t>” shall have the meaning assigned to such term in Section 2.10(a)(i).</w:t>
      </w:r>
    </w:p>
    <w:p>
      <w:pPr>
        <w:spacing w:after="0" w:line="202" w:lineRule="exact"/>
        <w:rPr>
          <w:sz w:val="20"/>
          <w:szCs w:val="20"/>
          <w:color w:val="auto"/>
        </w:rPr>
      </w:pPr>
    </w:p>
    <w:p>
      <w:pPr>
        <w:jc w:val="both"/>
        <w:ind w:right="20"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B Loans</w:t>
      </w:r>
      <w:r>
        <w:rPr>
          <w:rFonts w:ascii="Times New Roman" w:cs="Times New Roman" w:eastAsia="Times New Roman" w:hAnsi="Times New Roman"/>
          <w:sz w:val="20"/>
          <w:szCs w:val="20"/>
          <w:color w:val="auto"/>
        </w:rPr>
        <w:t>” shall mean (a) the 2021 Term B Loans and (b) any Incremental Term Loans in the form of Term B Loans made by the Incremental Term Lenders to the Borrower pursuant to Section 2.01(c). The aggregate principal amount of the Term B Loans outstanding as of the 2021 Effective Date after giving effect to the funding of the 2021 Term B Loans is $2,300,000,000.</w:t>
      </w:r>
    </w:p>
    <w:p>
      <w:pPr>
        <w:spacing w:after="0" w:line="16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Borrowing</w:t>
      </w:r>
      <w:r>
        <w:rPr>
          <w:rFonts w:ascii="Times New Roman" w:cs="Times New Roman" w:eastAsia="Times New Roman" w:hAnsi="Times New Roman"/>
          <w:sz w:val="20"/>
          <w:szCs w:val="20"/>
          <w:color w:val="auto"/>
        </w:rPr>
        <w:t>” shall mean any Term B Borrowing or any Incremental Term Borrowing.</w:t>
      </w:r>
    </w:p>
    <w:p>
      <w:pPr>
        <w:spacing w:after="0" w:line="20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Facility</w:t>
      </w:r>
      <w:r>
        <w:rPr>
          <w:rFonts w:ascii="Times New Roman" w:cs="Times New Roman" w:eastAsia="Times New Roman" w:hAnsi="Times New Roman"/>
          <w:sz w:val="20"/>
          <w:szCs w:val="20"/>
          <w:color w:val="auto"/>
        </w:rPr>
        <w:t>” shall mean the Term B Facility and/or any or all of the Incremental Term Facilities.</w:t>
      </w:r>
    </w:p>
    <w:p>
      <w:pPr>
        <w:spacing w:after="0" w:line="202"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Facility Commitment</w:t>
      </w:r>
      <w:r>
        <w:rPr>
          <w:rFonts w:ascii="Times New Roman" w:cs="Times New Roman" w:eastAsia="Times New Roman" w:hAnsi="Times New Roman"/>
          <w:sz w:val="20"/>
          <w:szCs w:val="20"/>
          <w:color w:val="auto"/>
        </w:rPr>
        <w:t>” shall mean the commitment of a Lender to make Term Loans, including Term B Loans, Incremental Term Loans and/or Other Term Loans.</w:t>
      </w:r>
    </w:p>
    <w:p>
      <w:pPr>
        <w:spacing w:after="0" w:line="133"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Facility Maturity Date</w:t>
      </w:r>
      <w:r>
        <w:rPr>
          <w:rFonts w:ascii="Times New Roman" w:cs="Times New Roman" w:eastAsia="Times New Roman" w:hAnsi="Times New Roman"/>
          <w:sz w:val="20"/>
          <w:szCs w:val="20"/>
          <w:color w:val="auto"/>
        </w:rPr>
        <w:t>” shall mean, as the context may require, (a) with respect to the Term B Facility in effect on the 2021 Effective Date, the Term B Facility Maturity Date and (b) with respect to any other Class of Term Loans, the maturity dates specified therefor in the applicable Incremental Assumption Agreement.</w:t>
      </w:r>
    </w:p>
    <w:p>
      <w:pPr>
        <w:spacing w:after="0" w:line="15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Loan Installment Date</w:t>
      </w:r>
      <w:r>
        <w:rPr>
          <w:rFonts w:ascii="Times New Roman" w:cs="Times New Roman" w:eastAsia="Times New Roman" w:hAnsi="Times New Roman"/>
          <w:sz w:val="20"/>
          <w:szCs w:val="20"/>
          <w:color w:val="auto"/>
        </w:rPr>
        <w:t>” shall mean any Term B Loan Installment Date or any Incremental Term Loan Installment</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w:t>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Loans</w:t>
      </w:r>
      <w:r>
        <w:rPr>
          <w:rFonts w:ascii="Times New Roman" w:cs="Times New Roman" w:eastAsia="Times New Roman" w:hAnsi="Times New Roman"/>
          <w:sz w:val="20"/>
          <w:szCs w:val="20"/>
          <w:color w:val="auto"/>
        </w:rPr>
        <w:t>” shall mean the Term B Loans and/or the Incremental Term Loans.</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SOFR</w:t>
      </w:r>
      <w:r>
        <w:rPr>
          <w:rFonts w:ascii="Times New Roman" w:cs="Times New Roman" w:eastAsia="Times New Roman" w:hAnsi="Times New Roman"/>
          <w:sz w:val="20"/>
          <w:szCs w:val="20"/>
          <w:color w:val="auto"/>
        </w:rPr>
        <w:t>” shall mean,</w:t>
      </w:r>
    </w:p>
    <w:p>
      <w:pPr>
        <w:spacing w:after="0" w:line="202" w:lineRule="exact"/>
        <w:rPr>
          <w:sz w:val="20"/>
          <w:szCs w:val="20"/>
          <w:color w:val="auto"/>
        </w:rPr>
      </w:pPr>
    </w:p>
    <w:p>
      <w:pPr>
        <w:jc w:val="both"/>
        <w:ind w:firstLine="1304"/>
        <w:spacing w:after="0" w:line="252" w:lineRule="auto"/>
        <w:tabs>
          <w:tab w:leader="none" w:pos="1840" w:val="left"/>
        </w:tabs>
        <w:numPr>
          <w:ilvl w:val="0"/>
          <w:numId w:val="1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any calculation with respect to a SOFR Loan, the Term SOFR Reference Rate for a tenor comparable to the applicable Interest Period on the day (such day, the “</w:t>
      </w:r>
      <w:r>
        <w:rPr>
          <w:rFonts w:ascii="Times New Roman" w:cs="Times New Roman" w:eastAsia="Times New Roman" w:hAnsi="Times New Roman"/>
          <w:sz w:val="20"/>
          <w:szCs w:val="20"/>
          <w:u w:val="single" w:color="auto"/>
          <w:color w:val="auto"/>
        </w:rPr>
        <w:t>Periodic Term SOFR Determination Day</w:t>
      </w:r>
      <w:r>
        <w:rPr>
          <w:rFonts w:ascii="Times New Roman" w:cs="Times New Roman" w:eastAsia="Times New Roman" w:hAnsi="Times New Roman"/>
          <w:sz w:val="20"/>
          <w:szCs w:val="20"/>
          <w:color w:val="auto"/>
        </w:rPr>
        <w:t xml:space="preserve">”) that is two (2) U.S. Government Securities Business Days prior to the first day of such Interest Period, as such rate is published by the Term SOFR Administrator;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if as of 5:00 p.m. (New York City time) on any Periodic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Periodic Term SOFR Determination Day, and</w:t>
      </w:r>
    </w:p>
    <w:p>
      <w:pPr>
        <w:spacing w:after="0" w:line="175" w:lineRule="exact"/>
        <w:rPr>
          <w:rFonts w:ascii="Times New Roman" w:cs="Times New Roman" w:eastAsia="Times New Roman" w:hAnsi="Times New Roman"/>
          <w:sz w:val="20"/>
          <w:szCs w:val="20"/>
          <w:color w:val="auto"/>
        </w:rPr>
      </w:pPr>
    </w:p>
    <w:p>
      <w:pPr>
        <w:jc w:val="both"/>
        <w:ind w:firstLine="1304"/>
        <w:spacing w:after="0" w:line="253" w:lineRule="auto"/>
        <w:tabs>
          <w:tab w:leader="none" w:pos="1749" w:val="left"/>
        </w:tabs>
        <w:numPr>
          <w:ilvl w:val="0"/>
          <w:numId w:val="1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any calculation with respect to an ABR Loan on any day, the Term SOFR Reference Rate for a tenor of one month on the day (such day, the “</w:t>
      </w:r>
      <w:r>
        <w:rPr>
          <w:rFonts w:ascii="Times New Roman" w:cs="Times New Roman" w:eastAsia="Times New Roman" w:hAnsi="Times New Roman"/>
          <w:sz w:val="20"/>
          <w:szCs w:val="20"/>
          <w:u w:val="single" w:color="auto"/>
          <w:color w:val="auto"/>
        </w:rPr>
        <w:t>ABR Term SOFR Determination Day</w:t>
      </w:r>
      <w:r>
        <w:rPr>
          <w:rFonts w:ascii="Times New Roman" w:cs="Times New Roman" w:eastAsia="Times New Roman" w:hAnsi="Times New Roman"/>
          <w:sz w:val="20"/>
          <w:szCs w:val="20"/>
          <w:color w:val="auto"/>
        </w:rPr>
        <w:t xml:space="preserve">”) that is two (2) U.S. Government Securities Business Days prior to such day, as such rate is published by the Term SOFR Administrator;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if as of 5:00 p.m. (New York City time) on any ABR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w:t>
      </w:r>
    </w:p>
    <w:p>
      <w:pPr>
        <w:sectPr>
          <w:pgSz w:w="11900" w:h="16838" w:orient="portrait"/>
          <w:cols w:equalWidth="0" w:num="1">
            <w:col w:w="11240"/>
          </w:cols>
          <w:pgMar w:left="320" w:top="108" w:right="339" w:bottom="1440" w:gutter="0" w:footer="0" w:header="0"/>
        </w:sectPr>
      </w:pPr>
    </w:p>
    <w:bookmarkStart w:id="251" w:name="page252"/>
    <w:bookmarkEnd w:id="251"/>
    <w:p>
      <w:pPr>
        <w:jc w:val="right"/>
        <w:spacing w:after="0"/>
        <w:rPr>
          <w:sz w:val="20"/>
          <w:szCs w:val="20"/>
          <w:color w:val="auto"/>
        </w:rPr>
      </w:pPr>
      <w:r>
        <w:rPr>
          <w:rFonts w:ascii="Times New Roman" w:cs="Times New Roman" w:eastAsia="Times New Roman" w:hAnsi="Times New Roman"/>
          <w:sz w:val="22"/>
          <w:szCs w:val="22"/>
          <w:color w:val="FF0000"/>
          <w:strike w:val="1"/>
        </w:rPr>
        <w:t>ANNEX</w:t>
      </w:r>
      <w:r>
        <w:rPr>
          <w:rFonts w:ascii="Times New Roman" w:cs="Times New Roman" w:eastAsia="Times New Roman" w:hAnsi="Times New Roman"/>
          <w:sz w:val="22"/>
          <w:szCs w:val="22"/>
          <w:b w:val="1"/>
          <w:bCs w:val="1"/>
          <w:u w:val="single" w:color="auto"/>
          <w:color w:val="0000FF"/>
        </w:rPr>
        <w:t>EXHIBIT</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ABR Term SOFR Determination Day.</w:t>
      </w:r>
    </w:p>
    <w:p>
      <w:pPr>
        <w:spacing w:after="0" w:line="181" w:lineRule="exact"/>
        <w:rPr>
          <w:sz w:val="20"/>
          <w:szCs w:val="20"/>
          <w:color w:val="auto"/>
        </w:rPr>
      </w:pPr>
    </w:p>
    <w:p>
      <w:pPr>
        <w:jc w:val="both"/>
        <w:ind w:right="20"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SOFR Adjustment</w:t>
      </w:r>
      <w:r>
        <w:rPr>
          <w:rFonts w:ascii="Times New Roman" w:cs="Times New Roman" w:eastAsia="Times New Roman" w:hAnsi="Times New Roman"/>
          <w:sz w:val="20"/>
          <w:szCs w:val="20"/>
          <w:color w:val="auto"/>
        </w:rPr>
        <w:t>” shall mean, for any calculation with respect to a SOFR Loan, a percentage per annum as set forth below for the applicable Interest Period therefor:</w:t>
      </w:r>
    </w:p>
    <w:p>
      <w:pPr>
        <w:spacing w:after="0" w:line="189" w:lineRule="exact"/>
        <w:rPr>
          <w:sz w:val="20"/>
          <w:szCs w:val="20"/>
          <w:color w:val="auto"/>
        </w:rPr>
      </w:pPr>
    </w:p>
    <w:tbl>
      <w:tblPr>
        <w:tblLayout w:type="fixed"/>
        <w:tblInd w:w="1230" w:type="dxa"/>
        <w:tblCellMar>
          <w:top w:w="0" w:type="dxa"/>
          <w:left w:w="0" w:type="dxa"/>
          <w:bottom w:w="0" w:type="dxa"/>
          <w:right w:w="0" w:type="dxa"/>
        </w:tblCellMar>
      </w:tblPr>
      <w:tr>
        <w:trPr>
          <w:trHeight w:val="280"/>
        </w:trPr>
        <w:tc>
          <w:tcPr>
            <w:tcW w:w="3380" w:type="dxa"/>
            <w:vAlign w:val="bottom"/>
            <w:tcBorders>
              <w:top w:val="single" w:sz="8" w:color="auto"/>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0"/>
                <w:szCs w:val="20"/>
                <w:color w:val="auto"/>
              </w:rPr>
              <w:t>Interest Period</w:t>
            </w:r>
          </w:p>
        </w:tc>
        <w:tc>
          <w:tcPr>
            <w:tcW w:w="3480" w:type="dxa"/>
            <w:vAlign w:val="bottom"/>
            <w:tcBorders>
              <w:top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Percentage</w:t>
            </w:r>
          </w:p>
        </w:tc>
      </w:tr>
      <w:tr>
        <w:trPr>
          <w:trHeight w:val="263"/>
        </w:trPr>
        <w:tc>
          <w:tcPr>
            <w:tcW w:w="338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0"/>
                <w:szCs w:val="20"/>
                <w:color w:val="auto"/>
              </w:rPr>
              <w:t>One month</w:t>
            </w:r>
          </w:p>
        </w:tc>
        <w:tc>
          <w:tcPr>
            <w:tcW w:w="348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0.11448%</w:t>
            </w:r>
          </w:p>
        </w:tc>
      </w:tr>
      <w:tr>
        <w:trPr>
          <w:trHeight w:val="263"/>
        </w:trPr>
        <w:tc>
          <w:tcPr>
            <w:tcW w:w="338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0"/>
                <w:szCs w:val="20"/>
                <w:color w:val="auto"/>
              </w:rPr>
              <w:t>Three months</w:t>
            </w:r>
          </w:p>
        </w:tc>
        <w:tc>
          <w:tcPr>
            <w:tcW w:w="348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0.26161%</w:t>
            </w:r>
          </w:p>
        </w:tc>
      </w:tr>
      <w:tr>
        <w:trPr>
          <w:trHeight w:val="263"/>
        </w:trPr>
        <w:tc>
          <w:tcPr>
            <w:tcW w:w="338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0"/>
                <w:szCs w:val="20"/>
                <w:color w:val="auto"/>
              </w:rPr>
              <w:t>Six months</w:t>
            </w:r>
          </w:p>
        </w:tc>
        <w:tc>
          <w:tcPr>
            <w:tcW w:w="348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0.42826%</w:t>
            </w:r>
          </w:p>
        </w:tc>
      </w:tr>
    </w:tbl>
    <w:p>
      <w:pPr>
        <w:spacing w:after="0" w:line="200" w:lineRule="exact"/>
        <w:rPr>
          <w:sz w:val="20"/>
          <w:szCs w:val="20"/>
          <w:color w:val="auto"/>
        </w:rPr>
      </w:pPr>
    </w:p>
    <w:p>
      <w:pPr>
        <w:spacing w:after="0" w:line="304" w:lineRule="exact"/>
        <w:rPr>
          <w:sz w:val="20"/>
          <w:szCs w:val="20"/>
          <w:color w:val="auto"/>
        </w:rPr>
      </w:pPr>
    </w:p>
    <w:p>
      <w:pPr>
        <w:jc w:val="both"/>
        <w:ind w:right="20"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SOFR Administrator</w:t>
      </w:r>
      <w:r>
        <w:rPr>
          <w:rFonts w:ascii="Times New Roman" w:cs="Times New Roman" w:eastAsia="Times New Roman" w:hAnsi="Times New Roman"/>
          <w:sz w:val="20"/>
          <w:szCs w:val="20"/>
          <w:color w:val="auto"/>
        </w:rPr>
        <w:t>” shall mean CME Group Benchmark Administration Limited (CBA) (or a successor administrator of the Term SOFR Reference Rate selected by the Administrative Agent in its reasonable discretion).</w:t>
      </w:r>
    </w:p>
    <w:p>
      <w:pPr>
        <w:spacing w:after="0" w:line="1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SOFR Reference Rate</w:t>
      </w:r>
      <w:r>
        <w:rPr>
          <w:rFonts w:ascii="Times New Roman" w:cs="Times New Roman" w:eastAsia="Times New Roman" w:hAnsi="Times New Roman"/>
          <w:sz w:val="20"/>
          <w:szCs w:val="20"/>
          <w:color w:val="auto"/>
        </w:rPr>
        <w:t>” shall mean the forward-looking term rate based on SOFR.</w:t>
      </w:r>
    </w:p>
    <w:p>
      <w:pPr>
        <w:spacing w:after="0" w:line="20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Yield Differential</w:t>
      </w:r>
      <w:r>
        <w:rPr>
          <w:rFonts w:ascii="Times New Roman" w:cs="Times New Roman" w:eastAsia="Times New Roman" w:hAnsi="Times New Roman"/>
          <w:sz w:val="20"/>
          <w:szCs w:val="20"/>
          <w:color w:val="auto"/>
        </w:rPr>
        <w:t>” shall have the meaning assigned to such term in Section 2.21(b)(vii).</w:t>
      </w:r>
    </w:p>
    <w:p>
      <w:pPr>
        <w:spacing w:after="0" w:line="202"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Termination Date</w:t>
      </w:r>
      <w:r>
        <w:rPr>
          <w:rFonts w:ascii="Times New Roman" w:cs="Times New Roman" w:eastAsia="Times New Roman" w:hAnsi="Times New Roman"/>
          <w:sz w:val="20"/>
          <w:szCs w:val="20"/>
          <w:color w:val="auto"/>
        </w:rPr>
        <w:t>” shall mean the date on which (a) all Commitments shall have been terminated, (b) the principal of and interest on each Loan, all Fees and all other expenses or amounts payable under any Loan Document and all other Loan Obligations shall have been paid in full (other than in respect of contingent indemnification and expense reimbursement claims not then due) and (c) all Letters of Credit (other than those that have been Cash Collateralized) have been cancelled or have expired and all amounts drawn or paid thereunder have been reimbursed in full.</w:t>
      </w:r>
    </w:p>
    <w:p>
      <w:pPr>
        <w:spacing w:after="0" w:line="159"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Test Period</w:t>
      </w:r>
      <w:r>
        <w:rPr>
          <w:rFonts w:ascii="Times New Roman" w:cs="Times New Roman" w:eastAsia="Times New Roman" w:hAnsi="Times New Roman"/>
          <w:sz w:val="20"/>
          <w:szCs w:val="20"/>
          <w:color w:val="auto"/>
        </w:rPr>
        <w:t>” shall mean, on any date of determination, the period of four consecutive fiscal quarters of the Borrower then most recently ended (taken as one accounting period) for which financial statements have been (or were required to be) delivered pursuant to Section 5.04(a) or 5.04(b).</w:t>
      </w:r>
    </w:p>
    <w:p>
      <w:pPr>
        <w:spacing w:after="0" w:line="154"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Testing Condition</w:t>
      </w:r>
      <w:r>
        <w:rPr>
          <w:rFonts w:ascii="Times New Roman" w:cs="Times New Roman" w:eastAsia="Times New Roman" w:hAnsi="Times New Roman"/>
          <w:sz w:val="20"/>
          <w:szCs w:val="20"/>
          <w:color w:val="auto"/>
        </w:rPr>
        <w:t>” shall be satisfied at any time if as of such time (i) the sum of without duplication (x) the aggregate principal amount of outstanding Revolving Facility Loans and Swingline Loans at such time (calculated, in the case of Alternate Currency Loans, based on the Dollar Equivalent thereof) and (y) the aggregate stated amount (based on the Dollar Equivalent thereof) of Letters of Credit issued hereunder (other than $25,000,000 of undrawn Letters of Credit and any Letters of Credit that have been Cash Collateralized in accordance with Section 2.05(j)) exceeds (ii) an amount equal to 35% of the aggregate amount of the Revolving Facility Commitments at such time.</w:t>
      </w:r>
    </w:p>
    <w:p>
      <w:pPr>
        <w:spacing w:after="0" w:line="179"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Third Party Funds</w:t>
      </w:r>
      <w:r>
        <w:rPr>
          <w:rFonts w:ascii="Times New Roman" w:cs="Times New Roman" w:eastAsia="Times New Roman" w:hAnsi="Times New Roman"/>
          <w:sz w:val="20"/>
          <w:szCs w:val="20"/>
          <w:color w:val="auto"/>
        </w:rPr>
        <w:t>” shall mean any segregated accounts or funds, or any portion thereof, received by Borrower or any of its Subsidiaries as agent on behalf of third parties in accordance with a written agreement that imposes a duty upon Borrower or one or more of its Subsidiaries to collect and remit those funds to such third parties.</w:t>
      </w:r>
    </w:p>
    <w:p>
      <w:pPr>
        <w:spacing w:after="0" w:line="15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Trade Letters of Credit</w:t>
      </w:r>
      <w:r>
        <w:rPr>
          <w:rFonts w:ascii="Times New Roman" w:cs="Times New Roman" w:eastAsia="Times New Roman" w:hAnsi="Times New Roman"/>
          <w:sz w:val="20"/>
          <w:szCs w:val="20"/>
          <w:color w:val="auto"/>
        </w:rPr>
        <w:t>” shall have the meaning assigned to such term in Section 2.05(a).</w:t>
      </w:r>
    </w:p>
    <w:p>
      <w:pPr>
        <w:sectPr>
          <w:pgSz w:w="11900" w:h="16838" w:orient="portrait"/>
          <w:cols w:equalWidth="0" w:num="1">
            <w:col w:w="11240"/>
          </w:cols>
          <w:pgMar w:left="320" w:top="108" w:right="339" w:bottom="1440" w:gutter="0" w:footer="0" w:header="0"/>
        </w:sectPr>
      </w:pPr>
    </w:p>
    <w:bookmarkStart w:id="252" w:name="page253"/>
    <w:bookmarkEnd w:id="252"/>
    <w:p>
      <w:pPr>
        <w:jc w:val="right"/>
        <w:spacing w:after="0"/>
        <w:rPr>
          <w:sz w:val="20"/>
          <w:szCs w:val="20"/>
          <w:color w:val="auto"/>
        </w:rPr>
      </w:pPr>
      <w:r>
        <w:rPr>
          <w:rFonts w:ascii="Times New Roman" w:cs="Times New Roman" w:eastAsia="Times New Roman" w:hAnsi="Times New Roman"/>
          <w:sz w:val="22"/>
          <w:szCs w:val="22"/>
          <w:color w:val="FF0000"/>
          <w:strike w:val="1"/>
        </w:rPr>
        <w:t>ANNEX</w:t>
      </w:r>
      <w:r>
        <w:rPr>
          <w:rFonts w:ascii="Times New Roman" w:cs="Times New Roman" w:eastAsia="Times New Roman" w:hAnsi="Times New Roman"/>
          <w:sz w:val="22"/>
          <w:szCs w:val="22"/>
          <w:b w:val="1"/>
          <w:bCs w:val="1"/>
          <w:u w:val="single" w:color="auto"/>
          <w:color w:val="0000FF"/>
        </w:rPr>
        <w:t>EXHIBIT</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Transaction Documents</w:t>
      </w:r>
      <w:r>
        <w:rPr>
          <w:rFonts w:ascii="Times New Roman" w:cs="Times New Roman" w:eastAsia="Times New Roman" w:hAnsi="Times New Roman"/>
          <w:sz w:val="20"/>
          <w:szCs w:val="20"/>
          <w:color w:val="auto"/>
        </w:rPr>
        <w:t>” shall mean the Merger Agreement, the Loan Documents and the Senior Unsecured Note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Documents.</w:t>
      </w:r>
    </w:p>
    <w:p>
      <w:pPr>
        <w:spacing w:after="0" w:line="187"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Transaction Expenses</w:t>
      </w:r>
      <w:r>
        <w:rPr>
          <w:rFonts w:ascii="Times New Roman" w:cs="Times New Roman" w:eastAsia="Times New Roman" w:hAnsi="Times New Roman"/>
          <w:sz w:val="20"/>
          <w:szCs w:val="20"/>
          <w:color w:val="auto"/>
        </w:rPr>
        <w:t>” shall mean any fees or expenses incurred or paid by the Borrower or any of its Subsidiaries or any of their Affiliates in connection with the Transactions, the 2021 Transactions, the Prior Amendments, this Agreement and the other Loan Documents, and the transactions contemplated hereby and thereby.</w:t>
      </w:r>
    </w:p>
    <w:p>
      <w:pPr>
        <w:spacing w:after="0" w:line="154"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Transactions</w:t>
      </w:r>
      <w:r>
        <w:rPr>
          <w:rFonts w:ascii="Times New Roman" w:cs="Times New Roman" w:eastAsia="Times New Roman" w:hAnsi="Times New Roman"/>
          <w:sz w:val="20"/>
          <w:szCs w:val="20"/>
          <w:color w:val="auto"/>
        </w:rPr>
        <w:t>” shall mean, collectively, the transactions to occur pursuant to the Transaction Documents, including (a) the consummation of the Merger; (b) the execution, delivery and performance of the Loan Documents, the creation of the Liens pursuant to the Security Documents, and the initial borrowings hereunder; (c) the execution, delivery and performance of the Senior Unsecured Notes Documents; (d) the repayment in full of, and the termination of all obligations and commitments under, the Existing Credit Agreement (as defined in the Original Credit Agreement); (e) the redemption and repayment in full, and discharge of, the Existing Notes (as defined in the Original Credit Agreement); and (f) the payment of all fees and expenses to be paid and owing in connection with the foregoing.</w:t>
      </w:r>
    </w:p>
    <w:p>
      <w:pPr>
        <w:spacing w:after="0" w:line="19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Type</w:t>
      </w:r>
      <w:r>
        <w:rPr>
          <w:rFonts w:ascii="Times New Roman" w:cs="Times New Roman" w:eastAsia="Times New Roman" w:hAnsi="Times New Roman"/>
          <w:sz w:val="20"/>
          <w:szCs w:val="20"/>
          <w:color w:val="auto"/>
        </w:rPr>
        <w:t>” shall mean, when used in respect of any Loan or Borrowing, the Rate by reference to which interest on such Loan or on the Loans comprising such Borrowing is determined. For purposes hereof, the term “</w:t>
      </w:r>
      <w:r>
        <w:rPr>
          <w:rFonts w:ascii="Times New Roman" w:cs="Times New Roman" w:eastAsia="Times New Roman" w:hAnsi="Times New Roman"/>
          <w:sz w:val="20"/>
          <w:szCs w:val="20"/>
          <w:u w:val="single" w:color="auto"/>
          <w:color w:val="auto"/>
        </w:rPr>
        <w:t>Rate</w:t>
      </w:r>
      <w:r>
        <w:rPr>
          <w:rFonts w:ascii="Times New Roman" w:cs="Times New Roman" w:eastAsia="Times New Roman" w:hAnsi="Times New Roman"/>
          <w:sz w:val="20"/>
          <w:szCs w:val="20"/>
          <w:color w:val="auto"/>
        </w:rPr>
        <w:t>” shall include the Adjusted Term SOFR Rate and the ABR.</w:t>
      </w:r>
    </w:p>
    <w:p>
      <w:pPr>
        <w:spacing w:after="0" w:line="181"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UK Financial Institution</w:t>
      </w:r>
      <w:r>
        <w:rPr>
          <w:rFonts w:ascii="Times New Roman" w:cs="Times New Roman" w:eastAsia="Times New Roman" w:hAnsi="Times New Roman"/>
          <w:sz w:val="20"/>
          <w:szCs w:val="20"/>
          <w:color w:val="auto"/>
        </w:rPr>
        <w:t xml:space="preserve">” shall mean any BRRD Undertaking (as such term is defined under the PRA Rulebook (as amended </w:t>
      </w:r>
      <w:r>
        <w:rPr>
          <w:rFonts w:ascii="Times New Roman" w:cs="Times New Roman" w:eastAsia="Times New Roman" w:hAnsi="Times New Roman"/>
          <w:sz w:val="20"/>
          <w:szCs w:val="20"/>
          <w:color w:val="FF0000"/>
          <w:strike w:val="1"/>
        </w:rPr>
        <w:t>form</w:t>
      </w:r>
      <w:r>
        <w:rPr>
          <w:rFonts w:ascii="Times New Roman" w:cs="Times New Roman" w:eastAsia="Times New Roman" w:hAnsi="Times New Roman"/>
          <w:sz w:val="20"/>
          <w:szCs w:val="20"/>
          <w:b w:val="1"/>
          <w:bCs w:val="1"/>
          <w:u w:val="single" w:color="auto"/>
          <w:color w:val="0000FF"/>
        </w:rPr>
        <w:t>from</w:t>
      </w:r>
      <w:r>
        <w:rPr>
          <w:rFonts w:ascii="Times New Roman" w:cs="Times New Roman" w:eastAsia="Times New Roman" w:hAnsi="Times New Roman"/>
          <w:sz w:val="20"/>
          <w:szCs w:val="20"/>
          <w:color w:val="auto"/>
        </w:rPr>
        <w:t xml:space="preserve">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86" w:lineRule="exact"/>
        <w:rPr>
          <w:sz w:val="20"/>
          <w:szCs w:val="20"/>
          <w:color w:val="auto"/>
        </w:rPr>
      </w:pPr>
    </w:p>
    <w:p>
      <w:pPr>
        <w:jc w:val="both"/>
        <w:ind w:right="20"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UK Resolution Authority</w:t>
      </w:r>
      <w:r>
        <w:rPr>
          <w:rFonts w:ascii="Times New Roman" w:cs="Times New Roman" w:eastAsia="Times New Roman" w:hAnsi="Times New Roman"/>
          <w:sz w:val="20"/>
          <w:szCs w:val="20"/>
          <w:color w:val="auto"/>
        </w:rPr>
        <w:t>” shall mean the Bank of England or any other public administrative authority having responsibility for the resolution of any UK Financial Institution.</w:t>
      </w:r>
    </w:p>
    <w:p>
      <w:pPr>
        <w:spacing w:after="0" w:line="133"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Unadjusted Benchmark Replacement</w:t>
      </w:r>
      <w:r>
        <w:rPr>
          <w:rFonts w:ascii="Times New Roman" w:cs="Times New Roman" w:eastAsia="Times New Roman" w:hAnsi="Times New Roman"/>
          <w:sz w:val="20"/>
          <w:szCs w:val="20"/>
          <w:color w:val="auto"/>
        </w:rPr>
        <w:t>” shall mean the applicable Benchmark Replacement excluding the related Benchmark Replacement Adjustment.</w:t>
      </w:r>
    </w:p>
    <w:p>
      <w:pPr>
        <w:spacing w:after="0" w:line="133"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Uniform Commercial Code</w:t>
      </w:r>
      <w:r>
        <w:rPr>
          <w:rFonts w:ascii="Times New Roman" w:cs="Times New Roman" w:eastAsia="Times New Roman" w:hAnsi="Times New Roman"/>
          <w:sz w:val="20"/>
          <w:szCs w:val="20"/>
          <w:color w:val="auto"/>
        </w:rPr>
        <w:t>” shall mean the Uniform Commercial Code as the same may from time to time be in effect in the State of New York or the Uniform Commercial Code (or similar code or statute) of another jurisdiction, to the extent it may be required to apply to any item or items of Collateral.</w:t>
      </w:r>
    </w:p>
    <w:p>
      <w:pPr>
        <w:spacing w:after="0" w:line="15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Unreimbursed Amount</w:t>
      </w:r>
      <w:r>
        <w:rPr>
          <w:rFonts w:ascii="Times New Roman" w:cs="Times New Roman" w:eastAsia="Times New Roman" w:hAnsi="Times New Roman"/>
          <w:sz w:val="20"/>
          <w:szCs w:val="20"/>
          <w:color w:val="auto"/>
        </w:rPr>
        <w:t>” shall have the meaning assigned to such term in Section 2.05(e).</w:t>
      </w:r>
    </w:p>
    <w:p>
      <w:pPr>
        <w:spacing w:after="0" w:line="216"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Unrestricted Cash</w:t>
      </w:r>
      <w:r>
        <w:rPr>
          <w:rFonts w:ascii="Times New Roman" w:cs="Times New Roman" w:eastAsia="Times New Roman" w:hAnsi="Times New Roman"/>
          <w:sz w:val="20"/>
          <w:szCs w:val="20"/>
          <w:color w:val="auto"/>
        </w:rPr>
        <w:t>” shall mean cash or cash equivalents of the Borrower or any of its Subsidiaries that would not appear as “restricted” on a consolidated balance sheet of the Borrower or any of its Subsidiaries.</w:t>
      </w:r>
    </w:p>
    <w:p>
      <w:pPr>
        <w:spacing w:after="0" w:line="159"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Unrestricted Subsidiary</w:t>
      </w:r>
      <w:r>
        <w:rPr>
          <w:rFonts w:ascii="Times New Roman" w:cs="Times New Roman" w:eastAsia="Times New Roman" w:hAnsi="Times New Roman"/>
          <w:sz w:val="20"/>
          <w:szCs w:val="20"/>
          <w:color w:val="auto"/>
        </w:rPr>
        <w:t xml:space="preserve">” shall mean (1) any Subsidiary of the Borrower identified on </w:t>
      </w:r>
      <w:r>
        <w:rPr>
          <w:rFonts w:ascii="Times New Roman" w:cs="Times New Roman" w:eastAsia="Times New Roman" w:hAnsi="Times New Roman"/>
          <w:sz w:val="20"/>
          <w:szCs w:val="20"/>
          <w:u w:val="single" w:color="auto"/>
          <w:color w:val="auto"/>
        </w:rPr>
        <w:t>Schedule 1.01(D)</w:t>
      </w:r>
      <w:r>
        <w:rPr>
          <w:rFonts w:ascii="Times New Roman" w:cs="Times New Roman" w:eastAsia="Times New Roman" w:hAnsi="Times New Roman"/>
          <w:sz w:val="20"/>
          <w:szCs w:val="20"/>
          <w:color w:val="auto"/>
        </w:rPr>
        <w:t xml:space="preserve"> to the Original Credit Agreement, (2) any other Subsidiary of the Borrower, whether now owned or acquired or created after the Closing Date, that is designated by the Borrower as an Unrestricted Subsidiary hereunder by written notice to the Administrative Agent;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the</w:t>
      </w:r>
    </w:p>
    <w:p>
      <w:pPr>
        <w:sectPr>
          <w:pgSz w:w="11900" w:h="16838" w:orient="portrait"/>
          <w:cols w:equalWidth="0" w:num="1">
            <w:col w:w="11240"/>
          </w:cols>
          <w:pgMar w:left="320" w:top="108" w:right="339" w:bottom="1440" w:gutter="0" w:footer="0" w:header="0"/>
        </w:sectPr>
      </w:pPr>
    </w:p>
    <w:bookmarkStart w:id="253" w:name="page254"/>
    <w:bookmarkEnd w:id="253"/>
    <w:p>
      <w:pPr>
        <w:jc w:val="right"/>
        <w:spacing w:after="0"/>
        <w:rPr>
          <w:sz w:val="20"/>
          <w:szCs w:val="20"/>
          <w:color w:val="auto"/>
        </w:rPr>
      </w:pPr>
      <w:r>
        <w:rPr>
          <w:rFonts w:ascii="Times New Roman" w:cs="Times New Roman" w:eastAsia="Times New Roman" w:hAnsi="Times New Roman"/>
          <w:sz w:val="22"/>
          <w:szCs w:val="22"/>
          <w:color w:val="FF0000"/>
          <w:strike w:val="1"/>
        </w:rPr>
        <w:t>ANNEX</w:t>
      </w:r>
      <w:r>
        <w:rPr>
          <w:rFonts w:ascii="Times New Roman" w:cs="Times New Roman" w:eastAsia="Times New Roman" w:hAnsi="Times New Roman"/>
          <w:sz w:val="22"/>
          <w:szCs w:val="22"/>
          <w:b w:val="1"/>
          <w:bCs w:val="1"/>
          <w:u w:val="single" w:color="auto"/>
          <w:color w:val="0000FF"/>
        </w:rPr>
        <w:t>EXHIBIT</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Borrower shall only be permitted to so designate a new Unrestricted Subsidiary after the Closing Date so long as (a) no Default or Event of Default has occurred and is continuing or would result therefrom, (b) immediately after giving effect to such designation, the Borrower shall be in Pro Forma Compliance with the Financial Covenant as of the last day of the then most recently ended Test Period, (c) such Unrestricted Subsidiary shall be capitalized (to the extent capitalized by the Borrower or any of its Subsidiaries) through Investments as permitted by, and in compliance with, Section 6.04, and any prior or concurrent Investments in such Subsidiary by the Borrower or any of its Subsidiaries shall be deemed to have been made under Section 6.04, and (d) without duplication of clause (c), any net assets owned by such Unrestricted Subsidiary at the time of the initial designation thereof shall be treated as Investments pursuant to Section 6.04; and (3) any subsidiary of an Unrestricted Subsidiary. The Borrower may designate any Unrestricted Subsidiary to be a Subsidiary for purposes of this Agreement (each, a “</w:t>
      </w:r>
      <w:r>
        <w:rPr>
          <w:rFonts w:ascii="Times New Roman" w:cs="Times New Roman" w:eastAsia="Times New Roman" w:hAnsi="Times New Roman"/>
          <w:sz w:val="19"/>
          <w:szCs w:val="19"/>
          <w:u w:val="single" w:color="auto"/>
          <w:color w:val="auto"/>
        </w:rPr>
        <w:t>Subsidiary Redesignation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that (i) no Default or Event of Default has occurred and is continuing or would result therefrom and</w:t>
      </w:r>
    </w:p>
    <w:p>
      <w:pPr>
        <w:ind w:firstLine="8"/>
        <w:spacing w:after="0" w:line="260" w:lineRule="auto"/>
        <w:tabs>
          <w:tab w:leader="none" w:pos="295" w:val="left"/>
        </w:tabs>
        <w:numPr>
          <w:ilvl w:val="0"/>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shall have delivered to the Administrative Agent an officer’s certificate executed by a Responsible Officer of the Borrower, certifying to the best of such officer’s knowledge, compliance with the requirements of preceding clause (i).</w:t>
      </w:r>
    </w:p>
    <w:p>
      <w:pPr>
        <w:spacing w:after="0" w:line="155"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Bankruptcy Code</w:t>
      </w:r>
      <w:r>
        <w:rPr>
          <w:rFonts w:ascii="Times New Roman" w:cs="Times New Roman" w:eastAsia="Times New Roman" w:hAnsi="Times New Roman"/>
          <w:sz w:val="20"/>
          <w:szCs w:val="20"/>
          <w:color w:val="auto"/>
        </w:rPr>
        <w:t>” shall mean Title 11 of the United States Code, as amended, or any similar federal or state law for the relief of debtors.</w:t>
      </w:r>
    </w:p>
    <w:p>
      <w:pPr>
        <w:spacing w:after="0" w:line="133"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Government Securities Business Day</w:t>
      </w:r>
      <w:r>
        <w:rPr>
          <w:rFonts w:ascii="Times New Roman" w:cs="Times New Roman" w:eastAsia="Times New Roman" w:hAnsi="Times New Roman"/>
          <w:sz w:val="20"/>
          <w:szCs w:val="20"/>
          <w:color w:val="auto"/>
        </w:rPr>
        <w:t>” shall mean any day except for (a) a Saturday, (b) a Sunday or (c) a day on which the Securities Industry and Financial Markets Association recommends that the fixed income departments of its members be closed for the entire day for purposes of trading in United States government securities.</w:t>
      </w:r>
    </w:p>
    <w:p>
      <w:pPr>
        <w:spacing w:after="0" w:line="15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Lender</w:t>
      </w:r>
      <w:r>
        <w:rPr>
          <w:rFonts w:ascii="Times New Roman" w:cs="Times New Roman" w:eastAsia="Times New Roman" w:hAnsi="Times New Roman"/>
          <w:sz w:val="20"/>
          <w:szCs w:val="20"/>
          <w:color w:val="auto"/>
        </w:rPr>
        <w:t>” shall mean any Lender other than a Foreign Lender.</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Special Resolution Regimes</w:t>
      </w:r>
      <w:r>
        <w:rPr>
          <w:rFonts w:ascii="Times New Roman" w:cs="Times New Roman" w:eastAsia="Times New Roman" w:hAnsi="Times New Roman"/>
          <w:sz w:val="20"/>
          <w:szCs w:val="20"/>
          <w:color w:val="auto"/>
        </w:rPr>
        <w:t>” shall have the meaning assigned to such term in Section 9.25.</w:t>
      </w:r>
    </w:p>
    <w:p>
      <w:pPr>
        <w:spacing w:after="0" w:line="202" w:lineRule="exact"/>
        <w:rPr>
          <w:sz w:val="20"/>
          <w:szCs w:val="20"/>
          <w:color w:val="auto"/>
        </w:rPr>
      </w:pPr>
    </w:p>
    <w:p>
      <w:pPr>
        <w:jc w:val="both"/>
        <w:ind w:right="20"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USA PATRIOT Act</w:t>
      </w:r>
      <w:r>
        <w:rPr>
          <w:rFonts w:ascii="Times New Roman" w:cs="Times New Roman" w:eastAsia="Times New Roman" w:hAnsi="Times New Roman"/>
          <w:sz w:val="20"/>
          <w:szCs w:val="20"/>
          <w:color w:val="auto"/>
        </w:rPr>
        <w:t>” shall mean the Uniting and Strengthening America by Providing Appropriate Tools Required to Intercept and Obstruct Terrorism Act of 2001 (Title III of Pub. L. No. 107 56 (signed into law October 26, 2001)).</w:t>
      </w:r>
    </w:p>
    <w:p>
      <w:pPr>
        <w:spacing w:after="0" w:line="133"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Voting Stock</w:t>
      </w:r>
      <w:r>
        <w:rPr>
          <w:rFonts w:ascii="Times New Roman" w:cs="Times New Roman" w:eastAsia="Times New Roman" w:hAnsi="Times New Roman"/>
          <w:sz w:val="20"/>
          <w:szCs w:val="20"/>
          <w:color w:val="auto"/>
        </w:rPr>
        <w:t>” shall mean, with respect to any person, such person’s Equity Interests having the right to vote for the election of directors of such person under ordinary circumstances.</w:t>
      </w:r>
    </w:p>
    <w:p>
      <w:pPr>
        <w:spacing w:after="0" w:line="159"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Weighted Average Life to Maturity</w:t>
      </w:r>
      <w:r>
        <w:rPr>
          <w:rFonts w:ascii="Times New Roman" w:cs="Times New Roman" w:eastAsia="Times New Roman" w:hAnsi="Times New Roman"/>
          <w:sz w:val="20"/>
          <w:szCs w:val="20"/>
          <w:color w:val="auto"/>
        </w:rPr>
        <w:t xml:space="preserve">” shall mean, when applied to any Indebtedness at any date, the number of years obtained by </w:t>
      </w:r>
      <w:r>
        <w:rPr>
          <w:rFonts w:ascii="Times New Roman" w:cs="Times New Roman" w:eastAsia="Times New Roman" w:hAnsi="Times New Roman"/>
          <w:sz w:val="20"/>
          <w:szCs w:val="20"/>
          <w:u w:val="single" w:color="auto"/>
          <w:color w:val="auto"/>
        </w:rPr>
        <w:t>dividing</w:t>
      </w:r>
      <w:r>
        <w:rPr>
          <w:rFonts w:ascii="Times New Roman" w:cs="Times New Roman" w:eastAsia="Times New Roman" w:hAnsi="Times New Roman"/>
          <w:sz w:val="20"/>
          <w:szCs w:val="20"/>
          <w:color w:val="auto"/>
        </w:rPr>
        <w:t xml:space="preserve">: (a) the sum of the products obtained by </w:t>
      </w:r>
      <w:r>
        <w:rPr>
          <w:rFonts w:ascii="Times New Roman" w:cs="Times New Roman" w:eastAsia="Times New Roman" w:hAnsi="Times New Roman"/>
          <w:sz w:val="20"/>
          <w:szCs w:val="20"/>
          <w:u w:val="single" w:color="auto"/>
          <w:color w:val="auto"/>
        </w:rPr>
        <w:t>multiplying</w:t>
      </w:r>
      <w:r>
        <w:rPr>
          <w:rFonts w:ascii="Times New Roman" w:cs="Times New Roman" w:eastAsia="Times New Roman" w:hAnsi="Times New Roman"/>
          <w:sz w:val="20"/>
          <w:szCs w:val="20"/>
          <w:color w:val="auto"/>
        </w:rPr>
        <w:t xml:space="preserve"> (i) the amount of each then remaining installment, sinking fund, serial maturity or other required payments of principal, including payment at final maturity, in respect thereof, </w:t>
      </w:r>
      <w:r>
        <w:rPr>
          <w:rFonts w:ascii="Times New Roman" w:cs="Times New Roman" w:eastAsia="Times New Roman" w:hAnsi="Times New Roman"/>
          <w:sz w:val="20"/>
          <w:szCs w:val="20"/>
          <w:u w:val="single" w:color="auto"/>
          <w:color w:val="auto"/>
        </w:rPr>
        <w:t>by</w:t>
      </w:r>
      <w:r>
        <w:rPr>
          <w:rFonts w:ascii="Times New Roman" w:cs="Times New Roman" w:eastAsia="Times New Roman" w:hAnsi="Times New Roman"/>
          <w:sz w:val="20"/>
          <w:szCs w:val="20"/>
          <w:color w:val="auto"/>
        </w:rPr>
        <w:t xml:space="preserve"> (ii) the number of years (calculated to the nearest one-twelfth) that will elapse between such date and the making of such payment; </w:t>
      </w:r>
      <w:r>
        <w:rPr>
          <w:rFonts w:ascii="Times New Roman" w:cs="Times New Roman" w:eastAsia="Times New Roman" w:hAnsi="Times New Roman"/>
          <w:sz w:val="20"/>
          <w:szCs w:val="20"/>
          <w:u w:val="single" w:color="auto"/>
          <w:color w:val="auto"/>
        </w:rPr>
        <w:t>by</w:t>
      </w:r>
      <w:r>
        <w:rPr>
          <w:rFonts w:ascii="Times New Roman" w:cs="Times New Roman" w:eastAsia="Times New Roman" w:hAnsi="Times New Roman"/>
          <w:sz w:val="20"/>
          <w:szCs w:val="20"/>
          <w:color w:val="auto"/>
        </w:rPr>
        <w:t xml:space="preserve"> (b) the then outstanding principal amount of such Indebtedness.</w:t>
      </w:r>
    </w:p>
    <w:p>
      <w:pPr>
        <w:spacing w:after="0" w:line="16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Wholly Owned Domestic Subsidiary</w:t>
      </w:r>
      <w:r>
        <w:rPr>
          <w:rFonts w:ascii="Times New Roman" w:cs="Times New Roman" w:eastAsia="Times New Roman" w:hAnsi="Times New Roman"/>
          <w:sz w:val="20"/>
          <w:szCs w:val="20"/>
          <w:color w:val="auto"/>
        </w:rPr>
        <w:t>” shall mean a Wholly Owned Subsidiary that is also a Domestic Subsidiary.</w:t>
      </w:r>
    </w:p>
    <w:p>
      <w:pPr>
        <w:spacing w:after="0" w:line="216" w:lineRule="exact"/>
        <w:rPr>
          <w:sz w:val="20"/>
          <w:szCs w:val="20"/>
          <w:color w:val="auto"/>
        </w:rPr>
      </w:pPr>
    </w:p>
    <w:p>
      <w:pPr>
        <w:jc w:val="both"/>
        <w:ind w:right="20"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Wholly Owned Subsidiary</w:t>
      </w:r>
      <w:r>
        <w:rPr>
          <w:rFonts w:ascii="Times New Roman" w:cs="Times New Roman" w:eastAsia="Times New Roman" w:hAnsi="Times New Roman"/>
          <w:sz w:val="20"/>
          <w:szCs w:val="20"/>
          <w:color w:val="auto"/>
        </w:rPr>
        <w:t>” of any person shall mean a subsidiary of such person, all of the Equity Interests of which (other than directors’ qualifying shares or nominee or other similar shares required pursuant to applicable law) are owned by such person or another Wholly Owned Subsidiary of</w:t>
      </w:r>
    </w:p>
    <w:p>
      <w:pPr>
        <w:sectPr>
          <w:pgSz w:w="11900" w:h="16838" w:orient="portrait"/>
          <w:cols w:equalWidth="0" w:num="1">
            <w:col w:w="11240"/>
          </w:cols>
          <w:pgMar w:left="320" w:top="108" w:right="339" w:bottom="1440" w:gutter="0" w:footer="0" w:header="0"/>
        </w:sectPr>
      </w:pPr>
    </w:p>
    <w:bookmarkStart w:id="254" w:name="page255"/>
    <w:bookmarkEnd w:id="254"/>
    <w:p>
      <w:pPr>
        <w:jc w:val="right"/>
        <w:spacing w:after="0"/>
        <w:rPr>
          <w:sz w:val="20"/>
          <w:szCs w:val="20"/>
          <w:color w:val="auto"/>
        </w:rPr>
      </w:pPr>
      <w:r>
        <w:rPr>
          <w:rFonts w:ascii="Times New Roman" w:cs="Times New Roman" w:eastAsia="Times New Roman" w:hAnsi="Times New Roman"/>
          <w:sz w:val="22"/>
          <w:szCs w:val="22"/>
          <w:color w:val="FF0000"/>
          <w:strike w:val="1"/>
        </w:rPr>
        <w:t>ANNEX</w:t>
      </w:r>
      <w:r>
        <w:rPr>
          <w:rFonts w:ascii="Times New Roman" w:cs="Times New Roman" w:eastAsia="Times New Roman" w:hAnsi="Times New Roman"/>
          <w:sz w:val="22"/>
          <w:szCs w:val="22"/>
          <w:b w:val="1"/>
          <w:bCs w:val="1"/>
          <w:u w:val="single" w:color="auto"/>
          <w:color w:val="0000FF"/>
        </w:rPr>
        <w:t>EXHIBIT</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such person. Unless the context otherwise requires, “Wholly Owned Subsidiary” shall mean a Subsidiary of the Borrower that is a Wholly Owned Subsidiary of the Borrower.</w:t>
      </w:r>
    </w:p>
    <w:p>
      <w:pPr>
        <w:spacing w:after="0" w:line="133" w:lineRule="exact"/>
        <w:rPr>
          <w:sz w:val="20"/>
          <w:szCs w:val="20"/>
          <w:color w:val="auto"/>
        </w:rPr>
      </w:pPr>
    </w:p>
    <w:p>
      <w:pPr>
        <w:jc w:val="both"/>
        <w:ind w:right="20"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Withdrawal Liability</w:t>
      </w:r>
      <w:r>
        <w:rPr>
          <w:rFonts w:ascii="Times New Roman" w:cs="Times New Roman" w:eastAsia="Times New Roman" w:hAnsi="Times New Roman"/>
          <w:sz w:val="20"/>
          <w:szCs w:val="20"/>
          <w:color w:val="auto"/>
        </w:rPr>
        <w:t>” shall mean liability to a Multiemployer Plan as a result of a complete or partial withdrawal from such Multiemployer Plan, as such terms are defined in Part I of Subtitle E of Title IV of ERISA.</w:t>
      </w:r>
    </w:p>
    <w:p>
      <w:pPr>
        <w:spacing w:after="0" w:line="159"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Working Capital</w:t>
      </w:r>
      <w:r>
        <w:rPr>
          <w:rFonts w:ascii="Times New Roman" w:cs="Times New Roman" w:eastAsia="Times New Roman" w:hAnsi="Times New Roman"/>
          <w:sz w:val="20"/>
          <w:szCs w:val="20"/>
          <w:color w:val="auto"/>
        </w:rPr>
        <w:t xml:space="preserve">” shall mean, with respect to the Borrower and the Subsidiaries on a consolidated basis at any date of determination, Current Assets at such date of determination </w:t>
      </w:r>
      <w:r>
        <w:rPr>
          <w:rFonts w:ascii="Times New Roman" w:cs="Times New Roman" w:eastAsia="Times New Roman" w:hAnsi="Times New Roman"/>
          <w:sz w:val="20"/>
          <w:szCs w:val="20"/>
          <w:u w:val="single" w:color="auto"/>
          <w:color w:val="auto"/>
        </w:rPr>
        <w:t>minus</w:t>
      </w:r>
      <w:r>
        <w:rPr>
          <w:rFonts w:ascii="Times New Roman" w:cs="Times New Roman" w:eastAsia="Times New Roman" w:hAnsi="Times New Roman"/>
          <w:sz w:val="20"/>
          <w:szCs w:val="20"/>
          <w:color w:val="auto"/>
        </w:rPr>
        <w:t xml:space="preserve"> Current Liabilities at such date of determination;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for purposes of calculating Excess Cash Flow, increases or decreases in Working Capital shall be calculated without regard to any changes in Current Assets or Current Liabilities as a result of (a) any reclassification in accordance with GAAP of assets or liabilities, as applicable, between current and noncurrent or (b) the effects of purchase accounting.</w:t>
      </w:r>
    </w:p>
    <w:p>
      <w:pPr>
        <w:spacing w:after="0" w:line="165"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Write-Down and Conversion Powers</w:t>
      </w:r>
      <w:r>
        <w:rPr>
          <w:rFonts w:ascii="Times New Roman" w:cs="Times New Roman" w:eastAsia="Times New Roman" w:hAnsi="Times New Roman"/>
          <w:sz w:val="20"/>
          <w:szCs w:val="20"/>
          <w:color w:val="auto"/>
        </w:rPr>
        <w:t>” shall mean,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82"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0"/>
          <w:szCs w:val="20"/>
          <w:color w:val="auto"/>
        </w:rPr>
        <w:t xml:space="preserve">Section 1.02 Terms Generally. The definitions set forth or referred to in Section 1.01 shall apply equally to both the singular and plural forms of the terms defined. Whenever the context may require, any pronoun shall include the corresponding masculine, feminine and neuter forms. The words “include,” “includes” and “including” shall be deemed to be followed by the phrase “without limitation.” All references herein to Articles, Sections, Exhibits and Schedules shall be deemed references to Articles and Sections of, and Exhibits and Schedules to, this Agreement unless the context shall otherwise require. Except as otherwise expressly provided herein, any reference in this Agreement to any Loan Document shall mean such document as amended, restated, supplemented or otherwise modified from time to time. Except as otherwise expressly provided herein, all terms of an accounting or financial nature shall be construed in accordance with GAAP, as in effect from time to time;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if the Borrower notifies the Administrative Agent that the Borrower requests an amendment to any provision hereof to eliminate the effect of any change occurring after December 1, 2020 in GAAP or in the application thereof on the operation of such provision (or if the Administrative Agent notifies the Borrower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Notwithstanding any changes in GAAP after December 1, 2020, any lease of the Borrower or the Subsidiaries, or of a special purpose or other entity not consolidated with the Borrower and its Subsidiaries at the time of its incurrence of such lease, that would be characterized as an operating lease under GAAP in effect on December 1, 2020 (whether such lease is entered into before or after December 1, 2020) shall not constitute Indebtedness or a Capitalized Lease Obligation of the Borrower or any Subsidiary under this Agreement or any other Loan Document as a result of such changes in GAAP.</w:t>
      </w:r>
    </w:p>
    <w:p>
      <w:pPr>
        <w:sectPr>
          <w:pgSz w:w="11900" w:h="16838" w:orient="portrait"/>
          <w:cols w:equalWidth="0" w:num="1">
            <w:col w:w="11240"/>
          </w:cols>
          <w:pgMar w:left="320" w:top="108" w:right="339" w:bottom="1440" w:gutter="0" w:footer="0" w:header="0"/>
        </w:sectPr>
      </w:pPr>
    </w:p>
    <w:bookmarkStart w:id="255" w:name="page256"/>
    <w:bookmarkEnd w:id="255"/>
    <w:p>
      <w:pPr>
        <w:ind w:left="9360"/>
        <w:spacing w:after="0"/>
        <w:rPr>
          <w:sz w:val="20"/>
          <w:szCs w:val="20"/>
          <w:color w:val="auto"/>
        </w:rPr>
      </w:pPr>
      <w:r>
        <w:rPr>
          <w:rFonts w:ascii="Times New Roman" w:cs="Times New Roman" w:eastAsia="Times New Roman" w:hAnsi="Times New Roman"/>
          <w:sz w:val="21"/>
          <w:szCs w:val="21"/>
          <w:color w:val="FF0000"/>
          <w:strike w:val="1"/>
        </w:rPr>
        <w:t>ANNEX</w:t>
      </w:r>
      <w:r>
        <w:rPr>
          <w:rFonts w:ascii="Times New Roman" w:cs="Times New Roman" w:eastAsia="Times New Roman" w:hAnsi="Times New Roman"/>
          <w:sz w:val="21"/>
          <w:szCs w:val="21"/>
          <w:b w:val="1"/>
          <w:bCs w:val="1"/>
          <w:u w:val="single" w:color="auto"/>
          <w:color w:val="0000FF"/>
        </w:rPr>
        <w:t>EXHIBIT</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000000"/>
        </w:rPr>
        <w: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Section 1.03 Effectuation of Transactions. Each of the representations and warranties of the Borrower contained in this Agreement (and all corresponding definitions) are made after giving effect to the Transactions as shall have taken place on or prior to the date of determination, unless the context otherwise requires.</w:t>
      </w:r>
    </w:p>
    <w:p>
      <w:pPr>
        <w:spacing w:after="0" w:line="150"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0"/>
          <w:szCs w:val="20"/>
          <w:color w:val="auto"/>
        </w:rPr>
        <w:t xml:space="preserve">Section 1.04 Exchange Rates; Currency Equivalents. (a) The </w:t>
      </w:r>
      <w:r>
        <w:rPr>
          <w:rFonts w:ascii="Times New Roman" w:cs="Times New Roman" w:eastAsia="Times New Roman" w:hAnsi="Times New Roman"/>
          <w:sz w:val="20"/>
          <w:szCs w:val="20"/>
          <w:color w:val="FF0000"/>
          <w:strike w:val="1"/>
        </w:rPr>
        <w:t>Administrative Agent</w:t>
      </w:r>
      <w:r>
        <w:rPr>
          <w:rFonts w:ascii="Times New Roman" w:cs="Times New Roman" w:eastAsia="Times New Roman" w:hAnsi="Times New Roman"/>
          <w:sz w:val="20"/>
          <w:szCs w:val="20"/>
          <w:b w:val="1"/>
          <w:bCs w:val="1"/>
          <w:u w:val="single" w:color="auto"/>
          <w:color w:val="0000FF"/>
        </w:rPr>
        <w:t>Issuing Bank</w:t>
      </w:r>
      <w:r>
        <w:rPr>
          <w:rFonts w:ascii="Times New Roman" w:cs="Times New Roman" w:eastAsia="Times New Roman" w:hAnsi="Times New Roman"/>
          <w:sz w:val="20"/>
          <w:szCs w:val="20"/>
          <w:color w:val="auto"/>
        </w:rPr>
        <w:t xml:space="preserve"> shall determine the Spot Rate as of each Revaluation Date to be used for calculating Dollar Equivalent amounts of Alternate Currency Letters of Credit and Alternate Currency Loans. Such Spot Rate shall become effective as of such Revaluation Date and shall be the Spot Rate employed in converting any amounts between the Dollars and each Alternate Currency until the next Revaluation Date to occur. Except for purposes of financial statements delivered by Loan Parties hereunder or calculating financial ratios hereunder or except as otherwise provided herein, the applicable amount of any currency (other than Dollars) for purposes of the Loan Documents shall be such Dollar Equivalent amount as determined by the </w:t>
      </w:r>
      <w:r>
        <w:rPr>
          <w:rFonts w:ascii="Times New Roman" w:cs="Times New Roman" w:eastAsia="Times New Roman" w:hAnsi="Times New Roman"/>
          <w:sz w:val="20"/>
          <w:szCs w:val="20"/>
          <w:color w:val="FF0000"/>
          <w:strike w:val="1"/>
        </w:rPr>
        <w:t>Administrative Agent</w:t>
      </w:r>
      <w:r>
        <w:rPr>
          <w:rFonts w:ascii="Times New Roman" w:cs="Times New Roman" w:eastAsia="Times New Roman" w:hAnsi="Times New Roman"/>
          <w:sz w:val="20"/>
          <w:szCs w:val="20"/>
          <w:b w:val="1"/>
          <w:bCs w:val="1"/>
          <w:u w:val="single" w:color="auto"/>
          <w:color w:val="0000FF"/>
        </w:rPr>
        <w:t>Issuing Bank</w:t>
      </w:r>
      <w:r>
        <w:rPr>
          <w:rFonts w:ascii="Times New Roman" w:cs="Times New Roman" w:eastAsia="Times New Roman" w:hAnsi="Times New Roman"/>
          <w:sz w:val="20"/>
          <w:szCs w:val="20"/>
          <w:color w:val="auto"/>
        </w:rPr>
        <w:t xml:space="preserve"> in accordance with this Agreement. No Default or Event of Default shall arise as a result of any limitation or threshold set forth in Dollars in Article VI or clause (f) or (j) of Section 7.01 being exceeded solely as a result of changes in currency exchange rates from those rates applicable on the first day of the fiscal quarter in which such determination occurs or in respect of which such determination is being made.</w:t>
      </w:r>
    </w:p>
    <w:p>
      <w:pPr>
        <w:spacing w:after="0" w:line="168" w:lineRule="exact"/>
        <w:rPr>
          <w:sz w:val="20"/>
          <w:szCs w:val="20"/>
          <w:color w:val="auto"/>
        </w:rPr>
      </w:pPr>
    </w:p>
    <w:p>
      <w:pPr>
        <w:jc w:val="both"/>
        <w:ind w:left="120" w:firstLine="1292"/>
        <w:spacing w:after="0" w:line="253" w:lineRule="auto"/>
        <w:tabs>
          <w:tab w:leader="none" w:pos="1932" w:val="left"/>
        </w:tabs>
        <w:numPr>
          <w:ilvl w:val="0"/>
          <w:numId w:val="1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Wherever in this Agreement in connection with a Borrowing, conversion, continuation or prepayment of a SOFR Loan or the issuance, amendment or extension of a Letter of Credit, an amount, such as a required minimum or multiple amount, is expressed in Dollars, but such Borrowing, SOFR Loan or Letter of Credit is denominated in an Alternate Currency, such amount shall be the Alternate Currency Equivalent of such Dollar amount (rounded to the nearest unit of such Alternate Currency, with 0.5 of a unit being rounded upward), as determined by the Administrative Agent or the applicable Issuing Bank, as applicable.</w:t>
      </w:r>
    </w:p>
    <w:p>
      <w:pPr>
        <w:spacing w:after="0" w:line="178" w:lineRule="exact"/>
        <w:rPr>
          <w:sz w:val="20"/>
          <w:szCs w:val="20"/>
          <w:color w:val="auto"/>
        </w:rPr>
      </w:pPr>
    </w:p>
    <w:p>
      <w:pPr>
        <w:ind w:left="1300"/>
        <w:spacing w:after="0"/>
        <w:tabs>
          <w:tab w:leader="none" w:pos="2460" w:val="left"/>
        </w:tabs>
        <w:rPr>
          <w:sz w:val="20"/>
          <w:szCs w:val="20"/>
          <w:color w:val="auto"/>
        </w:rPr>
      </w:pPr>
      <w:r>
        <w:rPr>
          <w:rFonts w:ascii="Times New Roman" w:cs="Times New Roman" w:eastAsia="Times New Roman" w:hAnsi="Times New Roman"/>
          <w:sz w:val="20"/>
          <w:szCs w:val="20"/>
          <w:color w:val="auto"/>
        </w:rPr>
        <w:t>Section 1.05</w:t>
      </w:r>
      <w:r>
        <w:rPr>
          <w:sz w:val="20"/>
          <w:szCs w:val="20"/>
          <w:color w:val="auto"/>
        </w:rPr>
        <w:tab/>
      </w:r>
      <w:r>
        <w:rPr>
          <w:rFonts w:ascii="Times New Roman" w:cs="Times New Roman" w:eastAsia="Times New Roman" w:hAnsi="Times New Roman"/>
          <w:sz w:val="19"/>
          <w:szCs w:val="19"/>
          <w:color w:val="auto"/>
        </w:rPr>
        <w:t>Additional Alternate Currencies for Loans.</w:t>
      </w:r>
    </w:p>
    <w:p>
      <w:pPr>
        <w:spacing w:after="0" w:line="202" w:lineRule="exact"/>
        <w:rPr>
          <w:sz w:val="20"/>
          <w:szCs w:val="20"/>
          <w:color w:val="auto"/>
        </w:rPr>
      </w:pPr>
    </w:p>
    <w:p>
      <w:pPr>
        <w:jc w:val="both"/>
        <w:ind w:left="120" w:firstLine="1292"/>
        <w:spacing w:after="0" w:line="261" w:lineRule="auto"/>
        <w:tabs>
          <w:tab w:leader="none" w:pos="1830" w:val="left"/>
        </w:tabs>
        <w:numPr>
          <w:ilvl w:val="0"/>
          <w:numId w:val="1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may from time to time request that Revolving Loans be made in a currency other than Dollars;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requested currency is a lawful currency (other than Dollars) that is readily available and freely transferable and convertible into Dollars. Such request shall be subject to the approval of the Administrative Agent.</w:t>
      </w:r>
    </w:p>
    <w:p>
      <w:pPr>
        <w:spacing w:after="0" w:line="154" w:lineRule="exact"/>
        <w:rPr>
          <w:rFonts w:ascii="Times New Roman" w:cs="Times New Roman" w:eastAsia="Times New Roman" w:hAnsi="Times New Roman"/>
          <w:sz w:val="20"/>
          <w:szCs w:val="20"/>
          <w:color w:val="auto"/>
        </w:rPr>
      </w:pPr>
    </w:p>
    <w:p>
      <w:pPr>
        <w:jc w:val="both"/>
        <w:ind w:left="120" w:firstLine="1292"/>
        <w:spacing w:after="0" w:line="257" w:lineRule="auto"/>
        <w:tabs>
          <w:tab w:leader="none" w:pos="1870" w:val="left"/>
        </w:tabs>
        <w:numPr>
          <w:ilvl w:val="0"/>
          <w:numId w:val="1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such request shall be made to the Administrative Agent not later than 11:00 a.m., 20 Business Days prior to the date of the desired Credit Event (or such other time or date as may be agreed by the Administrative Agent, in its sole discretion). The Administrative Agent shall promptly notify each Revolving Facility Lender thereof. Each Revolving Facility Lender shall notify the Administrative Agent, not later than 11:00 a.m., 10 Business Days after receipt of such request whether it consents, in its sole discretion, to the making of Revolving Loans in such requested currency.</w:t>
      </w:r>
    </w:p>
    <w:p>
      <w:pPr>
        <w:spacing w:after="0" w:line="159" w:lineRule="exact"/>
        <w:rPr>
          <w:rFonts w:ascii="Times New Roman" w:cs="Times New Roman" w:eastAsia="Times New Roman" w:hAnsi="Times New Roman"/>
          <w:sz w:val="20"/>
          <w:szCs w:val="20"/>
          <w:color w:val="auto"/>
        </w:rPr>
      </w:pPr>
    </w:p>
    <w:p>
      <w:pPr>
        <w:jc w:val="both"/>
        <w:ind w:left="120" w:firstLine="1292"/>
        <w:spacing w:after="0" w:line="269" w:lineRule="auto"/>
        <w:tabs>
          <w:tab w:leader="none" w:pos="1970" w:val="left"/>
        </w:tabs>
        <w:numPr>
          <w:ilvl w:val="0"/>
          <w:numId w:val="1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failure by a Revolving Facility Lender to respond to such request within the time period specified in the preceding sentence shall be deemed to be a refusal by such Revolving Facility Lender to permit Revolving Loans to be made in such requested currency. If the Administrative Agent and all the Revolving Facility Lenders consent to making Revolving Loans in such requested currency, the Administrative Agent shall so notify the Borrower and such currency shall thereupon be deemed for all purposes to be an Alternate Currency hereunder for purposes of any Borrowings of Revolving Loans. If the Administrative Agent shall fail to obtain consent to any request for an additional currency under this Section 1.05, the Administrative Agent shall promptly so notify the Borrower.</w:t>
      </w:r>
    </w:p>
    <w:p>
      <w:pPr>
        <w:sectPr>
          <w:pgSz w:w="11900" w:h="16838" w:orient="portrait"/>
          <w:cols w:equalWidth="0" w:num="1">
            <w:col w:w="11240"/>
          </w:cols>
          <w:pgMar w:left="320" w:top="108" w:right="339" w:bottom="1440" w:gutter="0" w:footer="0" w:header="0"/>
        </w:sectPr>
      </w:pPr>
    </w:p>
    <w:bookmarkStart w:id="256" w:name="page257"/>
    <w:bookmarkEnd w:id="256"/>
    <w:p>
      <w:pPr>
        <w:jc w:val="right"/>
        <w:spacing w:after="0"/>
        <w:rPr>
          <w:sz w:val="20"/>
          <w:szCs w:val="20"/>
          <w:color w:val="auto"/>
        </w:rPr>
      </w:pPr>
      <w:r>
        <w:rPr>
          <w:rFonts w:ascii="Times New Roman" w:cs="Times New Roman" w:eastAsia="Times New Roman" w:hAnsi="Times New Roman"/>
          <w:sz w:val="22"/>
          <w:szCs w:val="22"/>
          <w:color w:val="FF0000"/>
          <w:strike w:val="1"/>
        </w:rPr>
        <w:t>ANNEX</w:t>
      </w:r>
      <w:r>
        <w:rPr>
          <w:rFonts w:ascii="Times New Roman" w:cs="Times New Roman" w:eastAsia="Times New Roman" w:hAnsi="Times New Roman"/>
          <w:sz w:val="22"/>
          <w:szCs w:val="22"/>
          <w:b w:val="1"/>
          <w:bCs w:val="1"/>
          <w:u w:val="single" w:color="auto"/>
          <w:color w:val="0000FF"/>
        </w:rPr>
        <w:t>EXHIBIT</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300"/>
        <w:spacing w:after="0"/>
        <w:tabs>
          <w:tab w:leader="none" w:pos="2480" w:val="left"/>
        </w:tabs>
        <w:rPr>
          <w:sz w:val="20"/>
          <w:szCs w:val="20"/>
          <w:color w:val="auto"/>
        </w:rPr>
      </w:pPr>
      <w:r>
        <w:rPr>
          <w:rFonts w:ascii="Times New Roman" w:cs="Times New Roman" w:eastAsia="Times New Roman" w:hAnsi="Times New Roman"/>
          <w:sz w:val="20"/>
          <w:szCs w:val="20"/>
          <w:color w:val="auto"/>
        </w:rPr>
        <w:t>Section 1.06</w:t>
      </w:r>
      <w:r>
        <w:rPr>
          <w:sz w:val="20"/>
          <w:szCs w:val="20"/>
          <w:color w:val="auto"/>
        </w:rPr>
        <w:tab/>
      </w:r>
      <w:r>
        <w:rPr>
          <w:rFonts w:ascii="Times New Roman" w:cs="Times New Roman" w:eastAsia="Times New Roman" w:hAnsi="Times New Roman"/>
          <w:sz w:val="19"/>
          <w:szCs w:val="19"/>
          <w:color w:val="auto"/>
        </w:rPr>
        <w:t>Change of Currency.</w:t>
      </w:r>
    </w:p>
    <w:p>
      <w:pPr>
        <w:spacing w:after="0" w:line="202" w:lineRule="exact"/>
        <w:rPr>
          <w:sz w:val="20"/>
          <w:szCs w:val="20"/>
          <w:color w:val="auto"/>
        </w:rPr>
      </w:pPr>
    </w:p>
    <w:p>
      <w:pPr>
        <w:jc w:val="both"/>
        <w:ind w:left="120" w:firstLine="1292"/>
        <w:spacing w:after="0" w:line="251" w:lineRule="auto"/>
        <w:tabs>
          <w:tab w:leader="none" w:pos="1845" w:val="left"/>
        </w:tabs>
        <w:numPr>
          <w:ilvl w:val="0"/>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obligation of the Borrower to make a payment denominated in the national currency unit of any member state of the European Union that adopts the Euro as its lawful currency after the Closing Date shall be redenominated into Euro at the time of such adoption (in accordance with the EMU Legislation). If, in relation to the currency of any such member state, the basis of accrual of interest expressed in this Agreement in respect of that currency shall be inconsistent with any convention or practice in the London interbank market for the basis of accrual of interest in respect of the Euro, such expressed basis shall be replaced by such convention or practice with effect from the date on which such member state adopts the Euro as its lawful currency;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any Borrowing in the currency of such member state is outstanding immediately prior to such date, such replacement shall take effect, with respect to such Borrowing, at the end of the then current Interest Period.</w:t>
      </w:r>
    </w:p>
    <w:p>
      <w:pPr>
        <w:spacing w:after="0" w:line="181" w:lineRule="exact"/>
        <w:rPr>
          <w:rFonts w:ascii="Times New Roman" w:cs="Times New Roman" w:eastAsia="Times New Roman" w:hAnsi="Times New Roman"/>
          <w:sz w:val="20"/>
          <w:szCs w:val="20"/>
          <w:color w:val="auto"/>
        </w:rPr>
      </w:pPr>
    </w:p>
    <w:p>
      <w:pPr>
        <w:jc w:val="both"/>
        <w:ind w:left="120" w:firstLine="1292"/>
        <w:spacing w:after="0" w:line="261" w:lineRule="auto"/>
        <w:tabs>
          <w:tab w:leader="none" w:pos="1899" w:val="left"/>
        </w:tabs>
        <w:numPr>
          <w:ilvl w:val="0"/>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provision of this Agreement shall be subject to such reasonable changes of construction as the Administrative Agent may from time to time specify to be appropriate to reflect the adoption of the Euro by any member state of the European Union and any relevant market conventions or practices relating to the Euro.</w:t>
      </w:r>
    </w:p>
    <w:p>
      <w:pPr>
        <w:spacing w:after="0" w:line="154" w:lineRule="exact"/>
        <w:rPr>
          <w:rFonts w:ascii="Times New Roman" w:cs="Times New Roman" w:eastAsia="Times New Roman" w:hAnsi="Times New Roman"/>
          <w:sz w:val="20"/>
          <w:szCs w:val="20"/>
          <w:color w:val="auto"/>
        </w:rPr>
      </w:pPr>
    </w:p>
    <w:p>
      <w:pPr>
        <w:jc w:val="both"/>
        <w:ind w:left="120" w:firstLine="1292"/>
        <w:spacing w:after="0" w:line="261" w:lineRule="auto"/>
        <w:tabs>
          <w:tab w:leader="none" w:pos="2063" w:val="left"/>
        </w:tabs>
        <w:numPr>
          <w:ilvl w:val="0"/>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provision of this Agreement also shall be subject to such reasonable changes of construction as the Administrative Agent may from time to time specify to be appropriate to reflect a change in currency of any other country and any relevant market conventions or practices relating to the change in currency.</w:t>
      </w:r>
    </w:p>
    <w:p>
      <w:pPr>
        <w:spacing w:after="0" w:line="168"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Section 1.07 Timing of Payment or Performance. Except as otherwise expressly provided herein, when the payment of any obligation or the performance of any covenant, duty or obligation is stated to be due or performance required on a day which is not a Business Day, the date of such payment or performance shall extend to the immediately succeeding Business Day.</w:t>
      </w:r>
    </w:p>
    <w:p>
      <w:pPr>
        <w:spacing w:after="0" w:line="154"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Section 1.08 Times of Day. Unless otherwise specified herein, all references herein to times of day shall be references to New York City time (daylight or standard, as applicable).</w:t>
      </w:r>
    </w:p>
    <w:p>
      <w:pPr>
        <w:spacing w:after="0" w:line="133"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0"/>
          <w:szCs w:val="20"/>
          <w:color w:val="auto"/>
        </w:rPr>
        <w:t xml:space="preserve">Section 1.09 Holdings. From time to time after the Closing Date, Holdings may form one or more new Subsidiaries to become direct or indirect parent companies of the Borrower;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prior to a Qualified IPO, contemporaneously with the formation of the new direct parent company of the Borrower (an “</w:t>
      </w:r>
      <w:r>
        <w:rPr>
          <w:rFonts w:ascii="Times New Roman" w:cs="Times New Roman" w:eastAsia="Times New Roman" w:hAnsi="Times New Roman"/>
          <w:sz w:val="20"/>
          <w:szCs w:val="20"/>
          <w:u w:val="single" w:color="auto"/>
          <w:color w:val="auto"/>
        </w:rPr>
        <w:t>Intermediate Holdings</w:t>
      </w:r>
      <w:r>
        <w:rPr>
          <w:rFonts w:ascii="Times New Roman" w:cs="Times New Roman" w:eastAsia="Times New Roman" w:hAnsi="Times New Roman"/>
          <w:sz w:val="20"/>
          <w:szCs w:val="20"/>
          <w:color w:val="auto"/>
        </w:rPr>
        <w:t>”), such person enters into a supplement to the Holdings Guarantee and Pledge Agreement (or, at the option of such person, a new Holdings Guarantee and Pledge Agreement in substantially similar form or such other form reasonably satisfactory to the Administrative Agent) duly executed and delivered on behalf of such person. Immediately after any Intermediate Holdings complying with the proviso in the foregoing sentence, the Guarantee incurred by the then existing Holdings of the Obligations shall automatically terminate and Holdings shall be released from its obligations under the Loan Documents, shall cease to be a Loan Party and any Liens created by any Loan Documents on any assets or Equity Interests owned by Holdings shall automatically be released (unless, in each case, the Borrower shall elect in its sole discretion that such release of Holdings shall not be effective), and thereafter Intermediate Holdings shall be deemed to be Holdings for all purposes of this Agreement (until any additional Intermediate Holdings shall be formed in accordance with this Section 1.09).</w:t>
      </w:r>
    </w:p>
    <w:p>
      <w:pPr>
        <w:spacing w:after="0" w:line="186"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20"/>
          <w:szCs w:val="20"/>
          <w:color w:val="auto"/>
        </w:rPr>
        <w:t>Section 1.10 Interest Rates. The Administrative Agent does not warrant or accept responsibility for, and shall not have any liability with respect to (a) the continuation of, administration of, submission of, calculation of or any other matter related to the Term SOFR Reference Rate, Adjusted</w:t>
      </w:r>
    </w:p>
    <w:p>
      <w:pPr>
        <w:sectPr>
          <w:pgSz w:w="11900" w:h="16838" w:orient="portrait"/>
          <w:cols w:equalWidth="0" w:num="1">
            <w:col w:w="11240"/>
          </w:cols>
          <w:pgMar w:left="320" w:top="108" w:right="339" w:bottom="1440" w:gutter="0" w:footer="0" w:header="0"/>
        </w:sectPr>
      </w:pPr>
    </w:p>
    <w:bookmarkStart w:id="257" w:name="page258"/>
    <w:bookmarkEnd w:id="257"/>
    <w:p>
      <w:pPr>
        <w:ind w:left="9360"/>
        <w:spacing w:after="0"/>
        <w:rPr>
          <w:sz w:val="20"/>
          <w:szCs w:val="20"/>
          <w:color w:val="auto"/>
        </w:rPr>
      </w:pPr>
      <w:r>
        <w:rPr>
          <w:rFonts w:ascii="Times New Roman" w:cs="Times New Roman" w:eastAsia="Times New Roman" w:hAnsi="Times New Roman"/>
          <w:sz w:val="21"/>
          <w:szCs w:val="21"/>
          <w:color w:val="FF0000"/>
          <w:strike w:val="1"/>
        </w:rPr>
        <w:t>ANNEX</w:t>
      </w:r>
      <w:r>
        <w:rPr>
          <w:rFonts w:ascii="Times New Roman" w:cs="Times New Roman" w:eastAsia="Times New Roman" w:hAnsi="Times New Roman"/>
          <w:sz w:val="21"/>
          <w:szCs w:val="21"/>
          <w:b w:val="1"/>
          <w:bCs w:val="1"/>
          <w:u w:val="single" w:color="auto"/>
          <w:color w:val="0000FF"/>
        </w:rPr>
        <w:t>EXHIBIT</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000000"/>
        </w:rPr>
        <w: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Term SOFR Rate or Term SOFR, or any component definition thereof or rates referred to in the definition thereof, or any alternative, successor or replacement rate thereto (including any Benchmark Replacement), including whether the composition or characteristics of any such alternative, successor or replacement rate (including any Benchmark Replacement) will be similar to, or produce the same value or economic equivalence of, or have the same volume or liquidity as, the Term SOFR Reference Rate, Adjusted Term SOFR Rate, Term SOFR or any other Benchmark prior to its discontinuance or unavailability, or (b) the effect, implementation or composition of any Conforming Changes. The Administrative Agent and its Affiliates or other related entities may engage in transactions that affect the calculation of the Term SOFR Reference Rate, Term SOFR, Adjusted Term SOFR Rate, any alternative, successor or replacement rate (including any Benchmark Replacement) or any relevant adjustments thereto, in each case, in a manner adverse to the Borrower. The Administrative Agent may select information sources or services in its reasonable discretion to ascertain the Term SOFR Reference Rate, Term SOFR, Adjusted Term SOFR Rate or any other Benchmark,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pacing w:after="0" w:line="202"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color w:val="auto"/>
        </w:rPr>
        <w:t>ARTICLE II</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The Credits</w:t>
      </w:r>
    </w:p>
    <w:p>
      <w:pPr>
        <w:spacing w:after="0" w:line="220" w:lineRule="exact"/>
        <w:rPr>
          <w:sz w:val="20"/>
          <w:szCs w:val="20"/>
          <w:color w:val="auto"/>
        </w:rPr>
      </w:pPr>
    </w:p>
    <w:p>
      <w:pPr>
        <w:ind w:left="1300"/>
        <w:spacing w:after="0"/>
        <w:tabs>
          <w:tab w:leader="none" w:pos="2480" w:val="left"/>
        </w:tabs>
        <w:rPr>
          <w:sz w:val="20"/>
          <w:szCs w:val="20"/>
          <w:color w:val="auto"/>
        </w:rPr>
      </w:pPr>
      <w:r>
        <w:rPr>
          <w:rFonts w:ascii="Times New Roman" w:cs="Times New Roman" w:eastAsia="Times New Roman" w:hAnsi="Times New Roman"/>
          <w:sz w:val="20"/>
          <w:szCs w:val="20"/>
          <w:color w:val="auto"/>
        </w:rPr>
        <w:t>Section 2.01</w:t>
      </w:r>
      <w:r>
        <w:rPr>
          <w:sz w:val="20"/>
          <w:szCs w:val="20"/>
          <w:color w:val="auto"/>
        </w:rPr>
        <w:tab/>
      </w:r>
      <w:r>
        <w:rPr>
          <w:rFonts w:ascii="Times New Roman" w:cs="Times New Roman" w:eastAsia="Times New Roman" w:hAnsi="Times New Roman"/>
          <w:sz w:val="19"/>
          <w:szCs w:val="19"/>
          <w:color w:val="auto"/>
        </w:rPr>
        <w:t>Commitments. Subject to the terms and conditions set forth herein:</w:t>
      </w:r>
    </w:p>
    <w:p>
      <w:pPr>
        <w:spacing w:after="0" w:line="202" w:lineRule="exact"/>
        <w:rPr>
          <w:sz w:val="20"/>
          <w:szCs w:val="20"/>
          <w:color w:val="auto"/>
        </w:rPr>
      </w:pPr>
    </w:p>
    <w:p>
      <w:pPr>
        <w:jc w:val="both"/>
        <w:ind w:left="120" w:firstLine="1292"/>
        <w:spacing w:after="0" w:line="261" w:lineRule="auto"/>
        <w:tabs>
          <w:tab w:leader="none" w:pos="1935" w:val="left"/>
        </w:tabs>
        <w:numPr>
          <w:ilvl w:val="0"/>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the 2021 Effective Date, the 2021 Term B Lenders agree to make 2021 Term B Loans to the Borrower in an aggregate principal amount of $2,300,000,000, subject to the terms and conditions in the 2021 Incremental Assumption and Amendment Agreement,</w:t>
      </w:r>
    </w:p>
    <w:p>
      <w:pPr>
        <w:spacing w:after="0" w:line="154" w:lineRule="exact"/>
        <w:rPr>
          <w:rFonts w:ascii="Times New Roman" w:cs="Times New Roman" w:eastAsia="Times New Roman" w:hAnsi="Times New Roman"/>
          <w:sz w:val="20"/>
          <w:szCs w:val="20"/>
          <w:color w:val="auto"/>
        </w:rPr>
      </w:pPr>
    </w:p>
    <w:p>
      <w:pPr>
        <w:jc w:val="both"/>
        <w:ind w:left="120" w:firstLine="1292"/>
        <w:spacing w:after="0" w:line="257" w:lineRule="auto"/>
        <w:tabs>
          <w:tab w:leader="none" w:pos="1869" w:val="left"/>
        </w:tabs>
        <w:numPr>
          <w:ilvl w:val="0"/>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Lender agrees to make Revolving Facility Loans of a Class in Dollars to the Borrower from time to time during the Availability Period in an aggregate principal amount that will not result in (i) such Lender’s Revolving Facility Credit Exposure of such Class exceeding such Lender’s Revolving Facility Commitment of such Class or (ii) the Revolving Facility Credit Exposure of such Class exceeding the total Revolving Facility Commitments of such Class. Within the foregoing limits and subject to the terms and conditions set forth herein, the Borrower may borrow, prepay and reborrow Revolving Facility Loans,</w:t>
      </w:r>
    </w:p>
    <w:p>
      <w:pPr>
        <w:spacing w:after="0" w:line="159" w:lineRule="exact"/>
        <w:rPr>
          <w:rFonts w:ascii="Times New Roman" w:cs="Times New Roman" w:eastAsia="Times New Roman" w:hAnsi="Times New Roman"/>
          <w:sz w:val="20"/>
          <w:szCs w:val="20"/>
          <w:color w:val="auto"/>
        </w:rPr>
      </w:pPr>
    </w:p>
    <w:p>
      <w:pPr>
        <w:jc w:val="both"/>
        <w:ind w:left="120" w:firstLine="1292"/>
        <w:spacing w:after="0" w:line="261" w:lineRule="auto"/>
        <w:tabs>
          <w:tab w:leader="none" w:pos="1833" w:val="left"/>
        </w:tabs>
        <w:numPr>
          <w:ilvl w:val="0"/>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Lender having an Incremental Term Loan Commitment agrees, subject to the terms and conditions set forth in the applicable Incremental Assumption Agreement, to make Incremental Term Loans to the Borrower, in an aggregate principal amount not to exceed its Incremental Term Loan Commitment, and</w:t>
      </w:r>
    </w:p>
    <w:p>
      <w:pPr>
        <w:spacing w:after="0" w:line="154" w:lineRule="exact"/>
        <w:rPr>
          <w:rFonts w:ascii="Times New Roman" w:cs="Times New Roman" w:eastAsia="Times New Roman" w:hAnsi="Times New Roman"/>
          <w:sz w:val="20"/>
          <w:szCs w:val="20"/>
          <w:color w:val="auto"/>
        </w:rPr>
      </w:pPr>
    </w:p>
    <w:p>
      <w:pPr>
        <w:ind w:left="1840" w:hanging="428"/>
        <w:spacing w:after="0"/>
        <w:tabs>
          <w:tab w:leader="none" w:pos="1840" w:val="left"/>
        </w:tabs>
        <w:numPr>
          <w:ilvl w:val="0"/>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amounts of Term B Loans borrowed under Section 2.01(a) or (c) that are repaid or prepaid may not be reborrowed.</w:t>
      </w:r>
    </w:p>
    <w:p>
      <w:pPr>
        <w:spacing w:after="0" w:line="216"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20"/>
          <w:szCs w:val="20"/>
          <w:color w:val="auto"/>
        </w:rPr>
        <w:t xml:space="preserve">Section 2.02 Loans and Borrowings. (a) Each Loan shall be made as part of a Borrowing consisting of Loans under the same Facility and of the same Type made by the Lenders ratably in accordance with their respective Commitments under the applicable Facility (or, in the case of Swingline Loans, in accordance with their respective Swingline Commitments);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Revolving Facility Loans of any Class shall be made by the Revolving Facility Lenders of such Class</w:t>
      </w:r>
    </w:p>
    <w:p>
      <w:pPr>
        <w:sectPr>
          <w:pgSz w:w="11900" w:h="16838" w:orient="portrait"/>
          <w:cols w:equalWidth="0" w:num="1">
            <w:col w:w="11240"/>
          </w:cols>
          <w:pgMar w:left="320" w:top="108" w:right="339" w:bottom="1440" w:gutter="0" w:footer="0" w:header="0"/>
        </w:sectPr>
      </w:pPr>
    </w:p>
    <w:bookmarkStart w:id="258" w:name="page259"/>
    <w:bookmarkEnd w:id="258"/>
    <w:p>
      <w:pPr>
        <w:jc w:val="right"/>
        <w:spacing w:after="0"/>
        <w:rPr>
          <w:sz w:val="20"/>
          <w:szCs w:val="20"/>
          <w:color w:val="auto"/>
        </w:rPr>
      </w:pPr>
      <w:r>
        <w:rPr>
          <w:rFonts w:ascii="Times New Roman" w:cs="Times New Roman" w:eastAsia="Times New Roman" w:hAnsi="Times New Roman"/>
          <w:sz w:val="22"/>
          <w:szCs w:val="22"/>
          <w:color w:val="FF0000"/>
          <w:strike w:val="1"/>
        </w:rPr>
        <w:t>ANNEX</w:t>
      </w:r>
      <w:r>
        <w:rPr>
          <w:rFonts w:ascii="Times New Roman" w:cs="Times New Roman" w:eastAsia="Times New Roman" w:hAnsi="Times New Roman"/>
          <w:sz w:val="22"/>
          <w:szCs w:val="22"/>
          <w:b w:val="1"/>
          <w:bCs w:val="1"/>
          <w:u w:val="single" w:color="auto"/>
          <w:color w:val="0000FF"/>
        </w:rPr>
        <w:t>EXHIBIT</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 xml:space="preserve">ratably in accordance with their respective Revolving Facility Percentages on the date such Loans are made hereunder. The failure of any Lender to make any Loan required to be made by it shall not relieve any other Lender of its obligations hereunder;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the Commitments of the Lenders are several and no Lender shall be responsible for any other Lender’s failure to make Loans as required.</w:t>
      </w:r>
    </w:p>
    <w:p>
      <w:pPr>
        <w:spacing w:after="0" w:line="154" w:lineRule="exact"/>
        <w:rPr>
          <w:sz w:val="20"/>
          <w:szCs w:val="20"/>
          <w:color w:val="auto"/>
        </w:rPr>
      </w:pPr>
    </w:p>
    <w:p>
      <w:pPr>
        <w:jc w:val="both"/>
        <w:ind w:left="120" w:firstLine="1292"/>
        <w:spacing w:after="0" w:line="269" w:lineRule="auto"/>
        <w:tabs>
          <w:tab w:leader="none" w:pos="1936" w:val="left"/>
        </w:tabs>
        <w:numPr>
          <w:ilvl w:val="0"/>
          <w:numId w:val="1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Subject to Section 2.14, each Borrowing (other than a Swingline Borrowing) shall be comprised entirely of ABR Loans or SOFR Loans as the Borrower may request in accordance herewith. ABR Loans shall be denominated in Dollars. Each Swingline Borrowing shall be an ABR Borrowing. Each Lender at its option may make any ABR Loan or SOFR Loan by causing any domestic or foreign branch or Affiliate of such Lender to make such Loan;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that any exercise of such option shall not affect the obligation of the Borrower to repay such Loan in accordance with the terms of this Agreement and such Lender shall not be entitled to any amounts payable under Section 2.15 or 2.17 solely in respect of increased costs resulting from such exercise and existing at the time of such exercise.</w:t>
      </w:r>
    </w:p>
    <w:p>
      <w:pPr>
        <w:spacing w:after="0" w:line="164" w:lineRule="exact"/>
        <w:rPr>
          <w:rFonts w:ascii="Times New Roman" w:cs="Times New Roman" w:eastAsia="Times New Roman" w:hAnsi="Times New Roman"/>
          <w:sz w:val="19"/>
          <w:szCs w:val="19"/>
          <w:color w:val="auto"/>
        </w:rPr>
      </w:pPr>
    </w:p>
    <w:p>
      <w:pPr>
        <w:jc w:val="both"/>
        <w:ind w:left="120" w:firstLine="1292"/>
        <w:spacing w:after="0" w:line="250" w:lineRule="auto"/>
        <w:tabs>
          <w:tab w:leader="none" w:pos="1855" w:val="left"/>
        </w:tabs>
        <w:numPr>
          <w:ilvl w:val="0"/>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At the commencement of each Interest Period for any SOFR Revolving Facility Borrowing, such Borrowing shall be in an aggregate amount that is an integral multiple of the Borrowing Multiple and not less than the Borrowing Minimum. At the time that each ABR Revolving Facility Borrowing is made, such Borrowing shall be in an aggregate amount that is an integral multiple of the Borrowing Multiple and not less than the Borrowing Minimum;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 ABR Revolving Facility Borrowing may be in an aggregate amount that is equal to the entire unused available balance of the Revolving Facility Commitments or that is required to finance the reimbursement of an L/C Disbursement as contemplated by Section 2.05(e). Each Swingline Borrowing shall be in an amount that is an integral multiple of the Borrowing Multiple and not less than the Borrowing Minimum. Borrowings of more than one Type may be outstanding at the same time;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the Borrower shall not be entitled to request any Borrowing that, if made, would result in more than (i) 10 SOFR Borrowings outstanding under all Term Facilities at any time and (ii) 10 SOFR Borrowings outstanding under all Revolving Facilities at any time. Borrowings having different Interest Periods, regardless of whether they commence on the same date, shall be considered separate Borrowings.</w:t>
      </w:r>
    </w:p>
    <w:p>
      <w:pPr>
        <w:spacing w:after="0" w:line="172" w:lineRule="exact"/>
        <w:rPr>
          <w:rFonts w:ascii="Times New Roman" w:cs="Times New Roman" w:eastAsia="Times New Roman" w:hAnsi="Times New Roman"/>
          <w:sz w:val="20"/>
          <w:szCs w:val="20"/>
          <w:color w:val="auto"/>
        </w:rPr>
      </w:pPr>
    </w:p>
    <w:p>
      <w:pPr>
        <w:jc w:val="both"/>
        <w:ind w:left="120" w:firstLine="1292"/>
        <w:spacing w:after="0" w:line="261" w:lineRule="auto"/>
        <w:tabs>
          <w:tab w:leader="none" w:pos="1906" w:val="left"/>
        </w:tabs>
        <w:numPr>
          <w:ilvl w:val="0"/>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 other provision of this Agreement, the Borrower shall not be entitled to request, or to elect to convert or continue, any Borrowing of any Class if the Interest Period requested with respect thereto would end after the Revolving Facility Maturity Date or the Term Facility Maturity Date for such Class, as applicable.</w:t>
      </w:r>
    </w:p>
    <w:p>
      <w:pPr>
        <w:spacing w:after="0" w:line="154"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0"/>
          <w:szCs w:val="20"/>
          <w:color w:val="auto"/>
        </w:rPr>
        <w:t xml:space="preserve">Section 2.03 Requests for Borrowings. To request a Revolving Facility Borrowing and/or a Term Borrowing, the Borrower shall notify the Administrative Agent of such request electronically (a) in the case of a SOFR Borrowing, not later than 12:00 noon, Local Time, three U.S. Government Securities Business Days before the date of the proposed Borrowing or (b) in the case of an ABR Borrowing, not later than 10:00 a.m. Local Time, on the Business Day of the proposed Borrowing;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(i) any such notice of an ABR Revolving Facility Borrowing to finance the reimbursement of an L/C Disbursement as contemplated by Section 2.05(e) may be given not later than 12:00 noon, Local Time, on the date of the proposed Borrowing, (ii) to request a Borrowing on the 2021 Effective Date, the Borrower shall notify the Administrative Agent of such request by telephone no later than 5:00 p.m., Local Time, one Business Day prior to the 2021 Effective Date (or such later time as the Administrative Agent may agree) and (iii) any such notice of an Incremental Revolving Borrowing or Incremental Term Borrowing may be given at such time as provided in the applicable Incremental Assumption Agreement. Each such telephonic Borrowing Request shall be irrevocable (other than in the case of any notice given in respect of the Closing Date, which may be conditioned upon the consummation of the Merger or, in the case of notice given in respect of Incremental Commitments,</w:t>
      </w:r>
    </w:p>
    <w:p>
      <w:pPr>
        <w:sectPr>
          <w:pgSz w:w="11900" w:h="16838" w:orient="portrait"/>
          <w:cols w:equalWidth="0" w:num="1">
            <w:col w:w="11240"/>
          </w:cols>
          <w:pgMar w:left="320" w:top="108" w:right="339" w:bottom="1440" w:gutter="0" w:footer="0" w:header="0"/>
        </w:sectPr>
      </w:pPr>
    </w:p>
    <w:bookmarkStart w:id="259" w:name="page260"/>
    <w:bookmarkEnd w:id="259"/>
    <w:p>
      <w:pPr>
        <w:jc w:val="right"/>
        <w:spacing w:after="0"/>
        <w:rPr>
          <w:sz w:val="20"/>
          <w:szCs w:val="20"/>
          <w:color w:val="auto"/>
        </w:rPr>
      </w:pPr>
      <w:r>
        <w:rPr>
          <w:rFonts w:ascii="Times New Roman" w:cs="Times New Roman" w:eastAsia="Times New Roman" w:hAnsi="Times New Roman"/>
          <w:sz w:val="22"/>
          <w:szCs w:val="22"/>
          <w:color w:val="FF0000"/>
          <w:strike w:val="1"/>
        </w:rPr>
        <w:t>ANNEX</w:t>
      </w:r>
      <w:r>
        <w:rPr>
          <w:rFonts w:ascii="Times New Roman" w:cs="Times New Roman" w:eastAsia="Times New Roman" w:hAnsi="Times New Roman"/>
          <w:sz w:val="22"/>
          <w:szCs w:val="22"/>
          <w:b w:val="1"/>
          <w:bCs w:val="1"/>
          <w:u w:val="single" w:color="auto"/>
          <w:color w:val="0000FF"/>
        </w:rPr>
        <w:t>EXHIBIT</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which may be conditioned as provided in the applicable Incremental Assumption Agreement) and shall be confirmed promptly by hand delivery or electronic means to the Administrative Agent of a written Borrowing Request signed by the Borrower. Each such telephonic and written Borrowing Request shall specify the following information in compliance with Section 2.02:</w:t>
      </w:r>
    </w:p>
    <w:p>
      <w:pPr>
        <w:spacing w:after="0" w:line="154" w:lineRule="exact"/>
        <w:rPr>
          <w:sz w:val="20"/>
          <w:szCs w:val="20"/>
          <w:color w:val="auto"/>
        </w:rPr>
      </w:pPr>
    </w:p>
    <w:p>
      <w:pPr>
        <w:ind w:left="660" w:right="20" w:firstLine="1292"/>
        <w:spacing w:after="0" w:line="283" w:lineRule="auto"/>
        <w:tabs>
          <w:tab w:leader="none" w:pos="2392" w:val="left"/>
        </w:tabs>
        <w:numPr>
          <w:ilvl w:val="0"/>
          <w:numId w:val="1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whether such Borrowing is to be a Borrowing of 2021 Term B Loans, Revolving Facility Loans, Refinancing Term Loans, Other Term Loans, Other Revolving Loans or Replacement Revolving Loans as applicable;</w:t>
      </w:r>
    </w:p>
    <w:p>
      <w:pPr>
        <w:spacing w:after="0" w:line="132" w:lineRule="exact"/>
        <w:rPr>
          <w:rFonts w:ascii="Times New Roman" w:cs="Times New Roman" w:eastAsia="Times New Roman" w:hAnsi="Times New Roman"/>
          <w:sz w:val="20"/>
          <w:szCs w:val="20"/>
          <w:color w:val="auto"/>
        </w:rPr>
      </w:pPr>
    </w:p>
    <w:p>
      <w:pPr>
        <w:ind w:left="2400" w:hanging="448"/>
        <w:spacing w:after="0"/>
        <w:tabs>
          <w:tab w:leader="none" w:pos="2400" w:val="left"/>
        </w:tabs>
        <w:numPr>
          <w:ilvl w:val="0"/>
          <w:numId w:val="1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aggregate amount of the requested Borrowing;</w:t>
      </w:r>
    </w:p>
    <w:p>
      <w:pPr>
        <w:spacing w:after="0" w:line="215" w:lineRule="exact"/>
        <w:rPr>
          <w:rFonts w:ascii="Times New Roman" w:cs="Times New Roman" w:eastAsia="Times New Roman" w:hAnsi="Times New Roman"/>
          <w:sz w:val="20"/>
          <w:szCs w:val="20"/>
          <w:color w:val="auto"/>
        </w:rPr>
      </w:pPr>
    </w:p>
    <w:p>
      <w:pPr>
        <w:ind w:left="2440" w:hanging="488"/>
        <w:spacing w:after="0"/>
        <w:tabs>
          <w:tab w:leader="none" w:pos="2440" w:val="left"/>
        </w:tabs>
        <w:numPr>
          <w:ilvl w:val="0"/>
          <w:numId w:val="1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date of such Borrowing, which shall be a Business Day;</w:t>
      </w:r>
    </w:p>
    <w:p>
      <w:pPr>
        <w:spacing w:after="0" w:line="202" w:lineRule="exact"/>
        <w:rPr>
          <w:rFonts w:ascii="Times New Roman" w:cs="Times New Roman" w:eastAsia="Times New Roman" w:hAnsi="Times New Roman"/>
          <w:sz w:val="20"/>
          <w:szCs w:val="20"/>
          <w:color w:val="auto"/>
        </w:rPr>
      </w:pPr>
    </w:p>
    <w:p>
      <w:pPr>
        <w:ind w:left="2440" w:hanging="488"/>
        <w:spacing w:after="0"/>
        <w:tabs>
          <w:tab w:leader="none" w:pos="2440" w:val="left"/>
        </w:tabs>
        <w:numPr>
          <w:ilvl w:val="0"/>
          <w:numId w:val="1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whether such Borrowing is to be an ABR Borrowing or a SOFR Borrowing;</w:t>
      </w:r>
    </w:p>
    <w:p>
      <w:pPr>
        <w:spacing w:after="0" w:line="202" w:lineRule="exact"/>
        <w:rPr>
          <w:rFonts w:ascii="Times New Roman" w:cs="Times New Roman" w:eastAsia="Times New Roman" w:hAnsi="Times New Roman"/>
          <w:sz w:val="20"/>
          <w:szCs w:val="20"/>
          <w:color w:val="auto"/>
        </w:rPr>
      </w:pPr>
    </w:p>
    <w:p>
      <w:pPr>
        <w:ind w:left="660" w:firstLine="1292"/>
        <w:spacing w:after="0" w:line="283" w:lineRule="auto"/>
        <w:tabs>
          <w:tab w:leader="none" w:pos="2441" w:val="left"/>
        </w:tabs>
        <w:numPr>
          <w:ilvl w:val="0"/>
          <w:numId w:val="1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 SOFR Borrowing, the initial Interest Period to be applicable thereto, which shall be a period contemplated by the definition of the term “Interest Period”;</w:t>
      </w:r>
    </w:p>
    <w:p>
      <w:pPr>
        <w:spacing w:after="0" w:line="132" w:lineRule="exact"/>
        <w:rPr>
          <w:rFonts w:ascii="Times New Roman" w:cs="Times New Roman" w:eastAsia="Times New Roman" w:hAnsi="Times New Roman"/>
          <w:sz w:val="20"/>
          <w:szCs w:val="20"/>
          <w:color w:val="auto"/>
        </w:rPr>
      </w:pPr>
    </w:p>
    <w:p>
      <w:pPr>
        <w:ind w:left="660" w:firstLine="1292"/>
        <w:spacing w:after="0" w:line="269" w:lineRule="auto"/>
        <w:tabs>
          <w:tab w:leader="none" w:pos="2506" w:val="left"/>
        </w:tabs>
        <w:numPr>
          <w:ilvl w:val="0"/>
          <w:numId w:val="1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 Revolving Facility Borrowing, the currency in which such Borrowing is to be denominated (which shall be Dollars or an Alternate Currency); and</w:t>
      </w:r>
    </w:p>
    <w:p>
      <w:pPr>
        <w:spacing w:after="0" w:line="159" w:lineRule="exact"/>
        <w:rPr>
          <w:rFonts w:ascii="Times New Roman" w:cs="Times New Roman" w:eastAsia="Times New Roman" w:hAnsi="Times New Roman"/>
          <w:sz w:val="20"/>
          <w:szCs w:val="20"/>
          <w:color w:val="auto"/>
        </w:rPr>
      </w:pPr>
    </w:p>
    <w:p>
      <w:pPr>
        <w:ind w:left="2500" w:hanging="548"/>
        <w:spacing w:after="0"/>
        <w:tabs>
          <w:tab w:leader="none" w:pos="2500" w:val="left"/>
        </w:tabs>
        <w:numPr>
          <w:ilvl w:val="0"/>
          <w:numId w:val="1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location and number of the Borrower’s account to which funds are to be disbursed.</w:t>
      </w:r>
    </w:p>
    <w:p>
      <w:pPr>
        <w:spacing w:after="0" w:line="202" w:lineRule="exact"/>
        <w:rPr>
          <w:sz w:val="20"/>
          <w:szCs w:val="20"/>
          <w:color w:val="auto"/>
        </w:rPr>
      </w:pPr>
    </w:p>
    <w:p>
      <w:pPr>
        <w:jc w:val="both"/>
        <w:ind w:firstLine="403"/>
        <w:spacing w:after="0" w:line="253" w:lineRule="auto"/>
        <w:rPr>
          <w:sz w:val="20"/>
          <w:szCs w:val="20"/>
          <w:color w:val="auto"/>
        </w:rPr>
      </w:pPr>
      <w:r>
        <w:rPr>
          <w:rFonts w:ascii="Times New Roman" w:cs="Times New Roman" w:eastAsia="Times New Roman" w:hAnsi="Times New Roman"/>
          <w:sz w:val="20"/>
          <w:szCs w:val="20"/>
          <w:color w:val="auto"/>
        </w:rPr>
        <w:t>If no election as to the currency of any Revolving Facility Borrowing is made, then the requested Borrowing shall be made in Dollars. If no election as to the Type of Borrowing is specified, then the requested Borrowing shall be an ABR Borrowing. If no Interest Period is specified with respect to any requested SOFR Borrowing, then the Borrower shall be deemed to have selected an Interest Period of one month’s duration (except in the case of the initial Interest Period of the 2021 Term B Loans, which shall be determined in accordance with the definition of “Interest Period”). Promptly following receipt of a Borrowing Request in accordance with this Section 2.03, the Administrative Agent shall advise each Lender of the details thereof and of the amount of such Lender’s Loan to be made as part of the requested Borrowing.</w:t>
      </w:r>
    </w:p>
    <w:p>
      <w:pPr>
        <w:spacing w:after="0" w:line="166"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0"/>
          <w:szCs w:val="20"/>
          <w:color w:val="auto"/>
        </w:rPr>
        <w:t xml:space="preserve">Section 2.04 Swingline Loans. (a) Subject to the terms and conditions set forth herein, the Swingline Lender agrees to make Swingline Loans in Dollars to the Borrower from time to time during the Availability Period, in an aggregate principal amount at any time outstanding that will not result in (i) the aggregate principal amount of outstanding Swingline Loans exceeding the Swingline Commitment or (ii) the Revolving Facility Credit Exposure of the applicable Class exceeding the total Revolving Facility Commitments of such Class;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the Swingline Lender shall not be required to make a Swingline Loan to refinance an outstanding Swingline Borrowing. Within the foregoing limits and subject to the terms and conditions set forth herein, the Borrower may borrow, prepay and reborrow Swingline Loans.</w:t>
      </w:r>
    </w:p>
    <w:p>
      <w:pPr>
        <w:spacing w:after="0" w:line="179" w:lineRule="exact"/>
        <w:rPr>
          <w:sz w:val="20"/>
          <w:szCs w:val="20"/>
          <w:color w:val="auto"/>
        </w:rPr>
      </w:pPr>
    </w:p>
    <w:p>
      <w:pPr>
        <w:jc w:val="both"/>
        <w:ind w:left="120" w:firstLine="1292"/>
        <w:spacing w:after="0" w:line="254" w:lineRule="auto"/>
        <w:tabs>
          <w:tab w:leader="none" w:pos="1884" w:val="left"/>
        </w:tabs>
        <w:numPr>
          <w:ilvl w:val="0"/>
          <w:numId w:val="1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request a Swingline Borrowing, the Borrower shall notify the Administrative Agent and the Swingline Lender of such request by telephone (confirmed by a Swingline Borrowing Request by electronic means), not later than 2:00 p.m., Local Time, on the day of a proposed Swingline Borrowing. Each such notice and Swingline Borrowing Request shall be irrevocable and shall specify (i) the requested date of such Swingline Borrowing (which shall be a Business Day) and (ii) the amount</w:t>
      </w:r>
    </w:p>
    <w:p>
      <w:pPr>
        <w:sectPr>
          <w:pgSz w:w="11900" w:h="16838" w:orient="portrait"/>
          <w:cols w:equalWidth="0" w:num="1">
            <w:col w:w="11240"/>
          </w:cols>
          <w:pgMar w:left="320" w:top="108" w:right="339" w:bottom="1440" w:gutter="0" w:footer="0" w:header="0"/>
        </w:sectPr>
      </w:pPr>
    </w:p>
    <w:bookmarkStart w:id="260" w:name="page261"/>
    <w:bookmarkEnd w:id="260"/>
    <w:p>
      <w:pPr>
        <w:jc w:val="right"/>
        <w:spacing w:after="0"/>
        <w:rPr>
          <w:sz w:val="20"/>
          <w:szCs w:val="20"/>
          <w:color w:val="auto"/>
        </w:rPr>
      </w:pPr>
      <w:r>
        <w:rPr>
          <w:rFonts w:ascii="Times New Roman" w:cs="Times New Roman" w:eastAsia="Times New Roman" w:hAnsi="Times New Roman"/>
          <w:sz w:val="22"/>
          <w:szCs w:val="22"/>
          <w:color w:val="FF0000"/>
          <w:strike w:val="1"/>
        </w:rPr>
        <w:t>ANNEX</w:t>
      </w:r>
      <w:r>
        <w:rPr>
          <w:rFonts w:ascii="Times New Roman" w:cs="Times New Roman" w:eastAsia="Times New Roman" w:hAnsi="Times New Roman"/>
          <w:sz w:val="22"/>
          <w:szCs w:val="22"/>
          <w:b w:val="1"/>
          <w:bCs w:val="1"/>
          <w:u w:val="single" w:color="auto"/>
          <w:color w:val="0000FF"/>
        </w:rPr>
        <w:t>EXHIBIT</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of the requested Swingline Borrowing. The Swingline Lender shall consult with the Administrative Agent as to whether the making of the Swingline Loan is in accordance with the terms of this Agreement prior to the Swingline Lender funding such Swingline Loan. The Swingline Lender shall make each Swingline Loan on the proposed date thereof by wire transfer of immediately available funds by 3:00 p.m., Local Time, to the account of the Borrower (or, in the case of a Swingline Borrowing made to finance the reimbursement of an L/C Disbursement as provided in Section 2.05(e), by remittance to the applicable Issuing Bank).</w:t>
      </w:r>
    </w:p>
    <w:p>
      <w:pPr>
        <w:spacing w:after="0" w:line="178" w:lineRule="exact"/>
        <w:rPr>
          <w:sz w:val="20"/>
          <w:szCs w:val="20"/>
          <w:color w:val="auto"/>
        </w:rPr>
      </w:pPr>
    </w:p>
    <w:p>
      <w:pPr>
        <w:jc w:val="both"/>
        <w:ind w:firstLine="1292"/>
        <w:spacing w:after="0" w:line="248" w:lineRule="auto"/>
        <w:tabs>
          <w:tab w:leader="none" w:pos="1722" w:val="left"/>
        </w:tabs>
        <w:numPr>
          <w:ilvl w:val="0"/>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Swingline Lender may by written notice given to the Administrative Agent not later than 10:00 a.m., Local Time, on any Business Day require the Revolving Facility Lenders of the applicable Class to acquire participations on such Business Day in all or a portion of the outstanding Swingline Loans made by it. Such notice shall specify the aggregate amount of such Swingline Loans in which the Revolving Facility Lenders will participate. Promptly upon receipt of such notice, the Administrative Agent will give notice thereof to each such Lender, specifying in such notice such Revolving Facility Lender’s applicable Revolving Facility Percentage of such Swingline Loan or Loans. Each Revolving Facility Lender hereby absolutely and unconditionally agrees, upon receipt of notice as provided above, to pay to the Administrative Agent for the account of the Swingline Lender, such Revolving Facility Lender’s applicable Revolving Facility Percentage of such Swingline Loan or Loans. Each Revolving Facility Lender acknowledges and agrees that its respective obligation to acquire participations in Swingline Loans pursuant to this paragraph is absolute and unconditional and shall not be affected by any circumstance whatsoever, including the occurrence and continuance of a Default or Event of Default or reduction or termination of the Commitments, and that each such payment shall be made without any offset, abatement, withholding or reduction whatsoever. Each Revolving Facility Lender shall comply with its obligation under this paragraph by wire transfer of immediately available funds, in the same manner as provided in Section 2.06 with respect to Loans made by such Revolving Facility Lender (and Section 2.06 shall apply, mutatis mutandis, to the payment obligations of the Lenders), and the Administrative Agent shall promptly pay to the Swingline Lender the amounts so received by it from the Revolving Facility Lenders. The Administrative Agent shall notify the Borrower of any participations in any Swingline Loan acquired pursuant to this paragraph (c), and thereafter payments in respect of such Swingline Loan shall be made to the Administrative Agent and not to the Swingline Lender. Any amounts received by the Swingline Lender from the Borrower (or other party on behalf of the Borrower) in respect of a Swingline Loan after receipt by the Swingline Lender of the proceeds of a sale of participations therein shall be promptly remitted to the Administrative Agent; any such amounts received by the Administrative Agent shall be promptly remitted by the Administrative Agent to the Revolving Facility Lenders that shall have made their payments pursuant to this paragraph and to the Swingline Lender, as their interests may appear;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any such payment so remitted shall be repaid to the Swingline Lender or to the Administrative Agent, as applicable, if and to the extent such payment is required to be refunded to the Borrower for any reason. The purchase of participations in a Swingline Loan pursuant to this paragraph shall not relieve the Borrower of any default in the payment thereof.</w:t>
      </w:r>
    </w:p>
    <w:p>
      <w:pPr>
        <w:spacing w:after="0" w:line="196" w:lineRule="exact"/>
        <w:rPr>
          <w:rFonts w:ascii="Times New Roman" w:cs="Times New Roman" w:eastAsia="Times New Roman" w:hAnsi="Times New Roman"/>
          <w:sz w:val="20"/>
          <w:szCs w:val="20"/>
          <w:color w:val="auto"/>
        </w:rPr>
      </w:pPr>
    </w:p>
    <w:p>
      <w:pPr>
        <w:jc w:val="both"/>
        <w:ind w:firstLine="1292"/>
        <w:spacing w:after="0" w:line="253" w:lineRule="auto"/>
        <w:tabs>
          <w:tab w:leader="none" w:pos="1849" w:val="left"/>
        </w:tabs>
        <w:numPr>
          <w:ilvl w:val="0"/>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may, at any time and from time to time, designate as additional Swingline Lenders one or more Revolving Facility Lenders that agree to serve in such capacity as provided below. The acceptance by a Revolving Facility Lender of an appointment as a Swingline Lender hereunder shall be evidenced by an agreement, which shall be in form and substance reasonably satisfactory to the Administrative Agent and the Borrower, executed by the Borrower, the Administrative Agent and such designated Swingline Lender, and, from and after the effective date of such agreement, (i) such Revolving Facility Lender shall have all the rights and obligations of a Swingline Lender under this Agreement and (ii) references herein to the term “Swingline Lender” shall</w:t>
      </w:r>
    </w:p>
    <w:p>
      <w:pPr>
        <w:sectPr>
          <w:pgSz w:w="11900" w:h="16838" w:orient="portrait"/>
          <w:cols w:equalWidth="0" w:num="1">
            <w:col w:w="11120"/>
          </w:cols>
          <w:pgMar w:left="440" w:top="108" w:right="339" w:bottom="1440" w:gutter="0" w:footer="0" w:header="0"/>
        </w:sectPr>
      </w:pPr>
    </w:p>
    <w:bookmarkStart w:id="261" w:name="page262"/>
    <w:bookmarkEnd w:id="261"/>
    <w:p>
      <w:pPr>
        <w:jc w:val="right"/>
        <w:spacing w:after="0"/>
        <w:rPr>
          <w:sz w:val="20"/>
          <w:szCs w:val="20"/>
          <w:color w:val="auto"/>
        </w:rPr>
      </w:pPr>
      <w:r>
        <w:rPr>
          <w:rFonts w:ascii="Times New Roman" w:cs="Times New Roman" w:eastAsia="Times New Roman" w:hAnsi="Times New Roman"/>
          <w:sz w:val="22"/>
          <w:szCs w:val="22"/>
          <w:color w:val="FF0000"/>
          <w:strike w:val="1"/>
        </w:rPr>
        <w:t>ANNEX</w:t>
      </w:r>
      <w:r>
        <w:rPr>
          <w:rFonts w:ascii="Times New Roman" w:cs="Times New Roman" w:eastAsia="Times New Roman" w:hAnsi="Times New Roman"/>
          <w:sz w:val="22"/>
          <w:szCs w:val="22"/>
          <w:b w:val="1"/>
          <w:bCs w:val="1"/>
          <w:u w:val="single" w:color="auto"/>
          <w:color w:val="0000FF"/>
        </w:rPr>
        <w:t>EXHIBIT</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be deemed to include such Revolving Facility Lender in its capacity as a lender of Swingline Loans hereunder.</w:t>
      </w:r>
    </w:p>
    <w:p>
      <w:pPr>
        <w:spacing w:after="0" w:line="202"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0"/>
          <w:szCs w:val="20"/>
          <w:color w:val="auto"/>
        </w:rPr>
        <w:t xml:space="preserve">Section 2.05 Letters of Credit. (a) </w:t>
      </w:r>
      <w:r>
        <w:rPr>
          <w:rFonts w:ascii="Times New Roman" w:cs="Times New Roman" w:eastAsia="Times New Roman" w:hAnsi="Times New Roman"/>
          <w:sz w:val="20"/>
          <w:szCs w:val="20"/>
          <w:u w:val="single" w:color="auto"/>
          <w:color w:val="auto"/>
        </w:rPr>
        <w:t>General</w:t>
      </w:r>
      <w:r>
        <w:rPr>
          <w:rFonts w:ascii="Times New Roman" w:cs="Times New Roman" w:eastAsia="Times New Roman" w:hAnsi="Times New Roman"/>
          <w:sz w:val="20"/>
          <w:szCs w:val="20"/>
          <w:color w:val="auto"/>
        </w:rPr>
        <w:t>. Subject to the terms and conditions set forth herein, the Borrower may request the issuance of one or more letters of credit or bank guarantees in Dollars or any Alternate Currency in the form of (x) trade letters of credit or bank guarantees in support of trade obligations of the Borrower and its Subsidiaries incurred in the ordinary course of business (such letters of credit or bank guarantees issued for such purposes, “</w:t>
      </w:r>
      <w:r>
        <w:rPr>
          <w:rFonts w:ascii="Times New Roman" w:cs="Times New Roman" w:eastAsia="Times New Roman" w:hAnsi="Times New Roman"/>
          <w:sz w:val="20"/>
          <w:szCs w:val="20"/>
          <w:u w:val="single" w:color="auto"/>
          <w:color w:val="auto"/>
        </w:rPr>
        <w:t>Trade Letters of Credit</w:t>
      </w:r>
      <w:r>
        <w:rPr>
          <w:rFonts w:ascii="Times New Roman" w:cs="Times New Roman" w:eastAsia="Times New Roman" w:hAnsi="Times New Roman"/>
          <w:sz w:val="20"/>
          <w:szCs w:val="20"/>
          <w:color w:val="auto"/>
        </w:rPr>
        <w:t>”) and (y) standby letters of credit issued for any other lawful purposes of the Borrower and its Subsidiaries (such letters of credit issued for such purposes, “</w:t>
      </w:r>
      <w:r>
        <w:rPr>
          <w:rFonts w:ascii="Times New Roman" w:cs="Times New Roman" w:eastAsia="Times New Roman" w:hAnsi="Times New Roman"/>
          <w:sz w:val="20"/>
          <w:szCs w:val="20"/>
          <w:u w:val="single" w:color="auto"/>
          <w:color w:val="auto"/>
        </w:rPr>
        <w:t>Standby Letters of Credit</w:t>
      </w:r>
      <w:r>
        <w:rPr>
          <w:rFonts w:ascii="Times New Roman" w:cs="Times New Roman" w:eastAsia="Times New Roman" w:hAnsi="Times New Roman"/>
          <w:sz w:val="20"/>
          <w:szCs w:val="20"/>
          <w:color w:val="auto"/>
        </w:rPr>
        <w:t>”; each such letter of credit or bank guarantee, issued hereunder, a “</w:t>
      </w:r>
      <w:r>
        <w:rPr>
          <w:rFonts w:ascii="Times New Roman" w:cs="Times New Roman" w:eastAsia="Times New Roman" w:hAnsi="Times New Roman"/>
          <w:sz w:val="20"/>
          <w:szCs w:val="20"/>
          <w:u w:val="single" w:color="auto"/>
          <w:color w:val="auto"/>
        </w:rPr>
        <w:t>Letter of Credit</w:t>
      </w:r>
      <w:r>
        <w:rPr>
          <w:rFonts w:ascii="Times New Roman" w:cs="Times New Roman" w:eastAsia="Times New Roman" w:hAnsi="Times New Roman"/>
          <w:sz w:val="20"/>
          <w:szCs w:val="20"/>
          <w:color w:val="auto"/>
        </w:rPr>
        <w:t>” and collectively, the “</w:t>
      </w:r>
      <w:r>
        <w:rPr>
          <w:rFonts w:ascii="Times New Roman" w:cs="Times New Roman" w:eastAsia="Times New Roman" w:hAnsi="Times New Roman"/>
          <w:sz w:val="20"/>
          <w:szCs w:val="20"/>
          <w:u w:val="single" w:color="auto"/>
          <w:color w:val="auto"/>
        </w:rPr>
        <w:t>Letters of Credit</w:t>
      </w:r>
      <w:r>
        <w:rPr>
          <w:rFonts w:ascii="Times New Roman" w:cs="Times New Roman" w:eastAsia="Times New Roman" w:hAnsi="Times New Roman"/>
          <w:sz w:val="20"/>
          <w:szCs w:val="20"/>
          <w:color w:val="auto"/>
        </w:rPr>
        <w:t xml:space="preserve">”) for its own account or for the account of any Subsidiary in a form reasonably acceptable to the applicable Issuing Bank, at any time and from time to time during the applicable Availability Period and prior to the date that is five Business Days prior to the applicable Revolving Facility Maturity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(x) Barclays Bank PLC, Deutsche Bank AG New York Branch, Royal Bank of Canada and Credit Suisse AG, Cayman Islands Branch shall not be required to issue Trade Letters of Credit, (y) the Borrower shall remain primarily liable in the case of a Letter of Credit issued for the account of a Subsidiary and (z) the applicable Issuing Bank shall not be obligated to issue Letters of Credit if any order, judgment or decree of any Governmental Authority or arbitrator shall by its terms purport to enjoin or restrain such Issuing Bank from issuing such Letter of Credit, the issuance of such Letter of Credit would violate any Requirements of Law binding upon such Issuing Bank or the issuance of the Letter of Credit would violate one or more policies of such Issuing Bank applicable to letters of credit generally. In the event of any inconsistency between the terms and conditions of this Agreement and the terms and conditions of any form of letter of credit application or other agreement submitted by the Borrower to, or entered into by the Borrower with, an Issuing Bank relating to any Letter of Credit, the terms and conditions of this Agreement shall control.</w:t>
      </w:r>
    </w:p>
    <w:p>
      <w:pPr>
        <w:spacing w:after="0" w:line="166" w:lineRule="exact"/>
        <w:rPr>
          <w:sz w:val="20"/>
          <w:szCs w:val="20"/>
          <w:color w:val="auto"/>
        </w:rPr>
      </w:pPr>
    </w:p>
    <w:p>
      <w:pPr>
        <w:jc w:val="both"/>
        <w:ind w:left="120" w:firstLine="1292"/>
        <w:spacing w:after="0" w:line="249" w:lineRule="auto"/>
        <w:tabs>
          <w:tab w:leader="none" w:pos="1952" w:val="left"/>
        </w:tabs>
        <w:numPr>
          <w:ilvl w:val="0"/>
          <w:numId w:val="1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 of Issuance, Amendment, Renewal, Extension: Certain Conditions</w:t>
      </w:r>
      <w:r>
        <w:rPr>
          <w:rFonts w:ascii="Times New Roman" w:cs="Times New Roman" w:eastAsia="Times New Roman" w:hAnsi="Times New Roman"/>
          <w:sz w:val="20"/>
          <w:szCs w:val="20"/>
          <w:color w:val="auto"/>
        </w:rPr>
        <w:t>. To request the issuance of a Letter of Credit (or the amendment, renewal (other than an automatic extension in accordance with paragraph (c) of this Section 2.05) or extension of an outstanding Letter of Credit), the Borrower shall hand deliver or telecopy (or transmit by electronic communication, if arrangements for doing so have been approved by the applicable Issuing Bank) to the applicable Issuing Bank and the Administrative Agent (at least three Business Days (or, in the case of an Alternate Currency Letter of Credit where the Issuing Bank is Barclays Bank PLC, at least five Business Days) in advance of the requested date of issuance, amendment or extension or such shorter period as the Administrative Agent and the applicable Issuing Bank in their sole discretion may agree) a notice requesting the issuance of a Letter of Credit, or identifying the Letter of Credit to be amended or extended, and specifying the date of issuance, amendment or extension (which shall be a Business Day), the date on which such Letter of Credit is to expire (which shall comply with paragraph (c) of this Section 2.05), the amount and currency (which may be Dollars or any Alternate Currency) of such Letter of Credit, the name and address of the beneficiary thereof, whether such Letter of Credit constitutes a Standby Letter of Credit or a Trade Letter of Credit and such other information as shall be necessary to issue, amend or extend such Letter of Credit. If requested by the applicable Issuing Bank, the Borrower also shall submit a letter of credit application on such Issuing Bank’s standard form in connection with any request for a Letter of Credit. A Letter of Credit shall be issued, amended or extended only if (and upon issuance, amendment or extension of each Letter of Credit the Borrower shall be deemed to represent and warrant that), after giving effect to such issuance, amendment or extension, (i) the Revolving Facility Credit Exposure shall not exceed the applicable Revolving Facility Commitments, (ii) the Revolving L/C Exposure shall not exceed the Letter of Credit Sublimit and (iii) with respect to the applicable Issuing Bank, the stated amount of all outstanding Letters of Credit issued by such Issuing Bank shall not exceed the applicable</w:t>
      </w:r>
    </w:p>
    <w:p>
      <w:pPr>
        <w:sectPr>
          <w:pgSz w:w="11900" w:h="16838" w:orient="portrait"/>
          <w:cols w:equalWidth="0" w:num="1">
            <w:col w:w="11240"/>
          </w:cols>
          <w:pgMar w:left="320" w:top="108" w:right="339" w:bottom="1440" w:gutter="0" w:footer="0" w:header="0"/>
        </w:sectPr>
      </w:pPr>
    </w:p>
    <w:bookmarkStart w:id="262" w:name="page263"/>
    <w:bookmarkEnd w:id="262"/>
    <w:p>
      <w:pPr>
        <w:jc w:val="right"/>
        <w:spacing w:after="0"/>
        <w:rPr>
          <w:sz w:val="20"/>
          <w:szCs w:val="20"/>
          <w:color w:val="auto"/>
        </w:rPr>
      </w:pPr>
      <w:r>
        <w:rPr>
          <w:rFonts w:ascii="Times New Roman" w:cs="Times New Roman" w:eastAsia="Times New Roman" w:hAnsi="Times New Roman"/>
          <w:sz w:val="22"/>
          <w:szCs w:val="22"/>
          <w:color w:val="FF0000"/>
          <w:strike w:val="1"/>
        </w:rPr>
        <w:t>ANNEX</w:t>
      </w:r>
      <w:r>
        <w:rPr>
          <w:rFonts w:ascii="Times New Roman" w:cs="Times New Roman" w:eastAsia="Times New Roman" w:hAnsi="Times New Roman"/>
          <w:sz w:val="22"/>
          <w:szCs w:val="22"/>
          <w:b w:val="1"/>
          <w:bCs w:val="1"/>
          <w:u w:val="single" w:color="auto"/>
          <w:color w:val="0000FF"/>
        </w:rPr>
        <w:t>EXHIBIT</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Specified L/C Sublimit of such Issuing Bank then in effect. For the avoidance of doubt, no Issuing Bank shall be obligated to issue an Alternate Currency Letter of Credit if such Issuing Bank does not otherwise issue letters of credit in such Alternate Currency.</w:t>
      </w:r>
    </w:p>
    <w:p>
      <w:pPr>
        <w:spacing w:after="0" w:line="133" w:lineRule="exact"/>
        <w:rPr>
          <w:sz w:val="20"/>
          <w:szCs w:val="20"/>
          <w:color w:val="auto"/>
        </w:rPr>
      </w:pPr>
    </w:p>
    <w:p>
      <w:pPr>
        <w:jc w:val="both"/>
        <w:ind w:firstLine="1292"/>
        <w:spacing w:after="0" w:line="249" w:lineRule="auto"/>
        <w:tabs>
          <w:tab w:leader="none" w:pos="1727" w:val="left"/>
        </w:tabs>
        <w:numPr>
          <w:ilvl w:val="0"/>
          <w:numId w:val="1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Expiration Date</w:t>
      </w:r>
      <w:r>
        <w:rPr>
          <w:rFonts w:ascii="Times New Roman" w:cs="Times New Roman" w:eastAsia="Times New Roman" w:hAnsi="Times New Roman"/>
          <w:sz w:val="20"/>
          <w:szCs w:val="20"/>
          <w:color w:val="auto"/>
        </w:rPr>
        <w:t xml:space="preserve">. Each Letter of Credit shall expire at or prior to the close of business on the earlier of (i) the date one year (unless otherwise agreed upon by the Borrower and the applicable Issuing Bank in their sole discretion) after the date of the issuance of such Letter of Credit (or, in the case of any extension thereof, one year (unless otherwise agreed upon by the Borrower and the applicable Issuing Bank in their sole discretion) after such renewal or extension) and (ii) the date that is five Business Days prior to the applicable Revolving Facility Maturity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Letter of Credit with a one year tenor may provide for automatic renewal or extension thereof for additional one year periods (which, in no event, shall extend beyond the date referred to in clause (ii) of this paragraph (c)) so long as such Letter of Credit permits the applicable Issuing Bank to prevent any such extension at least once in each twelve-month period (commencing with the date of issuance of such Letter of Credit) by giving prior notice to the beneficiary thereof within a time period during such twelve-month period to be agreed upon at the time such Letter of Credit is issued;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xml:space="preserve">, that if such Issuing Bank consents in its sole discretion, the expiration date on any Letter of Credit may extend beyond the date referred to in clause (ii) above,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if any such Letter of Credit is outstanding or is issued under the Revolving Facility Commitments of any Class after the date that is five Business Days prior to the Revolving Facility Maturity Date for such Class the Borrower shall provide Cash Collateral pursuant to documentation reasonably satisfactory to the Administrative Agent and the relevant Issuing Bank in an amount equal to the face amount of each such Letter of Credit on or prior to the date that is five Business Days prior to such Revolving Facility Maturity Date or, if later, such date of issuance.</w:t>
      </w:r>
    </w:p>
    <w:p>
      <w:pPr>
        <w:spacing w:after="0" w:line="173" w:lineRule="exact"/>
        <w:rPr>
          <w:rFonts w:ascii="Times New Roman" w:cs="Times New Roman" w:eastAsia="Times New Roman" w:hAnsi="Times New Roman"/>
          <w:sz w:val="20"/>
          <w:szCs w:val="20"/>
          <w:color w:val="auto"/>
        </w:rPr>
      </w:pPr>
    </w:p>
    <w:p>
      <w:pPr>
        <w:jc w:val="both"/>
        <w:ind w:firstLine="1292"/>
        <w:spacing w:after="0" w:line="250" w:lineRule="auto"/>
        <w:tabs>
          <w:tab w:leader="none" w:pos="1792" w:val="left"/>
        </w:tabs>
        <w:numPr>
          <w:ilvl w:val="0"/>
          <w:numId w:val="1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Participations</w:t>
      </w:r>
      <w:r>
        <w:rPr>
          <w:rFonts w:ascii="Times New Roman" w:cs="Times New Roman" w:eastAsia="Times New Roman" w:hAnsi="Times New Roman"/>
          <w:sz w:val="20"/>
          <w:szCs w:val="20"/>
          <w:color w:val="auto"/>
        </w:rPr>
        <w:t>. By the issuance of a Letter of Credit (or an amendment to a Letter of Credit increasing the amount thereof) under the Revolving Facility Commitments of any Class and without any further action on the part of the applicable Issuing Bank or the Revolving Facility Lenders, such Issuing Bank hereby grants to each Revolving Facility Lender under such Class, and each such Revolving Facility Lender hereby acquires from such Issuing Bank, a participation in such Letter of Credit equal to such Revolving Facility Lender’s applicable Revolving Facility Percentage of the aggregate amount available to be drawn under such Letter of Credit (calculated, in the case of Alternate Currency Letters of Credit, based on the Dollar Equivalent thereof). In consideration and in furtherance of the foregoing, each Revolving Facility Lender hereby absolutely and unconditionally agrees to pay to the Administrative Agent, for the account of the applicable Issuing Bank, in Dollars, such Revolving Facility Lender’s applicable Revolving Facility Percentage of each L/C Disbursement made by such Issuing Bank and not reimbursed by the Borrower on the date due as provided in paragraph (e) of this Section 2.05, or of any reimbursement payment required to be refunded to the Borrower for any reason (calculated, in the case of any Alternate Currency Letter of Credit, based on the Dollar Equivalent thereof). Each Revolving Facility Lender acknowledges and agrees that its obligation to acquire participations pursuant to this paragraph in respect of Letters of Credit is absolute and unconditional and shall not be affected by any circumstance whatsoever, including any amendment, renewal or extension of any Letter of Credit or the occurrence and continuance of a Default or Event of Default or reduction or termination of the Commitments or the fact that, as a result of changes in currency exchange rates, such Revolving Facility Lender’s Revolving Facility Credit Exposure at any time might exceed its Revolving Facility Commitment at such time (in which case Section 2.11(f) would apply), and that each such payment shall be made without any offset, abatement, withholding or reduction whatsoever.</w:t>
      </w:r>
    </w:p>
    <w:p>
      <w:pPr>
        <w:sectPr>
          <w:pgSz w:w="11900" w:h="16838" w:orient="portrait"/>
          <w:cols w:equalWidth="0" w:num="1">
            <w:col w:w="11120"/>
          </w:cols>
          <w:pgMar w:left="440" w:top="108" w:right="339" w:bottom="1440" w:gutter="0" w:footer="0" w:header="0"/>
        </w:sectPr>
      </w:pPr>
    </w:p>
    <w:bookmarkStart w:id="263" w:name="page264"/>
    <w:bookmarkEnd w:id="263"/>
    <w:p>
      <w:pPr>
        <w:jc w:val="right"/>
        <w:spacing w:after="0"/>
        <w:rPr>
          <w:sz w:val="20"/>
          <w:szCs w:val="20"/>
          <w:color w:val="auto"/>
        </w:rPr>
      </w:pPr>
      <w:r>
        <w:rPr>
          <w:rFonts w:ascii="Times New Roman" w:cs="Times New Roman" w:eastAsia="Times New Roman" w:hAnsi="Times New Roman"/>
          <w:sz w:val="22"/>
          <w:szCs w:val="22"/>
          <w:color w:val="FF0000"/>
          <w:strike w:val="1"/>
        </w:rPr>
        <w:t>ANNEX</w:t>
      </w:r>
      <w:r>
        <w:rPr>
          <w:rFonts w:ascii="Times New Roman" w:cs="Times New Roman" w:eastAsia="Times New Roman" w:hAnsi="Times New Roman"/>
          <w:sz w:val="22"/>
          <w:szCs w:val="22"/>
          <w:b w:val="1"/>
          <w:bCs w:val="1"/>
          <w:u w:val="single" w:color="auto"/>
          <w:color w:val="0000FF"/>
        </w:rPr>
        <w:t>EXHIBIT</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ind w:firstLine="1292"/>
        <w:spacing w:after="0" w:line="249" w:lineRule="auto"/>
        <w:tabs>
          <w:tab w:leader="none" w:pos="1740" w:val="left"/>
        </w:tabs>
        <w:numPr>
          <w:ilvl w:val="0"/>
          <w:numId w:val="1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Reimbursement</w:t>
      </w:r>
      <w:r>
        <w:rPr>
          <w:rFonts w:ascii="Times New Roman" w:cs="Times New Roman" w:eastAsia="Times New Roman" w:hAnsi="Times New Roman"/>
          <w:sz w:val="20"/>
          <w:szCs w:val="20"/>
          <w:color w:val="auto"/>
        </w:rPr>
        <w:t xml:space="preserve">. If the applicable Issuing Bank shall make any L/C Disbursement in respect of a Letter of Credit, the Borrower shall reimburse such L/C Disbursement by paying to the Administrative Agent an amount in Dollars equal to such L/C Disbursement (or, in the case of an Alternate Currency Letter of Credit, the Dollar Equivalent thereof) not later than 2:00 p.m., Local Time, on the first Business Day after the Borrower receives notice under paragraph (g) of this Section 2.05 of such L/C Disbursement (or the second Business Day, if such notice is received after 12:00 noon, Local Time), together with accrued interest thereon from the date of such L/C Disbursement at the rate applicable to ABR Revolving Facility Loans of the applicable Class;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the Borrower may, subject to the conditions to borrowing set forth herein, request in accordance with Section 2.03 or 2.04 that such payment be financed with an ABR Revolving Facility Borrowing or a Swingline Borrowing of the applicable Class, as applicable, in an equivalent amount and, to the extent so financed, the Borrower’s obligation to make such payment shall be discharged and replaced by the resulting ABR Revolving Facility Borrowing or Swingline Borrowing. If the Borrower fails to reimburse any L/C Disbursement when due, then the Administrative Agent shall promptly notify the applicable Issuing Bank and each other applicable Revolving Facility Lender of the applicable L/C Disbursement, the payment then due from the Borrower in respect thereof (the “</w:t>
      </w:r>
      <w:r>
        <w:rPr>
          <w:rFonts w:ascii="Times New Roman" w:cs="Times New Roman" w:eastAsia="Times New Roman" w:hAnsi="Times New Roman"/>
          <w:sz w:val="20"/>
          <w:szCs w:val="20"/>
          <w:u w:val="single" w:color="auto"/>
          <w:color w:val="auto"/>
        </w:rPr>
        <w:t>Unreimbursed Amount</w:t>
      </w:r>
      <w:r>
        <w:rPr>
          <w:rFonts w:ascii="Times New Roman" w:cs="Times New Roman" w:eastAsia="Times New Roman" w:hAnsi="Times New Roman"/>
          <w:sz w:val="20"/>
          <w:szCs w:val="20"/>
          <w:color w:val="auto"/>
        </w:rPr>
        <w:t>”) and, in the case of a Revolving Facility Lender, such Lender’s Revolving Facility Percentage thereof. Promptly following receipt of such notice, each Revolving Facility Lender with a Revolving Facility Commitment of the applicable Class shall pay to the Administrative Agent in Dollars its Revolving Facility Percentage of the Unreimbursed Amount in the same manner as provided in Section 2.06 with respect to Loans made by such Lender (and Section 2.06 shall apply, mutatis mutandis, to the payment obligations of the Revolving Facility Lenders), and the Administrative Agent shall promptly pay to the applicable Issuing Bank the amounts so received by it from the Revolving Facility Lenders. Promptly following receipt by the Administrative Agent of any payment from the Borrower pursuant to this paragraph, the Administrative Agent shall distribute such payment to the applicable Issuing Bank or, to the extent that Revolving Facility Lenders have made payments pursuant to this paragraph to reimburse such Issuing Bank, then to such Lenders and such Issuing Bank as their interests may appear. Any payment made by a Revolving Facility Lender pursuant to this paragraph to reimburse an Issuing Bank for any L/C Disbursement (other than the funding of an ABR Revolving Loan or a Swingline Borrowing as contemplated above) shall not constitute a Loan and shall not relieve the Borrower of its obligation to reimburse such L/C Disbursement.</w:t>
      </w:r>
    </w:p>
    <w:p>
      <w:pPr>
        <w:spacing w:after="0" w:line="168" w:lineRule="exact"/>
        <w:rPr>
          <w:rFonts w:ascii="Times New Roman" w:cs="Times New Roman" w:eastAsia="Times New Roman" w:hAnsi="Times New Roman"/>
          <w:sz w:val="20"/>
          <w:szCs w:val="20"/>
          <w:color w:val="auto"/>
        </w:rPr>
      </w:pPr>
    </w:p>
    <w:p>
      <w:pPr>
        <w:jc w:val="both"/>
        <w:ind w:firstLine="1292"/>
        <w:spacing w:after="0" w:line="250" w:lineRule="auto"/>
        <w:tabs>
          <w:tab w:leader="none" w:pos="1692" w:val="left"/>
        </w:tabs>
        <w:numPr>
          <w:ilvl w:val="0"/>
          <w:numId w:val="1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Obligations Absolute</w:t>
      </w:r>
      <w:r>
        <w:rPr>
          <w:rFonts w:ascii="Times New Roman" w:cs="Times New Roman" w:eastAsia="Times New Roman" w:hAnsi="Times New Roman"/>
          <w:sz w:val="20"/>
          <w:szCs w:val="20"/>
          <w:color w:val="auto"/>
        </w:rPr>
        <w:t>. The obligation of the Borrower to reimburse L/C Disbursements as provided in paragraph (e) of this Section shall be absolute, unconditional and irrevocable, and shall be performed strictly in accordance with the terms of this Agreement under any and all circumstances whatsoever and irrespective of (i) any lack of validity or enforceability of any Letter of Credit or this Agreement, or any term or provision therein, (ii) any draft or other document presented under a Letter of Credit proving to be forged, fraudulent or invalid in any respect or any statement therein being untrue or inaccurate in any respect, (iii) payment by the applicable Issuing Bank under a Letter of Credit against presentation of a draft or other document that does not comply with the terms of such Letter of Credit or (iv) any other event or circumstance whatsoever, whether or not similar to any of the foregoing, that might, but for the provisions of this Section, constitute a legal or equitable discharge of, or provide a right of setoff against, the Borrower’s obligations hereunder. Neither the Administrative Agent, the Lenders nor any Issuing Bank, nor any of their Related Parties, shall have any liability or responsibility by reason of or in connection with the issuance or transfer of any Letter of Credit or any payment or failure to make any payment thereunder (irrespective of any of the circumstances referred to in the preceding sentence), or any error, omission, interruption, loss or delay in transmission or delivery of any draft, notice or other communication under or relating to any Letter of Credit (including any document required to make a drawing thereunder), any error in interpretation of</w:t>
      </w:r>
    </w:p>
    <w:p>
      <w:pPr>
        <w:sectPr>
          <w:pgSz w:w="11900" w:h="16838" w:orient="portrait"/>
          <w:cols w:equalWidth="0" w:num="1">
            <w:col w:w="11120"/>
          </w:cols>
          <w:pgMar w:left="440" w:top="108" w:right="339" w:bottom="1440" w:gutter="0" w:footer="0" w:header="0"/>
        </w:sectPr>
      </w:pPr>
    </w:p>
    <w:bookmarkStart w:id="264" w:name="page265"/>
    <w:bookmarkEnd w:id="264"/>
    <w:p>
      <w:pPr>
        <w:jc w:val="right"/>
        <w:spacing w:after="0"/>
        <w:rPr>
          <w:sz w:val="20"/>
          <w:szCs w:val="20"/>
          <w:color w:val="auto"/>
        </w:rPr>
      </w:pPr>
      <w:r>
        <w:rPr>
          <w:rFonts w:ascii="Times New Roman" w:cs="Times New Roman" w:eastAsia="Times New Roman" w:hAnsi="Times New Roman"/>
          <w:sz w:val="22"/>
          <w:szCs w:val="22"/>
          <w:color w:val="FF0000"/>
          <w:strike w:val="1"/>
        </w:rPr>
        <w:t>ANNEX</w:t>
      </w:r>
      <w:r>
        <w:rPr>
          <w:rFonts w:ascii="Times New Roman" w:cs="Times New Roman" w:eastAsia="Times New Roman" w:hAnsi="Times New Roman"/>
          <w:sz w:val="22"/>
          <w:szCs w:val="22"/>
          <w:b w:val="1"/>
          <w:bCs w:val="1"/>
          <w:u w:val="single" w:color="auto"/>
          <w:color w:val="0000FF"/>
        </w:rPr>
        <w:t>EXHIBIT</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 xml:space="preserve">technical terms or any consequence arising from causes beyond the control of such Issuing Bank, or any of the circumstances referred to in clauses (i), (ii) or (iii) of the first sentence;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the foregoing shall not be construed to excuse the applicable Issuing Bank from liability to the Borrower to the extent of any direct damages (as opposed to consequential damages, claims in respect of which are hereby waived by the Borrower to the extent permitted by applicable law) suffered by the Borrower that are determined by final and binding decision of a court of competent jurisdiction to have been caused by such Issuing Bank’s failure to exercise care when determining whether drafts and other documents presented under a Letter of Credit comply with the terms thereof. The parties hereto expressly agree that, in the absence of gross negligence or willful misconduct on the part of the applicable Issuing Bank, such Issuing Bank shall be deemed to have exercised care in each such determination. In furtherance of the foregoing and without limiting the generality thereof, the parties agree that, with respect to documents presented that appear on their face to be in substantial compliance with the terms of a Letter of Credit, the applicable Issuing Bank may, in its sole discretion, either accept and make payment upon such documents without responsibility for further investigation, regardless of any notice or information to the contrary, or refuse to accept and make payment upon such documents if such documents are not in strict compliance with the terms of such Letter of Credit.</w:t>
      </w:r>
    </w:p>
    <w:p>
      <w:pPr>
        <w:spacing w:after="0" w:line="165" w:lineRule="exact"/>
        <w:rPr>
          <w:sz w:val="20"/>
          <w:szCs w:val="20"/>
          <w:color w:val="auto"/>
        </w:rPr>
      </w:pPr>
    </w:p>
    <w:p>
      <w:pPr>
        <w:jc w:val="both"/>
        <w:ind w:firstLine="1292"/>
        <w:spacing w:after="0" w:line="253" w:lineRule="auto"/>
        <w:tabs>
          <w:tab w:leader="none" w:pos="1832" w:val="left"/>
        </w:tabs>
        <w:numPr>
          <w:ilvl w:val="0"/>
          <w:numId w:val="1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Disbursement Procedures</w:t>
      </w:r>
      <w:r>
        <w:rPr>
          <w:rFonts w:ascii="Times New Roman" w:cs="Times New Roman" w:eastAsia="Times New Roman" w:hAnsi="Times New Roman"/>
          <w:sz w:val="20"/>
          <w:szCs w:val="20"/>
          <w:color w:val="auto"/>
        </w:rPr>
        <w:t xml:space="preserve">. The applicable Issuing Bank shall, promptly following its receipt thereof, examine all documents purporting to represent a demand for payment under a Letter of Credit. Such Issuing Bank shall promptly notify the Administrative Agent and the Borrower </w:t>
      </w:r>
      <w:r>
        <w:rPr>
          <w:rFonts w:ascii="Times New Roman" w:cs="Times New Roman" w:eastAsia="Times New Roman" w:hAnsi="Times New Roman"/>
          <w:sz w:val="20"/>
          <w:szCs w:val="20"/>
          <w:color w:val="FF0000"/>
          <w:strike w:val="1"/>
        </w:rPr>
        <w:t>by telephone (confirmed by electronic means)</w:t>
      </w:r>
      <w:r>
        <w:rPr>
          <w:rFonts w:ascii="Times New Roman" w:cs="Times New Roman" w:eastAsia="Times New Roman" w:hAnsi="Times New Roman"/>
          <w:sz w:val="20"/>
          <w:szCs w:val="20"/>
          <w:b w:val="1"/>
          <w:bCs w:val="1"/>
          <w:u w:val="single" w:color="auto"/>
          <w:color w:val="0000FF"/>
        </w:rPr>
        <w:t>in writing</w:t>
      </w:r>
      <w:r>
        <w:rPr>
          <w:rFonts w:ascii="Times New Roman" w:cs="Times New Roman" w:eastAsia="Times New Roman" w:hAnsi="Times New Roman"/>
          <w:sz w:val="20"/>
          <w:szCs w:val="20"/>
          <w:color w:val="auto"/>
        </w:rPr>
        <w:t xml:space="preserve"> of any such demand for payment under a Letter of Credit and whether such Issuing Bank has made or will make an L/C Disbursement thereunder;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any failure to give or delay in giving such notice shall not relieve the Borrower of its obligation to reimburse such Issuing Bank and the Revolving Facility Lenders with respect to any such L/C Disbursement.</w:t>
      </w:r>
    </w:p>
    <w:p>
      <w:pPr>
        <w:spacing w:after="0" w:line="165" w:lineRule="exact"/>
        <w:rPr>
          <w:rFonts w:ascii="Times New Roman" w:cs="Times New Roman" w:eastAsia="Times New Roman" w:hAnsi="Times New Roman"/>
          <w:sz w:val="20"/>
          <w:szCs w:val="20"/>
          <w:color w:val="auto"/>
        </w:rPr>
      </w:pPr>
    </w:p>
    <w:p>
      <w:pPr>
        <w:jc w:val="both"/>
        <w:ind w:firstLine="1292"/>
        <w:spacing w:after="0" w:line="251" w:lineRule="auto"/>
        <w:tabs>
          <w:tab w:leader="none" w:pos="1724" w:val="left"/>
        </w:tabs>
        <w:numPr>
          <w:ilvl w:val="0"/>
          <w:numId w:val="1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Interim Interest</w:t>
      </w:r>
      <w:r>
        <w:rPr>
          <w:rFonts w:ascii="Times New Roman" w:cs="Times New Roman" w:eastAsia="Times New Roman" w:hAnsi="Times New Roman"/>
          <w:sz w:val="20"/>
          <w:szCs w:val="20"/>
          <w:color w:val="auto"/>
        </w:rPr>
        <w:t xml:space="preserve">. If an Issuing Bank shall make any L/C Disbursement, then, unless the Borrower shall reimburse such L/C Disbursement in full on the date such L/C Disbursement is made, the unpaid amount thereof shall bear interest, for each day from and including the date such L/C Disbursement is made to but excluding the date that the Borrower reimburses such L/C Disbursement, at the rate per annum then applicable to ABR Revolving Loans of the applicable Class;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if such L/C Disbursement is not reimbursed by the Borrower when due pursuant to paragraph (e) of this Section, then Section 2.13(c) shall apply. Interest accrued pursuant to this paragraph shall be for the account of the applicable Issuing Bank, except that interest accrued on and after the date of payment by any Revolving Facility Lender pursuant to paragraph (e) of this Section 2.05 to reimburse such Issuing Bank shall be for the account of such Revolving Facility Lender to the extent of such payment.</w:t>
      </w:r>
    </w:p>
    <w:p>
      <w:pPr>
        <w:spacing w:after="0" w:line="168" w:lineRule="exact"/>
        <w:rPr>
          <w:rFonts w:ascii="Times New Roman" w:cs="Times New Roman" w:eastAsia="Times New Roman" w:hAnsi="Times New Roman"/>
          <w:sz w:val="20"/>
          <w:szCs w:val="20"/>
          <w:color w:val="auto"/>
        </w:rPr>
      </w:pPr>
    </w:p>
    <w:p>
      <w:pPr>
        <w:jc w:val="both"/>
        <w:ind w:firstLine="1292"/>
        <w:spacing w:after="0" w:line="252" w:lineRule="auto"/>
        <w:tabs>
          <w:tab w:leader="none" w:pos="1775" w:val="left"/>
        </w:tabs>
        <w:numPr>
          <w:ilvl w:val="0"/>
          <w:numId w:val="1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Replacement of an Issuing Bank</w:t>
      </w:r>
      <w:r>
        <w:rPr>
          <w:rFonts w:ascii="Times New Roman" w:cs="Times New Roman" w:eastAsia="Times New Roman" w:hAnsi="Times New Roman"/>
          <w:sz w:val="20"/>
          <w:szCs w:val="20"/>
          <w:color w:val="auto"/>
        </w:rPr>
        <w:t>. An Issuing Bank may be replaced at any time by written agreement among the Borrower, the Administrative Agent, the replaced Issuing Bank and the successor Issuing Bank. The Administrative Agent shall notify the Lenders of any such replacement of an Issuing Bank. At the time any such replacement shall become effective, the Borrower shall pay all unpaid fees accrued for the account of the replaced Issuing Bank pursuant to Section 2.12. From and after the effective date of any such replacement, (i) the successor Issuing Bank shall have all the rights and obligations of the replaced Issuing Bank under this Agreement with respect to Letters of Credit to be issued thereafter and (ii) references herein to the term “Issuing Bank” shall be deemed to refer to such successor or to any previous Issuing Bank, or to such successor and all previous Issuing Banks, as the context shall require. After the replacement of an Issuing Bank hereunder, the replaced Issuing Bank shall remain a party hereto and shall continue to have all the rights and obligations of such Issuing Bank</w:t>
      </w:r>
    </w:p>
    <w:p>
      <w:pPr>
        <w:sectPr>
          <w:pgSz w:w="11900" w:h="16838" w:orient="portrait"/>
          <w:cols w:equalWidth="0" w:num="1">
            <w:col w:w="11120"/>
          </w:cols>
          <w:pgMar w:left="440" w:top="108" w:right="339" w:bottom="1440" w:gutter="0" w:footer="0" w:header="0"/>
        </w:sectPr>
      </w:pPr>
    </w:p>
    <w:bookmarkStart w:id="265" w:name="page266"/>
    <w:bookmarkEnd w:id="265"/>
    <w:p>
      <w:pPr>
        <w:jc w:val="right"/>
        <w:spacing w:after="0"/>
        <w:rPr>
          <w:sz w:val="20"/>
          <w:szCs w:val="20"/>
          <w:color w:val="auto"/>
        </w:rPr>
      </w:pPr>
      <w:r>
        <w:rPr>
          <w:rFonts w:ascii="Times New Roman" w:cs="Times New Roman" w:eastAsia="Times New Roman" w:hAnsi="Times New Roman"/>
          <w:sz w:val="22"/>
          <w:szCs w:val="22"/>
          <w:color w:val="FF0000"/>
          <w:strike w:val="1"/>
        </w:rPr>
        <w:t>ANNEX</w:t>
      </w:r>
      <w:r>
        <w:rPr>
          <w:rFonts w:ascii="Times New Roman" w:cs="Times New Roman" w:eastAsia="Times New Roman" w:hAnsi="Times New Roman"/>
          <w:sz w:val="22"/>
          <w:szCs w:val="22"/>
          <w:b w:val="1"/>
          <w:bCs w:val="1"/>
          <w:u w:val="single" w:color="auto"/>
          <w:color w:val="0000FF"/>
        </w:rPr>
        <w:t>EXHIBIT</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ind w:left="4"/>
        <w:spacing w:after="0" w:line="283" w:lineRule="auto"/>
        <w:rPr>
          <w:sz w:val="20"/>
          <w:szCs w:val="20"/>
          <w:color w:val="auto"/>
        </w:rPr>
      </w:pPr>
      <w:r>
        <w:rPr>
          <w:rFonts w:ascii="Times New Roman" w:cs="Times New Roman" w:eastAsia="Times New Roman" w:hAnsi="Times New Roman"/>
          <w:sz w:val="20"/>
          <w:szCs w:val="20"/>
          <w:color w:val="auto"/>
        </w:rPr>
        <w:t>under this Agreement with respect to Letters of Credit issued by it prior to such replacement but shall not be required to issue additional Letters of Credit.</w:t>
      </w:r>
    </w:p>
    <w:p>
      <w:pPr>
        <w:spacing w:after="0" w:line="133" w:lineRule="exact"/>
        <w:rPr>
          <w:sz w:val="20"/>
          <w:szCs w:val="20"/>
          <w:color w:val="auto"/>
        </w:rPr>
      </w:pPr>
    </w:p>
    <w:p>
      <w:pPr>
        <w:jc w:val="both"/>
        <w:ind w:left="4" w:firstLine="1292"/>
        <w:spacing w:after="0" w:line="254" w:lineRule="auto"/>
        <w:tabs>
          <w:tab w:leader="none" w:pos="1793" w:val="left"/>
        </w:tabs>
        <w:numPr>
          <w:ilvl w:val="1"/>
          <w:numId w:val="1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Cash Collateralization Following Certain Events</w:t>
      </w:r>
      <w:r>
        <w:rPr>
          <w:rFonts w:ascii="Times New Roman" w:cs="Times New Roman" w:eastAsia="Times New Roman" w:hAnsi="Times New Roman"/>
          <w:sz w:val="20"/>
          <w:szCs w:val="20"/>
          <w:color w:val="auto"/>
        </w:rPr>
        <w:t>. If and when the Borrower is required to Cash Collateralize any Revolving L/C Exposure relating to any outstanding Letters of Credit pursuant to any of Section 2.05(c), 2.11(e), 2.11(f), 2.11(g), 2.22(a)</w:t>
      </w:r>
    </w:p>
    <w:p>
      <w:pPr>
        <w:spacing w:after="0" w:line="1" w:lineRule="exact"/>
        <w:rPr>
          <w:rFonts w:ascii="Times New Roman" w:cs="Times New Roman" w:eastAsia="Times New Roman" w:hAnsi="Times New Roman"/>
          <w:sz w:val="20"/>
          <w:szCs w:val="20"/>
          <w:color w:val="auto"/>
        </w:rPr>
      </w:pPr>
    </w:p>
    <w:p>
      <w:pPr>
        <w:jc w:val="both"/>
        <w:ind w:left="4" w:hanging="4"/>
        <w:spacing w:after="0" w:line="261" w:lineRule="auto"/>
        <w:tabs>
          <w:tab w:leader="none" w:pos="297" w:val="left"/>
        </w:tabs>
        <w:numPr>
          <w:ilvl w:val="0"/>
          <w:numId w:val="1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or 7.01, the Borrower shall deposit in an account with or at the direction of the Collateral Agent (acting at the written direction of the Administrative Agent), in the name of the Collateral Agent and for the benefit of the Revolving Facility Lenders, an amount in cash in Dollars equal to the Revolving L/C Exposure as of such date (or, in the case of Sections 2.05(c), 2.11(e), 2.11(f), 2.11(g) and 2.22(a)(v), the portion thereof required by such sections). Each deposit of Cash Collateral (x) made pursuant to this paragraph or (y) made by the Administrative Agent pursuant to Section 2.22(a)(ii), in each case, shall be held by the Collateral Agent as collateral for the payment and performance of the obligations of the Borrower under this Agreement. The Collateral Agent shall have exclusive dominion and control, including the exclusive right of withdrawal, over such account. Other than any interest earned on the investment of such deposits, which investments shall be made at the option and sole discretion of (i) for so long as an Event of Default shall be continuing, the Collateral Agent and (ii) at any other time, the Borrower, in each case, in Permitted Investments and at the risk and expense of the Borrower. Interest or profits, if any, on such investments shall accumulate in such account. Moneys in such account shall be applied by the Collateral Agent (acting at the written direction of the Administrative Agent) to reimburse each Issuing Bank for L/C Disbursements for which such Issuing Bank has not been reimbursed and, to the extent not so applied, shall be held for the satisfaction of the reimbursement obligations of the Borrower for the Revolving L/C Exposure at such time or, if the maturity of the Loans has been accelerated (but subject to the consent of Lenders with Revolving L/C Exposure representing greater than 50% of the total Revolving L/C Exposure), be applied to satisfy other obligations of the Borrower under this Agreement. If the Borrower is required to provide an amount of Cash Collateral hereunder as a result of the occurrence of an Event of Default or the existence of a Defaulting Lender or the occurrence of a limit under Section 2.11(e), (f) or (g) being exceeded, such amount (to the extent not applied as aforesaid) shall be returned to the Borrower within three Business Days after all Events of Default have been cured or waived or the termination of the Defaulting Lender status or the limits under Sections 2.11(e), (f) and</w:t>
      </w:r>
    </w:p>
    <w:p>
      <w:pPr>
        <w:spacing w:after="0" w:line="2" w:lineRule="exact"/>
        <w:rPr>
          <w:rFonts w:ascii="Times New Roman" w:cs="Times New Roman" w:eastAsia="Times New Roman" w:hAnsi="Times New Roman"/>
          <w:sz w:val="19"/>
          <w:szCs w:val="19"/>
          <w:color w:val="auto"/>
        </w:rPr>
      </w:pPr>
    </w:p>
    <w:p>
      <w:pPr>
        <w:ind w:left="284" w:hanging="284"/>
        <w:spacing w:after="0"/>
        <w:tabs>
          <w:tab w:leader="none" w:pos="284" w:val="left"/>
        </w:tabs>
        <w:numPr>
          <w:ilvl w:val="0"/>
          <w:numId w:val="1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longer being exceeded, as applicable.</w:t>
      </w:r>
    </w:p>
    <w:p>
      <w:pPr>
        <w:spacing w:after="0" w:line="186" w:lineRule="exact"/>
        <w:rPr>
          <w:rFonts w:ascii="Times New Roman" w:cs="Times New Roman" w:eastAsia="Times New Roman" w:hAnsi="Times New Roman"/>
          <w:sz w:val="20"/>
          <w:szCs w:val="20"/>
          <w:color w:val="auto"/>
        </w:rPr>
      </w:pPr>
    </w:p>
    <w:p>
      <w:pPr>
        <w:jc w:val="both"/>
        <w:ind w:left="4" w:firstLine="1292"/>
        <w:spacing w:after="0" w:line="269" w:lineRule="auto"/>
        <w:tabs>
          <w:tab w:leader="none" w:pos="1809" w:val="left"/>
        </w:tabs>
        <w:numPr>
          <w:ilvl w:val="1"/>
          <w:numId w:val="166"/>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u w:val="single" w:color="auto"/>
          <w:color w:val="auto"/>
        </w:rPr>
        <w:t>Cash Collateralization Following Termination of the Revolving Facility</w:t>
      </w:r>
      <w:r>
        <w:rPr>
          <w:rFonts w:ascii="Times New Roman" w:cs="Times New Roman" w:eastAsia="Times New Roman" w:hAnsi="Times New Roman"/>
          <w:sz w:val="19"/>
          <w:szCs w:val="19"/>
          <w:color w:val="auto"/>
        </w:rPr>
        <w:t>. Notwithstanding anything to the contrary herein, in the event of the prepayment in full of all outstanding Revolving Facility Loans and the termination of all Revolving Facility Commitments (a “</w:t>
      </w:r>
      <w:r>
        <w:rPr>
          <w:rFonts w:ascii="Times New Roman" w:cs="Times New Roman" w:eastAsia="Times New Roman" w:hAnsi="Times New Roman"/>
          <w:sz w:val="19"/>
          <w:szCs w:val="19"/>
          <w:u w:val="single" w:color="auto"/>
          <w:color w:val="auto"/>
        </w:rPr>
        <w:t>Revolving Facility Termination Event</w:t>
      </w:r>
      <w:r>
        <w:rPr>
          <w:rFonts w:ascii="Times New Roman" w:cs="Times New Roman" w:eastAsia="Times New Roman" w:hAnsi="Times New Roman"/>
          <w:sz w:val="19"/>
          <w:szCs w:val="19"/>
          <w:color w:val="auto"/>
        </w:rPr>
        <w:t>”) in connection with which the Borrower notifies any one or more Issuing Banks that it intends to maintain one or more Letters of Credit initially issued under this Agreement in effect after the date of such Revolving Facility Termination Event (each, a “</w:t>
      </w:r>
      <w:r>
        <w:rPr>
          <w:rFonts w:ascii="Times New Roman" w:cs="Times New Roman" w:eastAsia="Times New Roman" w:hAnsi="Times New Roman"/>
          <w:sz w:val="19"/>
          <w:szCs w:val="19"/>
          <w:u w:val="single" w:color="auto"/>
          <w:color w:val="auto"/>
        </w:rPr>
        <w:t>Continuing Letter of Credit</w:t>
      </w:r>
      <w:r>
        <w:rPr>
          <w:rFonts w:ascii="Times New Roman" w:cs="Times New Roman" w:eastAsia="Times New Roman" w:hAnsi="Times New Roman"/>
          <w:sz w:val="19"/>
          <w:szCs w:val="19"/>
          <w:color w:val="auto"/>
        </w:rPr>
        <w:t>”), then the security interest of the Collateral Agent in the Collateral under the Security Documents may be terminated in accordance with Section 9.18 if each such Continuing Letter of Credit is Cash Collateralized in an amount equal to the Minimum L/C Collateral Amount, which shall be deposited with or at the direction of each such Issuing Bank.</w:t>
      </w:r>
    </w:p>
    <w:p>
      <w:pPr>
        <w:spacing w:after="0" w:line="148" w:lineRule="exact"/>
        <w:rPr>
          <w:rFonts w:ascii="Times New Roman" w:cs="Times New Roman" w:eastAsia="Times New Roman" w:hAnsi="Times New Roman"/>
          <w:sz w:val="19"/>
          <w:szCs w:val="19"/>
          <w:u w:val="single" w:color="auto"/>
          <w:color w:val="auto"/>
        </w:rPr>
      </w:pPr>
    </w:p>
    <w:p>
      <w:pPr>
        <w:jc w:val="both"/>
        <w:ind w:left="4" w:firstLine="1292"/>
        <w:spacing w:after="0" w:line="253" w:lineRule="auto"/>
        <w:tabs>
          <w:tab w:leader="none" w:pos="1712" w:val="left"/>
        </w:tabs>
        <w:numPr>
          <w:ilvl w:val="1"/>
          <w:numId w:val="1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Additional Issuing Banks</w:t>
      </w:r>
      <w:r>
        <w:rPr>
          <w:rFonts w:ascii="Times New Roman" w:cs="Times New Roman" w:eastAsia="Times New Roman" w:hAnsi="Times New Roman"/>
          <w:sz w:val="20"/>
          <w:szCs w:val="20"/>
          <w:color w:val="auto"/>
        </w:rPr>
        <w:t>. From time to time, the Borrower may by notice to the Administrative Agent designate any Lender (in addition to the initial Issuing Banks) each of which agrees (in its sole discretion) to act in such capacity and is reasonably satisfactory to the Administrative Agent as an Issuing Bank. Each such additional Issuing Bank shall execute a counterpart of this Agreement upon the approval of the Administrative Agent (which approval shall not be unreasonably withheld) and shall thereafter be an Issuing Bank hereunder for all purposes.</w:t>
      </w:r>
    </w:p>
    <w:p>
      <w:pPr>
        <w:sectPr>
          <w:pgSz w:w="11900" w:h="16838" w:orient="portrait"/>
          <w:cols w:equalWidth="0" w:num="1">
            <w:col w:w="11124"/>
          </w:cols>
          <w:pgMar w:left="436" w:top="108" w:right="339" w:bottom="1440" w:gutter="0" w:footer="0" w:header="0"/>
        </w:sectPr>
      </w:pPr>
    </w:p>
    <w:bookmarkStart w:id="266" w:name="page267"/>
    <w:bookmarkEnd w:id="266"/>
    <w:p>
      <w:pPr>
        <w:jc w:val="right"/>
        <w:spacing w:after="0"/>
        <w:rPr>
          <w:sz w:val="20"/>
          <w:szCs w:val="20"/>
          <w:color w:val="auto"/>
        </w:rPr>
      </w:pPr>
      <w:r>
        <w:rPr>
          <w:rFonts w:ascii="Times New Roman" w:cs="Times New Roman" w:eastAsia="Times New Roman" w:hAnsi="Times New Roman"/>
          <w:sz w:val="22"/>
          <w:szCs w:val="22"/>
          <w:color w:val="FF0000"/>
          <w:strike w:val="1"/>
        </w:rPr>
        <w:t>ANNEX</w:t>
      </w:r>
      <w:r>
        <w:rPr>
          <w:rFonts w:ascii="Times New Roman" w:cs="Times New Roman" w:eastAsia="Times New Roman" w:hAnsi="Times New Roman"/>
          <w:sz w:val="22"/>
          <w:szCs w:val="22"/>
          <w:b w:val="1"/>
          <w:bCs w:val="1"/>
          <w:u w:val="single" w:color="auto"/>
          <w:color w:val="0000FF"/>
        </w:rPr>
        <w:t>EXHIBIT</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ind w:left="120" w:firstLine="1292"/>
        <w:spacing w:after="0" w:line="265" w:lineRule="auto"/>
        <w:tabs>
          <w:tab w:leader="none" w:pos="2021" w:val="left"/>
        </w:tabs>
        <w:numPr>
          <w:ilvl w:val="0"/>
          <w:numId w:val="1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Reporting</w:t>
      </w:r>
      <w:r>
        <w:rPr>
          <w:rFonts w:ascii="Times New Roman" w:cs="Times New Roman" w:eastAsia="Times New Roman" w:hAnsi="Times New Roman"/>
          <w:sz w:val="19"/>
          <w:szCs w:val="19"/>
          <w:color w:val="auto"/>
        </w:rPr>
        <w:t>. Unless otherwise requested by the Administrative Agent, each Issuing Bank shall (i) provide to the Administrative Agent copies of any notice received from the Borrower pursuant to Section 2.05(b) no later than the next Business Day after receipt thereof and (ii) report in writing to the Administrative Agent (A) on or prior to each Business Day on which such Issuing Bank expects to issue, amend or extend any Letter of Credit, the date of such issuance, amendment or extension, and the aggregate face amount of the Letters of Credit to be issued, amended or extended by it and outstanding after giving effect to such issuance, amendment or extension occurred (and whether the amount thereof changed), and such Issuing Bank shall be permitted to issue, amend or extend such Letter of Credit if the Administrative Agent shall not have advised such Issuing Bank that such issuance, amendment or extension would not be in conformity with the requirements of this Agreement, (B) on each Business Day on which such Issuing Bank makes any L/C Disbursement, the date of such L/C Disbursement and the amount of such L/C Disbursement and (C) on any other Business Day, such other information with respect to the outstanding Letters of Credit issued by such Issuing Bank as the Administrative Agent shall reasonably request.</w:t>
      </w:r>
    </w:p>
    <w:p>
      <w:pPr>
        <w:spacing w:after="0" w:line="166"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0"/>
          <w:szCs w:val="20"/>
          <w:color w:val="auto"/>
        </w:rPr>
        <w:t xml:space="preserve">Section 2.06 Funding of Borrowings. (a) Each Lender shall make each Loan to be made by it hereunder on the proposed date thereof by wire transfer of immediately available funds by 12:00 noon, Local Time, to the account of the Administrative Agent most recently designated by it for such purpose by notice to the Lenders;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Swingline Loans shall be made as provided in Section 2.04. The Administrative Agent will make such Loans available to the Borrower by promptly crediting the amounts so received, in like funds, to an account or accounts designated by the Borrower as specified in the applicable Borrowing Request;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ABR Revolving Loans and Swingline Borrowings made to finance the reimbursement of a L/C Disbursement and reimbursements as provided in Section 2.05(e) shall be remitted by the Administrative Agent to the applicable Issuing Bank.</w:t>
      </w:r>
    </w:p>
    <w:p>
      <w:pPr>
        <w:spacing w:after="0" w:line="166" w:lineRule="exact"/>
        <w:rPr>
          <w:sz w:val="20"/>
          <w:szCs w:val="20"/>
          <w:color w:val="auto"/>
        </w:rPr>
      </w:pPr>
    </w:p>
    <w:p>
      <w:pPr>
        <w:jc w:val="both"/>
        <w:ind w:left="120" w:firstLine="1292"/>
        <w:spacing w:after="0" w:line="264" w:lineRule="auto"/>
        <w:tabs>
          <w:tab w:leader="none" w:pos="2012" w:val="left"/>
        </w:tabs>
        <w:numPr>
          <w:ilvl w:val="1"/>
          <w:numId w:val="1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Unless the Administrative Agent shall have received notice from a Lender prior to the proposed date of any Borrowing that such Lender will not make available to the Administrative Agent such Lender’s share of such Borrowing, the Administrative Agent may assume that such Lender has made such share available on such date in accordance with clause (a) of this Section 2.06 and may, in reliance upon such assumption, make available to the Borrower a corresponding amount. In such event, if a Lender has not in fact made its share of the Borrowing available to the Administrative Agent, then the applicable Lender and the Borrower severally agree to pay to the Administrative Agent forthwith on demand (without duplication) such corresponding amount with interest thereon, for each day from and including the date such amount is made available to the Borrower to but excluding the date of payment to the Administrative Agent, at (i) in the case of a payment to be made by such Lender, the greater of (A) the Federal Funds Effective Rate and</w:t>
      </w:r>
    </w:p>
    <w:p>
      <w:pPr>
        <w:spacing w:after="0" w:line="2" w:lineRule="exact"/>
        <w:rPr>
          <w:rFonts w:ascii="Times New Roman" w:cs="Times New Roman" w:eastAsia="Times New Roman" w:hAnsi="Times New Roman"/>
          <w:sz w:val="19"/>
          <w:szCs w:val="19"/>
          <w:color w:val="auto"/>
        </w:rPr>
      </w:pPr>
    </w:p>
    <w:p>
      <w:pPr>
        <w:ind w:left="440" w:hanging="324"/>
        <w:spacing w:after="0"/>
        <w:tabs>
          <w:tab w:leader="none" w:pos="440" w:val="left"/>
        </w:tabs>
        <w:numPr>
          <w:ilvl w:val="0"/>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rate determined by the Administrative Agent in accordance with banking industry rules on interbank compensation or (ii) in the case</w:t>
      </w:r>
    </w:p>
    <w:p>
      <w:pPr>
        <w:spacing w:after="0" w:line="6" w:lineRule="exact"/>
        <w:rPr>
          <w:sz w:val="20"/>
          <w:szCs w:val="20"/>
          <w:color w:val="auto"/>
        </w:rPr>
      </w:pPr>
    </w:p>
    <w:p>
      <w:pPr>
        <w:jc w:val="both"/>
        <w:ind w:left="120"/>
        <w:spacing w:after="0" w:line="249" w:lineRule="auto"/>
        <w:rPr>
          <w:sz w:val="20"/>
          <w:szCs w:val="20"/>
          <w:color w:val="auto"/>
        </w:rPr>
      </w:pPr>
      <w:r>
        <w:rPr>
          <w:rFonts w:ascii="Times New Roman" w:cs="Times New Roman" w:eastAsia="Times New Roman" w:hAnsi="Times New Roman"/>
          <w:sz w:val="20"/>
          <w:szCs w:val="20"/>
          <w:color w:val="auto"/>
        </w:rPr>
        <w:t>of a payment to be made by the Borrower, the interest rate applicable to ABR Loans at such time. If the Borrower and such Lender shall pay such interest to the Administrative Agent for the same or an overlapping period, the Administrative Agent shall promptly remit to the Borrower the amount of such interest paid by the Borrower for such period. If such Lender pays such amount to the Administrative Agent, then such amount shall constitute such Lender’s Loan included in such Borrowing. Any payment by the Borrower shall be without prejudice to any claim the Borrower may have against a Lender that shall have failed to make such payment to the Administrative Agent.</w:t>
      </w:r>
    </w:p>
    <w:p>
      <w:pPr>
        <w:spacing w:after="0" w:line="169" w:lineRule="exact"/>
        <w:rPr>
          <w:sz w:val="20"/>
          <w:szCs w:val="20"/>
          <w:color w:val="auto"/>
        </w:rPr>
      </w:pPr>
    </w:p>
    <w:p>
      <w:pPr>
        <w:jc w:val="both"/>
        <w:ind w:left="120" w:firstLine="1292"/>
        <w:spacing w:after="0" w:line="268" w:lineRule="auto"/>
        <w:tabs>
          <w:tab w:leader="none" w:pos="1941" w:val="left"/>
        </w:tabs>
        <w:numPr>
          <w:ilvl w:val="0"/>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foregoing notwithstanding, the Administrative Agent, in its sole discretion, may from its own funds make a Revolving Facility Loan on behalf of the Lenders (including by means of Swingline Loans to the Borrower). In such event, the applicable Lenders on behalf of whom the Administrative Agent made the Revolving Facility Loan shall reimburse the Administrative Agent for</w:t>
      </w:r>
    </w:p>
    <w:p>
      <w:pPr>
        <w:sectPr>
          <w:pgSz w:w="11900" w:h="16838" w:orient="portrait"/>
          <w:cols w:equalWidth="0" w:num="1">
            <w:col w:w="11240"/>
          </w:cols>
          <w:pgMar w:left="320" w:top="108" w:right="339" w:bottom="1440" w:gutter="0" w:footer="0" w:header="0"/>
        </w:sectPr>
      </w:pPr>
    </w:p>
    <w:bookmarkStart w:id="267" w:name="page268"/>
    <w:bookmarkEnd w:id="267"/>
    <w:p>
      <w:pPr>
        <w:ind w:left="9360"/>
        <w:spacing w:after="0"/>
        <w:rPr>
          <w:sz w:val="20"/>
          <w:szCs w:val="20"/>
          <w:color w:val="auto"/>
        </w:rPr>
      </w:pPr>
      <w:r>
        <w:rPr>
          <w:rFonts w:ascii="Times New Roman" w:cs="Times New Roman" w:eastAsia="Times New Roman" w:hAnsi="Times New Roman"/>
          <w:sz w:val="21"/>
          <w:szCs w:val="21"/>
          <w:color w:val="FF0000"/>
          <w:strike w:val="1"/>
        </w:rPr>
        <w:t>ANNEX</w:t>
      </w:r>
      <w:r>
        <w:rPr>
          <w:rFonts w:ascii="Times New Roman" w:cs="Times New Roman" w:eastAsia="Times New Roman" w:hAnsi="Times New Roman"/>
          <w:sz w:val="21"/>
          <w:szCs w:val="21"/>
          <w:b w:val="1"/>
          <w:bCs w:val="1"/>
          <w:u w:val="single" w:color="auto"/>
          <w:color w:val="0000FF"/>
        </w:rPr>
        <w:t>EXHIBIT</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000000"/>
        </w:rPr>
        <w: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ind w:left="120"/>
        <w:spacing w:after="0" w:line="253" w:lineRule="auto"/>
        <w:rPr>
          <w:sz w:val="20"/>
          <w:szCs w:val="20"/>
          <w:color w:val="auto"/>
        </w:rPr>
      </w:pPr>
      <w:r>
        <w:rPr>
          <w:rFonts w:ascii="Times New Roman" w:cs="Times New Roman" w:eastAsia="Times New Roman" w:hAnsi="Times New Roman"/>
          <w:sz w:val="20"/>
          <w:szCs w:val="20"/>
          <w:color w:val="auto"/>
        </w:rPr>
        <w:t>all or any portion of such Revolving Facility Loan made on its behalf upon written notice given to each applicable Lender not later than 2:00 p.m., Local Time, on the Business Day such reimbursement is requested. The entire amount of interest attributable to such Revolving Facility Loan for the period from and including the date on which such Revolving Facility Loan was made on such Lender’s behalf to but excluding the date the Administrative Agent is reimbursed in respect of such Revolving Facility Loan by such Lender shall be paid to the Administrative Agent for its own account.</w:t>
      </w:r>
    </w:p>
    <w:p>
      <w:pPr>
        <w:spacing w:after="0" w:line="178"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Section 2.07 Interest Elections. (a) Each Borrowing initially shall be of the Type specified in the applicable Borrowing Request and, in the case of a SOFR Borrowing, shall have an initial Interest Period as specified in such Borrowing Request. Thereafter, the Borrower may elect to convert such Borrowing to a different Type or to continue such Borrowing and, in the case of a SOFR Borrowing, may elect Interest Periods therefor, all as provided in this Section. The Borrower may elect different options with respect to different portions of the affected Borrowing, in which case each such portion shall be allocated ratably among the Lenders holding the Loans comprising such Borrowing, and the Loans comprising each such portion shall be considered a separate Borrowing.</w:t>
      </w:r>
    </w:p>
    <w:p>
      <w:pPr>
        <w:spacing w:after="0" w:line="165" w:lineRule="exact"/>
        <w:rPr>
          <w:sz w:val="20"/>
          <w:szCs w:val="20"/>
          <w:color w:val="auto"/>
        </w:rPr>
      </w:pPr>
    </w:p>
    <w:p>
      <w:pPr>
        <w:jc w:val="both"/>
        <w:ind w:left="120" w:firstLine="1292"/>
        <w:spacing w:after="0" w:line="253" w:lineRule="auto"/>
        <w:tabs>
          <w:tab w:leader="none" w:pos="1875" w:val="left"/>
        </w:tabs>
        <w:numPr>
          <w:ilvl w:val="0"/>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make an election pursuant to this Section, the Borrower shall notify the Administrative Agent of such election by </w:t>
      </w:r>
      <w:r>
        <w:rPr>
          <w:rFonts w:ascii="Times New Roman" w:cs="Times New Roman" w:eastAsia="Times New Roman" w:hAnsi="Times New Roman"/>
          <w:sz w:val="20"/>
          <w:szCs w:val="20"/>
          <w:color w:val="FF0000"/>
          <w:strike w:val="1"/>
        </w:rPr>
        <w:t>telephone, by</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the time that a Borrowing Request would be required under Section 2.03 if the Borrower were requesting a Borrowing of the</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 xml:space="preserve">Type resulting from such election to be made on the effective date of such election. Each such </w:t>
      </w:r>
      <w:r>
        <w:rPr>
          <w:rFonts w:ascii="Times New Roman" w:cs="Times New Roman" w:eastAsia="Times New Roman" w:hAnsi="Times New Roman"/>
          <w:sz w:val="20"/>
          <w:szCs w:val="20"/>
          <w:color w:val="FF0000"/>
          <w:strike w:val="1"/>
        </w:rPr>
        <w:t>telephonic</w:t>
      </w:r>
      <w:r>
        <w:rPr>
          <w:rFonts w:ascii="Times New Roman" w:cs="Times New Roman" w:eastAsia="Times New Roman" w:hAnsi="Times New Roman"/>
          <w:sz w:val="20"/>
          <w:szCs w:val="20"/>
          <w:color w:val="000000"/>
        </w:rPr>
        <w:t xml:space="preserve"> Interest Election Request shall be irrevocable and shall be </w:t>
      </w:r>
      <w:r>
        <w:rPr>
          <w:rFonts w:ascii="Times New Roman" w:cs="Times New Roman" w:eastAsia="Times New Roman" w:hAnsi="Times New Roman"/>
          <w:sz w:val="20"/>
          <w:szCs w:val="20"/>
          <w:color w:val="FF0000"/>
          <w:strike w:val="1"/>
        </w:rPr>
        <w:t>confirmed promptly</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b w:val="1"/>
          <w:bCs w:val="1"/>
          <w:u w:val="single" w:color="auto"/>
          <w:color w:val="0000FF"/>
        </w:rPr>
        <w:t>in writing</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b w:val="1"/>
          <w:bCs w:val="1"/>
          <w:u w:val="single" w:color="auto"/>
          <w:color w:val="008000"/>
        </w:rPr>
        <w:t>signed by the Borrower</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b w:val="1"/>
          <w:bCs w:val="1"/>
          <w:u w:val="single" w:color="auto"/>
          <w:color w:val="0000FF"/>
        </w:rPr>
        <w:t>and delivered</w:t>
      </w:r>
      <w:r>
        <w:rPr>
          <w:rFonts w:ascii="Times New Roman" w:cs="Times New Roman" w:eastAsia="Times New Roman" w:hAnsi="Times New Roman"/>
          <w:sz w:val="20"/>
          <w:szCs w:val="20"/>
          <w:color w:val="000000"/>
        </w:rPr>
        <w:t xml:space="preserve"> by hand delivery or electronic means to the Administrative Agent </w:t>
      </w:r>
      <w:r>
        <w:rPr>
          <w:rFonts w:ascii="Times New Roman" w:cs="Times New Roman" w:eastAsia="Times New Roman" w:hAnsi="Times New Roman"/>
          <w:sz w:val="20"/>
          <w:szCs w:val="20"/>
          <w:color w:val="FF0000"/>
        </w:rPr>
        <w:t>of a written Interest Election Request</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color w:val="008000"/>
          <w:strike w:val="1"/>
        </w:rPr>
        <w:t>signed by the Borrower</w:t>
      </w:r>
      <w:r>
        <w:rPr>
          <w:rFonts w:ascii="Times New Roman" w:cs="Times New Roman" w:eastAsia="Times New Roman" w:hAnsi="Times New Roman"/>
          <w:sz w:val="20"/>
          <w:szCs w:val="20"/>
          <w:color w:val="000000"/>
        </w:rPr>
        <w:t>.</w:t>
      </w:r>
    </w:p>
    <w:p>
      <w:pPr>
        <w:spacing w:after="0" w:line="164" w:lineRule="exact"/>
        <w:rPr>
          <w:rFonts w:ascii="Times New Roman" w:cs="Times New Roman" w:eastAsia="Times New Roman" w:hAnsi="Times New Roman"/>
          <w:sz w:val="20"/>
          <w:szCs w:val="20"/>
          <w:color w:val="auto"/>
        </w:rPr>
      </w:pPr>
    </w:p>
    <w:p>
      <w:pPr>
        <w:ind w:left="1920" w:hanging="508"/>
        <w:spacing w:after="0"/>
        <w:tabs>
          <w:tab w:leader="none" w:pos="1920" w:val="left"/>
        </w:tabs>
        <w:numPr>
          <w:ilvl w:val="0"/>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w:t>
      </w:r>
      <w:r>
        <w:rPr>
          <w:rFonts w:ascii="Times New Roman" w:cs="Times New Roman" w:eastAsia="Times New Roman" w:hAnsi="Times New Roman"/>
          <w:sz w:val="20"/>
          <w:szCs w:val="20"/>
          <w:color w:val="FF0000"/>
          <w:strike w:val="1"/>
        </w:rPr>
        <w:t>telephonic and</w:t>
      </w:r>
      <w:r>
        <w:rPr>
          <w:rFonts w:ascii="Times New Roman" w:cs="Times New Roman" w:eastAsia="Times New Roman" w:hAnsi="Times New Roman"/>
          <w:sz w:val="20"/>
          <w:szCs w:val="20"/>
          <w:color w:val="auto"/>
        </w:rPr>
        <w:t xml:space="preserve"> written Interest Election Request shall specify the following information in compliance with</w:t>
      </w:r>
    </w:p>
    <w:p>
      <w:pPr>
        <w:spacing w:after="0" w:line="28" w:lineRule="exact"/>
        <w:rPr>
          <w:rFonts w:ascii="Times New Roman" w:cs="Times New Roman" w:eastAsia="Times New Roman" w:hAnsi="Times New Roman"/>
          <w:sz w:val="20"/>
          <w:szCs w:val="20"/>
          <w:color w:val="auto"/>
        </w:rPr>
      </w:pPr>
    </w:p>
    <w:p>
      <w:pPr>
        <w:ind w:left="12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2.02:</w:t>
      </w:r>
    </w:p>
    <w:p>
      <w:pPr>
        <w:spacing w:after="0" w:line="186" w:lineRule="exact"/>
        <w:rPr>
          <w:rFonts w:ascii="Times New Roman" w:cs="Times New Roman" w:eastAsia="Times New Roman" w:hAnsi="Times New Roman"/>
          <w:sz w:val="20"/>
          <w:szCs w:val="20"/>
          <w:color w:val="auto"/>
        </w:rPr>
      </w:pPr>
    </w:p>
    <w:p>
      <w:pPr>
        <w:jc w:val="both"/>
        <w:ind w:left="660" w:firstLine="1292"/>
        <w:spacing w:after="0" w:line="268" w:lineRule="auto"/>
        <w:tabs>
          <w:tab w:leader="none" w:pos="2389" w:val="left"/>
        </w:tabs>
        <w:numPr>
          <w:ilvl w:val="1"/>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Borrowing to which such Interest Election Request applies and, if different options are being elected with respect to different portions thereof, the portions thereof to be allocated to each resulting Borrowing (in which case the information to be specified pursuant to clauses (iii) and (iv) below shall be specified for each resulting Borrowing);</w:t>
      </w:r>
    </w:p>
    <w:p>
      <w:pPr>
        <w:spacing w:after="0" w:line="147" w:lineRule="exact"/>
        <w:rPr>
          <w:rFonts w:ascii="Times New Roman" w:cs="Times New Roman" w:eastAsia="Times New Roman" w:hAnsi="Times New Roman"/>
          <w:sz w:val="20"/>
          <w:szCs w:val="20"/>
          <w:color w:val="auto"/>
        </w:rPr>
      </w:pPr>
    </w:p>
    <w:p>
      <w:pPr>
        <w:ind w:left="2460" w:hanging="508"/>
        <w:spacing w:after="0"/>
        <w:tabs>
          <w:tab w:leader="none" w:pos="2460" w:val="left"/>
        </w:tabs>
        <w:numPr>
          <w:ilvl w:val="1"/>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effective date of the election made pursuant to such Interest Election Request, which shall be a Business</w:t>
      </w:r>
    </w:p>
    <w:p>
      <w:pPr>
        <w:spacing w:after="0" w:line="21" w:lineRule="exact"/>
        <w:rPr>
          <w:rFonts w:ascii="Times New Roman" w:cs="Times New Roman" w:eastAsia="Times New Roman" w:hAnsi="Times New Roman"/>
          <w:sz w:val="20"/>
          <w:szCs w:val="20"/>
          <w:color w:val="auto"/>
        </w:rPr>
      </w:pP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Day;</w:t>
      </w:r>
    </w:p>
    <w:p>
      <w:pPr>
        <w:spacing w:after="0" w:line="193" w:lineRule="exact"/>
        <w:rPr>
          <w:rFonts w:ascii="Times New Roman" w:cs="Times New Roman" w:eastAsia="Times New Roman" w:hAnsi="Times New Roman"/>
          <w:sz w:val="20"/>
          <w:szCs w:val="20"/>
          <w:color w:val="auto"/>
        </w:rPr>
      </w:pPr>
    </w:p>
    <w:p>
      <w:pPr>
        <w:ind w:left="2440" w:hanging="488"/>
        <w:spacing w:after="0"/>
        <w:tabs>
          <w:tab w:leader="none" w:pos="2440" w:val="left"/>
        </w:tabs>
        <w:numPr>
          <w:ilvl w:val="1"/>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whether the resulting Borrowing is to be an ABR Borrowing or a SOFR Borrowing; and</w:t>
      </w:r>
    </w:p>
    <w:p>
      <w:pPr>
        <w:spacing w:after="0" w:line="202" w:lineRule="exact"/>
        <w:rPr>
          <w:rFonts w:ascii="Times New Roman" w:cs="Times New Roman" w:eastAsia="Times New Roman" w:hAnsi="Times New Roman"/>
          <w:sz w:val="20"/>
          <w:szCs w:val="20"/>
          <w:color w:val="auto"/>
        </w:rPr>
      </w:pPr>
    </w:p>
    <w:p>
      <w:pPr>
        <w:ind w:left="660" w:firstLine="1292"/>
        <w:spacing w:after="0" w:line="269" w:lineRule="auto"/>
        <w:tabs>
          <w:tab w:leader="none" w:pos="2450" w:val="left"/>
        </w:tabs>
        <w:numPr>
          <w:ilvl w:val="1"/>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resulting Borrowing is a SOFR Borrowing, the Interest Period to be applicable thereto after giving effect to such election, which shall be a period contemplated by the definition of the term “Interest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1165860</wp:posOffset>
            </wp:positionH>
            <wp:positionV relativeFrom="paragraph">
              <wp:posOffset>-2232660</wp:posOffset>
            </wp:positionV>
            <wp:extent cx="193611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25">
                      <a:extLst>
                        <a:ext uri="{28A0092B-C50C-407E-A947-70E740481C1C}"/>
                      </a:extLst>
                    </a:blip>
                    <a:srcRect/>
                    <a:stretch>
                      <a:fillRect/>
                    </a:stretch>
                  </pic:blipFill>
                  <pic:spPr bwMode="auto">
                    <a:xfrm>
                      <a:off x="0" y="0"/>
                      <a:ext cx="1936115" cy="8255"/>
                    </a:xfrm>
                    <a:prstGeom prst="rect">
                      <a:avLst/>
                    </a:prstGeom>
                    <a:noFill/>
                  </pic:spPr>
                </pic:pic>
              </a:graphicData>
            </a:graphic>
          </wp:anchor>
        </w:drawing>
      </w:r>
    </w:p>
    <w:p>
      <w:pPr>
        <w:spacing w:after="0" w:line="139" w:lineRule="exact"/>
        <w:rPr>
          <w:sz w:val="20"/>
          <w:szCs w:val="20"/>
          <w:color w:val="auto"/>
        </w:rPr>
      </w:pPr>
    </w:p>
    <w:p>
      <w:pPr>
        <w:jc w:val="both"/>
        <w:ind w:firstLine="493"/>
        <w:spacing w:after="0" w:line="253" w:lineRule="auto"/>
        <w:rPr>
          <w:sz w:val="20"/>
          <w:szCs w:val="20"/>
          <w:color w:val="auto"/>
        </w:rPr>
      </w:pPr>
      <w:r>
        <w:rPr>
          <w:rFonts w:ascii="Times New Roman" w:cs="Times New Roman" w:eastAsia="Times New Roman" w:hAnsi="Times New Roman"/>
          <w:sz w:val="20"/>
          <w:szCs w:val="20"/>
          <w:color w:val="auto"/>
        </w:rPr>
        <w:t>If any such Interest Election Request requests a SOFR Borrowing but does not specify an Interest Period, then the Borrower shall be deemed to have selected an Interest Period of one month’s duration. If less than all the outstanding principal amount of any Borrowing shall be converted or continued, then each resulting Borrowing shall be in an integral multiple of the Borrowing Multiple and not less than the Borrowing Minimum and satisfy the limitations specified in Sections 2.02(c) regarding the maximum number of Borrowings of the relevant Type.</w:t>
      </w:r>
    </w:p>
    <w:p>
      <w:pPr>
        <w:sectPr>
          <w:pgSz w:w="11900" w:h="16838" w:orient="portrait"/>
          <w:cols w:equalWidth="0" w:num="1">
            <w:col w:w="11240"/>
          </w:cols>
          <w:pgMar w:left="320" w:top="108" w:right="339" w:bottom="1440" w:gutter="0" w:footer="0" w:header="0"/>
        </w:sectPr>
      </w:pPr>
    </w:p>
    <w:bookmarkStart w:id="268" w:name="page269"/>
    <w:bookmarkEnd w:id="268"/>
    <w:p>
      <w:pPr>
        <w:jc w:val="right"/>
        <w:spacing w:after="0"/>
        <w:rPr>
          <w:sz w:val="20"/>
          <w:szCs w:val="20"/>
          <w:color w:val="auto"/>
        </w:rPr>
      </w:pPr>
      <w:r>
        <w:rPr>
          <w:rFonts w:ascii="Times New Roman" w:cs="Times New Roman" w:eastAsia="Times New Roman" w:hAnsi="Times New Roman"/>
          <w:sz w:val="22"/>
          <w:szCs w:val="22"/>
          <w:color w:val="FF0000"/>
          <w:strike w:val="1"/>
        </w:rPr>
        <w:t>ANNEX</w:t>
      </w:r>
      <w:r>
        <w:rPr>
          <w:rFonts w:ascii="Times New Roman" w:cs="Times New Roman" w:eastAsia="Times New Roman" w:hAnsi="Times New Roman"/>
          <w:sz w:val="22"/>
          <w:szCs w:val="22"/>
          <w:b w:val="1"/>
          <w:bCs w:val="1"/>
          <w:u w:val="single" w:color="auto"/>
          <w:color w:val="0000FF"/>
        </w:rPr>
        <w:t>EXHIBIT</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20" w:firstLine="1292"/>
        <w:spacing w:after="0" w:line="283" w:lineRule="auto"/>
        <w:tabs>
          <w:tab w:leader="none" w:pos="1938" w:val="left"/>
        </w:tabs>
        <w:numPr>
          <w:ilvl w:val="0"/>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Promptly following receipt of an Interest Election Request, the Administrative Agent shall advise each Lender to which such Interest Election Request relates of the details thereof and of such Lender’s portion of each resulting Borrowing.</w:t>
      </w:r>
    </w:p>
    <w:p>
      <w:pPr>
        <w:spacing w:after="0" w:line="132" w:lineRule="exact"/>
        <w:rPr>
          <w:rFonts w:ascii="Times New Roman" w:cs="Times New Roman" w:eastAsia="Times New Roman" w:hAnsi="Times New Roman"/>
          <w:sz w:val="20"/>
          <w:szCs w:val="20"/>
          <w:color w:val="auto"/>
        </w:rPr>
      </w:pPr>
    </w:p>
    <w:p>
      <w:pPr>
        <w:jc w:val="both"/>
        <w:ind w:left="120" w:firstLine="1292"/>
        <w:spacing w:after="0" w:line="251" w:lineRule="auto"/>
        <w:tabs>
          <w:tab w:leader="none" w:pos="1865" w:val="left"/>
        </w:tabs>
        <w:numPr>
          <w:ilvl w:val="0"/>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Borrower fails to deliver a timely Interest Election Request with respect to a SOFR Borrowing prior to the end of the Interest Period applicable thereto, then, unless such Borrowing is repaid as provided herein, at the end of such Interest Period such Borrowing shall be converted to an ABR Borrowing. Notwithstanding any contrary provision hereof, if an Event of Default has occurred and is continuing and the Administrative Agent, at the written request (including a request through electronic means) of the Required Lenders, so notifies the Borrower, then, so long as an Event of Default is continuing (i) no outstanding Borrowing may be converted to or continued as a SOFR Borrowing and (ii) unless repaid, each SOFR Borrowing shall be converted to an ABR Borrowing at the end of the Interest Period applicable thereto.</w:t>
      </w:r>
    </w:p>
    <w:p>
      <w:pPr>
        <w:spacing w:after="0" w:line="179"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Section 2.08 Termination and Reduction of Commitments. (a) Unless previously terminated, the Revolving Facility Commitments of each Class shall terminate on the applicable Revolving Facility Maturity Date for such Class. On the 2021 Effective Date (after giving effect to the funding of the 2021 Refinancing Term B Loans (as defined in the 2021 Incremental Assumption and Amendment Agreement) to be made on such date), the 2021 Refinancing Term B Loan Commitments (as defined in the 2021 Incremental Assumption and Amendment Agreement) of each Lender as of the 2021 Effective Date will terminate.</w:t>
      </w:r>
    </w:p>
    <w:p>
      <w:pPr>
        <w:spacing w:after="0" w:line="165" w:lineRule="exact"/>
        <w:rPr>
          <w:sz w:val="20"/>
          <w:szCs w:val="20"/>
          <w:color w:val="auto"/>
        </w:rPr>
      </w:pPr>
    </w:p>
    <w:p>
      <w:pPr>
        <w:jc w:val="both"/>
        <w:ind w:left="120" w:firstLine="1292"/>
        <w:spacing w:after="0" w:line="253" w:lineRule="auto"/>
        <w:tabs>
          <w:tab w:leader="none" w:pos="1895" w:val="left"/>
        </w:tabs>
        <w:numPr>
          <w:ilvl w:val="0"/>
          <w:numId w:val="1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may at any time terminate, or from time to time reduce, the Revolving Facility Commitments of any Class;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(i) each reduction of the Revolving Facility Commitments of any Class shall be in an amount that is an integral multiple of $250,000 and not less than $1,000,000 (or, if less, the remaining amount of the Revolving Facility Commitments of such Class) and (ii) the Borrower shall not terminate or reduce the Revolving Facility Commitments of any Class if, after giving effect to any concurrent prepayment of the Revolving Facility Loans in accordance with Section 2.11 and any Cash Collateralization of Letters of Credit in accordance with Section 2.05(j) or (k), the Revolving Facility Credit Exposure of such Class (excluding any Cash Collateralized Letter of Credit) would exceed the total Revolving Facility Commitments of such Class.</w:t>
      </w:r>
    </w:p>
    <w:p>
      <w:pPr>
        <w:spacing w:after="0" w:line="165" w:lineRule="exact"/>
        <w:rPr>
          <w:rFonts w:ascii="Times New Roman" w:cs="Times New Roman" w:eastAsia="Times New Roman" w:hAnsi="Times New Roman"/>
          <w:sz w:val="20"/>
          <w:szCs w:val="20"/>
          <w:color w:val="auto"/>
        </w:rPr>
      </w:pPr>
    </w:p>
    <w:p>
      <w:pPr>
        <w:jc w:val="both"/>
        <w:ind w:left="120" w:firstLine="1292"/>
        <w:spacing w:after="0" w:line="250" w:lineRule="auto"/>
        <w:tabs>
          <w:tab w:leader="none" w:pos="1919" w:val="left"/>
        </w:tabs>
        <w:numPr>
          <w:ilvl w:val="0"/>
          <w:numId w:val="1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shall notify the Administrative Agent of any election to terminate or reduce the Revolving Facility Commitments of any Class under paragraph (b) of this Section 2.08 at least three Business Days prior to the effective date of such termination or reduction (or such shorter period acceptable to the Administrative Agent), specifying such election and the effective date thereof. Promptly following receipt of any notice, the Administrative Agent shall advise the applicable Lenders of the contents thereof. Each notice delivered by the Borrower pursuant to this Section 2.08 shall be irrevocable;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a notice of termination or reduction of the Revolving Facility Commitments of any Class delivered by the Borrower may state that such notice is conditioned upon the effectiveness of other credit facilities, indentures or similar agreements or other transactions, in which case such notice may be revoked by the Borrower (by notice to the Administrative Agent on or prior to the specified effective date) if such condition is not satisfied. Any termination or reduction of the Commitments shall be permanent. Each reduction of the Commitments of any Class shall be made ratably among the Lenders in accordance with their respective Commitments of such Class.</w:t>
      </w:r>
    </w:p>
    <w:p>
      <w:pPr>
        <w:spacing w:after="0" w:line="183"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Section 2.09 Repayment of Loans; Evidence of Debt. (a) The Borrower hereby unconditionally promises to pay (i) to the Administrative Agent for the account of each Revolving Facility Lender the then unpaid principal amount of each Revolving Facility Loan to the Borrower on the Revolving Facility Maturity Date applicable to such Revolving Facility Loans, (ii) to the Administrative</w:t>
      </w:r>
    </w:p>
    <w:p>
      <w:pPr>
        <w:sectPr>
          <w:pgSz w:w="11900" w:h="16838" w:orient="portrait"/>
          <w:cols w:equalWidth="0" w:num="1">
            <w:col w:w="11240"/>
          </w:cols>
          <w:pgMar w:left="320" w:top="108" w:right="339" w:bottom="1440" w:gutter="0" w:footer="0" w:header="0"/>
        </w:sectPr>
      </w:pPr>
    </w:p>
    <w:bookmarkStart w:id="269" w:name="page270"/>
    <w:bookmarkEnd w:id="269"/>
    <w:p>
      <w:pPr>
        <w:jc w:val="right"/>
        <w:spacing w:after="0"/>
        <w:rPr>
          <w:sz w:val="20"/>
          <w:szCs w:val="20"/>
          <w:color w:val="auto"/>
        </w:rPr>
      </w:pPr>
      <w:r>
        <w:rPr>
          <w:rFonts w:ascii="Times New Roman" w:cs="Times New Roman" w:eastAsia="Times New Roman" w:hAnsi="Times New Roman"/>
          <w:sz w:val="22"/>
          <w:szCs w:val="22"/>
          <w:color w:val="FF0000"/>
          <w:strike w:val="1"/>
        </w:rPr>
        <w:t>ANNEX</w:t>
      </w:r>
      <w:r>
        <w:rPr>
          <w:rFonts w:ascii="Times New Roman" w:cs="Times New Roman" w:eastAsia="Times New Roman" w:hAnsi="Times New Roman"/>
          <w:sz w:val="22"/>
          <w:szCs w:val="22"/>
          <w:b w:val="1"/>
          <w:bCs w:val="1"/>
          <w:u w:val="single" w:color="auto"/>
          <w:color w:val="0000FF"/>
        </w:rPr>
        <w:t>EXHIBIT</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Agent for the account of each Lender the then unpaid principal amount of each Term Loan of such Lender as provided in Section 2.10 and</w:t>
      </w:r>
    </w:p>
    <w:p>
      <w:pPr>
        <w:spacing w:after="0" w:line="28" w:lineRule="exact"/>
        <w:rPr>
          <w:sz w:val="20"/>
          <w:szCs w:val="20"/>
          <w:color w:val="auto"/>
        </w:rPr>
      </w:pPr>
    </w:p>
    <w:p>
      <w:pPr>
        <w:jc w:val="both"/>
        <w:ind w:firstLine="8"/>
        <w:spacing w:after="0" w:line="248" w:lineRule="auto"/>
        <w:tabs>
          <w:tab w:leader="none" w:pos="384" w:val="left"/>
        </w:tabs>
        <w:numPr>
          <w:ilvl w:val="0"/>
          <w:numId w:val="1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the Swingline Lender the then unpaid principal amount of each Swingline Loan applicable to any Class of Revolving Facility Commitments on the earlier of the Revolving Facility Maturity Date for such Class and the first date after such Swingline Loan is made that is the 15th or last day of a calendar month and is at least five Business Days after such Swingline Loan is made;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on each date that a Revolving Facility Borrowing is made by the Borrower, the Borrower shall repay all Swingline Loans then outstanding.</w:t>
      </w:r>
    </w:p>
    <w:p>
      <w:pPr>
        <w:spacing w:after="0" w:line="181" w:lineRule="exact"/>
        <w:rPr>
          <w:rFonts w:ascii="Times New Roman" w:cs="Times New Roman" w:eastAsia="Times New Roman" w:hAnsi="Times New Roman"/>
          <w:sz w:val="20"/>
          <w:szCs w:val="20"/>
          <w:color w:val="auto"/>
        </w:rPr>
      </w:pPr>
    </w:p>
    <w:p>
      <w:pPr>
        <w:jc w:val="both"/>
        <w:ind w:left="120" w:firstLine="1292"/>
        <w:spacing w:after="0" w:line="261" w:lineRule="auto"/>
        <w:tabs>
          <w:tab w:leader="none" w:pos="1877" w:val="left"/>
        </w:tabs>
        <w:numPr>
          <w:ilvl w:val="1"/>
          <w:numId w:val="1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Lender shall maintain in accordance with its usual practice an account or accounts evidencing the indebtedness of the Borrower to such Lender resulting from each Loan made by such Lender, including the amounts of principal and interest payable and paid to such Lender from time to time hereunder.</w:t>
      </w:r>
    </w:p>
    <w:p>
      <w:pPr>
        <w:spacing w:after="0" w:line="154" w:lineRule="exact"/>
        <w:rPr>
          <w:rFonts w:ascii="Times New Roman" w:cs="Times New Roman" w:eastAsia="Times New Roman" w:hAnsi="Times New Roman"/>
          <w:sz w:val="20"/>
          <w:szCs w:val="20"/>
          <w:color w:val="auto"/>
        </w:rPr>
      </w:pPr>
    </w:p>
    <w:p>
      <w:pPr>
        <w:jc w:val="both"/>
        <w:ind w:left="120" w:firstLine="1292"/>
        <w:spacing w:after="0" w:line="258" w:lineRule="auto"/>
        <w:tabs>
          <w:tab w:leader="none" w:pos="1987" w:val="left"/>
        </w:tabs>
        <w:numPr>
          <w:ilvl w:val="1"/>
          <w:numId w:val="1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maintain accounts in which it shall record (i) the amount of each Loan made hereunder, the Facility and Type thereof and the Interest Period (if any) applicable thereto, (ii) the amount of any principal or interest due and payable or to become due and payable from the Borrower to each Lender hereunder and (iii) any amount received by the Administrative Agent hereunder for the account of the Lenders and each Lender’s share thereof.</w:t>
      </w:r>
    </w:p>
    <w:p>
      <w:pPr>
        <w:spacing w:after="0" w:line="158" w:lineRule="exact"/>
        <w:rPr>
          <w:rFonts w:ascii="Times New Roman" w:cs="Times New Roman" w:eastAsia="Times New Roman" w:hAnsi="Times New Roman"/>
          <w:sz w:val="20"/>
          <w:szCs w:val="20"/>
          <w:color w:val="auto"/>
        </w:rPr>
      </w:pPr>
    </w:p>
    <w:p>
      <w:pPr>
        <w:jc w:val="both"/>
        <w:ind w:left="120" w:firstLine="1292"/>
        <w:spacing w:after="0" w:line="258" w:lineRule="auto"/>
        <w:tabs>
          <w:tab w:leader="none" w:pos="1913" w:val="left"/>
        </w:tabs>
        <w:numPr>
          <w:ilvl w:val="1"/>
          <w:numId w:val="1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entries made in the accounts maintained pursuant to clause (b) or (c) of this Section 2.09 shall be prima facie evidence of the existence and amounts of the obligations recorded therein;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the failure of any Lender or the Administrative Agent to maintain such accounts or any error therein shall not in any manner affect the obligation of the Borrower to repay the Loans in accordance with the terms of this Agreement.</w:t>
      </w:r>
    </w:p>
    <w:p>
      <w:pPr>
        <w:spacing w:after="0" w:line="158" w:lineRule="exact"/>
        <w:rPr>
          <w:rFonts w:ascii="Times New Roman" w:cs="Times New Roman" w:eastAsia="Times New Roman" w:hAnsi="Times New Roman"/>
          <w:sz w:val="20"/>
          <w:szCs w:val="20"/>
          <w:color w:val="auto"/>
        </w:rPr>
      </w:pPr>
    </w:p>
    <w:p>
      <w:pPr>
        <w:jc w:val="both"/>
        <w:ind w:left="120" w:firstLine="1292"/>
        <w:spacing w:after="0" w:line="253" w:lineRule="auto"/>
        <w:tabs>
          <w:tab w:leader="none" w:pos="1909" w:val="left"/>
        </w:tabs>
        <w:numPr>
          <w:ilvl w:val="1"/>
          <w:numId w:val="1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Lender may request that Loans made by it be evidenced by a promissory note (a “</w:t>
      </w:r>
      <w:r>
        <w:rPr>
          <w:rFonts w:ascii="Times New Roman" w:cs="Times New Roman" w:eastAsia="Times New Roman" w:hAnsi="Times New Roman"/>
          <w:sz w:val="20"/>
          <w:szCs w:val="20"/>
          <w:u w:val="single" w:color="auto"/>
          <w:color w:val="auto"/>
        </w:rPr>
        <w:t>Note</w:t>
      </w:r>
      <w:r>
        <w:rPr>
          <w:rFonts w:ascii="Times New Roman" w:cs="Times New Roman" w:eastAsia="Times New Roman" w:hAnsi="Times New Roman"/>
          <w:sz w:val="20"/>
          <w:szCs w:val="20"/>
          <w:color w:val="auto"/>
        </w:rPr>
        <w:t>”). In such event, the Borrower shall prepare, execute and deliver to such Lender a promissory note payable to such Lender (or, if requested by such Lender, to such Lender and its registered assigns) and in a form approved by the Administrative Agent and reasonably acceptable to the Borrower. Thereafter, unless otherwise agreed to by the applicable Lender, the Loans evidenced by such promissory note and interest thereon shall at all times (including after assignment pursuant to Section 9.04) be represented by one or more promissory notes in such form payable to the payee named therein (or, if requested by such payee, to such payee and its registered assigns).</w:t>
      </w:r>
    </w:p>
    <w:p>
      <w:pPr>
        <w:spacing w:after="0" w:line="165" w:lineRule="exact"/>
        <w:rPr>
          <w:sz w:val="20"/>
          <w:szCs w:val="20"/>
          <w:color w:val="auto"/>
        </w:rPr>
      </w:pPr>
    </w:p>
    <w:p>
      <w:pPr>
        <w:ind w:firstLine="1296"/>
        <w:spacing w:after="0" w:line="283" w:lineRule="auto"/>
        <w:rPr>
          <w:sz w:val="20"/>
          <w:szCs w:val="20"/>
          <w:color w:val="auto"/>
        </w:rPr>
      </w:pPr>
      <w:r>
        <w:rPr>
          <w:rFonts w:ascii="Times New Roman" w:cs="Times New Roman" w:eastAsia="Times New Roman" w:hAnsi="Times New Roman"/>
          <w:sz w:val="20"/>
          <w:szCs w:val="20"/>
          <w:color w:val="auto"/>
        </w:rPr>
        <w:t>Section 2.10 Repayment of Term Loans and Revolving Facility Loans. (a) Subject to the other clauses of this Section 2.10 and to Section 9.08(e),</w:t>
      </w:r>
    </w:p>
    <w:p>
      <w:pPr>
        <w:spacing w:after="0" w:line="133" w:lineRule="exact"/>
        <w:rPr>
          <w:sz w:val="20"/>
          <w:szCs w:val="20"/>
          <w:color w:val="auto"/>
        </w:rPr>
      </w:pPr>
    </w:p>
    <w:p>
      <w:pPr>
        <w:jc w:val="both"/>
        <w:ind w:left="660" w:firstLine="1292"/>
        <w:spacing w:after="0" w:line="251" w:lineRule="auto"/>
        <w:tabs>
          <w:tab w:leader="none" w:pos="2363" w:val="left"/>
        </w:tabs>
        <w:numPr>
          <w:ilvl w:val="0"/>
          <w:numId w:val="1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shall repay the Term B Loans incurred on the 2021 Effective Date on the last day of each March, June, September and December of each year (commencing on the last day of June 2021) and on the applicable Term Facility Maturity Date or, if any such date is not a Business Day, on the next preceding Business Day (each such date being referred to as a “</w:t>
      </w:r>
      <w:r>
        <w:rPr>
          <w:rFonts w:ascii="Times New Roman" w:cs="Times New Roman" w:eastAsia="Times New Roman" w:hAnsi="Times New Roman"/>
          <w:sz w:val="20"/>
          <w:szCs w:val="20"/>
          <w:u w:val="single" w:color="auto"/>
          <w:color w:val="auto"/>
        </w:rPr>
        <w:t>Term B Loan Installment Date</w:t>
      </w:r>
      <w:r>
        <w:rPr>
          <w:rFonts w:ascii="Times New Roman" w:cs="Times New Roman" w:eastAsia="Times New Roman" w:hAnsi="Times New Roman"/>
          <w:sz w:val="20"/>
          <w:szCs w:val="20"/>
          <w:color w:val="auto"/>
        </w:rPr>
        <w:t>”), in an aggregate principal amount of such Term B Loans equal to (A) in the case of quarterly payments due prior to the applicable Term Facility Maturity Date, an amount equal to 0.25% of the aggregate principal amount of Term B Loans outstanding immediately after the 2021 Effective Date after giving effect to the Transactions on the 2021 Effective Date, and (B) in the case of such payment due on the applicable Term Facility Maturity Date, an amount equal to the then unpaid principal amount of such Term B Loans outstanding;</w:t>
      </w:r>
    </w:p>
    <w:p>
      <w:pPr>
        <w:sectPr>
          <w:pgSz w:w="11900" w:h="16838" w:orient="portrait"/>
          <w:cols w:equalWidth="0" w:num="1">
            <w:col w:w="11240"/>
          </w:cols>
          <w:pgMar w:left="320" w:top="108" w:right="339" w:bottom="1440" w:gutter="0" w:footer="0" w:header="0"/>
        </w:sectPr>
      </w:pPr>
    </w:p>
    <w:bookmarkStart w:id="270" w:name="page271"/>
    <w:bookmarkEnd w:id="270"/>
    <w:p>
      <w:pPr>
        <w:jc w:val="right"/>
        <w:spacing w:after="0"/>
        <w:rPr>
          <w:sz w:val="20"/>
          <w:szCs w:val="20"/>
          <w:color w:val="auto"/>
        </w:rPr>
      </w:pPr>
      <w:r>
        <w:rPr>
          <w:rFonts w:ascii="Times New Roman" w:cs="Times New Roman" w:eastAsia="Times New Roman" w:hAnsi="Times New Roman"/>
          <w:sz w:val="22"/>
          <w:szCs w:val="22"/>
          <w:color w:val="FF0000"/>
          <w:strike w:val="1"/>
        </w:rPr>
        <w:t>ANNEX</w:t>
      </w:r>
      <w:r>
        <w:rPr>
          <w:rFonts w:ascii="Times New Roman" w:cs="Times New Roman" w:eastAsia="Times New Roman" w:hAnsi="Times New Roman"/>
          <w:sz w:val="22"/>
          <w:szCs w:val="22"/>
          <w:b w:val="1"/>
          <w:bCs w:val="1"/>
          <w:u w:val="single" w:color="auto"/>
          <w:color w:val="0000FF"/>
        </w:rPr>
        <w:t>EXHIBIT</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ind w:left="540" w:firstLine="1292"/>
        <w:spacing w:after="0" w:line="261" w:lineRule="auto"/>
        <w:tabs>
          <w:tab w:leader="none" w:pos="2278" w:val="left"/>
        </w:tabs>
        <w:numPr>
          <w:ilvl w:val="1"/>
          <w:numId w:val="1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that any Incremental Term Loans are made, the Borrower shall repay such Incremental Term Loans on the dates and in the amounts set forth in the related Incremental Assumption Agreement (each such date being referred to as an “</w:t>
      </w:r>
      <w:r>
        <w:rPr>
          <w:rFonts w:ascii="Times New Roman" w:cs="Times New Roman" w:eastAsia="Times New Roman" w:hAnsi="Times New Roman"/>
          <w:sz w:val="20"/>
          <w:szCs w:val="20"/>
          <w:u w:val="single" w:color="auto"/>
          <w:color w:val="auto"/>
        </w:rPr>
        <w:t>Incremental Term Loan Installment Date</w:t>
      </w:r>
      <w:r>
        <w:rPr>
          <w:rFonts w:ascii="Times New Roman" w:cs="Times New Roman" w:eastAsia="Times New Roman" w:hAnsi="Times New Roman"/>
          <w:sz w:val="20"/>
          <w:szCs w:val="20"/>
          <w:color w:val="auto"/>
        </w:rPr>
        <w:t>”); and</w:t>
      </w:r>
    </w:p>
    <w:p>
      <w:pPr>
        <w:spacing w:after="0" w:line="154" w:lineRule="exact"/>
        <w:rPr>
          <w:rFonts w:ascii="Times New Roman" w:cs="Times New Roman" w:eastAsia="Times New Roman" w:hAnsi="Times New Roman"/>
          <w:sz w:val="20"/>
          <w:szCs w:val="20"/>
          <w:color w:val="auto"/>
        </w:rPr>
      </w:pPr>
    </w:p>
    <w:p>
      <w:pPr>
        <w:ind w:left="2400" w:hanging="568"/>
        <w:spacing w:after="0"/>
        <w:tabs>
          <w:tab w:leader="none" w:pos="2400" w:val="left"/>
        </w:tabs>
        <w:numPr>
          <w:ilvl w:val="1"/>
          <w:numId w:val="1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not previously paid, outstanding Term Loans shall be due and payable on the applicable Term</w:t>
      </w:r>
    </w:p>
    <w:p>
      <w:pPr>
        <w:spacing w:after="0" w:line="28" w:lineRule="exact"/>
        <w:rPr>
          <w:rFonts w:ascii="Times New Roman" w:cs="Times New Roman" w:eastAsia="Times New Roman" w:hAnsi="Times New Roman"/>
          <w:sz w:val="20"/>
          <w:szCs w:val="20"/>
          <w:color w:val="auto"/>
        </w:rPr>
      </w:pPr>
    </w:p>
    <w:p>
      <w:pPr>
        <w:ind w:left="54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Facility Maturity Date.</w:t>
      </w:r>
    </w:p>
    <w:p>
      <w:pPr>
        <w:spacing w:after="0" w:line="186" w:lineRule="exact"/>
        <w:rPr>
          <w:rFonts w:ascii="Times New Roman" w:cs="Times New Roman" w:eastAsia="Times New Roman" w:hAnsi="Times New Roman"/>
          <w:sz w:val="20"/>
          <w:szCs w:val="20"/>
          <w:color w:val="auto"/>
        </w:rPr>
      </w:pPr>
    </w:p>
    <w:p>
      <w:pPr>
        <w:ind w:firstLine="1292"/>
        <w:spacing w:after="0" w:line="283" w:lineRule="auto"/>
        <w:tabs>
          <w:tab w:leader="none" w:pos="1780" w:val="left"/>
        </w:tabs>
        <w:numPr>
          <w:ilvl w:val="0"/>
          <w:numId w:val="1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not previously paid, outstanding Revolving Facility Loans shall be due and payable on the applicable Revolving Facility Maturity Date.</w:t>
      </w:r>
    </w:p>
    <w:p>
      <w:pPr>
        <w:spacing w:after="0" w:line="132" w:lineRule="exact"/>
        <w:rPr>
          <w:rFonts w:ascii="Times New Roman" w:cs="Times New Roman" w:eastAsia="Times New Roman" w:hAnsi="Times New Roman"/>
          <w:sz w:val="20"/>
          <w:szCs w:val="20"/>
          <w:color w:val="auto"/>
        </w:rPr>
      </w:pPr>
    </w:p>
    <w:p>
      <w:pPr>
        <w:ind w:left="1700" w:hanging="408"/>
        <w:spacing w:after="0"/>
        <w:tabs>
          <w:tab w:leader="none" w:pos="1700" w:val="left"/>
        </w:tabs>
        <w:numPr>
          <w:ilvl w:val="0"/>
          <w:numId w:val="1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Prepayment of the Loans from:</w:t>
      </w:r>
    </w:p>
    <w:p>
      <w:pPr>
        <w:spacing w:after="0" w:line="202" w:lineRule="exact"/>
        <w:rPr>
          <w:rFonts w:ascii="Times New Roman" w:cs="Times New Roman" w:eastAsia="Times New Roman" w:hAnsi="Times New Roman"/>
          <w:sz w:val="20"/>
          <w:szCs w:val="20"/>
          <w:color w:val="auto"/>
        </w:rPr>
      </w:pPr>
    </w:p>
    <w:p>
      <w:pPr>
        <w:jc w:val="both"/>
        <w:ind w:left="540" w:firstLine="1292"/>
        <w:spacing w:after="0" w:line="252" w:lineRule="auto"/>
        <w:tabs>
          <w:tab w:leader="none" w:pos="2366" w:val="left"/>
        </w:tabs>
        <w:numPr>
          <w:ilvl w:val="1"/>
          <w:numId w:val="1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all Net Proceeds pursuant to Section 2.11(b) and Excess Cash Flow pursuant to Section 2.11(c) shall be allocated to the Class or Classes of Term Loans determined pursuant to Section 2.10(d), with the application thereof to reduce in direct order amounts due on the succeeding Term Loan Installment Dates under such Classes as provided in the remaining scheduled amortization payments under such Classes;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any Lender, at its option, may elect to decline any such prepayment of any Term Loan held by it if it shall give written notice to the Administrative Agent thereof by 5:00 p.m. Local Time at least three Business Days prior to the date of such prepayment (any such Lender, a “</w:t>
      </w:r>
      <w:r>
        <w:rPr>
          <w:rFonts w:ascii="Times New Roman" w:cs="Times New Roman" w:eastAsia="Times New Roman" w:hAnsi="Times New Roman"/>
          <w:sz w:val="20"/>
          <w:szCs w:val="20"/>
          <w:u w:val="single" w:color="auto"/>
          <w:color w:val="auto"/>
        </w:rPr>
        <w:t>Declining Lender</w:t>
      </w:r>
      <w:r>
        <w:rPr>
          <w:rFonts w:ascii="Times New Roman" w:cs="Times New Roman" w:eastAsia="Times New Roman" w:hAnsi="Times New Roman"/>
          <w:sz w:val="20"/>
          <w:szCs w:val="20"/>
          <w:color w:val="auto"/>
        </w:rPr>
        <w:t>”) and on the date of any such prepayment, any amounts that would otherwise have been applied to prepay Term Loans owing to Declining Lenders (such amounts, the “</w:t>
      </w:r>
      <w:r>
        <w:rPr>
          <w:rFonts w:ascii="Times New Roman" w:cs="Times New Roman" w:eastAsia="Times New Roman" w:hAnsi="Times New Roman"/>
          <w:sz w:val="20"/>
          <w:szCs w:val="20"/>
          <w:u w:val="single" w:color="auto"/>
          <w:color w:val="auto"/>
        </w:rPr>
        <w:t>Declined Proceeds</w:t>
      </w:r>
      <w:r>
        <w:rPr>
          <w:rFonts w:ascii="Times New Roman" w:cs="Times New Roman" w:eastAsia="Times New Roman" w:hAnsi="Times New Roman"/>
          <w:sz w:val="20"/>
          <w:szCs w:val="20"/>
          <w:color w:val="auto"/>
        </w:rPr>
        <w:t>”) shall instead be retained by the Borrower for application for any purpose not prohibited by this Agreement, and</w:t>
      </w:r>
    </w:p>
    <w:p>
      <w:pPr>
        <w:spacing w:after="0" w:line="162" w:lineRule="exact"/>
        <w:rPr>
          <w:rFonts w:ascii="Times New Roman" w:cs="Times New Roman" w:eastAsia="Times New Roman" w:hAnsi="Times New Roman"/>
          <w:sz w:val="20"/>
          <w:szCs w:val="20"/>
          <w:color w:val="auto"/>
        </w:rPr>
      </w:pPr>
    </w:p>
    <w:p>
      <w:pPr>
        <w:ind w:left="540" w:firstLine="1292"/>
        <w:spacing w:after="0" w:line="283" w:lineRule="auto"/>
        <w:tabs>
          <w:tab w:leader="none" w:pos="2370" w:val="left"/>
        </w:tabs>
        <w:numPr>
          <w:ilvl w:val="1"/>
          <w:numId w:val="1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optional prepayments of the Term Loans pursuant to Section 2.11(a) shall be applied to the remaining installments of the Term Loans under the applicable Class or Classes as the Borrower may in each case direct.</w:t>
      </w:r>
    </w:p>
    <w:p>
      <w:pPr>
        <w:spacing w:after="0" w:line="132" w:lineRule="exact"/>
        <w:rPr>
          <w:rFonts w:ascii="Times New Roman" w:cs="Times New Roman" w:eastAsia="Times New Roman" w:hAnsi="Times New Roman"/>
          <w:sz w:val="20"/>
          <w:szCs w:val="20"/>
          <w:color w:val="auto"/>
        </w:rPr>
      </w:pPr>
    </w:p>
    <w:p>
      <w:pPr>
        <w:jc w:val="both"/>
        <w:ind w:firstLine="1292"/>
        <w:spacing w:after="0" w:line="249" w:lineRule="auto"/>
        <w:tabs>
          <w:tab w:leader="none" w:pos="1773" w:val="left"/>
        </w:tabs>
        <w:numPr>
          <w:ilvl w:val="0"/>
          <w:numId w:val="1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mandatory prepayment of Term Loans pursuant to Section 2.11(b) or (c) shall be applied so that the aggregate amount of such prepayment is allocated among the Term B Loans and the Other Term Loans, if any, pro rata based on the aggregate principal amount of outstanding Term B Loans and Other Term Loans, if any;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subject to the pro rata application to Loans outstanding within any Class of Term Loans, the Borrower may allocate such prepayment in its discretion among the Class or Classes of Term Loans as the Borrower may specify (so long as such allocation complies with Section 2.21(b) or Section 2.21(f), as applicable). Prior to any prepayment of any Loan under any Facility hereunder, the Borrower shall select the Borrowing or Borrowings under the applicable Facility to be prepaid and shall notify the Administrative Agent </w:t>
      </w:r>
      <w:r>
        <w:rPr>
          <w:rFonts w:ascii="Times New Roman" w:cs="Times New Roman" w:eastAsia="Times New Roman" w:hAnsi="Times New Roman"/>
          <w:sz w:val="20"/>
          <w:szCs w:val="20"/>
          <w:color w:val="FF0000"/>
          <w:strike w:val="1"/>
        </w:rPr>
        <w:t>by telephone (confirmed by electronic means) of</w:t>
      </w:r>
      <w:r>
        <w:rPr>
          <w:rFonts w:ascii="Times New Roman" w:cs="Times New Roman" w:eastAsia="Times New Roman" w:hAnsi="Times New Roman"/>
          <w:sz w:val="20"/>
          <w:szCs w:val="20"/>
          <w:b w:val="1"/>
          <w:bCs w:val="1"/>
          <w:u w:val="single" w:color="auto"/>
          <w:color w:val="0000FF"/>
        </w:rPr>
        <w:t>in writing of</w:t>
      </w:r>
      <w:r>
        <w:rPr>
          <w:rFonts w:ascii="Times New Roman" w:cs="Times New Roman" w:eastAsia="Times New Roman" w:hAnsi="Times New Roman"/>
          <w:sz w:val="20"/>
          <w:szCs w:val="20"/>
          <w:color w:val="auto"/>
        </w:rPr>
        <w:t xml:space="preserve"> such selection not later than 2:00 p.m., Local Time, (i) in the case of an ABR Borrowing, at least one Business Day before the scheduled date of such prepayment (or in the case of a Swingline Loan, on the scheduled date of such prepayment) and (ii) in the case of a SOFR Borrowing, at least three U.S. Government Securities Business Days before the scheduled date of such prepayment (or, in each case such shorter period acceptable to the Administrative Agent);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a notice of prepayment may state that such notice is conditioned upon the effectiveness of other credit facilities, indentures or similar agreements or other transactions, in which case such notice may be revoked by the Borrower (by notice to the Administrative Agent on or prior to the specified effective date) if such condition is not satisfied. Each repayment of a Borrowing (x) in the case of the Revolving Facility of any Class, shall be applied to the Revolving Facility Loans included in the repaid Borrowing such that each Revolving Facility Lender receives its ratable share of such repayment (based upon the respective Revolving Facility Credit Exposures of the Revolving Facility</w:t>
      </w:r>
    </w:p>
    <w:p>
      <w:pPr>
        <w:sectPr>
          <w:pgSz w:w="11900" w:h="16838" w:orient="portrait"/>
          <w:cols w:equalWidth="0" w:num="1">
            <w:col w:w="11120"/>
          </w:cols>
          <w:pgMar w:left="440" w:top="108" w:right="339" w:bottom="1440" w:gutter="0" w:footer="0" w:header="0"/>
        </w:sectPr>
      </w:pPr>
    </w:p>
    <w:bookmarkStart w:id="271" w:name="page272"/>
    <w:bookmarkEnd w:id="271"/>
    <w:p>
      <w:pPr>
        <w:ind w:left="9360"/>
        <w:spacing w:after="0"/>
        <w:rPr>
          <w:sz w:val="20"/>
          <w:szCs w:val="20"/>
          <w:color w:val="auto"/>
        </w:rPr>
      </w:pPr>
      <w:r>
        <w:rPr>
          <w:rFonts w:ascii="Times New Roman" w:cs="Times New Roman" w:eastAsia="Times New Roman" w:hAnsi="Times New Roman"/>
          <w:sz w:val="21"/>
          <w:szCs w:val="21"/>
          <w:color w:val="FF0000"/>
          <w:strike w:val="1"/>
        </w:rPr>
        <w:t>ANNEX</w:t>
      </w:r>
      <w:r>
        <w:rPr>
          <w:rFonts w:ascii="Times New Roman" w:cs="Times New Roman" w:eastAsia="Times New Roman" w:hAnsi="Times New Roman"/>
          <w:sz w:val="21"/>
          <w:szCs w:val="21"/>
          <w:b w:val="1"/>
          <w:bCs w:val="1"/>
          <w:u w:val="single" w:color="auto"/>
          <w:color w:val="0000FF"/>
        </w:rPr>
        <w:t>EXHIBIT</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000000"/>
        </w:rPr>
        <w: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ind w:left="120"/>
        <w:spacing w:after="0" w:line="261" w:lineRule="auto"/>
        <w:rPr>
          <w:sz w:val="20"/>
          <w:szCs w:val="20"/>
          <w:color w:val="auto"/>
        </w:rPr>
      </w:pPr>
      <w:r>
        <w:rPr>
          <w:rFonts w:ascii="Times New Roman" w:cs="Times New Roman" w:eastAsia="Times New Roman" w:hAnsi="Times New Roman"/>
          <w:sz w:val="20"/>
          <w:szCs w:val="20"/>
          <w:color w:val="auto"/>
        </w:rPr>
        <w:t>Lenders of such Class at the time of such repayment) and (y) in all other cases, shall be applied ratably to the Loans included in the repaid Borrowing. All repayments of Loans shall be accompanied by accrued interest on the amount repaid to the extent required by Section 2.13(d).</w:t>
      </w:r>
    </w:p>
    <w:p>
      <w:pPr>
        <w:spacing w:after="0" w:line="154"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color w:val="auto"/>
        </w:rPr>
        <w:t>Section 2.11 Prepayment of Loans. (a) The Borrower shall have the right at any time and from time to time to prepay any Loan in whole or in part, without premium or penalty (but subject to Section 2.12(d) and Section 2.16), in an aggregate principal amount that is an integral multiple of the Borrowing Multiple and not less than the Borrowing Minimum or, if less, the amount outstanding, subject to prior notice in accordance with Section 2.10(d).</w:t>
      </w:r>
    </w:p>
    <w:p>
      <w:pPr>
        <w:spacing w:after="0" w:line="159" w:lineRule="exact"/>
        <w:rPr>
          <w:sz w:val="20"/>
          <w:szCs w:val="20"/>
          <w:color w:val="auto"/>
        </w:rPr>
      </w:pPr>
    </w:p>
    <w:p>
      <w:pPr>
        <w:jc w:val="both"/>
        <w:ind w:left="120" w:firstLine="1292"/>
        <w:spacing w:after="0" w:line="253" w:lineRule="auto"/>
        <w:tabs>
          <w:tab w:leader="none" w:pos="1892" w:val="left"/>
        </w:tabs>
        <w:numPr>
          <w:ilvl w:val="1"/>
          <w:numId w:val="1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shall apply all Net Proceeds promptly upon receipt thereof to prepay Term Loans in accordance with clauses (c) and (d) of Section 2.10. Notwithstanding the foregoing, the Borrower may use a portion of such Net Proceeds to prepay or repurchase any Other First Lien Debt, in each case in an amount not to exceed the product of (x) the amount of such Net Proceeds and (y) a fraction, (A) the numerator of which is the outstanding principal amount of such Other First Lien Debt and (B) the denominator of which is the sum of the outstanding principal amount of such Other First Lien Debt and the outstanding principal amount of all Classes of Term Loans.</w:t>
      </w:r>
    </w:p>
    <w:p>
      <w:pPr>
        <w:spacing w:after="0" w:line="178" w:lineRule="exact"/>
        <w:rPr>
          <w:rFonts w:ascii="Times New Roman" w:cs="Times New Roman" w:eastAsia="Times New Roman" w:hAnsi="Times New Roman"/>
          <w:sz w:val="20"/>
          <w:szCs w:val="20"/>
          <w:color w:val="auto"/>
        </w:rPr>
      </w:pPr>
    </w:p>
    <w:p>
      <w:pPr>
        <w:jc w:val="both"/>
        <w:ind w:left="120" w:firstLine="1292"/>
        <w:spacing w:after="0" w:line="264" w:lineRule="auto"/>
        <w:tabs>
          <w:tab w:leader="none" w:pos="1926" w:val="left"/>
        </w:tabs>
        <w:numPr>
          <w:ilvl w:val="1"/>
          <w:numId w:val="1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 later than 5 Business Days after the date on which the annual financial statements are, or are required to be, delivered under Section 5.04(a) with respect to each Excess Cash Flow Period (commencing with the end of the first full fiscal year ending after the 2021 Effective Date) the Borrower shall calculate Excess Cash Flow for such Excess Cash Flow Period and the Borrower shall apply an amount equal to (i) the amount by which the Required Percentage of such Excess Cash Flow exceeds $10,000,000 (the “</w:t>
      </w:r>
      <w:r>
        <w:rPr>
          <w:rFonts w:ascii="Times New Roman" w:cs="Times New Roman" w:eastAsia="Times New Roman" w:hAnsi="Times New Roman"/>
          <w:sz w:val="19"/>
          <w:szCs w:val="19"/>
          <w:u w:val="single" w:color="auto"/>
          <w:color w:val="auto"/>
        </w:rPr>
        <w:t>ECF</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Threshold Amount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minus</w:t>
      </w:r>
      <w:r>
        <w:rPr>
          <w:rFonts w:ascii="Times New Roman" w:cs="Times New Roman" w:eastAsia="Times New Roman" w:hAnsi="Times New Roman"/>
          <w:sz w:val="19"/>
          <w:szCs w:val="19"/>
          <w:color w:val="auto"/>
        </w:rPr>
        <w:t xml:space="preserve"> (ii) to the extent not financed using the proceeds of the incurrence of funded term Indebtedness, the sum of</w:t>
      </w:r>
    </w:p>
    <w:p>
      <w:pPr>
        <w:spacing w:after="0" w:line="1" w:lineRule="exact"/>
        <w:rPr>
          <w:rFonts w:ascii="Times New Roman" w:cs="Times New Roman" w:eastAsia="Times New Roman" w:hAnsi="Times New Roman"/>
          <w:sz w:val="19"/>
          <w:szCs w:val="19"/>
          <w:color w:val="auto"/>
        </w:rPr>
      </w:pPr>
    </w:p>
    <w:p>
      <w:pPr>
        <w:jc w:val="both"/>
        <w:ind w:left="120" w:hanging="4"/>
        <w:spacing w:after="0" w:line="246" w:lineRule="auto"/>
        <w:tabs>
          <w:tab w:leader="none" w:pos="468" w:val="left"/>
        </w:tabs>
        <w:numPr>
          <w:ilvl w:val="0"/>
          <w:numId w:val="1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amount of any voluntary payments during such Excess Cash Flow Period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without duplication of any amounts previously deducted under this clause (A), the amount of any voluntary payments after the end of such Excess Cash Flow Period but before the date of prepayment under this clause (c)) of (x) Term Loans (it being understood that the amount of any such payment constituting a below-par Permitted Loan Purchase shall be calculated to equal the amount of cash used and not the principal amount deemed prepaid therewith) and</w:t>
      </w:r>
    </w:p>
    <w:p>
      <w:pPr>
        <w:spacing w:after="0" w:line="2" w:lineRule="exact"/>
        <w:rPr>
          <w:rFonts w:ascii="Times New Roman" w:cs="Times New Roman" w:eastAsia="Times New Roman" w:hAnsi="Times New Roman"/>
          <w:sz w:val="20"/>
          <w:szCs w:val="20"/>
          <w:color w:val="auto"/>
        </w:rPr>
      </w:pPr>
    </w:p>
    <w:p>
      <w:pPr>
        <w:jc w:val="both"/>
        <w:ind w:left="120"/>
        <w:spacing w:after="0" w:line="248"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 Other First Lien Debt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in the case of the prepayment of any revolving Indebtedness, there was a corresponding reduction in commitments and (ii) the maximum amount of each such prepayment of Other First Lien Debt that may be counted for purposes of this clause (A)(y) shall not exceed the amount that would have been prepaid in respect of such Other First Lien Debt if such prepayment had been applied on a ratable basis among the Term Loans and such Other First Lien Debt (determined based on the aggregate outstanding principal amount of Term Loans on the date of such prepayment and the aggregate principal amount of such Other First Lien Debt that would have been outstanding on the date of such prepayment before giving effect to such prepayments so made)) and (B) the amount of any permanent voluntary reductions during such Excess Cash Flow Period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without duplication of any amounts previously deducted under this clause (B), the amount of any permanent voluntary reductions after the end of such Excess Cash Flow Period but before the date of prepayment under this clause (c)) of Revolving Facility Commitments to the extent that an equal amount of Revolving Facility Loans was simultaneously repaid (I) to prepay Term Loans in accordance with clauses (c) and (d) of Section 2.10 or (II) to prepay Term Loans in accordance with clauses (c) and (d) of Section 2.10 and to prepay any Other First Lien Debt so long as the prepayments under this clause (II) are applied in a manner such that the Term Loans are prepaid on at least a ratable basis with such Other First Lien Debt (determined based on the aggregate outstanding principal amount of Term Loans and the aggregate outstanding principal amount of such Other First Lien Debt being prepaid under this clause (II) on the date of such prepayment). Such calculation will be set forth in a certificate signed by a</w:t>
      </w:r>
    </w:p>
    <w:p>
      <w:pPr>
        <w:sectPr>
          <w:pgSz w:w="11900" w:h="16838" w:orient="portrait"/>
          <w:cols w:equalWidth="0" w:num="1">
            <w:col w:w="11240"/>
          </w:cols>
          <w:pgMar w:left="320" w:top="108" w:right="339" w:bottom="1440" w:gutter="0" w:footer="0" w:header="0"/>
        </w:sectPr>
      </w:pPr>
    </w:p>
    <w:bookmarkStart w:id="272" w:name="page273"/>
    <w:bookmarkEnd w:id="272"/>
    <w:p>
      <w:pPr>
        <w:jc w:val="right"/>
        <w:spacing w:after="0"/>
        <w:rPr>
          <w:sz w:val="20"/>
          <w:szCs w:val="20"/>
          <w:color w:val="auto"/>
        </w:rPr>
      </w:pPr>
      <w:r>
        <w:rPr>
          <w:rFonts w:ascii="Times New Roman" w:cs="Times New Roman" w:eastAsia="Times New Roman" w:hAnsi="Times New Roman"/>
          <w:sz w:val="22"/>
          <w:szCs w:val="22"/>
          <w:color w:val="FF0000"/>
          <w:strike w:val="1"/>
        </w:rPr>
        <w:t>ANNEX</w:t>
      </w:r>
      <w:r>
        <w:rPr>
          <w:rFonts w:ascii="Times New Roman" w:cs="Times New Roman" w:eastAsia="Times New Roman" w:hAnsi="Times New Roman"/>
          <w:sz w:val="22"/>
          <w:szCs w:val="22"/>
          <w:b w:val="1"/>
          <w:bCs w:val="1"/>
          <w:u w:val="single" w:color="auto"/>
          <w:color w:val="0000FF"/>
        </w:rPr>
        <w:t>EXHIBIT</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ind w:left="120"/>
        <w:spacing w:after="0" w:line="283" w:lineRule="auto"/>
        <w:rPr>
          <w:sz w:val="20"/>
          <w:szCs w:val="20"/>
          <w:color w:val="auto"/>
        </w:rPr>
      </w:pPr>
      <w:r>
        <w:rPr>
          <w:rFonts w:ascii="Times New Roman" w:cs="Times New Roman" w:eastAsia="Times New Roman" w:hAnsi="Times New Roman"/>
          <w:sz w:val="20"/>
          <w:szCs w:val="20"/>
          <w:color w:val="auto"/>
        </w:rPr>
        <w:t>Financial Officer of the Borrower delivered to the Administrative Agent setting forth the amount, if any, of Excess Cash Flow for such fiscal year, the amount of any required prepayment in respect thereof and the calculation thereof in reasonable detail.</w:t>
      </w:r>
    </w:p>
    <w:p>
      <w:pPr>
        <w:spacing w:after="0" w:line="133" w:lineRule="exact"/>
        <w:rPr>
          <w:sz w:val="20"/>
          <w:szCs w:val="20"/>
          <w:color w:val="auto"/>
        </w:rPr>
      </w:pPr>
    </w:p>
    <w:p>
      <w:pPr>
        <w:jc w:val="both"/>
        <w:ind w:left="120" w:firstLine="1292"/>
        <w:spacing w:after="0" w:line="249" w:lineRule="auto"/>
        <w:tabs>
          <w:tab w:leader="none" w:pos="1845" w:val="left"/>
        </w:tabs>
        <w:numPr>
          <w:ilvl w:val="1"/>
          <w:numId w:val="1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 other provisions of this Section 2.11 to the contrary, (i) to the extent that any Net Proceeds of any Asset Sale by a Foreign Subsidiary or Excess Cash Flow attributable to a Foreign Subsidiary would otherwise be required to be applied pursuant to Section 2.11(b) or Section 2.11(c) but is prohibited, restricted or delayed by applicable local law from being repatriated to the United States of America, the portion of such Net Proceeds or Excess Cash Flow so affected will not be required to be applied to repay Term Loans or Other First Lien Debt at the times provided in Section 2.11(b) or Section 2.11(c) but may be retained by the applicable Foreign Subsidiary so long, but only so long, as the applicable local law will not permit repatriation to the United States of America, and once such repatriation of any of such affected Net Proceeds or Excess Cash Flow is permitted under the applicable local law, such repatriation will be effected and such repatriated Net Proceeds or Excess Cash Flow will be promptly applied (net of additional taxes payable or reserved against as a result thereof) to the repayment of the Term Loans or Other First Lien Debt pursuant to Section 2.11(b) or Section 2.11(c), to the extent provided therein and (ii) to the extent that the Borrower has determined in good faith that repatriation of any or all of such Net Proceeds or Excess Cash Flow that would otherwise be required to be applied pursuant to Section 2.11(b) or Section 2.11(c) would have a material adverse tax consequence with respect to such Net Proceeds or Excess Cash Flow, the Net Proceeds or Excess Cash Flow so affected may be retained by the applicable Foreign Subsidiary (the Borrower hereby agreeing to cause the applicable Subsidiary to promptly use commercially reasonable efforts to take all actions within the reasonable control of the Borrower that are reasonably required to eliminate such tax effects).</w:t>
      </w:r>
    </w:p>
    <w:p>
      <w:pPr>
        <w:spacing w:after="0" w:line="173" w:lineRule="exact"/>
        <w:rPr>
          <w:rFonts w:ascii="Times New Roman" w:cs="Times New Roman" w:eastAsia="Times New Roman" w:hAnsi="Times New Roman"/>
          <w:sz w:val="20"/>
          <w:szCs w:val="20"/>
          <w:color w:val="auto"/>
        </w:rPr>
      </w:pPr>
    </w:p>
    <w:p>
      <w:pPr>
        <w:jc w:val="both"/>
        <w:ind w:left="120" w:firstLine="1292"/>
        <w:spacing w:after="0" w:line="258" w:lineRule="auto"/>
        <w:tabs>
          <w:tab w:leader="none" w:pos="1836" w:val="left"/>
        </w:tabs>
        <w:numPr>
          <w:ilvl w:val="1"/>
          <w:numId w:val="1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that the aggregate amount of Revolving Facility Credit Exposure of any Class exceeds the total Revolving Facility Commitments of such Class (other than as a result of changes in currency exchange rates), the Borrower shall prepay Revolving Facility Borrowings or Swingline Borrowings of such Class (or, if no such Borrowings are outstanding, provide Cash Collateral in respect of outstanding Letters of Credit pursuant to Section 2.05(j)) in an aggregate amount equal to such excess.</w:t>
      </w:r>
    </w:p>
    <w:p>
      <w:pPr>
        <w:spacing w:after="0" w:line="158" w:lineRule="exact"/>
        <w:rPr>
          <w:rFonts w:ascii="Times New Roman" w:cs="Times New Roman" w:eastAsia="Times New Roman" w:hAnsi="Times New Roman"/>
          <w:sz w:val="20"/>
          <w:szCs w:val="20"/>
          <w:color w:val="auto"/>
        </w:rPr>
      </w:pPr>
    </w:p>
    <w:p>
      <w:pPr>
        <w:jc w:val="both"/>
        <w:ind w:left="120" w:firstLine="1292"/>
        <w:spacing w:after="0" w:line="268" w:lineRule="auto"/>
        <w:tabs>
          <w:tab w:leader="none" w:pos="1843" w:val="left"/>
        </w:tabs>
        <w:numPr>
          <w:ilvl w:val="1"/>
          <w:numId w:val="1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that the Revolving L/C Exposure exceeds the Letter of Credit Sublimit (other than as a result of changes in currency exchange rates), at the request of the Administrative Agent, the Borrower shall provide Cash Collateral pursuant to Section 2.05(j) in an aggregate amount equal to such excess.</w:t>
      </w:r>
    </w:p>
    <w:p>
      <w:pPr>
        <w:spacing w:after="0" w:line="147" w:lineRule="exact"/>
        <w:rPr>
          <w:rFonts w:ascii="Times New Roman" w:cs="Times New Roman" w:eastAsia="Times New Roman" w:hAnsi="Times New Roman"/>
          <w:sz w:val="20"/>
          <w:szCs w:val="20"/>
          <w:color w:val="auto"/>
        </w:rPr>
      </w:pPr>
    </w:p>
    <w:p>
      <w:pPr>
        <w:jc w:val="both"/>
        <w:ind w:left="120" w:firstLine="1292"/>
        <w:spacing w:after="0" w:line="254" w:lineRule="auto"/>
        <w:tabs>
          <w:tab w:leader="none" w:pos="1887" w:val="left"/>
        </w:tabs>
        <w:numPr>
          <w:ilvl w:val="1"/>
          <w:numId w:val="1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as a result of changes in currency exchange rates, on any Revaluation Date, (i) the total Revolving Facility Credit Exposure of any Class exceeds the total Revolving Facility Commitments of such Class or (ii) the Revolving L/C Exposure exceeds the Letter of Credit Sublimit, the Borrower shall, at the request of the Administrative Agent, within ten (10) days of such Revaluation Date</w:t>
      </w:r>
    </w:p>
    <w:p>
      <w:pPr>
        <w:ind w:left="120" w:hanging="4"/>
        <w:spacing w:after="0" w:line="253" w:lineRule="auto"/>
        <w:tabs>
          <w:tab w:leader="none" w:pos="477" w:val="left"/>
        </w:tabs>
        <w:numPr>
          <w:ilvl w:val="0"/>
          <w:numId w:val="1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prepay Revolving Facility Borrowings or Swingline Borrowings or (B) provide Cash Collateral pursuant to Section 2.05(j), in an aggregate amount such that the applicable exposure does not exceed the applicable commitment sublimit or amount set forth above.</w:t>
      </w:r>
    </w:p>
    <w:p>
      <w:pPr>
        <w:spacing w:after="0" w:line="17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20"/>
          <w:szCs w:val="20"/>
          <w:color w:val="auto"/>
        </w:rPr>
        <w:t>Section 2.12 Fees. (a) The Borrower agrees to pay to each Lender (other than any Defaulting Lender), through the Administrative Agent, on the date that is three Business Days after the last day of March, June, September and December in each year and on the date on which the Revolving Facility Commitments of all the Lenders shall be terminated as provided herein, a commitment fee (a “</w:t>
      </w:r>
      <w:r>
        <w:rPr>
          <w:rFonts w:ascii="Times New Roman" w:cs="Times New Roman" w:eastAsia="Times New Roman" w:hAnsi="Times New Roman"/>
          <w:sz w:val="20"/>
          <w:szCs w:val="20"/>
          <w:u w:val="single" w:color="auto"/>
          <w:color w:val="auto"/>
        </w:rPr>
        <w:t>Commitment Fee</w:t>
      </w:r>
      <w:r>
        <w:rPr>
          <w:rFonts w:ascii="Times New Roman" w:cs="Times New Roman" w:eastAsia="Times New Roman" w:hAnsi="Times New Roman"/>
          <w:sz w:val="20"/>
          <w:szCs w:val="20"/>
          <w:color w:val="auto"/>
        </w:rPr>
        <w:t>”) on the daily amount of the applicable Available Unused Commitment of such Lender</w:t>
      </w:r>
    </w:p>
    <w:p>
      <w:pPr>
        <w:sectPr>
          <w:pgSz w:w="11900" w:h="16838" w:orient="portrait"/>
          <w:cols w:equalWidth="0" w:num="1">
            <w:col w:w="11240"/>
          </w:cols>
          <w:pgMar w:left="320" w:top="108" w:right="339" w:bottom="1440" w:gutter="0" w:footer="0" w:header="0"/>
        </w:sectPr>
      </w:pPr>
    </w:p>
    <w:bookmarkStart w:id="273" w:name="page274"/>
    <w:bookmarkEnd w:id="273"/>
    <w:p>
      <w:pPr>
        <w:jc w:val="right"/>
        <w:spacing w:after="0"/>
        <w:rPr>
          <w:sz w:val="20"/>
          <w:szCs w:val="20"/>
          <w:color w:val="auto"/>
        </w:rPr>
      </w:pPr>
      <w:r>
        <w:rPr>
          <w:rFonts w:ascii="Times New Roman" w:cs="Times New Roman" w:eastAsia="Times New Roman" w:hAnsi="Times New Roman"/>
          <w:sz w:val="22"/>
          <w:szCs w:val="22"/>
          <w:color w:val="FF0000"/>
          <w:strike w:val="1"/>
        </w:rPr>
        <w:t>ANNEX</w:t>
      </w:r>
      <w:r>
        <w:rPr>
          <w:rFonts w:ascii="Times New Roman" w:cs="Times New Roman" w:eastAsia="Times New Roman" w:hAnsi="Times New Roman"/>
          <w:sz w:val="22"/>
          <w:szCs w:val="22"/>
          <w:b w:val="1"/>
          <w:bCs w:val="1"/>
          <w:u w:val="single" w:color="auto"/>
          <w:color w:val="0000FF"/>
        </w:rPr>
        <w:t>EXHIBIT</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during the preceding quarter (or other period commencing with the Closing Date or ending with the date on which the last of the Commitments of such Lender shall be terminated) at a rate equal to the Applicable Commitment Fee accrued up to the last Business Day of each March, June, September and December. All Commitment Fees shall be computed on the basis of the actual number of days elapsed in a year of 360 days. For purposes of calculating any Lender’s Commitment Fee, the outstanding Swingline Loans during the period for which such Lender’s Commitment Fee is calculated shall be deemed to be zero. The Commitment Fee due to each Lender shall commence to accrue on the Closing Date and shall cease to accrue on the date on which the last of the Commitments of such Lender shall be terminated as provided herein.</w:t>
      </w:r>
    </w:p>
    <w:p>
      <w:pPr>
        <w:spacing w:after="0" w:line="166" w:lineRule="exact"/>
        <w:rPr>
          <w:sz w:val="20"/>
          <w:szCs w:val="20"/>
          <w:color w:val="auto"/>
        </w:rPr>
      </w:pPr>
    </w:p>
    <w:p>
      <w:pPr>
        <w:jc w:val="both"/>
        <w:ind w:left="120" w:firstLine="1292"/>
        <w:spacing w:after="0" w:line="249" w:lineRule="auto"/>
        <w:tabs>
          <w:tab w:leader="none" w:pos="1908" w:val="left"/>
        </w:tabs>
        <w:numPr>
          <w:ilvl w:val="1"/>
          <w:numId w:val="1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from time to time agrees to pay (i) to each Revolving Facility Lender of each Class (other than any Defaulting Lender), through the Administrative Agent, on the date that is three Business Days after the last day of March, June, September and December of each year and on the date on which the Revolving Facility Commitments of all the Lenders shall be terminated as provided herein, a fee in Dollars (an “</w:t>
      </w:r>
      <w:r>
        <w:rPr>
          <w:rFonts w:ascii="Times New Roman" w:cs="Times New Roman" w:eastAsia="Times New Roman" w:hAnsi="Times New Roman"/>
          <w:sz w:val="20"/>
          <w:szCs w:val="20"/>
          <w:u w:val="single" w:color="auto"/>
          <w:color w:val="auto"/>
        </w:rPr>
        <w:t>L/C Participation Fee</w:t>
      </w:r>
      <w:r>
        <w:rPr>
          <w:rFonts w:ascii="Times New Roman" w:cs="Times New Roman" w:eastAsia="Times New Roman" w:hAnsi="Times New Roman"/>
          <w:sz w:val="20"/>
          <w:szCs w:val="20"/>
          <w:color w:val="auto"/>
        </w:rPr>
        <w:t xml:space="preserve">”) on such Lender’s Revolving Facility Percentage of the daily aggregate Revolving L/C Exposure (excluding the portion thereof attributable to unreimbursed L/C Disbursements) of such Class, during the preceding quarter (or shorter period commencing with the Closing Date or ending with the Revolving Facility Maturity Date or the date on which the Revolving Facility Commitments of such Class shall be terminated) at the rate per annum equal to the Applicable Margin for SOFR Revolving Facility Borrowings of such Class effective for each day in such period accrued up to the last Business Day of each March, June, September and December, and (ii) to each Issuing Bank, for its own account (x) on the date that is three Business Days after the last day of March, June, September and December of each year and on the date on which the Revolving Facility Commitments of all the Lenders shall be terminated, a fronting fee in respect of each Letter of Credit issued by such Issuing Bank for the period from and including the date of issuance of such Letter of Credit to and including the termination of such Letter of Credit, computed at a rate equal to 1/8 of 1.00% per annum of the Dollar Equivalent of the daily stated amount of such Letter of Credit,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(y) in connection with the issuance, amendment or transfer of any such Letter of Credit or any L/C Disbursement thereunder, such Issuing Bank’s customary documentary and processing fees and charges (collectively, “</w:t>
      </w:r>
      <w:r>
        <w:rPr>
          <w:rFonts w:ascii="Times New Roman" w:cs="Times New Roman" w:eastAsia="Times New Roman" w:hAnsi="Times New Roman"/>
          <w:sz w:val="20"/>
          <w:szCs w:val="20"/>
          <w:u w:val="single" w:color="auto"/>
          <w:color w:val="auto"/>
        </w:rPr>
        <w:t>Issuing Bank Fees</w:t>
      </w:r>
      <w:r>
        <w:rPr>
          <w:rFonts w:ascii="Times New Roman" w:cs="Times New Roman" w:eastAsia="Times New Roman" w:hAnsi="Times New Roman"/>
          <w:sz w:val="20"/>
          <w:szCs w:val="20"/>
          <w:color w:val="auto"/>
        </w:rPr>
        <w:t>”). All L/C Participation Fees and Issuing Bank Fees that are payable on a per annum basis shall be computed on the basis of the actual number of days elapsed in a year of 360 days.</w:t>
      </w:r>
    </w:p>
    <w:p>
      <w:pPr>
        <w:spacing w:after="0" w:line="178" w:lineRule="exact"/>
        <w:rPr>
          <w:rFonts w:ascii="Times New Roman" w:cs="Times New Roman" w:eastAsia="Times New Roman" w:hAnsi="Times New Roman"/>
          <w:sz w:val="20"/>
          <w:szCs w:val="20"/>
          <w:color w:val="auto"/>
        </w:rPr>
      </w:pPr>
    </w:p>
    <w:p>
      <w:pPr>
        <w:jc w:val="both"/>
        <w:ind w:left="120" w:firstLine="1292"/>
        <w:spacing w:after="0" w:line="253" w:lineRule="auto"/>
        <w:tabs>
          <w:tab w:leader="none" w:pos="1847" w:val="left"/>
        </w:tabs>
        <w:numPr>
          <w:ilvl w:val="1"/>
          <w:numId w:val="1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agrees to pay (x) to the Administrative Agent, for the account of the Administrative Agent, the </w:t>
      </w:r>
      <w:r>
        <w:rPr>
          <w:rFonts w:ascii="Times New Roman" w:cs="Times New Roman" w:eastAsia="Times New Roman" w:hAnsi="Times New Roman"/>
          <w:sz w:val="20"/>
          <w:szCs w:val="20"/>
          <w:color w:val="FF0000"/>
          <w:strike w:val="1"/>
        </w:rPr>
        <w:t>“Senior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FF0000"/>
          <w:strike w:val="1"/>
        </w:rPr>
        <w:t>Facilities Administration Fee” as</w:t>
      </w:r>
      <w:r>
        <w:rPr>
          <w:rFonts w:ascii="Times New Roman" w:cs="Times New Roman" w:eastAsia="Times New Roman" w:hAnsi="Times New Roman"/>
          <w:sz w:val="20"/>
          <w:szCs w:val="20"/>
          <w:b w:val="1"/>
          <w:bCs w:val="1"/>
          <w:u w:val="single" w:color="auto"/>
          <w:color w:val="0000FF"/>
        </w:rPr>
        <w:t>fees</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set forth in the Fee Letter, as may be amended, restated, supplemented or otherwise modified from</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time to time, at the times specified therein (the “</w:t>
      </w:r>
      <w:r>
        <w:rPr>
          <w:rFonts w:ascii="Times New Roman" w:cs="Times New Roman" w:eastAsia="Times New Roman" w:hAnsi="Times New Roman"/>
          <w:sz w:val="20"/>
          <w:szCs w:val="20"/>
          <w:u w:val="single" w:color="auto"/>
          <w:color w:val="000000"/>
        </w:rPr>
        <w:t>Administrative Agent Fees</w:t>
      </w:r>
      <w:r>
        <w:rPr>
          <w:rFonts w:ascii="Times New Roman" w:cs="Times New Roman" w:eastAsia="Times New Roman" w:hAnsi="Times New Roman"/>
          <w:sz w:val="20"/>
          <w:szCs w:val="20"/>
          <w:color w:val="000000"/>
        </w:rPr>
        <w:t xml:space="preserve">”) and (y) to the Collateral Agent, for the account of the Collateral Agent, </w:t>
      </w:r>
      <w:r>
        <w:rPr>
          <w:rFonts w:ascii="Times New Roman" w:cs="Times New Roman" w:eastAsia="Times New Roman" w:hAnsi="Times New Roman"/>
          <w:sz w:val="20"/>
          <w:szCs w:val="20"/>
          <w:b w:val="1"/>
          <w:bCs w:val="1"/>
          <w:u w:val="single" w:color="auto"/>
          <w:color w:val="0000FF"/>
        </w:rPr>
        <w:t>the</w:t>
      </w:r>
      <w:r>
        <w:rPr>
          <w:rFonts w:ascii="Times New Roman" w:cs="Times New Roman" w:eastAsia="Times New Roman" w:hAnsi="Times New Roman"/>
          <w:sz w:val="20"/>
          <w:szCs w:val="20"/>
          <w:color w:val="000000"/>
        </w:rPr>
        <w:t xml:space="preserve"> fees </w:t>
      </w:r>
      <w:r>
        <w:rPr>
          <w:rFonts w:ascii="Times New Roman" w:cs="Times New Roman" w:eastAsia="Times New Roman" w:hAnsi="Times New Roman"/>
          <w:sz w:val="20"/>
          <w:szCs w:val="20"/>
          <w:color w:val="FF0000"/>
          <w:strike w:val="1"/>
        </w:rPr>
        <w:t>payable in the amount and at the times separately agreed in writing</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color w:val="008000"/>
          <w:strike w:val="1"/>
        </w:rPr>
        <w:t>from time to time</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color w:val="FF0000"/>
          <w:strike w:val="1"/>
        </w:rPr>
        <w:t>between the Collateral</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color w:val="FF0000"/>
          <w:strike w:val="1"/>
        </w:rPr>
        <w:t xml:space="preserve">Agent and the Borrower </w:t>
      </w:r>
      <w:r>
        <w:rPr>
          <w:rFonts w:ascii="Times New Roman" w:cs="Times New Roman" w:eastAsia="Times New Roman" w:hAnsi="Times New Roman"/>
          <w:sz w:val="20"/>
          <w:szCs w:val="20"/>
          <w:b w:val="1"/>
          <w:bCs w:val="1"/>
          <w:u w:val="single" w:color="auto"/>
          <w:color w:val="0000FF"/>
          <w:strike w:val="1"/>
        </w:rPr>
        <w:t>set forth in the Fee Letter, as may be amended, restated, supplemented or otherwise modified</w:t>
      </w:r>
      <w:r>
        <w:rPr>
          <w:rFonts w:ascii="Times New Roman" w:cs="Times New Roman" w:eastAsia="Times New Roman" w:hAnsi="Times New Roman"/>
          <w:sz w:val="20"/>
          <w:szCs w:val="20"/>
          <w:color w:val="FF0000"/>
          <w:strike w:val="1"/>
        </w:rPr>
        <w:t xml:space="preserve"> </w:t>
      </w:r>
      <w:r>
        <w:rPr>
          <w:rFonts w:ascii="Times New Roman" w:cs="Times New Roman" w:eastAsia="Times New Roman" w:hAnsi="Times New Roman"/>
          <w:sz w:val="20"/>
          <w:szCs w:val="20"/>
          <w:b w:val="1"/>
          <w:bCs w:val="1"/>
          <w:u w:val="single" w:color="auto"/>
          <w:color w:val="008000"/>
          <w:strike w:val="1"/>
        </w:rPr>
        <w:t>from time to</w:t>
      </w:r>
      <w:r>
        <w:rPr>
          <w:rFonts w:ascii="Times New Roman" w:cs="Times New Roman" w:eastAsia="Times New Roman" w:hAnsi="Times New Roman"/>
          <w:sz w:val="20"/>
          <w:szCs w:val="20"/>
          <w:color w:val="FF0000"/>
          <w:strike w:val="1"/>
        </w:rPr>
        <w:t xml:space="preserve"> </w:t>
      </w:r>
      <w:r>
        <w:rPr>
          <w:rFonts w:ascii="Times New Roman" w:cs="Times New Roman" w:eastAsia="Times New Roman" w:hAnsi="Times New Roman"/>
          <w:sz w:val="20"/>
          <w:szCs w:val="20"/>
          <w:b w:val="1"/>
          <w:bCs w:val="1"/>
          <w:u w:val="single" w:color="auto"/>
          <w:color w:val="008000"/>
          <w:strike w:val="1"/>
        </w:rPr>
        <w:t>time</w:t>
      </w:r>
      <w:r>
        <w:rPr>
          <w:rFonts w:ascii="Times New Roman" w:cs="Times New Roman" w:eastAsia="Times New Roman" w:hAnsi="Times New Roman"/>
          <w:sz w:val="20"/>
          <w:szCs w:val="20"/>
          <w:b w:val="1"/>
          <w:bCs w:val="1"/>
          <w:u w:val="single" w:color="auto"/>
          <w:color w:val="0000FF"/>
          <w:strike w:val="1"/>
        </w:rPr>
        <w:t>, at the times specified therein</w:t>
      </w:r>
      <w:r>
        <w:rPr>
          <w:rFonts w:ascii="Times New Roman" w:cs="Times New Roman" w:eastAsia="Times New Roman" w:hAnsi="Times New Roman"/>
          <w:sz w:val="20"/>
          <w:szCs w:val="20"/>
          <w:b w:val="1"/>
          <w:bCs w:val="1"/>
          <w:color w:val="008000"/>
          <w:strike w:val="1"/>
        </w:rPr>
        <w:t xml:space="preserve"> </w:t>
      </w:r>
      <w:r>
        <w:rPr>
          <w:rFonts w:ascii="Times New Roman" w:cs="Times New Roman" w:eastAsia="Times New Roman" w:hAnsi="Times New Roman"/>
          <w:sz w:val="20"/>
          <w:szCs w:val="20"/>
          <w:color w:val="000000"/>
          <w:strike w:val="1"/>
        </w:rPr>
        <w:t>(the “</w:t>
      </w:r>
      <w:r>
        <w:rPr>
          <w:rFonts w:ascii="Times New Roman" w:cs="Times New Roman" w:eastAsia="Times New Roman" w:hAnsi="Times New Roman"/>
          <w:sz w:val="20"/>
          <w:szCs w:val="20"/>
          <w:u w:val="single" w:color="auto"/>
          <w:color w:val="000000"/>
          <w:strike w:val="1"/>
        </w:rPr>
        <w:t>Collateral Agent Fees</w:t>
      </w:r>
      <w:r>
        <w:rPr>
          <w:rFonts w:ascii="Times New Roman" w:cs="Times New Roman" w:eastAsia="Times New Roman" w:hAnsi="Times New Roman"/>
          <w:sz w:val="20"/>
          <w:szCs w:val="20"/>
          <w:color w:val="000000"/>
          <w:strike w:val="1"/>
        </w:rPr>
        <w:t>”).</w:t>
      </w:r>
    </w:p>
    <w:p>
      <w:pPr>
        <w:spacing w:after="0" w:line="165" w:lineRule="exact"/>
        <w:rPr>
          <w:rFonts w:ascii="Times New Roman" w:cs="Times New Roman" w:eastAsia="Times New Roman" w:hAnsi="Times New Roman"/>
          <w:sz w:val="20"/>
          <w:szCs w:val="20"/>
          <w:color w:val="auto"/>
        </w:rPr>
      </w:pPr>
    </w:p>
    <w:p>
      <w:pPr>
        <w:jc w:val="both"/>
        <w:ind w:left="120" w:firstLine="1292"/>
        <w:spacing w:after="0" w:line="267" w:lineRule="auto"/>
        <w:tabs>
          <w:tab w:leader="none" w:pos="1850" w:val="left"/>
        </w:tabs>
        <w:numPr>
          <w:ilvl w:val="1"/>
          <w:numId w:val="1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event that, on or prior to the date that is six months after the 2021 Effective Date, the Borrower shall (x) make a prepayment of the Term B Loans pursuant to Section 2.11(a) with the proceeds of any new or replacement tranche of long-term secured term loans that are broadly syndicated to banks and other institutional investors in financings similar to the Term B Loans and have an All-in Yield that is less than the All-in Yield of such Term B Loans (other than, for the avoidance of doubt, with respect to securitizations) or</w:t>
      </w:r>
    </w:p>
    <w:p>
      <w:pPr>
        <w:spacing w:after="0" w:line="1" w:lineRule="exact"/>
        <w:rPr>
          <w:rFonts w:ascii="Times New Roman" w:cs="Times New Roman" w:eastAsia="Times New Roman" w:hAnsi="Times New Roman"/>
          <w:sz w:val="19"/>
          <w:szCs w:val="19"/>
          <w:color w:val="auto"/>
        </w:rPr>
      </w:pPr>
    </w:p>
    <w:p>
      <w:pPr>
        <w:ind w:left="400" w:hanging="284"/>
        <w:spacing w:after="0"/>
        <w:tabs>
          <w:tab w:leader="none" w:pos="400" w:val="left"/>
        </w:tabs>
        <w:numPr>
          <w:ilvl w:val="0"/>
          <w:numId w:val="1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effect any amendment to this Agreement which reduces the All-in Yield of the Term B Loans (other than, in the case of each of clauses</w:t>
      </w:r>
    </w:p>
    <w:p>
      <w:pPr>
        <w:spacing w:after="0" w:line="6" w:lineRule="exact"/>
        <w:rPr>
          <w:rFonts w:ascii="Times New Roman" w:cs="Times New Roman" w:eastAsia="Times New Roman" w:hAnsi="Times New Roman"/>
          <w:sz w:val="20"/>
          <w:szCs w:val="20"/>
          <w:color w:val="auto"/>
        </w:rPr>
      </w:pPr>
    </w:p>
    <w:p>
      <w:pPr>
        <w:ind w:left="400" w:hanging="284"/>
        <w:spacing w:after="0"/>
        <w:tabs>
          <w:tab w:leader="none" w:pos="400" w:val="left"/>
        </w:tabs>
        <w:numPr>
          <w:ilvl w:val="0"/>
          <w:numId w:val="1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and</w:t>
      </w:r>
    </w:p>
    <w:p>
      <w:pPr>
        <w:sectPr>
          <w:pgSz w:w="11900" w:h="16838" w:orient="portrait"/>
          <w:cols w:equalWidth="0" w:num="1">
            <w:col w:w="11240"/>
          </w:cols>
          <w:pgMar w:left="320" w:top="108" w:right="339" w:bottom="1440" w:gutter="0" w:footer="0" w:header="0"/>
        </w:sectPr>
      </w:pPr>
    </w:p>
    <w:bookmarkStart w:id="274" w:name="page275"/>
    <w:bookmarkEnd w:id="274"/>
    <w:p>
      <w:pPr>
        <w:jc w:val="right"/>
        <w:spacing w:after="0"/>
        <w:rPr>
          <w:sz w:val="20"/>
          <w:szCs w:val="20"/>
          <w:color w:val="auto"/>
        </w:rPr>
      </w:pPr>
      <w:r>
        <w:rPr>
          <w:rFonts w:ascii="Times New Roman" w:cs="Times New Roman" w:eastAsia="Times New Roman" w:hAnsi="Times New Roman"/>
          <w:sz w:val="22"/>
          <w:szCs w:val="22"/>
          <w:color w:val="FF0000"/>
          <w:strike w:val="1"/>
        </w:rPr>
        <w:t>ANNEX</w:t>
      </w:r>
      <w:r>
        <w:rPr>
          <w:rFonts w:ascii="Times New Roman" w:cs="Times New Roman" w:eastAsia="Times New Roman" w:hAnsi="Times New Roman"/>
          <w:sz w:val="22"/>
          <w:szCs w:val="22"/>
          <w:b w:val="1"/>
          <w:bCs w:val="1"/>
          <w:u w:val="single" w:color="auto"/>
          <w:color w:val="0000FF"/>
        </w:rPr>
        <w:t>EXHIBIT</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ind w:left="120"/>
        <w:spacing w:after="0" w:line="250" w:lineRule="auto"/>
        <w:rPr>
          <w:sz w:val="20"/>
          <w:szCs w:val="20"/>
          <w:color w:val="auto"/>
        </w:rPr>
      </w:pPr>
      <w:r>
        <w:rPr>
          <w:rFonts w:ascii="Times New Roman" w:cs="Times New Roman" w:eastAsia="Times New Roman" w:hAnsi="Times New Roman"/>
          <w:sz w:val="20"/>
          <w:szCs w:val="20"/>
          <w:color w:val="auto"/>
        </w:rPr>
        <w:t>(y), in connection with a Qualified IPO, a Change in Control or a transformative acquisition referred to in the last sentence of this paragraph), the Borrower shall pay to the Administrative Agent, for the ratable account of each of the applicable Term Loan Lenders, (A) in the case of clause (x), a prepayment premium of 1.00% of the aggregate principal amount of the Term B Loans so prepaid and (B) in the case of clause (y), a fee equal to 1.00% of the aggregate principal amount of the applicable Term B Loans for which the All-in Yield has been reduced pursuant to such amendment. Such amounts shall be due and payable on the date of such prepayment or the effective date of such amendment, as the case may be. For purposes of this Section 2.12(d), a “transformative acquisition” is any acquisition by the Borrower or any Subsidiary that is (i) not permitted by the terms of the Loan Documents immediately prior to the consummation of such acquisition or (ii) if permitted by the terms of the Loan Documents immediately prior to the consummation of such acquisition, would not provide the Borrower and its Subsidiaries with adequate flexibility under the Loan Documents for the continuation and/or expansion of their combined operations following such consummation, as determined by the Borrower in good faith.</w:t>
      </w:r>
    </w:p>
    <w:p>
      <w:pPr>
        <w:spacing w:after="0" w:line="183" w:lineRule="exact"/>
        <w:rPr>
          <w:sz w:val="20"/>
          <w:szCs w:val="20"/>
          <w:color w:val="auto"/>
        </w:rPr>
      </w:pPr>
    </w:p>
    <w:p>
      <w:pPr>
        <w:jc w:val="both"/>
        <w:ind w:left="120" w:firstLine="1292"/>
        <w:spacing w:after="0" w:line="261" w:lineRule="auto"/>
        <w:tabs>
          <w:tab w:leader="none" w:pos="1832" w:val="left"/>
        </w:tabs>
        <w:numPr>
          <w:ilvl w:val="0"/>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Fees shall be paid on the dates due, in immediately available funds, to the Administrative Agent for distribution, if and as appropriate, among the Lenders, except that Issuing Bank Fees shall be paid directly to the applicable Issuing Banks. Once paid, none of the Fees shall be refundable under any circumstances.</w:t>
      </w:r>
    </w:p>
    <w:p>
      <w:pPr>
        <w:spacing w:after="0" w:line="154" w:lineRule="exact"/>
        <w:rPr>
          <w:sz w:val="20"/>
          <w:szCs w:val="20"/>
          <w:color w:val="auto"/>
        </w:rPr>
      </w:pPr>
    </w:p>
    <w:p>
      <w:pPr>
        <w:ind w:firstLine="1296"/>
        <w:spacing w:after="0" w:line="283" w:lineRule="auto"/>
        <w:rPr>
          <w:sz w:val="20"/>
          <w:szCs w:val="20"/>
          <w:color w:val="auto"/>
        </w:rPr>
      </w:pPr>
      <w:r>
        <w:rPr>
          <w:rFonts w:ascii="Times New Roman" w:cs="Times New Roman" w:eastAsia="Times New Roman" w:hAnsi="Times New Roman"/>
          <w:sz w:val="20"/>
          <w:szCs w:val="20"/>
          <w:color w:val="auto"/>
        </w:rPr>
        <w:t xml:space="preserve">Section 2.13 Interest. (a) The Loans comprising each ABR Borrowing (including each Swingline Loan) shall bear interest at the ABR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the Applicable Margin.</w:t>
      </w:r>
    </w:p>
    <w:p>
      <w:pPr>
        <w:spacing w:after="0" w:line="133" w:lineRule="exact"/>
        <w:rPr>
          <w:sz w:val="20"/>
          <w:szCs w:val="20"/>
          <w:color w:val="auto"/>
        </w:rPr>
      </w:pPr>
    </w:p>
    <w:p>
      <w:pPr>
        <w:ind w:left="120" w:firstLine="1292"/>
        <w:spacing w:after="0" w:line="269" w:lineRule="auto"/>
        <w:tabs>
          <w:tab w:leader="none" w:pos="1923" w:val="left"/>
        </w:tabs>
        <w:numPr>
          <w:ilvl w:val="0"/>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Loans comprising each SOFR Borrowing shall bear interest at the Adjusted Term SOFR Rate for the Interest Period in effect for such Borrowing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the Applicable Margin.</w:t>
      </w:r>
    </w:p>
    <w:p>
      <w:pPr>
        <w:spacing w:after="0" w:line="159" w:lineRule="exact"/>
        <w:rPr>
          <w:rFonts w:ascii="Times New Roman" w:cs="Times New Roman" w:eastAsia="Times New Roman" w:hAnsi="Times New Roman"/>
          <w:sz w:val="20"/>
          <w:szCs w:val="20"/>
          <w:color w:val="auto"/>
        </w:rPr>
      </w:pPr>
    </w:p>
    <w:p>
      <w:pPr>
        <w:jc w:val="both"/>
        <w:ind w:left="120" w:firstLine="1292"/>
        <w:spacing w:after="0" w:line="253" w:lineRule="auto"/>
        <w:tabs>
          <w:tab w:leader="none" w:pos="1849" w:val="left"/>
        </w:tabs>
        <w:numPr>
          <w:ilvl w:val="0"/>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the foregoing, if any principal of or interest on any Loan or any Fees or other amount payable by the Borrower hereunder is not paid when due, whether at stated maturity, upon acceleration or otherwise, such overdue amount shall bear interest, after as well as before judgment, at a rate per annum equal to (i) in the case of overdue principal of any Loan, 2.00%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the rate otherwise applicable to such Loan as provided in the preceding clauses of this Section 2.13 or (ii) in the case of any other overdue amount, 2.00%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the rate applicable to ABR Loans as provided in clause (a) of this Section;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this clause (c) shall not apply to any Event of Default that has been waived by the Lenders pursuant to Section 9.08.</w:t>
      </w:r>
    </w:p>
    <w:p>
      <w:pPr>
        <w:spacing w:after="0" w:line="165" w:lineRule="exact"/>
        <w:rPr>
          <w:rFonts w:ascii="Times New Roman" w:cs="Times New Roman" w:eastAsia="Times New Roman" w:hAnsi="Times New Roman"/>
          <w:sz w:val="20"/>
          <w:szCs w:val="20"/>
          <w:color w:val="auto"/>
        </w:rPr>
      </w:pPr>
    </w:p>
    <w:p>
      <w:pPr>
        <w:jc w:val="both"/>
        <w:ind w:left="120" w:firstLine="1292"/>
        <w:spacing w:after="0" w:line="251" w:lineRule="auto"/>
        <w:tabs>
          <w:tab w:leader="none" w:pos="1864" w:val="left"/>
        </w:tabs>
        <w:numPr>
          <w:ilvl w:val="0"/>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Accrued interest on each Loan shall be payable in arrears (i) on each Interest Payment Date for such Loan, (ii) in the case of Revolving Facility Loans, upon termination of the applicable Revolving Facility Commitments and (iii) in the case of the Term Loans, on the applicable Term Facility Maturity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(A) interest accrued pursuant to clause (c) of this Section 2.13 shall be payable on demand, (B) in the event of any repayment or prepayment of any Loan (other than a prepayment of a Revolving Facility Loan that is an ABR Loan that is not made in conjunction with a permanent commitment reduction), accrued interest on the principal amount repaid or prepaid shall be payable on the date of such repayment or prepayment and (C) in the event of any conversion of any SOFR Loan prior to the end of the current Interest Period therefor, accrued interest on such Loan shall be payable on the effective date of such conversion.</w:t>
      </w:r>
    </w:p>
    <w:p>
      <w:pPr>
        <w:spacing w:after="0" w:line="168" w:lineRule="exact"/>
        <w:rPr>
          <w:rFonts w:ascii="Times New Roman" w:cs="Times New Roman" w:eastAsia="Times New Roman" w:hAnsi="Times New Roman"/>
          <w:sz w:val="20"/>
          <w:szCs w:val="20"/>
          <w:color w:val="auto"/>
        </w:rPr>
      </w:pPr>
    </w:p>
    <w:p>
      <w:pPr>
        <w:jc w:val="both"/>
        <w:ind w:left="120" w:firstLine="1292"/>
        <w:spacing w:after="0" w:line="268" w:lineRule="auto"/>
        <w:tabs>
          <w:tab w:leader="none" w:pos="1832" w:val="left"/>
        </w:tabs>
        <w:numPr>
          <w:ilvl w:val="0"/>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interest hereunder shall be computed on the basis of a year of 360 days, except that interest computed by reference to the ABR at times when the ABR is based on the Prime Rate shall be computed on the basis of a year of 365 days (or 366 days in a leap year), and in each case shall be payable for the actual number of days elapsed (including the first day but excluding the last</w:t>
      </w:r>
    </w:p>
    <w:p>
      <w:pPr>
        <w:sectPr>
          <w:pgSz w:w="11900" w:h="16838" w:orient="portrait"/>
          <w:cols w:equalWidth="0" w:num="1">
            <w:col w:w="11240"/>
          </w:cols>
          <w:pgMar w:left="320" w:top="108" w:right="339" w:bottom="1440" w:gutter="0" w:footer="0" w:header="0"/>
        </w:sectPr>
      </w:pPr>
    </w:p>
    <w:bookmarkStart w:id="275" w:name="page276"/>
    <w:bookmarkEnd w:id="275"/>
    <w:p>
      <w:pPr>
        <w:jc w:val="right"/>
        <w:spacing w:after="0"/>
        <w:rPr>
          <w:sz w:val="20"/>
          <w:szCs w:val="20"/>
          <w:color w:val="auto"/>
        </w:rPr>
      </w:pPr>
      <w:r>
        <w:rPr>
          <w:rFonts w:ascii="Times New Roman" w:cs="Times New Roman" w:eastAsia="Times New Roman" w:hAnsi="Times New Roman"/>
          <w:sz w:val="22"/>
          <w:szCs w:val="22"/>
          <w:color w:val="FF0000"/>
          <w:strike w:val="1"/>
        </w:rPr>
        <w:t>ANNEX</w:t>
      </w:r>
      <w:r>
        <w:rPr>
          <w:rFonts w:ascii="Times New Roman" w:cs="Times New Roman" w:eastAsia="Times New Roman" w:hAnsi="Times New Roman"/>
          <w:sz w:val="22"/>
          <w:szCs w:val="22"/>
          <w:b w:val="1"/>
          <w:bCs w:val="1"/>
          <w:u w:val="single" w:color="auto"/>
          <w:color w:val="0000FF"/>
        </w:rPr>
        <w:t>EXHIBIT</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ind w:left="120" w:right="20"/>
        <w:spacing w:after="0" w:line="283" w:lineRule="auto"/>
        <w:rPr>
          <w:sz w:val="20"/>
          <w:szCs w:val="20"/>
          <w:color w:val="auto"/>
        </w:rPr>
      </w:pPr>
      <w:r>
        <w:rPr>
          <w:rFonts w:ascii="Times New Roman" w:cs="Times New Roman" w:eastAsia="Times New Roman" w:hAnsi="Times New Roman"/>
          <w:sz w:val="20"/>
          <w:szCs w:val="20"/>
          <w:color w:val="auto"/>
        </w:rPr>
        <w:t>day). The applicable ABR or Adjusted Term SOFR Rate or shall be determined by the Administrative Agent, and such determination shall be conclusive absent manifest error.</w:t>
      </w:r>
    </w:p>
    <w:p>
      <w:pPr>
        <w:spacing w:after="0" w:line="133" w:lineRule="exact"/>
        <w:rPr>
          <w:sz w:val="20"/>
          <w:szCs w:val="20"/>
          <w:color w:val="auto"/>
        </w:rPr>
      </w:pPr>
    </w:p>
    <w:p>
      <w:pPr>
        <w:ind w:left="1300"/>
        <w:spacing w:after="0"/>
        <w:tabs>
          <w:tab w:leader="none" w:pos="2480" w:val="left"/>
        </w:tabs>
        <w:rPr>
          <w:sz w:val="20"/>
          <w:szCs w:val="20"/>
          <w:color w:val="auto"/>
        </w:rPr>
      </w:pPr>
      <w:r>
        <w:rPr>
          <w:rFonts w:ascii="Times New Roman" w:cs="Times New Roman" w:eastAsia="Times New Roman" w:hAnsi="Times New Roman"/>
          <w:sz w:val="20"/>
          <w:szCs w:val="20"/>
          <w:color w:val="auto"/>
        </w:rPr>
        <w:t>Section 2.14</w:t>
      </w:r>
      <w:r>
        <w:rPr>
          <w:sz w:val="20"/>
          <w:szCs w:val="20"/>
          <w:color w:val="auto"/>
        </w:rPr>
        <w:tab/>
      </w:r>
      <w:r>
        <w:rPr>
          <w:rFonts w:ascii="Times New Roman" w:cs="Times New Roman" w:eastAsia="Times New Roman" w:hAnsi="Times New Roman"/>
          <w:sz w:val="19"/>
          <w:szCs w:val="19"/>
          <w:color w:val="auto"/>
        </w:rPr>
        <w:t>Alternate Rate of Interest. Subject to Section 2.23, if, on or prior to the first day of any Interest Period for any</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SOFR Loan:</w:t>
      </w:r>
    </w:p>
    <w:p>
      <w:pPr>
        <w:spacing w:after="0" w:line="194" w:lineRule="exact"/>
        <w:rPr>
          <w:sz w:val="20"/>
          <w:szCs w:val="20"/>
          <w:color w:val="auto"/>
        </w:rPr>
      </w:pPr>
    </w:p>
    <w:p>
      <w:pPr>
        <w:ind w:left="120" w:firstLine="1287"/>
        <w:spacing w:after="0" w:line="269" w:lineRule="auto"/>
        <w:tabs>
          <w:tab w:leader="none" w:pos="1699" w:val="left"/>
        </w:tabs>
        <w:numPr>
          <w:ilvl w:val="0"/>
          <w:numId w:val="1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determines (which determination shall be conclusive and binding absent manifest error) that “Adjusted Term SOFR Rate” cannot be determined pursuant to the definition thereof, or</w:t>
      </w:r>
    </w:p>
    <w:p>
      <w:pPr>
        <w:spacing w:after="0" w:line="159" w:lineRule="exact"/>
        <w:rPr>
          <w:rFonts w:ascii="Times New Roman" w:cs="Times New Roman" w:eastAsia="Times New Roman" w:hAnsi="Times New Roman"/>
          <w:sz w:val="20"/>
          <w:szCs w:val="20"/>
          <w:color w:val="auto"/>
        </w:rPr>
      </w:pPr>
    </w:p>
    <w:p>
      <w:pPr>
        <w:jc w:val="both"/>
        <w:ind w:left="120" w:firstLine="1292"/>
        <w:spacing w:after="0" w:line="254" w:lineRule="auto"/>
        <w:tabs>
          <w:tab w:leader="none" w:pos="1873" w:val="left"/>
        </w:tabs>
        <w:numPr>
          <w:ilvl w:val="0"/>
          <w:numId w:val="1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Required Lenders determine that for any reason in connection with any request for a SOFR Loan or a conversion thereto or a continuation thereof that the Adjusted Term SOFR Rate for any requested Interest Period with respect to a proposed SOFR Loan does not adequately and fairly reflect the cost to such Lenders of making and maintaining such Loan, and the Required Lenders have provided notice of such determination to the Administrative Agent,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then the Administrative Agent will promptly so notify the Borrower and each Lender.</w:t>
      </w:r>
    </w:p>
    <w:p>
      <w:pPr>
        <w:spacing w:after="0" w:line="229"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0"/>
          <w:szCs w:val="20"/>
          <w:color w:val="auto"/>
        </w:rPr>
        <w:t>Upon notice thereof by the Administrative Agent to the Borrower, any obligation of the Lenders to make SOFR Loans, and any right of the Borrower to continue SOFR Loans or to convert ABR Loans to SOFR Loans, shall be suspended (to the extent of the affected SOFR Loans or affected Interest Periods) until the Administrative Agent (with respect to clause (b), at the instruction of the Required Lenders) revokes such notice. Upon receipt of such notice, (i) the Borrower may revoke any pending request for a borrowing of, conversion to or continuation of SOFR Loans (to the extent of the affected SOFR Loans or affected Interest Periods) or, failing that, the Borrower will be deemed to have converted any such request into a request for a Borrowing of or conversion to ABR Loans in the amount specified therein and (ii) any outstanding affected SOFR Loans will be deemed to have been converted into ABR Loans at the end of the applicable Interest Period. Upon any such conversion, the Borrower shall also pay accrued interest on the amount so converted, together with any additional amounts required pursuant to Section 2.16. Subject to Section 2.23, if the Administrative Agent determines (which determination shall be conclusive and binding absent manifest error) that “Adjusted Term SOFR Rate” cannot be determined pursuant to the definition thereof on any given day, the interest rate on ABR Loans shall be determined by the Administrative Agent without reference to clause (c) of the definition of “ABR” until the Administrative Agent revokes such determination.</w:t>
      </w:r>
    </w:p>
    <w:p>
      <w:pPr>
        <w:spacing w:after="0" w:line="201" w:lineRule="exact"/>
        <w:rPr>
          <w:sz w:val="20"/>
          <w:szCs w:val="20"/>
          <w:color w:val="auto"/>
        </w:rPr>
      </w:pPr>
    </w:p>
    <w:p>
      <w:pPr>
        <w:ind w:left="1300"/>
        <w:spacing w:after="0"/>
        <w:tabs>
          <w:tab w:leader="none" w:pos="2480" w:val="left"/>
        </w:tabs>
        <w:rPr>
          <w:sz w:val="20"/>
          <w:szCs w:val="20"/>
          <w:color w:val="auto"/>
        </w:rPr>
      </w:pPr>
      <w:r>
        <w:rPr>
          <w:rFonts w:ascii="Times New Roman" w:cs="Times New Roman" w:eastAsia="Times New Roman" w:hAnsi="Times New Roman"/>
          <w:sz w:val="20"/>
          <w:szCs w:val="20"/>
          <w:color w:val="auto"/>
        </w:rPr>
        <w:t>Section 2.15</w:t>
      </w:r>
      <w:r>
        <w:rPr>
          <w:sz w:val="20"/>
          <w:szCs w:val="20"/>
          <w:color w:val="auto"/>
        </w:rPr>
        <w:tab/>
      </w:r>
      <w:r>
        <w:rPr>
          <w:rFonts w:ascii="Times New Roman" w:cs="Times New Roman" w:eastAsia="Times New Roman" w:hAnsi="Times New Roman"/>
          <w:sz w:val="19"/>
          <w:szCs w:val="19"/>
          <w:color w:val="auto"/>
        </w:rPr>
        <w:t>Increased Costs. (a) If any Change in Law shall:</w:t>
      </w:r>
    </w:p>
    <w:p>
      <w:pPr>
        <w:spacing w:after="0" w:line="202" w:lineRule="exact"/>
        <w:rPr>
          <w:sz w:val="20"/>
          <w:szCs w:val="20"/>
          <w:color w:val="auto"/>
        </w:rPr>
      </w:pPr>
    </w:p>
    <w:p>
      <w:pPr>
        <w:ind w:left="660" w:firstLine="1292"/>
        <w:spacing w:after="0" w:line="269" w:lineRule="auto"/>
        <w:tabs>
          <w:tab w:leader="none" w:pos="2491" w:val="left"/>
        </w:tabs>
        <w:numPr>
          <w:ilvl w:val="0"/>
          <w:numId w:val="1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impose, modify or deem applicable any reserve, special deposit or similar requirement against assets of, deposits with or for the account of, or credit extended by, any Lender or Issuing Bank; or</w:t>
      </w:r>
    </w:p>
    <w:p>
      <w:pPr>
        <w:spacing w:after="0" w:line="159" w:lineRule="exact"/>
        <w:rPr>
          <w:rFonts w:ascii="Times New Roman" w:cs="Times New Roman" w:eastAsia="Times New Roman" w:hAnsi="Times New Roman"/>
          <w:sz w:val="20"/>
          <w:szCs w:val="20"/>
          <w:color w:val="auto"/>
        </w:rPr>
      </w:pPr>
    </w:p>
    <w:p>
      <w:pPr>
        <w:ind w:left="660" w:right="20" w:firstLine="1292"/>
        <w:spacing w:after="0" w:line="269" w:lineRule="auto"/>
        <w:tabs>
          <w:tab w:leader="none" w:pos="2447" w:val="left"/>
        </w:tabs>
        <w:numPr>
          <w:ilvl w:val="0"/>
          <w:numId w:val="1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any Lender to any Tax with respect to any Loan Document (other than (i) Taxes indemnifiable under Section 2.17 or (ii) Excluded Taxes); or</w:t>
      </w:r>
    </w:p>
    <w:p>
      <w:pPr>
        <w:spacing w:after="0" w:line="159" w:lineRule="exact"/>
        <w:rPr>
          <w:rFonts w:ascii="Times New Roman" w:cs="Times New Roman" w:eastAsia="Times New Roman" w:hAnsi="Times New Roman"/>
          <w:sz w:val="20"/>
          <w:szCs w:val="20"/>
          <w:color w:val="auto"/>
        </w:rPr>
      </w:pPr>
    </w:p>
    <w:p>
      <w:pPr>
        <w:ind w:left="660" w:firstLine="1292"/>
        <w:spacing w:after="0" w:line="269" w:lineRule="auto"/>
        <w:tabs>
          <w:tab w:leader="none" w:pos="2548" w:val="left"/>
        </w:tabs>
        <w:numPr>
          <w:ilvl w:val="0"/>
          <w:numId w:val="1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impose on any Lender or Issuing Bank or the London interbank market any other condition affecting this Agreement or SOFR Loans made by such Lender or any Letter of Credit or participation therein;</w:t>
      </w:r>
    </w:p>
    <w:p>
      <w:pPr>
        <w:spacing w:after="0" w:line="146"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and the result of any of the foregoing shall be to increase the cost to such Lender of making or maintaining any SOFR Loan (or of maintaining its obligation to make any such Loan) or to increase the</w:t>
      </w:r>
    </w:p>
    <w:p>
      <w:pPr>
        <w:sectPr>
          <w:pgSz w:w="11900" w:h="16838" w:orient="portrait"/>
          <w:cols w:equalWidth="0" w:num="1">
            <w:col w:w="11240"/>
          </w:cols>
          <w:pgMar w:left="320" w:top="108" w:right="339" w:bottom="1440" w:gutter="0" w:footer="0" w:header="0"/>
        </w:sectPr>
      </w:pPr>
    </w:p>
    <w:bookmarkStart w:id="276" w:name="page277"/>
    <w:bookmarkEnd w:id="276"/>
    <w:p>
      <w:pPr>
        <w:jc w:val="right"/>
        <w:spacing w:after="0"/>
        <w:rPr>
          <w:sz w:val="20"/>
          <w:szCs w:val="20"/>
          <w:color w:val="auto"/>
        </w:rPr>
      </w:pPr>
      <w:r>
        <w:rPr>
          <w:rFonts w:ascii="Times New Roman" w:cs="Times New Roman" w:eastAsia="Times New Roman" w:hAnsi="Times New Roman"/>
          <w:sz w:val="22"/>
          <w:szCs w:val="22"/>
          <w:color w:val="FF0000"/>
          <w:strike w:val="1"/>
        </w:rPr>
        <w:t>ANNEX</w:t>
      </w:r>
      <w:r>
        <w:rPr>
          <w:rFonts w:ascii="Times New Roman" w:cs="Times New Roman" w:eastAsia="Times New Roman" w:hAnsi="Times New Roman"/>
          <w:sz w:val="22"/>
          <w:szCs w:val="22"/>
          <w:b w:val="1"/>
          <w:bCs w:val="1"/>
          <w:u w:val="single" w:color="auto"/>
          <w:color w:val="0000FF"/>
        </w:rPr>
        <w:t>EXHIBIT</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cost to such Lender or Issuing Bank of participating in, issuing or maintaining any Letter of Credit or to reduce the amount of any sum received or receivable by such Lender or Issuing Bank hereunder (whether of principal, interest or otherwise), then the Borrower will pay to such Lender or Issuing Bank, as applicable, such additional amount or amounts as will compensate such Lender or Issuing Bank, as applicable, for such additional costs incurred or reduction suffered.</w:t>
      </w:r>
    </w:p>
    <w:p>
      <w:pPr>
        <w:spacing w:after="0" w:line="159" w:lineRule="exact"/>
        <w:rPr>
          <w:sz w:val="20"/>
          <w:szCs w:val="20"/>
          <w:color w:val="auto"/>
        </w:rPr>
      </w:pPr>
    </w:p>
    <w:p>
      <w:pPr>
        <w:jc w:val="both"/>
        <w:ind w:left="120" w:firstLine="1292"/>
        <w:spacing w:after="0" w:line="252" w:lineRule="auto"/>
        <w:tabs>
          <w:tab w:leader="none" w:pos="1886" w:val="left"/>
        </w:tabs>
        <w:numPr>
          <w:ilvl w:val="0"/>
          <w:numId w:val="1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Lender or Issuing Bank determines that any Change in Law regarding capital requirements or liquidity has or would have the effect of reducing the rate of return on such Lender’s or Issuing Bank’s capital or on the capital of such Lender’s or Issuing Bank’s holding company, if any, as a consequence of this Agreement or the Loans made by, or participations in Letters of Credit or Swingline Loans held by, such Lender, or the Letters of Credit issued by such Issuing Bank, to a level below that which such Lender or such Issuing Bank or such Lender’s or such Issuing Bank’s holding company could have achieved but for such Change in Law (taking into consideration such Lender’s or such Issuing Bank’s policies and the policies of such Lender’s or such Issuing Bank’s holding company with respect to capital adequacy and liquidity), then from time to time the Borrower shall pay to such Lender or such Issuing Bank, as applicable, such additional amount or amounts as will compensate such Lender or such Issuing Bank or such Lender’s or such Issuing Bank’s holding company for any such reduction suffered.</w:t>
      </w:r>
    </w:p>
    <w:p>
      <w:pPr>
        <w:spacing w:after="0" w:line="162" w:lineRule="exact"/>
        <w:rPr>
          <w:rFonts w:ascii="Times New Roman" w:cs="Times New Roman" w:eastAsia="Times New Roman" w:hAnsi="Times New Roman"/>
          <w:sz w:val="20"/>
          <w:szCs w:val="20"/>
          <w:color w:val="auto"/>
        </w:rPr>
      </w:pPr>
    </w:p>
    <w:p>
      <w:pPr>
        <w:jc w:val="both"/>
        <w:ind w:left="120" w:firstLine="1292"/>
        <w:spacing w:after="0" w:line="269" w:lineRule="auto"/>
        <w:tabs>
          <w:tab w:leader="none" w:pos="1827" w:val="left"/>
        </w:tabs>
        <w:numPr>
          <w:ilvl w:val="0"/>
          <w:numId w:val="18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 certificate of a Lender or an Issuing Bank setting forth the amount or amounts necessary to compensate such Lender or Issuing Bank or its holding company, as applicable, as specified in clause (a) or (b) of this Section 2.15 shall be delivered to the Borrower and shall be conclusive absent manifest error;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that any such certificate claiming amounts described in clause (x) or (y) of the definition of “Change in Law” shall, in addition, state the basis upon which such amount has been calculated and certify that such Lender’s or Issuing Bank’s demand for payment of such costs hereunder, and such method of allocation is not inconsistent with its treatment of other borrowers which, as a credit matter, are similarly situated to the Borrower and which are subject to similar provisions. The Borrower shall pay such Lender or Issuing Bank, as applicable, the amount shown as due on any such certificate within 10 days after receipt thereof.</w:t>
      </w:r>
    </w:p>
    <w:p>
      <w:pPr>
        <w:spacing w:after="0" w:line="148" w:lineRule="exact"/>
        <w:rPr>
          <w:rFonts w:ascii="Times New Roman" w:cs="Times New Roman" w:eastAsia="Times New Roman" w:hAnsi="Times New Roman"/>
          <w:sz w:val="19"/>
          <w:szCs w:val="19"/>
          <w:color w:val="auto"/>
        </w:rPr>
      </w:pPr>
    </w:p>
    <w:p>
      <w:pPr>
        <w:jc w:val="both"/>
        <w:ind w:left="120" w:firstLine="1292"/>
        <w:spacing w:after="0" w:line="266" w:lineRule="auto"/>
        <w:tabs>
          <w:tab w:leader="none" w:pos="1859" w:val="left"/>
        </w:tabs>
        <w:numPr>
          <w:ilvl w:val="0"/>
          <w:numId w:val="18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Promptly after any Lender or any Issuing Bank has determined that it will make a request for increased compensation pursuant to this Section 2.15, such Lender or Issuing Bank shall notify the Borrower thereof. Failure or delay on the part of any Lender or Issuing Bank to demand compensation pursuant to this Section 2.15 shall not constitute a waiver of such Lender’s or Issuing Bank’s right to demand such compensation;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Borrower shall not be required to compensate a Lender or an Issuing Bank pursuant to this Section 2.15 for any increased costs or reductions incurred more than 180 days prior to the date that such Lender or Issuing Bank, as applicable, notifies the Borrower of the Change in Law giving rise to such increased costs or reductions and of such Lender’s or Issuing Bank’s intention to claim compensation therefor;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further</w:t>
      </w:r>
      <w:r>
        <w:rPr>
          <w:rFonts w:ascii="Times New Roman" w:cs="Times New Roman" w:eastAsia="Times New Roman" w:hAnsi="Times New Roman"/>
          <w:sz w:val="19"/>
          <w:szCs w:val="19"/>
          <w:color w:val="auto"/>
        </w:rPr>
        <w:t>, that, if the Change in Law giving rise to such increased costs or reductions is retroactive, then the 180 day period referred to above shall be extended to include the period of retroactive effect thereof.</w:t>
      </w:r>
    </w:p>
    <w:p>
      <w:pPr>
        <w:spacing w:after="0" w:line="15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Section 2.16 Break Funding Payments. In the event of (a) the payment of any principal of any SOFR Loan other than on the last day of an Interest Period applicable thereto (including as a result of an Event of Default), (b) the conversion of any SOFR Loan other than on the last day of the Interest Period applicable thereto, (c) the failure to borrow (other than due to the default of the relevant Lender), convert, continue or prepay any SOFR Loan on the date specified in any notice delivered pursuant hereto or (d) the assignment of any SOFR Loan other than on the last day of the Interest Period applicable thereto as a result of a request by the Borrower pursuant to Section 2.19, then, in any such event, the Borrower shall compensate each Lender for the loss, cost and expense attributable to such</w:t>
      </w:r>
    </w:p>
    <w:p>
      <w:pPr>
        <w:sectPr>
          <w:pgSz w:w="11900" w:h="16838" w:orient="portrait"/>
          <w:cols w:equalWidth="0" w:num="1">
            <w:col w:w="11240"/>
          </w:cols>
          <w:pgMar w:left="320" w:top="108" w:right="339" w:bottom="1440" w:gutter="0" w:footer="0" w:header="0"/>
        </w:sectPr>
      </w:pPr>
    </w:p>
    <w:bookmarkStart w:id="277" w:name="page278"/>
    <w:bookmarkEnd w:id="277"/>
    <w:p>
      <w:pPr>
        <w:jc w:val="right"/>
        <w:spacing w:after="0"/>
        <w:rPr>
          <w:sz w:val="20"/>
          <w:szCs w:val="20"/>
          <w:color w:val="auto"/>
        </w:rPr>
      </w:pPr>
      <w:r>
        <w:rPr>
          <w:rFonts w:ascii="Times New Roman" w:cs="Times New Roman" w:eastAsia="Times New Roman" w:hAnsi="Times New Roman"/>
          <w:sz w:val="22"/>
          <w:szCs w:val="22"/>
          <w:color w:val="FF0000"/>
          <w:strike w:val="1"/>
        </w:rPr>
        <w:t>ANNEX</w:t>
      </w:r>
      <w:r>
        <w:rPr>
          <w:rFonts w:ascii="Times New Roman" w:cs="Times New Roman" w:eastAsia="Times New Roman" w:hAnsi="Times New Roman"/>
          <w:sz w:val="22"/>
          <w:szCs w:val="22"/>
          <w:b w:val="1"/>
          <w:bCs w:val="1"/>
          <w:u w:val="single" w:color="auto"/>
          <w:color w:val="0000FF"/>
        </w:rPr>
        <w:t>EXHIBIT</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 xml:space="preserve">event. In the case of a SOFR Loan, such loss, cost or expense to any Lender shall be deemed to be the amount determined by such Lender (it being understood that the deemed amount shall not exceed the actual amount) to be the excess, if any, of (i) the amount of interest that would have accrued on the principal amount of such Loan had such event not occurred, at the Adjusted Term SOFR Rate that would have been applicable to such Loan, for the period from the date of such event to the last day of the then current Interest Period therefor (or, in the case of a failure to borrow, convert or continue a SOFR Loan, for the period that would have been the Interest Period for such Loan), </w:t>
      </w:r>
      <w:r>
        <w:rPr>
          <w:rFonts w:ascii="Times New Roman" w:cs="Times New Roman" w:eastAsia="Times New Roman" w:hAnsi="Times New Roman"/>
          <w:sz w:val="20"/>
          <w:szCs w:val="20"/>
          <w:u w:val="single" w:color="auto"/>
          <w:color w:val="auto"/>
        </w:rPr>
        <w:t>over</w:t>
      </w:r>
      <w:r>
        <w:rPr>
          <w:rFonts w:ascii="Times New Roman" w:cs="Times New Roman" w:eastAsia="Times New Roman" w:hAnsi="Times New Roman"/>
          <w:sz w:val="20"/>
          <w:szCs w:val="20"/>
          <w:color w:val="auto"/>
        </w:rPr>
        <w:t xml:space="preserve"> (ii) the amount of interest that would accrue on such principal amount for such period at the interest rate which such Lender would bid were it to bid, at the commencement of such period, for deposits in Dollars of a comparable amount and period from other banks in the eurocurrency market. A certificate of any Lender setting forth any amount or amounts that such Lender is entitled to receive pursuant to this Section 2.16 shall be delivered to the Borrower and shall be conclusive absent manifest error. The Borrower shall pay such Lender the amount shown as due on any such certificate within 10 days after receipt thereof.</w:t>
      </w:r>
    </w:p>
    <w:p>
      <w:pPr>
        <w:spacing w:after="0" w:line="183"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0"/>
          <w:szCs w:val="20"/>
          <w:color w:val="auto"/>
        </w:rPr>
        <w:t xml:space="preserve">Section 2.17 Taxes. (a) Any and all payments made by or on behalf of a Loan Party under this Agreement or any other Loan Document shall be made free and clear of, and without deduction or withholding for or on account of, any Taxes;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if a Loan Party, the Administrative Agent or any other applicable withholding agent shall be required by applicable Requirement of Law to deduct or withhold any Taxes from such payments, then (i) the applicable withholding agent shall make such deductions or withholdings as are reasonably determined by the applicable withholding agent to be required by any applicable Requirement of Law, (ii) the applicable withholding agent shall timely pay the full amount deducted or withheld to the relevant Governmental Authority within the time allowed and in accordance with applicable Requirement of Law, and (iii) to the extent withholding or deduction is required to be made on account of Indemnified Taxes or Other Taxes, the sum payable by the Loan Party shall be increased as necessary so that after all required deductions and withholdings have been made (including deductions or withholdings applicable to additional sums payable under this Section 2.17) the Administrative Agent or any Lender, as applicable, receives an amount equal to the sum it would have received had no such deductions or withholdings been made. Whenever any Indemnified Taxes or Other Taxes are payable by a Loan Party, as promptly as possible thereafter, such Loan Party shall send to the Administrative Agent for its own account or for the account of a Lender, as the case may be, a certified copy of an official receipt (or other evidence acceptable to the Administrative Agent or such Lender, acting reasonably) received by the Loan Party showing payment thereof. Without duplication, after any payment of Taxes by any Loan Party or the Administrative Agent to a Governmental Authority as provided in this Section 2.17, the Borrower shall deliver to the Administrative Agent or the Administrative Agent shall deliver to the Borrower, as the case may be, a copy of a receipt issued by such Governmental Authority evidencing such payment, a copy of any return required by applicable Requirements of Law to report such payment or other evidence of such payment reasonably satisfactory to the Borrower or the Administrative Agent, as the case may be.</w:t>
      </w:r>
    </w:p>
    <w:p>
      <w:pPr>
        <w:spacing w:after="0" w:line="174" w:lineRule="exact"/>
        <w:rPr>
          <w:sz w:val="20"/>
          <w:szCs w:val="20"/>
          <w:color w:val="auto"/>
        </w:rPr>
      </w:pPr>
    </w:p>
    <w:p>
      <w:pPr>
        <w:ind w:left="1840" w:hanging="428"/>
        <w:spacing w:after="0"/>
        <w:tabs>
          <w:tab w:leader="none" w:pos="1840" w:val="left"/>
        </w:tabs>
        <w:numPr>
          <w:ilvl w:val="0"/>
          <w:numId w:val="1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shall timely pay any Other Taxes.</w:t>
      </w:r>
    </w:p>
    <w:p>
      <w:pPr>
        <w:spacing w:after="0" w:line="202" w:lineRule="exact"/>
        <w:rPr>
          <w:rFonts w:ascii="Times New Roman" w:cs="Times New Roman" w:eastAsia="Times New Roman" w:hAnsi="Times New Roman"/>
          <w:sz w:val="20"/>
          <w:szCs w:val="20"/>
          <w:color w:val="auto"/>
        </w:rPr>
      </w:pPr>
    </w:p>
    <w:p>
      <w:pPr>
        <w:jc w:val="both"/>
        <w:ind w:left="120" w:firstLine="1292"/>
        <w:spacing w:after="0" w:line="269" w:lineRule="auto"/>
        <w:tabs>
          <w:tab w:leader="none" w:pos="1849" w:val="left"/>
        </w:tabs>
        <w:numPr>
          <w:ilvl w:val="0"/>
          <w:numId w:val="19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shall indemnify and hold harmless the Administrative Agent and each Lender within 15 Business Days after written demand therefor, for the full amount of any Indemnified Taxes or Other Taxes imposed on the Administrative Agent or such Lender, as applicable, as the case may be (including Indemnified Taxes or Other Taxes imposed or asserted on or attributable to amounts payable under this Section 2.17), and any reasonable expenses arising therefrom or with respect thereto, whether or not such Indemnified Taxes or Other Taxes were correctly or legally imposed or asserted by the relevant Governmental Authority. A certificate setting forth in reasonable detail the basis and calculation of the amount of such payment or liability delivered to the Borrower by a Lender</w:t>
      </w:r>
    </w:p>
    <w:p>
      <w:pPr>
        <w:sectPr>
          <w:pgSz w:w="11900" w:h="16838" w:orient="portrait"/>
          <w:cols w:equalWidth="0" w:num="1">
            <w:col w:w="11240"/>
          </w:cols>
          <w:pgMar w:left="320" w:top="108" w:right="339" w:bottom="1440" w:gutter="0" w:footer="0" w:header="0"/>
        </w:sectPr>
      </w:pPr>
    </w:p>
    <w:bookmarkStart w:id="278" w:name="page279"/>
    <w:bookmarkEnd w:id="278"/>
    <w:p>
      <w:pPr>
        <w:jc w:val="right"/>
        <w:spacing w:after="0"/>
        <w:rPr>
          <w:sz w:val="20"/>
          <w:szCs w:val="20"/>
          <w:color w:val="auto"/>
        </w:rPr>
      </w:pPr>
      <w:r>
        <w:rPr>
          <w:rFonts w:ascii="Times New Roman" w:cs="Times New Roman" w:eastAsia="Times New Roman" w:hAnsi="Times New Roman"/>
          <w:sz w:val="22"/>
          <w:szCs w:val="22"/>
          <w:color w:val="FF0000"/>
          <w:strike w:val="1"/>
        </w:rPr>
        <w:t>ANNEX</w:t>
      </w:r>
      <w:r>
        <w:rPr>
          <w:rFonts w:ascii="Times New Roman" w:cs="Times New Roman" w:eastAsia="Times New Roman" w:hAnsi="Times New Roman"/>
          <w:sz w:val="22"/>
          <w:szCs w:val="22"/>
          <w:b w:val="1"/>
          <w:bCs w:val="1"/>
          <w:u w:val="single" w:color="auto"/>
          <w:color w:val="0000FF"/>
        </w:rPr>
        <w:t>EXHIBIT</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or by the Administrative Agent (as applicable) on its own behalf or on behalf of a Lender shall be conclusive absent manifest error.</w:t>
      </w:r>
    </w:p>
    <w:p>
      <w:pPr>
        <w:spacing w:after="0" w:line="202" w:lineRule="exact"/>
        <w:rPr>
          <w:sz w:val="20"/>
          <w:szCs w:val="20"/>
          <w:color w:val="auto"/>
        </w:rPr>
      </w:pPr>
    </w:p>
    <w:p>
      <w:pPr>
        <w:jc w:val="both"/>
        <w:ind w:left="4" w:firstLine="1292"/>
        <w:spacing w:after="0" w:line="254" w:lineRule="auto"/>
        <w:tabs>
          <w:tab w:leader="none" w:pos="1767" w:val="left"/>
        </w:tabs>
        <w:numPr>
          <w:ilvl w:val="1"/>
          <w:numId w:val="1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Lender shall deliver to the Borrower and the Administrative Agent, at such time or times reasonably requested by the Borrower or the Administrative Agent, such properly completed and executed documentation prescribed by applicable law and such other reasonably requested information as will permit the Borrower or the Administrative Agent, as the case may be, to determine</w:t>
      </w:r>
    </w:p>
    <w:p>
      <w:pPr>
        <w:jc w:val="both"/>
        <w:ind w:left="4" w:hanging="4"/>
        <w:spacing w:after="0" w:line="251" w:lineRule="auto"/>
        <w:tabs>
          <w:tab w:leader="none" w:pos="331" w:val="left"/>
        </w:tabs>
        <w:numPr>
          <w:ilvl w:val="0"/>
          <w:numId w:val="1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whether or not any payments made hereunder or under any other Loan Document are subject to withholding of Taxes, (B) if applicable, the required rate of withholding or deduction, and (C) such Lender’s entitlement to any available exemption from, or reduction of, any such withholding of Taxes in respect of any payments to be made to such Lender by any Loan Party pursuant to any Loan Document or otherwise to establish such Lender’s status for withholding tax purposes in the applicable jurisdiction. In addition, any Lender, if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w:t>
      </w:r>
    </w:p>
    <w:p>
      <w:pPr>
        <w:spacing w:after="0" w:line="164" w:lineRule="exact"/>
        <w:rPr>
          <w:rFonts w:ascii="Times New Roman" w:cs="Times New Roman" w:eastAsia="Times New Roman" w:hAnsi="Times New Roman"/>
          <w:sz w:val="20"/>
          <w:szCs w:val="20"/>
          <w:color w:val="auto"/>
        </w:rPr>
      </w:pPr>
    </w:p>
    <w:p>
      <w:pPr>
        <w:ind w:left="4" w:right="20" w:firstLine="1292"/>
        <w:spacing w:after="0" w:line="269" w:lineRule="auto"/>
        <w:tabs>
          <w:tab w:leader="none" w:pos="1858" w:val="left"/>
        </w:tabs>
        <w:numPr>
          <w:ilvl w:val="1"/>
          <w:numId w:val="1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limiting the generality of Section 2.17(d), each Foreign Lender with respect to any Loan made to the Borrower shall, to the extent it is legally eligible to do so:</w:t>
      </w:r>
    </w:p>
    <w:p>
      <w:pPr>
        <w:spacing w:after="0" w:line="159" w:lineRule="exact"/>
        <w:rPr>
          <w:rFonts w:ascii="Times New Roman" w:cs="Times New Roman" w:eastAsia="Times New Roman" w:hAnsi="Times New Roman"/>
          <w:sz w:val="20"/>
          <w:szCs w:val="20"/>
          <w:color w:val="auto"/>
        </w:rPr>
      </w:pPr>
    </w:p>
    <w:p>
      <w:pPr>
        <w:jc w:val="both"/>
        <w:ind w:left="544" w:firstLine="1292"/>
        <w:spacing w:after="0" w:line="249" w:lineRule="auto"/>
        <w:tabs>
          <w:tab w:leader="none" w:pos="2338" w:val="left"/>
        </w:tabs>
        <w:numPr>
          <w:ilvl w:val="2"/>
          <w:numId w:val="1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deliver to the Borrower and the Administrative Agent, prior to the date on which the first payment to the Foreign Lender is due hereunder, two copies of (A) in the case of a Foreign Lender claiming exemption from U.S. federal withholding tax under Section 871(h) or 881(c) of the Code with respect to payments of “portfolio interest,” IRS Form W-8BEN or W-8BEN-E, as applicable, (or any applicable successor form) (together with a certificate (substantially in the form of </w:t>
      </w:r>
      <w:r>
        <w:rPr>
          <w:rFonts w:ascii="Times New Roman" w:cs="Times New Roman" w:eastAsia="Times New Roman" w:hAnsi="Times New Roman"/>
          <w:sz w:val="20"/>
          <w:szCs w:val="20"/>
          <w:u w:val="single" w:color="auto"/>
          <w:color w:val="auto"/>
        </w:rPr>
        <w:t>Exhibit I</w:t>
      </w:r>
      <w:r>
        <w:rPr>
          <w:rFonts w:ascii="Times New Roman" w:cs="Times New Roman" w:eastAsia="Times New Roman" w:hAnsi="Times New Roman"/>
          <w:sz w:val="20"/>
          <w:szCs w:val="20"/>
          <w:color w:val="auto"/>
        </w:rPr>
        <w:t xml:space="preserve"> to the Original Credit Agreement, such certificate, the “</w:t>
      </w:r>
      <w:r>
        <w:rPr>
          <w:rFonts w:ascii="Times New Roman" w:cs="Times New Roman" w:eastAsia="Times New Roman" w:hAnsi="Times New Roman"/>
          <w:sz w:val="20"/>
          <w:szCs w:val="20"/>
          <w:u w:val="single" w:color="auto"/>
          <w:color w:val="auto"/>
        </w:rPr>
        <w:t>Non-Bank Tax Certificate</w:t>
      </w:r>
      <w:r>
        <w:rPr>
          <w:rFonts w:ascii="Times New Roman" w:cs="Times New Roman" w:eastAsia="Times New Roman" w:hAnsi="Times New Roman"/>
          <w:sz w:val="20"/>
          <w:szCs w:val="20"/>
          <w:color w:val="auto"/>
        </w:rPr>
        <w:t xml:space="preserve">”) certifying that such Foreign Lender is not a bank for purposes of Section 881(c) of the Code, is not a “10-percent shareholder” (within the meaning of Section 871(h)(3)(B) of the Code) of the Borrower and is not a CFC related to the Borrower (within the meaning of Section 864(d)(4) of the Code), and that the interest payments in question are not effectively connected with the conduct by such Lender of a trade or business within the United States of America), (B) IRS Form W-8BEN or W-8BEN-E, as applicable, or Form W-8ECI (or any applicable successor form), in each case properly completed and duly executed by such Foreign Lender claiming complete exemption from, or reduced rate of, U.S. federal withholding tax on payments by the Borrower under this Agreement, (C) IRS Form W-8IMY (or any applicable successor form) and all necessary attachments (including the forms described in clauses (A) and (B) above,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Foreign Lender is a partnership, and one or more of the partners is claiming portfolio interest treatment, the Non-Bank Tax Certificate may be provided by such Foreign Lender on behalf of such partners) or (D) any other form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required to be made; and</w:t>
      </w:r>
    </w:p>
    <w:p>
      <w:pPr>
        <w:spacing w:after="0" w:line="169" w:lineRule="exact"/>
        <w:rPr>
          <w:rFonts w:ascii="Times New Roman" w:cs="Times New Roman" w:eastAsia="Times New Roman" w:hAnsi="Times New Roman"/>
          <w:sz w:val="20"/>
          <w:szCs w:val="20"/>
          <w:color w:val="auto"/>
        </w:rPr>
      </w:pPr>
    </w:p>
    <w:p>
      <w:pPr>
        <w:jc w:val="both"/>
        <w:ind w:left="544" w:firstLine="1292"/>
        <w:spacing w:after="0" w:line="258" w:lineRule="auto"/>
        <w:tabs>
          <w:tab w:leader="none" w:pos="2321" w:val="left"/>
        </w:tabs>
        <w:numPr>
          <w:ilvl w:val="2"/>
          <w:numId w:val="1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deliver to the Borrower and the Administrative Agent two further copies of any such form or certification (or any applicable successor form) on or before the date that any such form or certification expires or becomes obsolete or invalid, after the occurrence of any event requiring a change in the most recent form previously delivered by it to the Borrower and the Administrative Agent, and from time to time thereafter if reasonably requested by the Borrower or the Administrative Agent.</w:t>
      </w:r>
    </w:p>
    <w:p>
      <w:pPr>
        <w:sectPr>
          <w:pgSz w:w="11900" w:h="16838" w:orient="portrait"/>
          <w:cols w:equalWidth="0" w:num="1">
            <w:col w:w="11124"/>
          </w:cols>
          <w:pgMar w:left="436" w:top="108" w:right="339" w:bottom="1440" w:gutter="0" w:footer="0" w:header="0"/>
        </w:sectPr>
      </w:pPr>
    </w:p>
    <w:bookmarkStart w:id="279" w:name="page280"/>
    <w:bookmarkEnd w:id="279"/>
    <w:p>
      <w:pPr>
        <w:jc w:val="right"/>
        <w:spacing w:after="0"/>
        <w:rPr>
          <w:sz w:val="20"/>
          <w:szCs w:val="20"/>
          <w:color w:val="auto"/>
        </w:rPr>
      </w:pPr>
      <w:r>
        <w:rPr>
          <w:rFonts w:ascii="Times New Roman" w:cs="Times New Roman" w:eastAsia="Times New Roman" w:hAnsi="Times New Roman"/>
          <w:sz w:val="22"/>
          <w:szCs w:val="22"/>
          <w:color w:val="FF0000"/>
          <w:strike w:val="1"/>
        </w:rPr>
        <w:t>ANNEX</w:t>
      </w:r>
      <w:r>
        <w:rPr>
          <w:rFonts w:ascii="Times New Roman" w:cs="Times New Roman" w:eastAsia="Times New Roman" w:hAnsi="Times New Roman"/>
          <w:sz w:val="22"/>
          <w:szCs w:val="22"/>
          <w:b w:val="1"/>
          <w:bCs w:val="1"/>
          <w:u w:val="single" w:color="auto"/>
          <w:color w:val="0000FF"/>
        </w:rPr>
        <w:t>EXHIBIT</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ind w:firstLine="1944"/>
        <w:spacing w:after="0" w:line="283" w:lineRule="auto"/>
        <w:rPr>
          <w:sz w:val="20"/>
          <w:szCs w:val="20"/>
          <w:color w:val="auto"/>
        </w:rPr>
      </w:pPr>
      <w:r>
        <w:rPr>
          <w:rFonts w:ascii="Times New Roman" w:cs="Times New Roman" w:eastAsia="Times New Roman" w:hAnsi="Times New Roman"/>
          <w:sz w:val="20"/>
          <w:szCs w:val="20"/>
          <w:color w:val="auto"/>
        </w:rPr>
        <w:t>Any Foreign Lender that becomes legally ineligible to update any form or certification previously delivered shall promptly notify the Borrower and the Administrative Agent in writing of such Foreign Lender’s inability to do so.</w:t>
      </w:r>
    </w:p>
    <w:p>
      <w:pPr>
        <w:spacing w:after="0" w:line="133" w:lineRule="exact"/>
        <w:rPr>
          <w:sz w:val="20"/>
          <w:szCs w:val="20"/>
          <w:color w:val="auto"/>
        </w:rPr>
      </w:pPr>
    </w:p>
    <w:p>
      <w:pPr>
        <w:jc w:val="both"/>
        <w:ind w:firstLine="1944"/>
        <w:spacing w:after="0" w:line="258" w:lineRule="auto"/>
        <w:rPr>
          <w:sz w:val="20"/>
          <w:szCs w:val="20"/>
          <w:color w:val="auto"/>
        </w:rPr>
      </w:pPr>
      <w:r>
        <w:rPr>
          <w:rFonts w:ascii="Times New Roman" w:cs="Times New Roman" w:eastAsia="Times New Roman" w:hAnsi="Times New Roman"/>
          <w:sz w:val="20"/>
          <w:szCs w:val="20"/>
          <w:color w:val="auto"/>
        </w:rPr>
        <w:t xml:space="preserve">Each person that shall become a Participant pursuant to Section 9.04 or a Lender pursuant to Section 9.04 shall, upon the effectiveness of the related transfer, be required to provide all the forms and statements required pursuant to this Section 2.17(e);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Participant shall furnish all such required forms and statements to the person from which the related participation shall have been purchased.</w:t>
      </w:r>
    </w:p>
    <w:p>
      <w:pPr>
        <w:spacing w:after="0" w:line="159" w:lineRule="exact"/>
        <w:rPr>
          <w:sz w:val="20"/>
          <w:szCs w:val="20"/>
          <w:color w:val="auto"/>
        </w:rPr>
      </w:pPr>
    </w:p>
    <w:p>
      <w:pPr>
        <w:jc w:val="both"/>
        <w:ind w:firstLine="1944"/>
        <w:spacing w:after="0" w:line="250" w:lineRule="auto"/>
        <w:rPr>
          <w:sz w:val="20"/>
          <w:szCs w:val="20"/>
          <w:color w:val="auto"/>
        </w:rPr>
      </w:pPr>
      <w:r>
        <w:rPr>
          <w:rFonts w:ascii="Times New Roman" w:cs="Times New Roman" w:eastAsia="Times New Roman" w:hAnsi="Times New Roman"/>
          <w:sz w:val="20"/>
          <w:szCs w:val="20"/>
          <w:color w:val="auto"/>
        </w:rPr>
        <w:t>In addition, the Administrative Agent shall deliver to the Borrower (x)(I) prior to the date on which the first payment by the Borrower is due hereunder or (II) prior to the first date on or after the date on which the Administrative Agent becomes a successor Administrative Agent pursuant to Section 8.09 on which payment by the Borrower is due hereunder, as applicable, two copies of a properly completed and executed IRS Form W-9 certifying its exemption from U.S. federal backup withholding or such other properly completed and executed documentation prescribed by applicable law certifying its entitlement to an available exemption from applicable U.S. federal withholding taxes in respect of any payments to be made to such Agent by any Loan Party pursuant to any Loan Document including, as applicable, an IRS Form W-8IMY certifying that the Administrative Agent is a U.S. branch and intends to be treated as a U.S. person for purposes of withholding under Chapter 3 of the Code pursuant to Section 1.1441-1(b)(2)(iv) of the Treasury Regulations, and (y) on or before the date on which any such previously delivered documentation expires or becomes obsolete or invalid, after the occurrence of any event requiring a change in the most recent documentation previously delivered by it to the Borrower, and from time to time if reasonably requested by the Borrower, two further copies of such documentation.</w:t>
      </w:r>
    </w:p>
    <w:p>
      <w:pPr>
        <w:spacing w:after="0" w:line="173" w:lineRule="exact"/>
        <w:rPr>
          <w:sz w:val="20"/>
          <w:szCs w:val="20"/>
          <w:color w:val="auto"/>
        </w:rPr>
      </w:pPr>
    </w:p>
    <w:p>
      <w:pPr>
        <w:jc w:val="both"/>
        <w:ind w:left="120" w:firstLine="1292"/>
        <w:spacing w:after="0" w:line="249" w:lineRule="auto"/>
        <w:tabs>
          <w:tab w:leader="none" w:pos="1812" w:val="left"/>
        </w:tabs>
        <w:numPr>
          <w:ilvl w:val="0"/>
          <w:numId w:val="1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any Lender or the Administrative Agent, as applicable, determines, in its sole discretion, that it has received a refund of an Indemnified Tax or Other Tax for which a payment has been made by a Loan Party pursuant to this Agreement or any other Loan Document, which refund in the good faith judgment of such Lender or the Administrative Agent, as the case may be, is attributable to such payment made by such Loan Party, then the Lender or the Administrative Agent, as the case may be, shall reimburse the Loan Party for such amount (net of all reasonable out-of-pocket expenses of such Lender or the Administrative Agent, as the case may be, and without interest other than any interest received thereon from the relevant Governmental Authority with respect to such refund) as the Lender or Administrative Agent, as the case may be, determines in its sole discretion to be the proportion of the refund as will leave it, after such reimbursement, in no better or worse position (taking into account expenses or any Taxes imposed on the refund) than it would have been in if the Indemnified Tax or Other Tax giving rise to such refund had not been imposed in the first instance;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Loan Party, upon the request of the Lender or the Administrative Agent agrees to repay the amount paid over to the Loan Party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any penalties, interest or other charges imposed by the relevant Governmental Authority) to the Lender or the Administrative Agent in the event the Lender or the Administrative Agent is required to repay such refund to such Governmental Authority. In such event, such Lender or the Administrative Agent, as the case may be, shall, at the Borrower’s request, provide the Borrower with a copy of any notice of assessment or other evidence of the requirement to repay such refund received from the relevant Governmental Authority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Lender or the Administrative Agent may delete any information therein that it deems confidential). A Lender or the Administrative Agent shall claim any refund that it determines is available to it, unless it concludes in its sole discretion that it would be adversely affected by making such a claim. No Lender nor the Administrative Agent shall be obliged to make available its tax returns (or any other information relating to its taxes that it</w:t>
      </w:r>
    </w:p>
    <w:p>
      <w:pPr>
        <w:sectPr>
          <w:pgSz w:w="11900" w:h="16838" w:orient="portrait"/>
          <w:cols w:equalWidth="0" w:num="1">
            <w:col w:w="11240"/>
          </w:cols>
          <w:pgMar w:left="320" w:top="108" w:right="339" w:bottom="1440" w:gutter="0" w:footer="0" w:header="0"/>
        </w:sectPr>
      </w:pPr>
    </w:p>
    <w:bookmarkStart w:id="280" w:name="page281"/>
    <w:bookmarkEnd w:id="280"/>
    <w:p>
      <w:pPr>
        <w:jc w:val="right"/>
        <w:spacing w:after="0"/>
        <w:rPr>
          <w:sz w:val="20"/>
          <w:szCs w:val="20"/>
          <w:color w:val="auto"/>
        </w:rPr>
      </w:pPr>
      <w:r>
        <w:rPr>
          <w:rFonts w:ascii="Times New Roman" w:cs="Times New Roman" w:eastAsia="Times New Roman" w:hAnsi="Times New Roman"/>
          <w:sz w:val="22"/>
          <w:szCs w:val="22"/>
          <w:color w:val="FF0000"/>
          <w:strike w:val="1"/>
        </w:rPr>
        <w:t>ANNEX</w:t>
      </w:r>
      <w:r>
        <w:rPr>
          <w:rFonts w:ascii="Times New Roman" w:cs="Times New Roman" w:eastAsia="Times New Roman" w:hAnsi="Times New Roman"/>
          <w:sz w:val="22"/>
          <w:szCs w:val="22"/>
          <w:b w:val="1"/>
          <w:bCs w:val="1"/>
          <w:u w:val="single" w:color="auto"/>
          <w:color w:val="0000FF"/>
        </w:rPr>
        <w:t>EXHIBIT</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deems confidential) to any Loan Party in connection with this clause (f) or any other provision of this Section 2.17.</w:t>
      </w:r>
    </w:p>
    <w:p>
      <w:pPr>
        <w:spacing w:after="0" w:line="202" w:lineRule="exact"/>
        <w:rPr>
          <w:sz w:val="20"/>
          <w:szCs w:val="20"/>
          <w:color w:val="auto"/>
        </w:rPr>
      </w:pPr>
    </w:p>
    <w:p>
      <w:pPr>
        <w:jc w:val="both"/>
        <w:ind w:left="120" w:firstLine="1292"/>
        <w:spacing w:after="0" w:line="253" w:lineRule="auto"/>
        <w:tabs>
          <w:tab w:leader="none" w:pos="1875" w:val="left"/>
        </w:tabs>
        <w:numPr>
          <w:ilvl w:val="1"/>
          <w:numId w:val="1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Borrower determines that a reasonable basis exists for contesting an Indemnified Tax or Other Tax for which a Loan Party has paid additional amounts or indemnification payments, each affected Lender or Agent, as the case may be, shall use reasonable efforts to cooperate with the Borrower as the Borrower may reasonably request in challenging such Tax. The Borrower shall indemnify and hold each Lender and Agent harmless against any out-of-pocket expenses incurred by such person in connection with any request made by the Borrower pursuant to this Section 2.17(g). Nothing in this Section 2.17(g) shall obligate any Lender or Agent to take any action that such person, in its sole judgment, determines may result in a material detriment to such person.</w:t>
      </w:r>
    </w:p>
    <w:p>
      <w:pPr>
        <w:spacing w:after="0" w:line="165" w:lineRule="exact"/>
        <w:rPr>
          <w:rFonts w:ascii="Times New Roman" w:cs="Times New Roman" w:eastAsia="Times New Roman" w:hAnsi="Times New Roman"/>
          <w:sz w:val="20"/>
          <w:szCs w:val="20"/>
          <w:color w:val="auto"/>
        </w:rPr>
      </w:pPr>
    </w:p>
    <w:p>
      <w:pPr>
        <w:jc w:val="both"/>
        <w:ind w:left="120" w:firstLine="1292"/>
        <w:spacing w:after="0" w:line="261" w:lineRule="auto"/>
        <w:tabs>
          <w:tab w:leader="none" w:pos="1901" w:val="left"/>
        </w:tabs>
        <w:numPr>
          <w:ilvl w:val="1"/>
          <w:numId w:val="1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U.S. Lender shall deliver to the Borrower and the Administrative Agent two IRS Forms W-9 (or substitute or successor form), properly completed and duly executed, certifying that such U.S. Lender is exempt from U.S. federal backup withholding</w:t>
      </w:r>
    </w:p>
    <w:p>
      <w:pPr>
        <w:spacing w:after="0" w:line="1" w:lineRule="exact"/>
        <w:rPr>
          <w:rFonts w:ascii="Times New Roman" w:cs="Times New Roman" w:eastAsia="Times New Roman" w:hAnsi="Times New Roman"/>
          <w:sz w:val="20"/>
          <w:szCs w:val="20"/>
          <w:color w:val="auto"/>
        </w:rPr>
      </w:pPr>
    </w:p>
    <w:p>
      <w:pPr>
        <w:jc w:val="both"/>
        <w:ind w:left="120" w:hanging="4"/>
        <w:spacing w:after="0" w:line="248" w:lineRule="auto"/>
        <w:tabs>
          <w:tab w:leader="none" w:pos="362" w:val="left"/>
        </w:tabs>
        <w:numPr>
          <w:ilvl w:val="0"/>
          <w:numId w:val="1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or prior to the Closing Date (or on or prior to the date it becomes a party to this Agreement), (ii) on or before the date that such form expires or becomes obsolete or invalid, (iii) after the occurrence of a change in the U.S. Lender’s circumstances requiring a change in the most recent form previously delivered by it to the Borrower and the Administrative Agent, and (iv) from time to time thereafter if reasonably requested by the Borrower or the Administrative Agent.</w:t>
      </w:r>
    </w:p>
    <w:p>
      <w:pPr>
        <w:spacing w:after="0" w:line="181" w:lineRule="exact"/>
        <w:rPr>
          <w:rFonts w:ascii="Times New Roman" w:cs="Times New Roman" w:eastAsia="Times New Roman" w:hAnsi="Times New Roman"/>
          <w:sz w:val="20"/>
          <w:szCs w:val="20"/>
          <w:color w:val="auto"/>
        </w:rPr>
      </w:pPr>
    </w:p>
    <w:p>
      <w:pPr>
        <w:jc w:val="both"/>
        <w:ind w:left="120" w:firstLine="1292"/>
        <w:spacing w:after="0" w:line="250" w:lineRule="auto"/>
        <w:tabs>
          <w:tab w:leader="none" w:pos="1807" w:val="left"/>
        </w:tabs>
        <w:numPr>
          <w:ilvl w:val="1"/>
          <w:numId w:val="1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 payment made to any Lender or any Agent under this Agreement or any other Loan Document would be subject to U.S. federal withholding tax imposed by FATCA if such Lender or such Agent were to fail to comply with the applicable reporting requirements of FATCA (including those contained in Section 1471(b) or 1472(b) of the Code, as applicable), such Lender or such Agent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to determine whether such Lender has or has not complied with such Lender’s obligations under FATCA or to determine the amount, if any, to deduct and withhold from such payment. Solely for purposes of this Section 2.17(i), “FATCA” shall include any amendments made to FATCA after the Closing Date.</w:t>
      </w:r>
    </w:p>
    <w:p>
      <w:pPr>
        <w:spacing w:after="0" w:line="169" w:lineRule="exact"/>
        <w:rPr>
          <w:rFonts w:ascii="Times New Roman" w:cs="Times New Roman" w:eastAsia="Times New Roman" w:hAnsi="Times New Roman"/>
          <w:sz w:val="20"/>
          <w:szCs w:val="20"/>
          <w:color w:val="auto"/>
        </w:rPr>
      </w:pPr>
    </w:p>
    <w:p>
      <w:pPr>
        <w:ind w:left="120" w:firstLine="1292"/>
        <w:spacing w:after="0" w:line="283" w:lineRule="auto"/>
        <w:tabs>
          <w:tab w:leader="none" w:pos="1813" w:val="left"/>
        </w:tabs>
        <w:numPr>
          <w:ilvl w:val="1"/>
          <w:numId w:val="1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agreements in this Section 2.17 shall survive the termination of this Agreement and the payment of the Loans and all other amounts payable under any Loan Document.</w:t>
      </w:r>
    </w:p>
    <w:p>
      <w:pPr>
        <w:spacing w:after="0" w:line="133"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For purposes of this Section 2.17, the term “Lender” includes any Issuing Bank and the terms “applicable law” and “applicable Requirement of Law” include FATCA.</w:t>
      </w:r>
    </w:p>
    <w:p>
      <w:pPr>
        <w:spacing w:after="0" w:line="133"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Section 2.18 Payments Generally; Pro Rata Treatment; Sharing of Set-offs. (a) Unless otherwise specified, the Borrower shall make each payment required to be made by it hereunder (whether of principal, interest, fees or reimbursement of L/C Disbursements, or of amounts payable under Sections 2.15, 2.16 or 2.17, or otherwise) prior to 2:00 p.m., Local Time, on the date when due, in immediately available funds. Each such payment shall be made without condition or deduction for any defense, recoupment, set-off or counterclaim. Any amounts received after such time on any date may, in the discretion of the Administrative Agent, be deemed to have been received on the next succeeding Business Day for purposes of calculating interest thereon. All such payments shall be made to the Administrative Agent to the applicable account designated to the Borrower by the Administrative Agent,</w:t>
      </w:r>
    </w:p>
    <w:p>
      <w:pPr>
        <w:sectPr>
          <w:pgSz w:w="11900" w:h="16838" w:orient="portrait"/>
          <w:cols w:equalWidth="0" w:num="1">
            <w:col w:w="11240"/>
          </w:cols>
          <w:pgMar w:left="320" w:top="108" w:right="339" w:bottom="1440" w:gutter="0" w:footer="0" w:header="0"/>
        </w:sectPr>
      </w:pPr>
    </w:p>
    <w:bookmarkStart w:id="281" w:name="page282"/>
    <w:bookmarkEnd w:id="281"/>
    <w:p>
      <w:pPr>
        <w:jc w:val="right"/>
        <w:spacing w:after="0"/>
        <w:rPr>
          <w:sz w:val="20"/>
          <w:szCs w:val="20"/>
          <w:color w:val="auto"/>
        </w:rPr>
      </w:pPr>
      <w:r>
        <w:rPr>
          <w:rFonts w:ascii="Times New Roman" w:cs="Times New Roman" w:eastAsia="Times New Roman" w:hAnsi="Times New Roman"/>
          <w:sz w:val="22"/>
          <w:szCs w:val="22"/>
          <w:color w:val="FF0000"/>
          <w:strike w:val="1"/>
        </w:rPr>
        <w:t>ANNEX</w:t>
      </w:r>
      <w:r>
        <w:rPr>
          <w:rFonts w:ascii="Times New Roman" w:cs="Times New Roman" w:eastAsia="Times New Roman" w:hAnsi="Times New Roman"/>
          <w:sz w:val="22"/>
          <w:szCs w:val="22"/>
          <w:b w:val="1"/>
          <w:bCs w:val="1"/>
          <w:u w:val="single" w:color="auto"/>
          <w:color w:val="0000FF"/>
        </w:rPr>
        <w:t>EXHIBIT</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except payments to be made directly to the applicable Issuing Bank or the Swingline Lender as expressly provided herein and except that payments pursuant to Sections 2.15, 2.16, 2.17 and 9.05 shall be made directly to the persons entitled thereto. The Administrative Agent shall distribute any such payments received by it for the account of any other person to the appropriate recipient promptly following receipt thereof. Except as otherwise expressly provided herein, if any payment hereunder shall be due on a day that is not a Business Day, the date for payment shall be extended to the next succeeding Business Day, and, in the case of any payment accruing interest, interest thereon shall be payable for the period of such extension. All payments made under the Loan Documents shall be made in Dollars (or, in the case of Alternate Currency Loans or Alternate Currency Letters of Credit, in the applicable Alternate Currency). Any payment required to be made by the Administrative Agent hereunder shall be deemed to have been made by the time required if the Administrative Agent shall, at or before such time, have taken the necessary steps to make such payment in accordance with the regulations or operating procedures of the clearing or settlement system used by the Administrative Agent to make such payment.</w:t>
      </w:r>
    </w:p>
    <w:p>
      <w:pPr>
        <w:spacing w:after="0" w:line="183" w:lineRule="exact"/>
        <w:rPr>
          <w:sz w:val="20"/>
          <w:szCs w:val="20"/>
          <w:color w:val="auto"/>
        </w:rPr>
      </w:pPr>
    </w:p>
    <w:p>
      <w:pPr>
        <w:jc w:val="both"/>
        <w:ind w:left="120" w:firstLine="1292"/>
        <w:spacing w:after="0" w:line="251" w:lineRule="auto"/>
        <w:tabs>
          <w:tab w:leader="none" w:pos="1908" w:val="left"/>
        </w:tabs>
        <w:numPr>
          <w:ilvl w:val="0"/>
          <w:numId w:val="1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Section 7.02, if at any time insufficient funds are received by and available to the Administrative Agent from the Borrower to pay fully all amounts of principal, unreimbursed L/C Disbursements, interest and fees then due from the Borrower hereunder, such funds shall be applied (i) first, towards payment of interest and fees then due from the Borrower hereunder, ratably among the parties entitled thereto in accordance with the amounts of interest and fees then due to such parties, (ii) second, towards payment of principal of Swingline Loans and unreimbursed L/C Disbursements then due from the Borrower hereunder, ratably among the parties entitled thereto in accordance with the amounts of principal and unreimbursed L/C Disbursements then due to such parties, and (iii) third, towards payment of principal then due from the Borrower hereunder, ratably among the parties entitled thereto in accordance with the amounts of principal then due to such parties.</w:t>
      </w:r>
    </w:p>
    <w:p>
      <w:pPr>
        <w:spacing w:after="0" w:line="168" w:lineRule="exact"/>
        <w:rPr>
          <w:rFonts w:ascii="Times New Roman" w:cs="Times New Roman" w:eastAsia="Times New Roman" w:hAnsi="Times New Roman"/>
          <w:sz w:val="20"/>
          <w:szCs w:val="20"/>
          <w:color w:val="auto"/>
        </w:rPr>
      </w:pPr>
    </w:p>
    <w:p>
      <w:pPr>
        <w:jc w:val="both"/>
        <w:ind w:left="120" w:firstLine="1292"/>
        <w:spacing w:after="0" w:line="250" w:lineRule="auto"/>
        <w:tabs>
          <w:tab w:leader="none" w:pos="1866" w:val="left"/>
        </w:tabs>
        <w:numPr>
          <w:ilvl w:val="0"/>
          <w:numId w:val="1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any Lender shall, by exercising any right of set-off or counterclaim or otherwise, obtain payment in respect of any principal of, or interest on, any of its Term Loans, Revolving Facility Loans or participations in L/C Disbursements or Swingline Loans of a given Class resulting in such Lender receiving payment of a greater proportion of the aggregate amount of its Term Loans, Revolving Facility Loans and participations in L/C Disbursements and Swingline Loans of such Class and accrued interest thereon than the proportion received by any other Lender entitled to receive the same proportion of such payment, then the Lender receiving such greater proportion shall purchase participations in the Term Loans, Revolving Facility Loans and participations in L/C Disbursements and Swingline Loans of such Class of such other Lenders to the extent necessary so that the benefit of all such payments shall be shared by all such Lenders entitled thereto ratably in accordance with the principal amount of each such Lender’s respective Term Loans, Revolving Facility Loans and participations in L/C Disbursements and Swingline Loans of such Class and accrued interest thereon;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(i) if any such participations are purchased and all or any portion of the payment giving rise thereto is recovered, such participations shall be rescinded and the purchase price restored to the extent of such recovery, without interest, and (ii) the provisions of this clause (c) shall not be construed to apply to any payment made by the Borrower pursuant to and in accordance with the express terms of this Agreement or any payment obtained by a Lender as consideration for the assignment of or sale of a participation in any of its Loans or participations in L/C Disbursements to any assignee or participant. The Borrower consents to the foregoing and agrees, to the extent it may effectively do so under applicable law, that any Lender acquiring a participation pursuant to the foregoing arrangements may exercise against the Borrower rights of set-off and counterclaim with respect to such participation as fully as if such Lender were a direct creditor of the Borrower in the amount of such participation.</w:t>
      </w:r>
    </w:p>
    <w:p>
      <w:pPr>
        <w:sectPr>
          <w:pgSz w:w="11900" w:h="16838" w:orient="portrait"/>
          <w:cols w:equalWidth="0" w:num="1">
            <w:col w:w="11240"/>
          </w:cols>
          <w:pgMar w:left="320" w:top="108" w:right="339" w:bottom="1440" w:gutter="0" w:footer="0" w:header="0"/>
        </w:sectPr>
      </w:pPr>
    </w:p>
    <w:bookmarkStart w:id="282" w:name="page283"/>
    <w:bookmarkEnd w:id="282"/>
    <w:p>
      <w:pPr>
        <w:ind w:left="9360"/>
        <w:spacing w:after="0"/>
        <w:rPr>
          <w:sz w:val="20"/>
          <w:szCs w:val="20"/>
          <w:color w:val="auto"/>
        </w:rPr>
      </w:pPr>
      <w:r>
        <w:rPr>
          <w:rFonts w:ascii="Times New Roman" w:cs="Times New Roman" w:eastAsia="Times New Roman" w:hAnsi="Times New Roman"/>
          <w:sz w:val="21"/>
          <w:szCs w:val="21"/>
          <w:color w:val="FF0000"/>
          <w:strike w:val="1"/>
        </w:rPr>
        <w:t>ANNEX</w:t>
      </w:r>
      <w:r>
        <w:rPr>
          <w:rFonts w:ascii="Times New Roman" w:cs="Times New Roman" w:eastAsia="Times New Roman" w:hAnsi="Times New Roman"/>
          <w:sz w:val="21"/>
          <w:szCs w:val="21"/>
          <w:b w:val="1"/>
          <w:bCs w:val="1"/>
          <w:u w:val="single" w:color="auto"/>
          <w:color w:val="0000FF"/>
        </w:rPr>
        <w:t>EXHIBIT</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000000"/>
        </w:rPr>
        <w: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ind w:left="120" w:firstLine="1292"/>
        <w:spacing w:after="0" w:line="252" w:lineRule="auto"/>
        <w:tabs>
          <w:tab w:leader="none" w:pos="1847" w:val="left"/>
        </w:tabs>
        <w:numPr>
          <w:ilvl w:val="0"/>
          <w:numId w:val="1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the Administrative Agent shall have received notice from the Borrower prior to the date on which any payment is due to the Administrative Agent for the account of the Lenders or the applicable Issuing Bank hereunder that the Borrower will not make such payment, the Administrative Agent may assume that the Borrower has made such payment on such date in accordance herewith and may, in reliance upon such assumption, distribute to the Lenders or the applicable Issuing Bank, as applicable, the amount due. In such event, if the Borrower has not in fact made such payment, then each of the Lenders or the applicable Issuing Bank, as applicable, severally agrees to repay to the Administrative Agent forthwith on demand the amount so distributed to such Lender or Issuing Bank with interest thereon, for each day from and including the date such amount is distributed to it to but excluding the date of payment to the Administrative Agent, at the greater of the Federal Funds Effective Rate and a rate determined by the Administrative Agent in accordance with banking industry rules on interbank compensation.</w:t>
      </w:r>
    </w:p>
    <w:p>
      <w:pPr>
        <w:spacing w:after="0" w:line="162" w:lineRule="exact"/>
        <w:rPr>
          <w:rFonts w:ascii="Times New Roman" w:cs="Times New Roman" w:eastAsia="Times New Roman" w:hAnsi="Times New Roman"/>
          <w:sz w:val="20"/>
          <w:szCs w:val="20"/>
          <w:color w:val="auto"/>
        </w:rPr>
      </w:pPr>
    </w:p>
    <w:p>
      <w:pPr>
        <w:jc w:val="both"/>
        <w:ind w:left="120" w:firstLine="1292"/>
        <w:spacing w:after="0" w:line="258" w:lineRule="auto"/>
        <w:tabs>
          <w:tab w:leader="none" w:pos="1833" w:val="left"/>
        </w:tabs>
        <w:numPr>
          <w:ilvl w:val="0"/>
          <w:numId w:val="1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Lender shall fail to make any payment required to be made by it pursuant to Section 2.04(b), 2.05(d) or (e), 2.06 or 2.18(d), then the Administrative Agent may, in its discretion (notwithstanding any contrary provision hereof), apply any amounts thereafter received by the Administrative Agent for the account of such Lender to satisfy such Lender’s obligations under such Sections until all such unsatisfied obligations are fully paid.</w:t>
      </w:r>
    </w:p>
    <w:p>
      <w:pPr>
        <w:spacing w:after="0" w:line="159"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0"/>
          <w:szCs w:val="20"/>
          <w:color w:val="auto"/>
        </w:rPr>
        <w:t>Section 2.19 Mitigation Obligations; Replacement of Lenders. (a) If any Lender requests compensation under Section 2.15, or if the Borrower is required to pay any additional amount to any Lender or any Governmental Authority for the account of any Lender pursuant to Section 2.17 or any event that gives rise to the operation of Section 2.20, then such Lender shall use reasonable efforts to designate a different Lending Office for funding or booking its Loans hereunder or to assign its rights and obligations hereunder to another of its offices, branches or Affiliates, if, in the reasonable judgment of such Lender, such designation or assignment (i) would eliminate or reduce amounts payable pursuant to Section 2.15 or 2.17 or mitigate the applicability of Section 2.20, as applicable, in the future and (ii) would not subject such Lender to any material unreimbursed cost or expense and would not otherwise be disadvantageous to such Lender in any material respect. The Borrower hereby agrees to pay all reasonable costs and expenses incurred by any Lender in connection with any such designation or assignment.</w:t>
      </w:r>
    </w:p>
    <w:p>
      <w:pPr>
        <w:spacing w:after="0" w:line="162" w:lineRule="exact"/>
        <w:rPr>
          <w:sz w:val="20"/>
          <w:szCs w:val="20"/>
          <w:color w:val="auto"/>
        </w:rPr>
      </w:pPr>
    </w:p>
    <w:p>
      <w:pPr>
        <w:jc w:val="both"/>
        <w:ind w:left="120" w:firstLine="1292"/>
        <w:spacing w:after="0" w:line="250" w:lineRule="auto"/>
        <w:tabs>
          <w:tab w:leader="none" w:pos="1903" w:val="left"/>
        </w:tabs>
        <w:numPr>
          <w:ilvl w:val="0"/>
          <w:numId w:val="1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(i) any Lender requests compensation under Section 2.15 or gives notice under Section 2.20, (ii) the Borrower is required to pay any additional amount to any Lender or any Governmental Authority for the account of any Lender pursuant to Section 2.17, or (iii) any Lender is a Defaulting Lender, then the Borrower may, at its sole expense and effort, upon notice to such Lender and the Administrative Agent, require any such Lender to assign and delegate, without recourse (in accordance with and subject to the restrictions contained in Section 9.04), all its interests, rights and obligations under this Agreement to an assignee that shall assume such obligations (which assignee may be another Lender, if a Lender accepts such assignment);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the Borrower shall have received the prior written consent of the Administrative Agent (and, if in respect of any Revolving Facility Commitment or Revolving Facility Loan, the Swingline Lender and the Issuing Banks), to the extent consent would be required under Section 9.04(b) for an assignment of Loans or Commitments, as applicable, which consent, in each case, shall not unreasonably be withheld, (ii) such Lender shall have received payment of an amount equal to the outstanding principal of its Loans and participations in L/C Disbursements and Swingline Loans, accrued interest thereon, accrued fees and all other amounts payable to it hereunder from the assignee (to the extent of such outstanding principal and accrued interest and fees) or the Borrower (in the case of all other amounts) and (iii) in the case of any such assignment resulting from a claim for compensation under Section 2.15, payments required to be made</w:t>
      </w:r>
    </w:p>
    <w:p>
      <w:pPr>
        <w:sectPr>
          <w:pgSz w:w="11900" w:h="16838" w:orient="portrait"/>
          <w:cols w:equalWidth="0" w:num="1">
            <w:col w:w="11240"/>
          </w:cols>
          <w:pgMar w:left="320" w:top="108" w:right="339" w:bottom="1440" w:gutter="0" w:footer="0" w:header="0"/>
        </w:sectPr>
      </w:pPr>
    </w:p>
    <w:bookmarkStart w:id="283" w:name="page284"/>
    <w:bookmarkEnd w:id="283"/>
    <w:p>
      <w:pPr>
        <w:jc w:val="right"/>
        <w:spacing w:after="0"/>
        <w:rPr>
          <w:sz w:val="20"/>
          <w:szCs w:val="20"/>
          <w:color w:val="auto"/>
        </w:rPr>
      </w:pPr>
      <w:r>
        <w:rPr>
          <w:rFonts w:ascii="Times New Roman" w:cs="Times New Roman" w:eastAsia="Times New Roman" w:hAnsi="Times New Roman"/>
          <w:sz w:val="22"/>
          <w:szCs w:val="22"/>
          <w:color w:val="FF0000"/>
          <w:strike w:val="1"/>
        </w:rPr>
        <w:t>ANNEX</w:t>
      </w:r>
      <w:r>
        <w:rPr>
          <w:rFonts w:ascii="Times New Roman" w:cs="Times New Roman" w:eastAsia="Times New Roman" w:hAnsi="Times New Roman"/>
          <w:sz w:val="22"/>
          <w:szCs w:val="22"/>
          <w:b w:val="1"/>
          <w:bCs w:val="1"/>
          <w:u w:val="single" w:color="auto"/>
          <w:color w:val="0000FF"/>
        </w:rPr>
        <w:t>EXHIBIT</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ind w:left="120"/>
        <w:spacing w:after="0" w:line="253" w:lineRule="auto"/>
        <w:rPr>
          <w:sz w:val="20"/>
          <w:szCs w:val="20"/>
          <w:color w:val="auto"/>
        </w:rPr>
      </w:pPr>
      <w:r>
        <w:rPr>
          <w:rFonts w:ascii="Times New Roman" w:cs="Times New Roman" w:eastAsia="Times New Roman" w:hAnsi="Times New Roman"/>
          <w:sz w:val="20"/>
          <w:szCs w:val="20"/>
          <w:color w:val="auto"/>
        </w:rPr>
        <w:t xml:space="preserve">pursuant to Section 2.17 or a notice given under Section 2.20, such assignment will result in a reduction in such compensation or payments. Nothing in this Section 2.19 shall be deemed to prejudice any rights that the Borrower may have against any Lender that is a Defaulting Lender. No action by or consent of the removed Lender shall be necessary in connection with such assignment, which shall be immediately and automatically effective upon payment of such purchase price. In connection with any such assignment the Borrower, Administrative Agent, such removed Lender and the replacement Lender shall otherwise comply with Section 9.04,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if such removed Lender does not comply with Section 9.04 within one Business Day after the Borrower’s request, compliance with Section 9.04 shall not be required to effect such assignment.</w:t>
      </w:r>
    </w:p>
    <w:p>
      <w:pPr>
        <w:spacing w:after="0" w:line="166" w:lineRule="exact"/>
        <w:rPr>
          <w:sz w:val="20"/>
          <w:szCs w:val="20"/>
          <w:color w:val="auto"/>
        </w:rPr>
      </w:pPr>
    </w:p>
    <w:p>
      <w:pPr>
        <w:jc w:val="both"/>
        <w:ind w:left="120" w:firstLine="1292"/>
        <w:spacing w:after="0" w:line="263" w:lineRule="auto"/>
        <w:tabs>
          <w:tab w:leader="none" w:pos="1914" w:val="left"/>
        </w:tabs>
        <w:numPr>
          <w:ilvl w:val="1"/>
          <w:numId w:val="19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any Lender (such Lender, a “</w:t>
      </w:r>
      <w:r>
        <w:rPr>
          <w:rFonts w:ascii="Times New Roman" w:cs="Times New Roman" w:eastAsia="Times New Roman" w:hAnsi="Times New Roman"/>
          <w:sz w:val="19"/>
          <w:szCs w:val="19"/>
          <w:u w:val="single" w:color="auto"/>
          <w:color w:val="auto"/>
        </w:rPr>
        <w:t>Non-Consenting Lender</w:t>
      </w:r>
      <w:r>
        <w:rPr>
          <w:rFonts w:ascii="Times New Roman" w:cs="Times New Roman" w:eastAsia="Times New Roman" w:hAnsi="Times New Roman"/>
          <w:sz w:val="19"/>
          <w:szCs w:val="19"/>
          <w:color w:val="auto"/>
        </w:rPr>
        <w:t xml:space="preserve">”) has failed to consent to a proposed amendment, waiver, discharge or termination which pursuant to the terms of Section 9.08 requires the consent of all of the Lenders affected and with respect to which the Required Lenders shall have granted their consent, then the Borrower shall have the right (unless such Non-Consenting Lender grants such consent) at its sole expense (including with respect to the processing and recordation fee referred to in Section 9.04(b)(ii)(B)) to replace such Non-Consenting Lender by requiring such Non-Consenting Lender to (and any such Non-Consenting Lender agrees that it shall, upon the Borrower’s request) assign its Loans and its Commitments (or, at the Borrower’s option, the Loans and Commitments under the Facility that is the subject of the proposed amendment, waiver, discharge or termination) hereunder to one or more assignees reasonably acceptable to (i) the Administrative Agent (unless such assignee is a Lender, an Affiliate of a Lender or an Approved Fund) and (ii) if in respect of any Revolving Facility Commitment or Revolving Facility Loan, the Swingline Lender and the Issuing Banks;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that:</w:t>
      </w:r>
    </w:p>
    <w:p>
      <w:pPr>
        <w:ind w:left="380" w:hanging="264"/>
        <w:spacing w:after="0"/>
        <w:tabs>
          <w:tab w:leader="none" w:pos="380" w:val="left"/>
        </w:tabs>
        <w:numPr>
          <w:ilvl w:val="0"/>
          <w:numId w:val="20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Loan Obligations of the Borrower owing to such Non-Consenting Lender being replaced shall be paid in full to such Non-Consenting</w:t>
      </w:r>
    </w:p>
    <w:p>
      <w:pPr>
        <w:spacing w:after="0" w:line="18" w:lineRule="exact"/>
        <w:rPr>
          <w:sz w:val="20"/>
          <w:szCs w:val="20"/>
          <w:color w:val="auto"/>
        </w:rPr>
      </w:pPr>
    </w:p>
    <w:p>
      <w:pPr>
        <w:jc w:val="both"/>
        <w:ind w:left="120"/>
        <w:spacing w:after="0" w:line="250" w:lineRule="auto"/>
        <w:rPr>
          <w:sz w:val="20"/>
          <w:szCs w:val="20"/>
          <w:color w:val="auto"/>
        </w:rPr>
      </w:pPr>
      <w:r>
        <w:rPr>
          <w:rFonts w:ascii="Times New Roman" w:cs="Times New Roman" w:eastAsia="Times New Roman" w:hAnsi="Times New Roman"/>
          <w:sz w:val="20"/>
          <w:szCs w:val="20"/>
          <w:color w:val="auto"/>
        </w:rPr>
        <w:t xml:space="preserve">Lender concurrently with such assignment, (b) the replacement Lender shall purchase the foregoing by paying to such Non-Consenting Lender a price equal to the principal amount thereof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accrued and unpaid interest thereon and the replacement Lender or, at the option of the Borrower, the Borrower shall pay any amount required by Section 2.12(d)(y), if applicable, and (c) the replacement Lender shall grant its consent with respect to the applicable proposed amendment, waiver, discharge or termination. No action by or consent of the Non-Consenting Lender shall be necessary in connection with such assignment, which shall be immediately and automatically effective upon payment of such purchase price. In connection with any such assignment the Borrower, Administrative Agent, such Non-Consenting Lender and the replacement Lender shall otherwise comply with Section 9.04;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if such Non-Consenting Lender does not comply with Section 9.04 within one Business Day after the Borrower’s request, compliance with Section 9.04 shall not be required to effect such assignment.</w:t>
      </w:r>
    </w:p>
    <w:p>
      <w:pPr>
        <w:spacing w:after="0" w:line="164"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0"/>
          <w:szCs w:val="20"/>
          <w:color w:val="auto"/>
        </w:rPr>
        <w:t>Section 2.20 Illegality. If any Lender reasonably determines that any Change in Law has made it unlawful, or that any Governmental Authority has asserted after the Closing Date that it is unlawful, for any Lender or its applicable Lending Office to make or maintain any SOFR Loans, then, on notice thereof by such Lender to the Borrower through the Administrative Agent, any obligations of such Lender to make or continue SOFR Loans or to convert ABR Borrowings to SOFR Borrowings shall be suspended until such Lender notifies the Administrative Agent and the Borrower that the circumstances giving rise to such determination no longer exist. Upon receipt of such notice, the Borrower shall upon demand from such Lender (with a copy to the Administrative Agent), convert all SOFR Borrowings of such Lender to ABR Borrowings, either on the last day of the Interest Period therefor, if such Lender may lawfully continue to maintain such SOFR Borrowings to such day, or immediately, if such Lender may not lawfully continue to maintain such Loans. Upon any such prepayment or conversion, the Borrower shall also pay accrued interest on the amount so converted.</w:t>
      </w:r>
    </w:p>
    <w:p>
      <w:pPr>
        <w:sectPr>
          <w:pgSz w:w="11900" w:h="16838" w:orient="portrait"/>
          <w:cols w:equalWidth="0" w:num="1">
            <w:col w:w="11240"/>
          </w:cols>
          <w:pgMar w:left="320" w:top="108" w:right="339" w:bottom="1440" w:gutter="0" w:footer="0" w:header="0"/>
        </w:sectPr>
      </w:pPr>
    </w:p>
    <w:bookmarkStart w:id="284" w:name="page285"/>
    <w:bookmarkEnd w:id="284"/>
    <w:p>
      <w:pPr>
        <w:jc w:val="right"/>
        <w:spacing w:after="0"/>
        <w:rPr>
          <w:sz w:val="20"/>
          <w:szCs w:val="20"/>
          <w:color w:val="auto"/>
        </w:rPr>
      </w:pPr>
      <w:r>
        <w:rPr>
          <w:rFonts w:ascii="Times New Roman" w:cs="Times New Roman" w:eastAsia="Times New Roman" w:hAnsi="Times New Roman"/>
          <w:sz w:val="22"/>
          <w:szCs w:val="22"/>
          <w:color w:val="FF0000"/>
          <w:strike w:val="1"/>
        </w:rPr>
        <w:t>ANNEX</w:t>
      </w:r>
      <w:r>
        <w:rPr>
          <w:rFonts w:ascii="Times New Roman" w:cs="Times New Roman" w:eastAsia="Times New Roman" w:hAnsi="Times New Roman"/>
          <w:sz w:val="22"/>
          <w:szCs w:val="22"/>
          <w:b w:val="1"/>
          <w:bCs w:val="1"/>
          <w:u w:val="single" w:color="auto"/>
          <w:color w:val="0000FF"/>
        </w:rPr>
        <w:t>EXHIBIT</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0"/>
          <w:szCs w:val="20"/>
          <w:color w:val="auto"/>
        </w:rPr>
        <w:t xml:space="preserve">Section 2.21 Incremental Commitments. (a) The Borrower may, by written notice to the Administrative Agent from time to time, request Incremental Term Loan Commitments and/or Incremental Revolving Facility Commitments, as applicable, in an amount not to exceed the Incremental Amount available at the time such Incremental Commitments are established (or at the time any commitment relating thereto is entered into or, at the option of the Borrower, at the time of incurrence of the Incremental Loans thereunder) from one or more Incremental Term Lenders and/or Incremental Revolving Facility Lenders (which may include any existing Lender) willing to provide such Incremental Term Loans and/or Incremental Revolving Facility Commitments, as the case may be, in their own discretion;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each Incremental Revolving Facility Lender providing a commitment to make revolving loans shall be subject to the approval of the Administrative Agent and, to the extent the same would be required for an assignment under Section 9.04, the Issuing Banks and the Swingline Lender (which approvals shall not be unreasonably withheld) unless such Incremental Revolving Facility Lender is a Revolving Facility Lender. Such notice shall set forth (i) the amount of the Incremental Term Loan Commitments and/or Incremental Revolving Facility Commitments being requested (which shall be in minimum increments of $5,000,000 and a minimum amount of $10,000,000, or equal to the remaining Incremental Amount or, in each case, such lesser amount approved by the Administrative Agent), (ii) the date on which such Incremental Term Loan Commitments and/or Incremental Revolving Facility Commitments are requested to become effective, (iii) in the case of Incremental Revolving Facility Commitments, whether such Incremental Revolving Facility Commitments are to be (x) commitments to make additional Revolving Facility Loans on the same terms as the Initial Revolving Loans or (y) commitments to make revolving loans with pricing terms, final maturity dates, participation in mandatory prepayments or commitment reductions and/or other terms different from the Initial Revolving Loans (“</w:t>
      </w:r>
      <w:r>
        <w:rPr>
          <w:rFonts w:ascii="Times New Roman" w:cs="Times New Roman" w:eastAsia="Times New Roman" w:hAnsi="Times New Roman"/>
          <w:sz w:val="20"/>
          <w:szCs w:val="20"/>
          <w:u w:val="single" w:color="auto"/>
          <w:color w:val="auto"/>
        </w:rPr>
        <w:t>Other Revolving Loans</w:t>
      </w:r>
      <w:r>
        <w:rPr>
          <w:rFonts w:ascii="Times New Roman" w:cs="Times New Roman" w:eastAsia="Times New Roman" w:hAnsi="Times New Roman"/>
          <w:sz w:val="20"/>
          <w:szCs w:val="20"/>
          <w:color w:val="auto"/>
        </w:rPr>
        <w:t>”) and (iv) in the case of Incremental Term Loan Commitments, whether such Incremental Term Loan Commitments are to be (x) commitments to make term loans with terms identical to Term B Loans or</w:t>
      </w:r>
    </w:p>
    <w:p>
      <w:pPr>
        <w:spacing w:after="0" w:line="17" w:lineRule="exact"/>
        <w:rPr>
          <w:sz w:val="20"/>
          <w:szCs w:val="20"/>
          <w:color w:val="auto"/>
        </w:rPr>
      </w:pPr>
    </w:p>
    <w:p>
      <w:pPr>
        <w:ind w:firstLine="8"/>
        <w:spacing w:after="0" w:line="253" w:lineRule="auto"/>
        <w:tabs>
          <w:tab w:leader="none" w:pos="323" w:val="left"/>
        </w:tabs>
        <w:numPr>
          <w:ilvl w:val="0"/>
          <w:numId w:val="2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commitments to make term loans with pricing, maturity, amortization, participation in mandatory prepayments and/or other terms different from the Term B Loans (“</w:t>
      </w:r>
      <w:r>
        <w:rPr>
          <w:rFonts w:ascii="Times New Roman" w:cs="Times New Roman" w:eastAsia="Times New Roman" w:hAnsi="Times New Roman"/>
          <w:sz w:val="20"/>
          <w:szCs w:val="20"/>
          <w:u w:val="single" w:color="auto"/>
          <w:color w:val="auto"/>
        </w:rPr>
        <w:t>Other Term Loans</w:t>
      </w:r>
      <w:r>
        <w:rPr>
          <w:rFonts w:ascii="Times New Roman" w:cs="Times New Roman" w:eastAsia="Times New Roman" w:hAnsi="Times New Roman"/>
          <w:sz w:val="20"/>
          <w:szCs w:val="20"/>
          <w:color w:val="auto"/>
        </w:rPr>
        <w:t>”).</w:t>
      </w:r>
    </w:p>
    <w:p>
      <w:pPr>
        <w:spacing w:after="0" w:line="174" w:lineRule="exact"/>
        <w:rPr>
          <w:rFonts w:ascii="Times New Roman" w:cs="Times New Roman" w:eastAsia="Times New Roman" w:hAnsi="Times New Roman"/>
          <w:sz w:val="20"/>
          <w:szCs w:val="20"/>
          <w:color w:val="auto"/>
        </w:rPr>
      </w:pPr>
    </w:p>
    <w:p>
      <w:pPr>
        <w:jc w:val="both"/>
        <w:ind w:left="120" w:firstLine="1292"/>
        <w:spacing w:after="0" w:line="253" w:lineRule="auto"/>
        <w:tabs>
          <w:tab w:leader="none" w:pos="1922" w:val="left"/>
        </w:tabs>
        <w:numPr>
          <w:ilvl w:val="1"/>
          <w:numId w:val="2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and each Incremental Term Lender and/or Incremental Revolving Facility Lender shall execute and deliver to the Administrative Agent an Incremental Assumption Agreement and such other documentation as the Administrative Agent shall reasonably specify to evidence the Incremental Term Loan Commitment of such Incremental Term Lender and/or Incremental Revolving Facility Commitment of such Incremental Revolving Facility Lender. Each Incremental Assumption Agreement shall specify the terms of the applicable Incremental Term Loans and/or Incremental Revolving Facility Commitments;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w:t>
      </w:r>
    </w:p>
    <w:p>
      <w:pPr>
        <w:spacing w:after="0" w:line="164" w:lineRule="exact"/>
        <w:rPr>
          <w:rFonts w:ascii="Times New Roman" w:cs="Times New Roman" w:eastAsia="Times New Roman" w:hAnsi="Times New Roman"/>
          <w:sz w:val="20"/>
          <w:szCs w:val="20"/>
          <w:color w:val="auto"/>
        </w:rPr>
      </w:pPr>
    </w:p>
    <w:p>
      <w:pPr>
        <w:ind w:left="660" w:firstLine="1292"/>
        <w:spacing w:after="0" w:line="283" w:lineRule="auto"/>
        <w:tabs>
          <w:tab w:leader="none" w:pos="2409" w:val="left"/>
        </w:tabs>
        <w:numPr>
          <w:ilvl w:val="2"/>
          <w:numId w:val="2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commitments to make additional Term B Loans and/or additional Initial Revolving Loans shall have the same terms as the Term B Loans or Initial Revolving Loans, respectively,</w:t>
      </w:r>
    </w:p>
    <w:p>
      <w:pPr>
        <w:spacing w:after="0" w:line="132" w:lineRule="exact"/>
        <w:rPr>
          <w:rFonts w:ascii="Times New Roman" w:cs="Times New Roman" w:eastAsia="Times New Roman" w:hAnsi="Times New Roman"/>
          <w:sz w:val="20"/>
          <w:szCs w:val="20"/>
          <w:color w:val="auto"/>
        </w:rPr>
      </w:pPr>
    </w:p>
    <w:p>
      <w:pPr>
        <w:jc w:val="both"/>
        <w:ind w:left="660" w:firstLine="1292"/>
        <w:spacing w:after="0" w:line="258" w:lineRule="auto"/>
        <w:tabs>
          <w:tab w:leader="none" w:pos="2411" w:val="left"/>
        </w:tabs>
        <w:numPr>
          <w:ilvl w:val="2"/>
          <w:numId w:val="2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Other Term Loans incurred pursuant to clause (a) of this Section 2.21 shall rank pari passu or, at the option of the Borrower, junior in right of security with the Term B Loans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if such Other Term Loans rank junior in right of security with the Term B Loans, such Other Term Loans shall be subject to a Permitted Junior Intercreditor Agreement and, for the avoidance of doubt, shall not be subject to clause (vii) below),</w:t>
      </w:r>
    </w:p>
    <w:p>
      <w:pPr>
        <w:spacing w:after="0" w:line="158" w:lineRule="exact"/>
        <w:rPr>
          <w:rFonts w:ascii="Times New Roman" w:cs="Times New Roman" w:eastAsia="Times New Roman" w:hAnsi="Times New Roman"/>
          <w:sz w:val="20"/>
          <w:szCs w:val="20"/>
          <w:color w:val="auto"/>
        </w:rPr>
      </w:pPr>
    </w:p>
    <w:p>
      <w:pPr>
        <w:jc w:val="both"/>
        <w:ind w:left="660" w:firstLine="1292"/>
        <w:spacing w:after="0" w:line="261" w:lineRule="auto"/>
        <w:tabs>
          <w:tab w:leader="none" w:pos="2519" w:val="left"/>
        </w:tabs>
        <w:numPr>
          <w:ilvl w:val="2"/>
          <w:numId w:val="2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final maturity date of any such Other Term Loans shall be no earlier than the Term B Facility Maturity Date and, except as to pricing, amortization, final maturity date, participation in mandatory prepayments and ranking as to security (which shall, subject to the other clauses of this proviso, be determined by the Borrower and the Incremental Term</w:t>
      </w:r>
    </w:p>
    <w:p>
      <w:pPr>
        <w:sectPr>
          <w:pgSz w:w="11900" w:h="16838" w:orient="portrait"/>
          <w:cols w:equalWidth="0" w:num="1">
            <w:col w:w="11240"/>
          </w:cols>
          <w:pgMar w:left="320" w:top="108" w:right="339" w:bottom="1440" w:gutter="0" w:footer="0" w:header="0"/>
        </w:sectPr>
      </w:pPr>
    </w:p>
    <w:bookmarkStart w:id="285" w:name="page286"/>
    <w:bookmarkEnd w:id="285"/>
    <w:p>
      <w:pPr>
        <w:ind w:left="8700"/>
        <w:spacing w:after="0"/>
        <w:rPr>
          <w:sz w:val="20"/>
          <w:szCs w:val="20"/>
          <w:color w:val="auto"/>
        </w:rPr>
      </w:pPr>
      <w:r>
        <w:rPr>
          <w:rFonts w:ascii="Times New Roman" w:cs="Times New Roman" w:eastAsia="Times New Roman" w:hAnsi="Times New Roman"/>
          <w:sz w:val="21"/>
          <w:szCs w:val="21"/>
          <w:color w:val="FF0000"/>
          <w:strike w:val="1"/>
        </w:rPr>
        <w:t>ANNEX</w:t>
      </w:r>
      <w:r>
        <w:rPr>
          <w:rFonts w:ascii="Times New Roman" w:cs="Times New Roman" w:eastAsia="Times New Roman" w:hAnsi="Times New Roman"/>
          <w:sz w:val="21"/>
          <w:szCs w:val="21"/>
          <w:b w:val="1"/>
          <w:bCs w:val="1"/>
          <w:u w:val="single" w:color="auto"/>
          <w:color w:val="0000FF"/>
        </w:rPr>
        <w:t>EXHIBIT</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000000"/>
        </w:rPr>
        <w: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Lenders in their sole discretion), shall have (x) substantially similar terms as the Term B Loans or (y) such other terms (including as to guarantees and collateral) as shall be reasonably satisfactory to the Administrative Agent,</w:t>
      </w:r>
    </w:p>
    <w:p>
      <w:pPr>
        <w:spacing w:after="0" w:line="133" w:lineRule="exact"/>
        <w:rPr>
          <w:sz w:val="20"/>
          <w:szCs w:val="20"/>
          <w:color w:val="auto"/>
        </w:rPr>
      </w:pPr>
    </w:p>
    <w:p>
      <w:pPr>
        <w:ind w:firstLine="1292"/>
        <w:spacing w:after="0" w:line="269" w:lineRule="auto"/>
        <w:tabs>
          <w:tab w:leader="none" w:pos="1821" w:val="left"/>
        </w:tabs>
        <w:numPr>
          <w:ilvl w:val="0"/>
          <w:numId w:val="2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Weighted Average Life to Maturity of any such Other Term Loans shall be no shorter than the remaining Weighted Average Life to Maturity of the Term B Loans,</w:t>
      </w:r>
    </w:p>
    <w:p>
      <w:pPr>
        <w:spacing w:after="0" w:line="159" w:lineRule="exact"/>
        <w:rPr>
          <w:rFonts w:ascii="Times New Roman" w:cs="Times New Roman" w:eastAsia="Times New Roman" w:hAnsi="Times New Roman"/>
          <w:sz w:val="20"/>
          <w:szCs w:val="20"/>
          <w:color w:val="auto"/>
        </w:rPr>
      </w:pPr>
    </w:p>
    <w:p>
      <w:pPr>
        <w:jc w:val="both"/>
        <w:ind w:firstLine="1292"/>
        <w:spacing w:after="0" w:line="254" w:lineRule="auto"/>
        <w:tabs>
          <w:tab w:leader="none" w:pos="1769" w:val="left"/>
        </w:tabs>
        <w:numPr>
          <w:ilvl w:val="0"/>
          <w:numId w:val="2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Other Revolving Loans incurred pursuant to clause (a) of this Section 2.21 shall rank pari passu or, at the option of the Borrower, junior in right of security with the Initial Revolving Loans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if such Other Revolving Loans rank junior in right of security with the Initial Revolving Loans, such Other Revolving Loans shall be subject to a Permitted Junior Intercreditor Agreement),</w:t>
      </w:r>
    </w:p>
    <w:p>
      <w:pPr>
        <w:spacing w:after="0" w:line="173" w:lineRule="exact"/>
        <w:rPr>
          <w:rFonts w:ascii="Times New Roman" w:cs="Times New Roman" w:eastAsia="Times New Roman" w:hAnsi="Times New Roman"/>
          <w:sz w:val="20"/>
          <w:szCs w:val="20"/>
          <w:color w:val="auto"/>
        </w:rPr>
      </w:pPr>
    </w:p>
    <w:p>
      <w:pPr>
        <w:jc w:val="both"/>
        <w:ind w:firstLine="1292"/>
        <w:spacing w:after="0" w:line="253" w:lineRule="auto"/>
        <w:tabs>
          <w:tab w:leader="none" w:pos="1877" w:val="left"/>
        </w:tabs>
        <w:numPr>
          <w:ilvl w:val="0"/>
          <w:numId w:val="2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final maturity date of any such Other Revolving Loans shall be no earlier than the Revolving Facility Maturity Date with respect to the Initial Revolving Loans and, except as to pricing, final maturity date, participation in mandatory prepayments and commitment reductions and ranking as to security (which shall, subject to the other clauses of this proviso, be determined by the Borrower and the Incremental Revolving Facility Lenders in their sole discretion), shall have (x) substantially similar terms as the Initial Revolving Loans or (y) such other terms (including as to guarantees and collateral) as shall be reasonably satisfactory to the Administrative Agent,</w:t>
      </w:r>
    </w:p>
    <w:p>
      <w:pPr>
        <w:spacing w:after="0" w:line="165" w:lineRule="exact"/>
        <w:rPr>
          <w:rFonts w:ascii="Times New Roman" w:cs="Times New Roman" w:eastAsia="Times New Roman" w:hAnsi="Times New Roman"/>
          <w:sz w:val="20"/>
          <w:szCs w:val="20"/>
          <w:color w:val="auto"/>
        </w:rPr>
      </w:pPr>
    </w:p>
    <w:p>
      <w:pPr>
        <w:jc w:val="both"/>
        <w:ind w:firstLine="1292"/>
        <w:spacing w:after="0" w:line="264" w:lineRule="auto"/>
        <w:tabs>
          <w:tab w:leader="none" w:pos="1904" w:val="left"/>
        </w:tabs>
        <w:numPr>
          <w:ilvl w:val="0"/>
          <w:numId w:val="20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 respect to any Other Term Loan incurred prior to the twelve month anniversary of the 2021 Effective Date pursuant to clause (a) of this Section 2.21 that ranks pari passu in right of security with the Term B Loans, the All-in Yield shall be the same as that applicable to the Term B Loans on the 2021 Effective Date, except that the All-in Yield in respect of any such Other Term Loan may exceed the All-in Yield in respect of such Term B Loans on the 2021 Effective Date by no more than 0.50%, or if it does so exceed such All-in Yield by more than 0.50% (such difference, the “</w:t>
      </w:r>
      <w:r>
        <w:rPr>
          <w:rFonts w:ascii="Times New Roman" w:cs="Times New Roman" w:eastAsia="Times New Roman" w:hAnsi="Times New Roman"/>
          <w:sz w:val="19"/>
          <w:szCs w:val="19"/>
          <w:u w:val="single" w:color="auto"/>
          <w:color w:val="auto"/>
        </w:rPr>
        <w:t>Term Yield Differential</w:t>
      </w:r>
      <w:r>
        <w:rPr>
          <w:rFonts w:ascii="Times New Roman" w:cs="Times New Roman" w:eastAsia="Times New Roman" w:hAnsi="Times New Roman"/>
          <w:sz w:val="19"/>
          <w:szCs w:val="19"/>
          <w:color w:val="auto"/>
        </w:rPr>
        <w:t xml:space="preserve">”) then the Applicable Margin (or the “SOFR floor” as provided in the following proviso) applicable to such Term B Loans shall be increased such that after giving effect to such increase, the Term Yield Differential shall not exceed 0.50%;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to the extent any portion of the Term Yield Differential is attributable to a higher “SOFR floor” being applicable to such Other Term Loans, such floor shall only be included in the calculation of the Term Yield Differential to the extent such floor is greater than the Adjusted Term SOFR Rate in effect for an Interest Period of three months’ duration at such time, and, with respect to such excess, the “SOFR floor” applicable to the outstanding Term B Loans shall be increased to an amount not to exceed the “SOFR floor” applicable to such Other Term Loans prior to any increase in the Applicable Margin applicable to such Term B Loans then outstanding;</w:t>
      </w:r>
    </w:p>
    <w:p>
      <w:pPr>
        <w:spacing w:after="0" w:line="167" w:lineRule="exact"/>
        <w:rPr>
          <w:rFonts w:ascii="Times New Roman" w:cs="Times New Roman" w:eastAsia="Times New Roman" w:hAnsi="Times New Roman"/>
          <w:sz w:val="19"/>
          <w:szCs w:val="19"/>
          <w:color w:val="auto"/>
        </w:rPr>
      </w:pPr>
    </w:p>
    <w:p>
      <w:pPr>
        <w:jc w:val="both"/>
        <w:ind w:firstLine="1292"/>
        <w:spacing w:after="0" w:line="253" w:lineRule="auto"/>
        <w:tabs>
          <w:tab w:leader="none" w:pos="1943" w:val="left"/>
        </w:tabs>
        <w:numPr>
          <w:ilvl w:val="0"/>
          <w:numId w:val="2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such Other Revolving Loans may participate on a pro rata basis or a less than pro rata basis (but not a greater than pro rata basis) than the Initial Revolving Loans in (x) any voluntary or mandatory prepayment or commitment reduction hereunder and (y) any Borrowing at the time such Borrowing is made and (B) such Other Term Loans may participate on a pro rata basis or a less than pro rata basis (but not a greater than pro rata basis) than the Term B Loans in any mandatory prepayment hereunder; and</w:t>
      </w:r>
    </w:p>
    <w:p>
      <w:pPr>
        <w:spacing w:after="0" w:line="164" w:lineRule="exact"/>
        <w:rPr>
          <w:rFonts w:ascii="Times New Roman" w:cs="Times New Roman" w:eastAsia="Times New Roman" w:hAnsi="Times New Roman"/>
          <w:sz w:val="20"/>
          <w:szCs w:val="20"/>
          <w:color w:val="auto"/>
        </w:rPr>
      </w:pPr>
    </w:p>
    <w:p>
      <w:pPr>
        <w:ind w:firstLine="1292"/>
        <w:spacing w:after="0" w:line="283" w:lineRule="auto"/>
        <w:tabs>
          <w:tab w:leader="none" w:pos="1853" w:val="left"/>
        </w:tabs>
        <w:numPr>
          <w:ilvl w:val="0"/>
          <w:numId w:val="2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shall be no obligor in respect of any Incremental Term Loan Commitments or Incremental Revolving Facility Commitments that is not a Loan Party.</w:t>
      </w:r>
    </w:p>
    <w:p>
      <w:pPr>
        <w:sectPr>
          <w:pgSz w:w="11900" w:h="16838" w:orient="portrait"/>
          <w:cols w:equalWidth="0" w:num="1">
            <w:col w:w="10580"/>
          </w:cols>
          <w:pgMar w:left="980" w:top="108" w:right="339" w:bottom="1440" w:gutter="0" w:footer="0" w:header="0"/>
        </w:sectPr>
      </w:pPr>
    </w:p>
    <w:bookmarkStart w:id="286" w:name="page287"/>
    <w:bookmarkEnd w:id="286"/>
    <w:p>
      <w:pPr>
        <w:jc w:val="right"/>
        <w:spacing w:after="0"/>
        <w:rPr>
          <w:sz w:val="20"/>
          <w:szCs w:val="20"/>
          <w:color w:val="auto"/>
        </w:rPr>
      </w:pPr>
      <w:r>
        <w:rPr>
          <w:rFonts w:ascii="Times New Roman" w:cs="Times New Roman" w:eastAsia="Times New Roman" w:hAnsi="Times New Roman"/>
          <w:sz w:val="22"/>
          <w:szCs w:val="22"/>
          <w:color w:val="FF0000"/>
          <w:strike w:val="1"/>
        </w:rPr>
        <w:t>ANNEX</w:t>
      </w:r>
      <w:r>
        <w:rPr>
          <w:rFonts w:ascii="Times New Roman" w:cs="Times New Roman" w:eastAsia="Times New Roman" w:hAnsi="Times New Roman"/>
          <w:sz w:val="22"/>
          <w:szCs w:val="22"/>
          <w:b w:val="1"/>
          <w:bCs w:val="1"/>
          <w:u w:val="single" w:color="auto"/>
          <w:color w:val="0000FF"/>
        </w:rPr>
        <w:t>EXHIBIT</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ind w:firstLine="599"/>
        <w:spacing w:after="0" w:line="253" w:lineRule="auto"/>
        <w:rPr>
          <w:sz w:val="20"/>
          <w:szCs w:val="20"/>
          <w:color w:val="auto"/>
        </w:rPr>
      </w:pPr>
      <w:r>
        <w:rPr>
          <w:rFonts w:ascii="Times New Roman" w:cs="Times New Roman" w:eastAsia="Times New Roman" w:hAnsi="Times New Roman"/>
          <w:sz w:val="20"/>
          <w:szCs w:val="20"/>
          <w:color w:val="auto"/>
        </w:rPr>
        <w:t>Each party hereto hereby agrees that, upon the effectiveness of any Incremental Assumption Agreement, this Agreement shall be amended to the extent (but only to the extent) necessary to reflect the existence and terms of the Incremental Term Loan Commitments and/or Incremental Revolving Facility Commitments evidenced thereby as provided for in Section 9.08(e). Any amendment to this Agreement or any other Loan Document that is necessary to effect the provisions of this Section 2.21 and any such collateral and other documentation shall be deemed “Loan Documents” hereunder and may be memorialized in writing by the Administrative Agent with the Borrower’s consent (not to be unreasonably withheld) and furnished to the other parties hereto.</w:t>
      </w:r>
    </w:p>
    <w:p>
      <w:pPr>
        <w:spacing w:after="0" w:line="165" w:lineRule="exact"/>
        <w:rPr>
          <w:sz w:val="20"/>
          <w:szCs w:val="20"/>
          <w:color w:val="auto"/>
        </w:rPr>
      </w:pPr>
    </w:p>
    <w:p>
      <w:pPr>
        <w:jc w:val="both"/>
        <w:ind w:left="120" w:firstLine="1292"/>
        <w:spacing w:after="0" w:line="264" w:lineRule="auto"/>
        <w:tabs>
          <w:tab w:leader="none" w:pos="2082" w:val="left"/>
        </w:tabs>
        <w:numPr>
          <w:ilvl w:val="1"/>
          <w:numId w:val="20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Notwithstanding the foregoing, no Incremental Term Loan Commitment or Incremental Revolving Facility Commitment shall become effective under this Section 2.21 unless (i) on the date of such effectiveness, (A) to the extent required by the relevant Incremental Assumption Agreement, the conditions set forth in clause (c) of Section 4.01 shall be satisfied and the Administrative Agent shall have received a certificate to that effect dated such date and executed by a Responsible Officer of the Borrower and (B) if such Incremental Term Loan Commitment or Incremental Revolving Facility Commitment is established for a purpose other than financing any Permitted Business Acquisition or any other acquisition that is permitted by this Agreement, no Event of Default under Section 7.01(b), (c),</w:t>
      </w:r>
    </w:p>
    <w:p>
      <w:pPr>
        <w:spacing w:after="0" w:line="4" w:lineRule="exact"/>
        <w:rPr>
          <w:rFonts w:ascii="Times New Roman" w:cs="Times New Roman" w:eastAsia="Times New Roman" w:hAnsi="Times New Roman"/>
          <w:sz w:val="19"/>
          <w:szCs w:val="19"/>
          <w:color w:val="auto"/>
        </w:rPr>
      </w:pPr>
    </w:p>
    <w:p>
      <w:pPr>
        <w:jc w:val="both"/>
        <w:ind w:left="120" w:hanging="4"/>
        <w:spacing w:after="0" w:line="249" w:lineRule="auto"/>
        <w:tabs>
          <w:tab w:leader="none" w:pos="414" w:val="left"/>
        </w:tabs>
        <w:numPr>
          <w:ilvl w:val="0"/>
          <w:numId w:val="2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or (i) shall have occurred or be continuing or would result therefrom and (ii) the Administrative Agent shall have received customary legal opinions, board resolutions and other customary closing certificates and documentation as required by the relevant Incremental Assumption Agreement and, </w:t>
      </w:r>
      <w:r>
        <w:rPr>
          <w:rFonts w:ascii="Times New Roman" w:cs="Times New Roman" w:eastAsia="Times New Roman" w:hAnsi="Times New Roman"/>
          <w:sz w:val="20"/>
          <w:szCs w:val="20"/>
          <w:color w:val="FF0000"/>
          <w:strike w:val="1"/>
        </w:rPr>
        <w:t>to the extent required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008000"/>
          <w:strike w:val="1"/>
        </w:rPr>
        <w:t>by the Administrative Agent,</w:t>
      </w:r>
      <w:r>
        <w:rPr>
          <w:rFonts w:ascii="Times New Roman" w:cs="Times New Roman" w:eastAsia="Times New Roman" w:hAnsi="Times New Roman"/>
          <w:sz w:val="20"/>
          <w:szCs w:val="20"/>
          <w:color w:val="auto"/>
        </w:rPr>
        <w:t xml:space="preserve"> consistent with those delivered on the Closing Date under Section 4.02 of the Original Credit Agreement and such additional customary documents and filings (including amendments to the Mortgages and other Security Documents and title endorsement bringdowns) as the Administrative Agent may reasonably request to assure that the Incremental Term Loans and/or Revolving Facility Loans in respect of Incremental Revolving Facility Commitments are secured by the Collateral ratably with (or, to the extent set forth in the applicable Incremental Assumption Agreement, junior to) one or more Classes of then-existing Term Loans and Revolving Facility Loans.</w:t>
      </w:r>
    </w:p>
    <w:p>
      <w:pPr>
        <w:spacing w:after="0" w:line="168" w:lineRule="exact"/>
        <w:rPr>
          <w:rFonts w:ascii="Times New Roman" w:cs="Times New Roman" w:eastAsia="Times New Roman" w:hAnsi="Times New Roman"/>
          <w:sz w:val="20"/>
          <w:szCs w:val="20"/>
          <w:color w:val="auto"/>
        </w:rPr>
      </w:pPr>
    </w:p>
    <w:p>
      <w:pPr>
        <w:jc w:val="both"/>
        <w:ind w:left="120" w:firstLine="1292"/>
        <w:spacing w:after="0" w:line="253" w:lineRule="auto"/>
        <w:tabs>
          <w:tab w:leader="none" w:pos="1976" w:val="left"/>
        </w:tabs>
        <w:numPr>
          <w:ilvl w:val="1"/>
          <w:numId w:val="2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of the parties hereto hereby agrees that the Administrative Agent may take any and all action as may be reasonably necessary to ensure that (i) all Incremental Term Loans (other than Other Term Loans of a different Class), when originally made, are included in each Borrowing of the outstanding applicable Class of Term Loans on a pro rata basis, and (ii) all Revolving Facility Loans in respect of Incremental Revolving Facility Commitments (other than Revolving Facility Loans of a different Class), when originally made, are included in each Borrowing of the applicable Class of outstanding Revolving Facility Loans on a pro rata basis. The Borrower agrees that Section 2.16 shall apply to any conversion of SOFR Loans to ABR Loans reasonably required by the Administrative Agent to effect the foregoing.</w:t>
      </w:r>
    </w:p>
    <w:p>
      <w:pPr>
        <w:spacing w:after="0" w:line="165" w:lineRule="exact"/>
        <w:rPr>
          <w:rFonts w:ascii="Times New Roman" w:cs="Times New Roman" w:eastAsia="Times New Roman" w:hAnsi="Times New Roman"/>
          <w:sz w:val="20"/>
          <w:szCs w:val="20"/>
          <w:color w:val="auto"/>
        </w:rPr>
      </w:pPr>
    </w:p>
    <w:p>
      <w:pPr>
        <w:jc w:val="both"/>
        <w:ind w:left="120" w:firstLine="1292"/>
        <w:spacing w:after="0" w:line="251" w:lineRule="auto"/>
        <w:tabs>
          <w:tab w:leader="none" w:pos="1862" w:val="left"/>
        </w:tabs>
        <w:numPr>
          <w:ilvl w:val="1"/>
          <w:numId w:val="2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in this Agreement, including Section 2.18(c) (which provisions shall not be applicable to clauses (e) through (i) of this Section 2.21), pursuant to one or more offers made from time to time by the Borrower to all Lenders of any Class of Term Loans and/or Revolving Facility Commitments, on a pro rata basis (based, in the case of an offer to the Lenders under any Class of Term Loans, on the aggregate outstanding Term Loans of such Class and, in the case of an offer to the Lenders under any Revolving Facility, on the aggregate outstanding Revolving Facility Commitments under such Revolving Facility, as applicable) and on the same terms (“</w:t>
      </w:r>
      <w:r>
        <w:rPr>
          <w:rFonts w:ascii="Times New Roman" w:cs="Times New Roman" w:eastAsia="Times New Roman" w:hAnsi="Times New Roman"/>
          <w:sz w:val="20"/>
          <w:szCs w:val="20"/>
          <w:u w:val="single" w:color="auto"/>
          <w:color w:val="auto"/>
        </w:rPr>
        <w:t>Pro Rata Extension Offers</w:t>
      </w:r>
      <w:r>
        <w:rPr>
          <w:rFonts w:ascii="Times New Roman" w:cs="Times New Roman" w:eastAsia="Times New Roman" w:hAnsi="Times New Roman"/>
          <w:sz w:val="20"/>
          <w:szCs w:val="20"/>
          <w:color w:val="auto"/>
        </w:rPr>
        <w:t>”), the Borrower is hereby permitted to consummate transactions with individual Lenders from time to time to extend the maturity date of such Lender’s Loans and/or Commitments of such Class and to otherwise modify the terms of such Lender’s Loans and/or</w:t>
      </w:r>
    </w:p>
    <w:p>
      <w:pPr>
        <w:sectPr>
          <w:pgSz w:w="11900" w:h="16838" w:orient="portrait"/>
          <w:cols w:equalWidth="0" w:num="1">
            <w:col w:w="11240"/>
          </w:cols>
          <w:pgMar w:left="320" w:top="108" w:right="339" w:bottom="1440" w:gutter="0" w:footer="0" w:header="0"/>
        </w:sectPr>
      </w:pPr>
    </w:p>
    <w:bookmarkStart w:id="287" w:name="page288"/>
    <w:bookmarkEnd w:id="287"/>
    <w:p>
      <w:pPr>
        <w:jc w:val="right"/>
        <w:spacing w:after="0"/>
        <w:rPr>
          <w:sz w:val="20"/>
          <w:szCs w:val="20"/>
          <w:color w:val="auto"/>
        </w:rPr>
      </w:pPr>
      <w:r>
        <w:rPr>
          <w:rFonts w:ascii="Times New Roman" w:cs="Times New Roman" w:eastAsia="Times New Roman" w:hAnsi="Times New Roman"/>
          <w:sz w:val="22"/>
          <w:szCs w:val="22"/>
          <w:color w:val="FF0000"/>
          <w:strike w:val="1"/>
        </w:rPr>
        <w:t>ANNEX</w:t>
      </w:r>
      <w:r>
        <w:rPr>
          <w:rFonts w:ascii="Times New Roman" w:cs="Times New Roman" w:eastAsia="Times New Roman" w:hAnsi="Times New Roman"/>
          <w:sz w:val="22"/>
          <w:szCs w:val="22"/>
          <w:b w:val="1"/>
          <w:bCs w:val="1"/>
          <w:u w:val="single" w:color="auto"/>
          <w:color w:val="0000FF"/>
        </w:rPr>
        <w:t>EXHIBIT</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Commitments of such Class pursuant to the terms of the relevant Pro Rata Extension Offer (including, without limitation, increasing the interest rate or fees payable in respect of such Lender’s Loans and/or Commitments and/or modifying the amortization schedule in respect of such Lender’s Loans). For the avoidance of doubt, the reference to “on the same terms” in the preceding sentence shall mean, (i) in the case of an offer to the Lenders under any Class of Term Loans, that all of the Term Loans of such Class are offered to be extended for the same amount of time and that the interest rate changes and fees payable with respect to such extension are the same and (ii) in the case of an offer to the Lenders under any Revolving Facility, that all of the Revolving Facility Commitments of such Facility are offered to be extended for the same amount of time and that the interest rate changes and fees payable with respect to such extension are the same. Any such extension (an “</w:t>
      </w:r>
      <w:r>
        <w:rPr>
          <w:rFonts w:ascii="Times New Roman" w:cs="Times New Roman" w:eastAsia="Times New Roman" w:hAnsi="Times New Roman"/>
          <w:sz w:val="20"/>
          <w:szCs w:val="20"/>
          <w:u w:val="single" w:color="auto"/>
          <w:color w:val="auto"/>
        </w:rPr>
        <w:t>Extension</w:t>
      </w:r>
      <w:r>
        <w:rPr>
          <w:rFonts w:ascii="Times New Roman" w:cs="Times New Roman" w:eastAsia="Times New Roman" w:hAnsi="Times New Roman"/>
          <w:sz w:val="20"/>
          <w:szCs w:val="20"/>
          <w:color w:val="auto"/>
        </w:rPr>
        <w:t>”) agreed to between the Borrower and any such Lender (an “</w:t>
      </w:r>
      <w:r>
        <w:rPr>
          <w:rFonts w:ascii="Times New Roman" w:cs="Times New Roman" w:eastAsia="Times New Roman" w:hAnsi="Times New Roman"/>
          <w:sz w:val="20"/>
          <w:szCs w:val="20"/>
          <w:u w:val="single" w:color="auto"/>
          <w:color w:val="auto"/>
        </w:rPr>
        <w:t>Extending Lender</w:t>
      </w:r>
      <w:r>
        <w:rPr>
          <w:rFonts w:ascii="Times New Roman" w:cs="Times New Roman" w:eastAsia="Times New Roman" w:hAnsi="Times New Roman"/>
          <w:sz w:val="20"/>
          <w:szCs w:val="20"/>
          <w:color w:val="auto"/>
        </w:rPr>
        <w:t>”) will be established under this Agreement by implementing an Incremental Term Loan for such Lender if such Lender is extending an existing Term Loan (such extended Term Loan, an “</w:t>
      </w:r>
      <w:r>
        <w:rPr>
          <w:rFonts w:ascii="Times New Roman" w:cs="Times New Roman" w:eastAsia="Times New Roman" w:hAnsi="Times New Roman"/>
          <w:sz w:val="20"/>
          <w:szCs w:val="20"/>
          <w:u w:val="single" w:color="auto"/>
          <w:color w:val="auto"/>
        </w:rPr>
        <w:t>Extended Term Loan</w:t>
      </w:r>
      <w:r>
        <w:rPr>
          <w:rFonts w:ascii="Times New Roman" w:cs="Times New Roman" w:eastAsia="Times New Roman" w:hAnsi="Times New Roman"/>
          <w:sz w:val="20"/>
          <w:szCs w:val="20"/>
          <w:color w:val="auto"/>
        </w:rPr>
        <w:t>”) or an Incremental Revolving Facility Commitment for such Lender if such Lender is extending an existing Revolving Facility Commitment (such extended Revolving Facility Commitment, an “</w:t>
      </w:r>
      <w:r>
        <w:rPr>
          <w:rFonts w:ascii="Times New Roman" w:cs="Times New Roman" w:eastAsia="Times New Roman" w:hAnsi="Times New Roman"/>
          <w:sz w:val="20"/>
          <w:szCs w:val="20"/>
          <w:u w:val="single" w:color="auto"/>
          <w:color w:val="auto"/>
        </w:rPr>
        <w:t>Extended Revolving Facility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Commitment</w:t>
      </w:r>
      <w:r>
        <w:rPr>
          <w:rFonts w:ascii="Times New Roman" w:cs="Times New Roman" w:eastAsia="Times New Roman" w:hAnsi="Times New Roman"/>
          <w:sz w:val="20"/>
          <w:szCs w:val="20"/>
          <w:color w:val="auto"/>
        </w:rPr>
        <w:t>” and any Revolving Facility Loans made thereunder, “</w:t>
      </w:r>
      <w:r>
        <w:rPr>
          <w:rFonts w:ascii="Times New Roman" w:cs="Times New Roman" w:eastAsia="Times New Roman" w:hAnsi="Times New Roman"/>
          <w:sz w:val="20"/>
          <w:szCs w:val="20"/>
          <w:u w:val="single" w:color="auto"/>
          <w:color w:val="auto"/>
        </w:rPr>
        <w:t>Extended Revolving Loans</w:t>
      </w:r>
      <w:r>
        <w:rPr>
          <w:rFonts w:ascii="Times New Roman" w:cs="Times New Roman" w:eastAsia="Times New Roman" w:hAnsi="Times New Roman"/>
          <w:sz w:val="20"/>
          <w:szCs w:val="20"/>
          <w:color w:val="auto"/>
        </w:rPr>
        <w:t>”). Each Pro Rata Extension Offer shall specify the date on which the Borrower proposes that the Extended Term Loan shall be made or Extended Revolving Facility Commitment shall become effective, which shall be a date not earlier than five Business Days after the date on which notice is delivered to the Administrative Agent (or such shorter period agreed to by the Administrative Agent in its reasonable discretion).</w:t>
      </w:r>
    </w:p>
    <w:p>
      <w:pPr>
        <w:spacing w:after="0" w:line="187" w:lineRule="exact"/>
        <w:rPr>
          <w:sz w:val="20"/>
          <w:szCs w:val="20"/>
          <w:color w:val="auto"/>
        </w:rPr>
      </w:pPr>
    </w:p>
    <w:p>
      <w:pPr>
        <w:jc w:val="both"/>
        <w:ind w:firstLine="1292"/>
        <w:spacing w:after="0" w:line="248" w:lineRule="auto"/>
        <w:tabs>
          <w:tab w:leader="none" w:pos="1813" w:val="left"/>
        </w:tabs>
        <w:numPr>
          <w:ilvl w:val="0"/>
          <w:numId w:val="2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and each Extending Lender shall execute and deliver to the Administrative Agent an Incremental Assumption Agreement and such other documentation as the Administrative Agent shall reasonably specify to evidence the Extended Term Loans and/or Extended Revolving Facility Commitments of such Extending Lender. Each Incremental Assumption Agreement shall specify the terms of the applicable Extended Term Loans and/or Extended Revolving Facility Commitments;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(i) except as to interest rates, fees and any other pricing terms (which interest rates, fees and other pricing terms shall not be subject to the provisions set forth in Section 2.21(b)(vii)), and amortization, final maturity date and participation in prepayments and commitment reductions (which shall, subject to clauses (ii) and (iii) of this proviso, be determined by the Borrower and set forth in the Pro Rata Extension Offer), the Extended Term Loans shall have (x) the same terms as an existing Class of Term Loans or (y) such other terms as shall be reasonably satisfactory to the Administrative Agent, (ii) the final maturity date of any Extended Term Loans shall be no earlier than the latest Term Facility Maturity Date in effect on the date of incurrence, (iii) the Weighted Average Life to Maturity of any Extended Term Loans shall be no shorter than the remaining Weighted Average Life to Maturity of the Class of Term Loans to which such offer relates, (iv) except as to interest rates, fees, any other pricing terms, participation in mandatory prepayments and commitment reductions and final maturity (which shall be determined by the Borrower and set forth in the Pro Rata Extension Offer), any Extended Revolving Facility Commitment shall have (x) the same terms as an existing Class of Revolving Facility Commitments or (y) have such other terms as shall be reasonably satisfactory to the Administrative Agent and, in respect of any other terms that would affect the rights or duties of any Issuing Bank or Swingline Lender, such terms as shall be reasonably satisfactory to such Issuing Bank or Swingline Lender, (v) any Extended Revolving Facility Commitments may participate on a pro rata basis or a less than pro rata basis (but not greater than a pro rata basis) than the Initial Revolving Loans in any voluntary or mandatory prepayment or commitment reduction hereunder and (vi) any Extended Term Loans may participate on a pro rata basis or a less than pro rata basis (but not a greater than pro rata basis) than the Term B Loans in any mandatory prepayment hereunder. Upon the effectiveness of any Incremental Assumption Agreement, this Agreement shall be amended to the extent (but only to the extent) necessary to reflect the existence and terms of the Extended Term Loans and/or Extended</w:t>
      </w:r>
    </w:p>
    <w:p>
      <w:pPr>
        <w:sectPr>
          <w:pgSz w:w="11900" w:h="16838" w:orient="portrait"/>
          <w:cols w:equalWidth="0" w:num="1">
            <w:col w:w="11120"/>
          </w:cols>
          <w:pgMar w:left="440" w:top="108" w:right="339" w:bottom="1440" w:gutter="0" w:footer="0" w:header="0"/>
        </w:sectPr>
      </w:pPr>
    </w:p>
    <w:bookmarkStart w:id="288" w:name="page289"/>
    <w:bookmarkEnd w:id="288"/>
    <w:p>
      <w:pPr>
        <w:jc w:val="right"/>
        <w:spacing w:after="0"/>
        <w:rPr>
          <w:sz w:val="20"/>
          <w:szCs w:val="20"/>
          <w:color w:val="auto"/>
        </w:rPr>
      </w:pPr>
      <w:r>
        <w:rPr>
          <w:rFonts w:ascii="Times New Roman" w:cs="Times New Roman" w:eastAsia="Times New Roman" w:hAnsi="Times New Roman"/>
          <w:sz w:val="22"/>
          <w:szCs w:val="22"/>
          <w:color w:val="FF0000"/>
          <w:strike w:val="1"/>
        </w:rPr>
        <w:t>ANNEX</w:t>
      </w:r>
      <w:r>
        <w:rPr>
          <w:rFonts w:ascii="Times New Roman" w:cs="Times New Roman" w:eastAsia="Times New Roman" w:hAnsi="Times New Roman"/>
          <w:sz w:val="22"/>
          <w:szCs w:val="22"/>
          <w:b w:val="1"/>
          <w:bCs w:val="1"/>
          <w:u w:val="single" w:color="auto"/>
          <w:color w:val="0000FF"/>
        </w:rPr>
        <w:t>EXHIBIT</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ind w:left="4"/>
        <w:spacing w:after="0" w:line="253" w:lineRule="auto"/>
        <w:rPr>
          <w:sz w:val="20"/>
          <w:szCs w:val="20"/>
          <w:color w:val="auto"/>
        </w:rPr>
      </w:pPr>
      <w:r>
        <w:rPr>
          <w:rFonts w:ascii="Times New Roman" w:cs="Times New Roman" w:eastAsia="Times New Roman" w:hAnsi="Times New Roman"/>
          <w:sz w:val="20"/>
          <w:szCs w:val="20"/>
          <w:color w:val="auto"/>
        </w:rPr>
        <w:t>Revolving Facility Commitments evidenced thereby as provided for in Section 9.08(e). Any such deemed amendment may be memorialized in writing by the Administrative Agent with the Borrower’s consent (not to be unreasonably withheld) and furnished to the other parties hereto. If provided in any Incremental Assumption Agreement with respect to any Extended Revolving Facility Commitments, and with the consent of each Swingline Lender and Issuing Bank, participations in Swingline Loans and Letters of Credit shall be reallocated to lenders holding such Extended Revolving Facility Commitments in the manner specified in such Incremental Assumption Agreement, including upon effectiveness of such Extended Revolving Facility Commitment or upon or prior to the maturity date for any Class of Revolving Facility Commitments.</w:t>
      </w:r>
    </w:p>
    <w:p>
      <w:pPr>
        <w:spacing w:after="0" w:line="166" w:lineRule="exact"/>
        <w:rPr>
          <w:sz w:val="20"/>
          <w:szCs w:val="20"/>
          <w:color w:val="auto"/>
        </w:rPr>
      </w:pPr>
    </w:p>
    <w:p>
      <w:pPr>
        <w:jc w:val="both"/>
        <w:ind w:left="4" w:firstLine="1292"/>
        <w:spacing w:after="0" w:line="253" w:lineRule="auto"/>
        <w:tabs>
          <w:tab w:leader="none" w:pos="1797" w:val="left"/>
        </w:tabs>
        <w:numPr>
          <w:ilvl w:val="1"/>
          <w:numId w:val="2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the effectiveness of any such Extension, the applicable Extending Lender’s Term Loan will be automatically designated an Extended Term Loan and/or such Extending Lender’s Revolving Facility Commitment will be automatically designated an Extended Revolving Facility Commitment. For purposes of this Agreement and the other Loan Documents, (i) if such Extending Lender is extending a Term Loan, such Extending Lender will be deemed to have an Incremental Term Loan having the terms of such Extended Term Loan and (ii) if such Extending Lender is extending a Revolving Facility Commitment, such Extending Lender will be deemed to have an Incremental Revolving Facility Commitment having the terms of such Extended Revolving Facility Commitment.</w:t>
      </w:r>
    </w:p>
    <w:p>
      <w:pPr>
        <w:spacing w:after="0" w:line="165" w:lineRule="exact"/>
        <w:rPr>
          <w:rFonts w:ascii="Times New Roman" w:cs="Times New Roman" w:eastAsia="Times New Roman" w:hAnsi="Times New Roman"/>
          <w:sz w:val="20"/>
          <w:szCs w:val="20"/>
          <w:color w:val="auto"/>
        </w:rPr>
      </w:pPr>
    </w:p>
    <w:p>
      <w:pPr>
        <w:jc w:val="both"/>
        <w:ind w:left="4" w:firstLine="1292"/>
        <w:spacing w:after="0" w:line="263" w:lineRule="auto"/>
        <w:tabs>
          <w:tab w:leader="none" w:pos="1739" w:val="left"/>
        </w:tabs>
        <w:numPr>
          <w:ilvl w:val="1"/>
          <w:numId w:val="20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Notwithstanding anything to the contrary set forth in this Agreement or any other Loan Document (including, without limitation, this Section 2.21), (i) the aggregate amount of Extended Term Loans and Extended Revolving Facility Commitments will not be included in the calculation of the Incremental Amount, (ii) no Extended Term Loan or Extended Revolving Facility Commitment is required to be in any minimum amount or any minimum increment, (iii) any Extending Lender may extend all or any portion of its Term Loans and/or Revolving Facility Commitment pursuant to one or more Pro Rata Extension Offers (subject to applicable proration in the case of over participation) (including the extension of any Extended Term Loan and/or Extended Revolving Facility Commitment), (iv) there shall be no condition to any Extension of any Loan or Commitment at any time or from time to time other than notice to the Administrative Agent of such Extension and the terms of the Extended Term Loan or Extended Revolving Facility Commitment implemented thereby,</w:t>
      </w:r>
    </w:p>
    <w:p>
      <w:pPr>
        <w:spacing w:after="0" w:line="3" w:lineRule="exact"/>
        <w:rPr>
          <w:rFonts w:ascii="Times New Roman" w:cs="Times New Roman" w:eastAsia="Times New Roman" w:hAnsi="Times New Roman"/>
          <w:sz w:val="19"/>
          <w:szCs w:val="19"/>
          <w:color w:val="auto"/>
        </w:rPr>
      </w:pPr>
    </w:p>
    <w:p>
      <w:pPr>
        <w:jc w:val="both"/>
        <w:ind w:left="4" w:hanging="4"/>
        <w:spacing w:after="0" w:line="250" w:lineRule="auto"/>
        <w:tabs>
          <w:tab w:leader="none" w:pos="288" w:val="left"/>
        </w:tabs>
        <w:numPr>
          <w:ilvl w:val="0"/>
          <w:numId w:val="2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Extended Term Loans, Extended Revolving Facility Commitments and all obligations in respect thereof shall be Loan Obligations of the relevant Loan Parties under this Agreement and the other Loan Documents that are secured by the Collateral on a pari passu basis with all other Obligations relating to an existing Class of Term Loans of the relevant Loan Parties under this Agreement and the other Loan Documents, (vi) no Issuing Bank or Swingline Lender shall be obligated to provide Swingline Loans or issue Letters of Credit under such Extended Revolving Facility Commitments unless it shall have consented thereto and (vii) there shall be no obligor in respect of any such Extended Term Loans or Extended Revolving Facility Commitments that is not a Loan Party.</w:t>
      </w:r>
    </w:p>
    <w:p>
      <w:pPr>
        <w:spacing w:after="0" w:line="167" w:lineRule="exact"/>
        <w:rPr>
          <w:rFonts w:ascii="Times New Roman" w:cs="Times New Roman" w:eastAsia="Times New Roman" w:hAnsi="Times New Roman"/>
          <w:sz w:val="20"/>
          <w:szCs w:val="20"/>
          <w:color w:val="auto"/>
        </w:rPr>
      </w:pPr>
    </w:p>
    <w:p>
      <w:pPr>
        <w:jc w:val="both"/>
        <w:ind w:left="4" w:firstLine="1292"/>
        <w:spacing w:after="0" w:line="258" w:lineRule="auto"/>
        <w:tabs>
          <w:tab w:leader="none" w:pos="1760" w:val="left"/>
        </w:tabs>
        <w:numPr>
          <w:ilvl w:val="1"/>
          <w:numId w:val="2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Extension shall be consummated pursuant to procedures set forth in the associated Pro Rata Extension Offer;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the Borrower shall cooperate with the Administrative Agent prior to making any Pro Rata Extension Offer to establish reasonable procedures with respect to mechanical provisions relating to such Extension, including, without limitation, timing, rounding and other adjustments.</w:t>
      </w:r>
    </w:p>
    <w:p>
      <w:pPr>
        <w:spacing w:after="0" w:line="158" w:lineRule="exact"/>
        <w:rPr>
          <w:rFonts w:ascii="Times New Roman" w:cs="Times New Roman" w:eastAsia="Times New Roman" w:hAnsi="Times New Roman"/>
          <w:sz w:val="20"/>
          <w:szCs w:val="20"/>
          <w:color w:val="auto"/>
        </w:rPr>
      </w:pPr>
    </w:p>
    <w:p>
      <w:pPr>
        <w:jc w:val="both"/>
        <w:ind w:left="4" w:firstLine="1292"/>
        <w:spacing w:after="0" w:line="261" w:lineRule="auto"/>
        <w:tabs>
          <w:tab w:leader="none" w:pos="1719" w:val="left"/>
        </w:tabs>
        <w:numPr>
          <w:ilvl w:val="1"/>
          <w:numId w:val="2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in this Agreement, including Section 2.18(c) (which provisions shall not be applicable to clauses (j) through (o) of this Section 2.21), the Borrower may by written notice to the Administrative Agent establish one or more additional tranches of term loans under this Agreement (such loans, “</w:t>
      </w:r>
      <w:r>
        <w:rPr>
          <w:rFonts w:ascii="Times New Roman" w:cs="Times New Roman" w:eastAsia="Times New Roman" w:hAnsi="Times New Roman"/>
          <w:sz w:val="20"/>
          <w:szCs w:val="20"/>
          <w:u w:val="single" w:color="auto"/>
          <w:color w:val="auto"/>
        </w:rPr>
        <w:t>Refinancing Term Loans</w:t>
      </w:r>
      <w:r>
        <w:rPr>
          <w:rFonts w:ascii="Times New Roman" w:cs="Times New Roman" w:eastAsia="Times New Roman" w:hAnsi="Times New Roman"/>
          <w:sz w:val="20"/>
          <w:szCs w:val="20"/>
          <w:color w:val="auto"/>
        </w:rPr>
        <w:t>”), the net cash</w:t>
      </w:r>
    </w:p>
    <w:p>
      <w:pPr>
        <w:sectPr>
          <w:pgSz w:w="11900" w:h="16838" w:orient="portrait"/>
          <w:cols w:equalWidth="0" w:num="1">
            <w:col w:w="11124"/>
          </w:cols>
          <w:pgMar w:left="436" w:top="108" w:right="339" w:bottom="1440" w:gutter="0" w:footer="0" w:header="0"/>
        </w:sectPr>
      </w:pPr>
    </w:p>
    <w:bookmarkStart w:id="289" w:name="page290"/>
    <w:bookmarkEnd w:id="289"/>
    <w:p>
      <w:pPr>
        <w:jc w:val="right"/>
        <w:spacing w:after="0"/>
        <w:rPr>
          <w:sz w:val="20"/>
          <w:szCs w:val="20"/>
          <w:color w:val="auto"/>
        </w:rPr>
      </w:pPr>
      <w:r>
        <w:rPr>
          <w:rFonts w:ascii="Times New Roman" w:cs="Times New Roman" w:eastAsia="Times New Roman" w:hAnsi="Times New Roman"/>
          <w:sz w:val="22"/>
          <w:szCs w:val="22"/>
          <w:color w:val="FF0000"/>
          <w:strike w:val="1"/>
        </w:rPr>
        <w:t>ANNEX</w:t>
      </w:r>
      <w:r>
        <w:rPr>
          <w:rFonts w:ascii="Times New Roman" w:cs="Times New Roman" w:eastAsia="Times New Roman" w:hAnsi="Times New Roman"/>
          <w:sz w:val="22"/>
          <w:szCs w:val="22"/>
          <w:b w:val="1"/>
          <w:bCs w:val="1"/>
          <w:u w:val="single" w:color="auto"/>
          <w:color w:val="0000FF"/>
        </w:rPr>
        <w:t>EXHIBIT</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proceeds of which are used to Refinance in whole or in part any Class of Term Loans. Each such notice shall specify the date (each, a “</w:t>
      </w:r>
      <w:r>
        <w:rPr>
          <w:rFonts w:ascii="Times New Roman" w:cs="Times New Roman" w:eastAsia="Times New Roman" w:hAnsi="Times New Roman"/>
          <w:sz w:val="20"/>
          <w:szCs w:val="20"/>
          <w:u w:val="single" w:color="auto"/>
          <w:color w:val="auto"/>
        </w:rPr>
        <w:t>Refinancing Effective Date</w:t>
      </w:r>
      <w:r>
        <w:rPr>
          <w:rFonts w:ascii="Times New Roman" w:cs="Times New Roman" w:eastAsia="Times New Roman" w:hAnsi="Times New Roman"/>
          <w:sz w:val="20"/>
          <w:szCs w:val="20"/>
          <w:color w:val="auto"/>
        </w:rPr>
        <w:t xml:space="preserve">”) on which the Borrower proposes that the Refinancing Term Loans shall be made, which shall be a date not earlier than five Business Days after the date on which such notice is delivered to the Administrative Agent (or such shorter period agreed to by the Administrative Agent in its reasonable discretion);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w:t>
      </w:r>
    </w:p>
    <w:p>
      <w:pPr>
        <w:spacing w:after="0" w:line="159" w:lineRule="exact"/>
        <w:rPr>
          <w:sz w:val="20"/>
          <w:szCs w:val="20"/>
          <w:color w:val="auto"/>
        </w:rPr>
      </w:pPr>
    </w:p>
    <w:p>
      <w:pPr>
        <w:jc w:val="both"/>
        <w:ind w:left="540" w:firstLine="1292"/>
        <w:spacing w:after="0" w:line="261" w:lineRule="auto"/>
        <w:tabs>
          <w:tab w:leader="none" w:pos="2272" w:val="left"/>
        </w:tabs>
        <w:numPr>
          <w:ilvl w:val="1"/>
          <w:numId w:val="2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before and after giving effect to the borrowing of such Refinancing Term Loans on the Refinancing Effective Date each of the conditions set forth in Section 4.01 shall be satisfied to the extent required by the relevant Incremental Assumption Agreement governing such Refinancing Term Loans;</w:t>
      </w:r>
    </w:p>
    <w:p>
      <w:pPr>
        <w:spacing w:after="0" w:line="154" w:lineRule="exact"/>
        <w:rPr>
          <w:rFonts w:ascii="Times New Roman" w:cs="Times New Roman" w:eastAsia="Times New Roman" w:hAnsi="Times New Roman"/>
          <w:sz w:val="20"/>
          <w:szCs w:val="20"/>
          <w:color w:val="auto"/>
        </w:rPr>
      </w:pPr>
    </w:p>
    <w:p>
      <w:pPr>
        <w:ind w:left="540" w:firstLine="1292"/>
        <w:spacing w:after="0" w:line="283" w:lineRule="auto"/>
        <w:tabs>
          <w:tab w:leader="none" w:pos="2303" w:val="left"/>
        </w:tabs>
        <w:numPr>
          <w:ilvl w:val="1"/>
          <w:numId w:val="2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final maturity date of the Refinancing Term Loans shall be no earlier than the Term Facility Maturity Date of the refinanced Term Loans,</w:t>
      </w:r>
    </w:p>
    <w:p>
      <w:pPr>
        <w:spacing w:after="0" w:line="132" w:lineRule="exact"/>
        <w:rPr>
          <w:rFonts w:ascii="Times New Roman" w:cs="Times New Roman" w:eastAsia="Times New Roman" w:hAnsi="Times New Roman"/>
          <w:sz w:val="20"/>
          <w:szCs w:val="20"/>
          <w:color w:val="auto"/>
        </w:rPr>
      </w:pPr>
    </w:p>
    <w:p>
      <w:pPr>
        <w:ind w:left="540" w:firstLine="1292"/>
        <w:spacing w:after="0" w:line="283" w:lineRule="auto"/>
        <w:tabs>
          <w:tab w:leader="none" w:pos="2413" w:val="left"/>
        </w:tabs>
        <w:numPr>
          <w:ilvl w:val="1"/>
          <w:numId w:val="2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Weighted Average Life to Maturity of such Refinancing Term Loans shall be no shorter than the then-remaining Weighted Average Life to Maturity of the refinanced Term Loans;</w:t>
      </w:r>
    </w:p>
    <w:p>
      <w:pPr>
        <w:spacing w:after="0" w:line="132" w:lineRule="exact"/>
        <w:rPr>
          <w:rFonts w:ascii="Times New Roman" w:cs="Times New Roman" w:eastAsia="Times New Roman" w:hAnsi="Times New Roman"/>
          <w:sz w:val="20"/>
          <w:szCs w:val="20"/>
          <w:color w:val="auto"/>
        </w:rPr>
      </w:pPr>
    </w:p>
    <w:p>
      <w:pPr>
        <w:jc w:val="both"/>
        <w:ind w:left="540" w:firstLine="1292"/>
        <w:spacing w:after="0" w:line="261" w:lineRule="auto"/>
        <w:tabs>
          <w:tab w:leader="none" w:pos="2428" w:val="left"/>
        </w:tabs>
        <w:numPr>
          <w:ilvl w:val="1"/>
          <w:numId w:val="2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aggregate principal amount of the Refinancing Term Loans shall not exceed the outstanding principal amount of the refinanced Term Loans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amounts used to pay fees, premiums, costs and expenses (including original issue discount) and accrued interest associated therewith;</w:t>
      </w:r>
    </w:p>
    <w:p>
      <w:pPr>
        <w:spacing w:after="0" w:line="167" w:lineRule="exact"/>
        <w:rPr>
          <w:rFonts w:ascii="Times New Roman" w:cs="Times New Roman" w:eastAsia="Times New Roman" w:hAnsi="Times New Roman"/>
          <w:sz w:val="20"/>
          <w:szCs w:val="20"/>
          <w:color w:val="auto"/>
        </w:rPr>
      </w:pPr>
    </w:p>
    <w:p>
      <w:pPr>
        <w:jc w:val="both"/>
        <w:ind w:left="540" w:firstLine="1292"/>
        <w:spacing w:after="0" w:line="262" w:lineRule="auto"/>
        <w:tabs>
          <w:tab w:leader="none" w:pos="2361" w:val="left"/>
        </w:tabs>
        <w:numPr>
          <w:ilvl w:val="1"/>
          <w:numId w:val="20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other terms applicable to such Refinancing Term Loans (other than provisions relating to original issue discount, upfront fees, interest rates and any other pricing terms (which original issue discount, upfront fees, interest rates and other pricing terms shall not be subject to the provisions set forth in Section 2.21(b)(vii)) and optional prepayment or mandatory prepayment or redemption terms, which shall be as agreed between the Borrower and the Lenders providing such Refinancing Term Loans) taken as a whole shall be substantially similar to, or not materially less favorable to the Borrower and its Subsidiaries than, the terms, taken as a whole, applicable to the Term B Loans (except to the extent such covenants and other terms apply solely to any period after the Term B Facility Maturity Date or are otherwise reasonably acceptable to the Administrative Agent), as determined by the Borrower in good faith. In addition, notwithstanding the foregoing, the Borrower may establish Refinancing Term Loans to refinance and/or replace all or any portion of a Revolving Facility Commitment (regardless of whether Revolving Facility Loans are outstanding under such Revolving Facility Commitments at the time of incurrence of such Refinancing Term Loans), so long as</w:t>
      </w:r>
    </w:p>
    <w:p>
      <w:pPr>
        <w:spacing w:after="0" w:line="6" w:lineRule="exact"/>
        <w:rPr>
          <w:rFonts w:ascii="Times New Roman" w:cs="Times New Roman" w:eastAsia="Times New Roman" w:hAnsi="Times New Roman"/>
          <w:sz w:val="19"/>
          <w:szCs w:val="19"/>
          <w:color w:val="auto"/>
        </w:rPr>
      </w:pPr>
    </w:p>
    <w:p>
      <w:pPr>
        <w:jc w:val="both"/>
        <w:ind w:left="540" w:hanging="4"/>
        <w:spacing w:after="0" w:line="260" w:lineRule="auto"/>
        <w:tabs>
          <w:tab w:leader="none" w:pos="888" w:val="left"/>
        </w:tabs>
        <w:numPr>
          <w:ilvl w:val="0"/>
          <w:numId w:val="20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aggregate amount of such Refinancing Term Loans does not exceed the aggregate amount of Revolving Facility Commitments terminated at the time of incurrence thereof, (2) if the Revolving Facility Credit Exposure outstanding on the Refinancing Effective Date would exceed the aggregate amount of Revolving Facility Commitments outstanding in each case after giving effect to the termination of such Revolving Facility Commitments, the Borrower shall take one or more actions such that such Revolving Facility Credit Exposure does not exceed such aggregate amount of Revolving Facility Commitments in effect on the Refinancing Effective Date after giving effect to the termination of such Revolving Facility Commitments (it being understood that</w:t>
      </w:r>
    </w:p>
    <w:p>
      <w:pPr>
        <w:spacing w:after="0" w:line="4" w:lineRule="exact"/>
        <w:rPr>
          <w:rFonts w:ascii="Times New Roman" w:cs="Times New Roman" w:eastAsia="Times New Roman" w:hAnsi="Times New Roman"/>
          <w:sz w:val="19"/>
          <w:szCs w:val="19"/>
          <w:color w:val="auto"/>
        </w:rPr>
      </w:pPr>
    </w:p>
    <w:p>
      <w:pPr>
        <w:jc w:val="both"/>
        <w:ind w:left="540"/>
        <w:spacing w:after="0" w:line="251"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(x) such Refinancing Term Loans may be provided by the Lenders holding the Revolving Facility Commitments being terminated and/or by any other person that would be a permitted Assignee hereunder and (y) the proceeds of such Refinancing Term Loans shall not constitute Net Proceeds hereunder), (3) the Weighted Average Life to Maturity of the Refinancing Term Loans (disregarding any customary amortization for this purpose) shall be no shorter than the remaining</w:t>
      </w:r>
    </w:p>
    <w:p>
      <w:pPr>
        <w:sectPr>
          <w:pgSz w:w="11900" w:h="16838" w:orient="portrait"/>
          <w:cols w:equalWidth="0" w:num="1">
            <w:col w:w="11120"/>
          </w:cols>
          <w:pgMar w:left="440" w:top="108" w:right="339" w:bottom="1440" w:gutter="0" w:footer="0" w:header="0"/>
        </w:sectPr>
      </w:pPr>
    </w:p>
    <w:bookmarkStart w:id="290" w:name="page291"/>
    <w:bookmarkEnd w:id="290"/>
    <w:p>
      <w:pPr>
        <w:jc w:val="right"/>
        <w:spacing w:after="0"/>
        <w:rPr>
          <w:sz w:val="20"/>
          <w:szCs w:val="20"/>
          <w:color w:val="auto"/>
        </w:rPr>
      </w:pPr>
      <w:r>
        <w:rPr>
          <w:rFonts w:ascii="Times New Roman" w:cs="Times New Roman" w:eastAsia="Times New Roman" w:hAnsi="Times New Roman"/>
          <w:sz w:val="22"/>
          <w:szCs w:val="22"/>
          <w:color w:val="FF0000"/>
          <w:strike w:val="1"/>
        </w:rPr>
        <w:t>ANNEX</w:t>
      </w:r>
      <w:r>
        <w:rPr>
          <w:rFonts w:ascii="Times New Roman" w:cs="Times New Roman" w:eastAsia="Times New Roman" w:hAnsi="Times New Roman"/>
          <w:sz w:val="22"/>
          <w:szCs w:val="22"/>
          <w:b w:val="1"/>
          <w:bCs w:val="1"/>
          <w:u w:val="single" w:color="auto"/>
          <w:color w:val="0000FF"/>
        </w:rPr>
        <w:t>EXHIBIT</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ind w:left="540"/>
        <w:spacing w:after="0" w:line="252" w:lineRule="auto"/>
        <w:rPr>
          <w:sz w:val="20"/>
          <w:szCs w:val="20"/>
          <w:color w:val="auto"/>
        </w:rPr>
      </w:pPr>
      <w:r>
        <w:rPr>
          <w:rFonts w:ascii="Times New Roman" w:cs="Times New Roman" w:eastAsia="Times New Roman" w:hAnsi="Times New Roman"/>
          <w:sz w:val="20"/>
          <w:szCs w:val="20"/>
          <w:color w:val="auto"/>
        </w:rPr>
        <w:t>life to termination of the terminated Revolving Facility Commitments, (4) the final maturity date of the Refinancing Term Loans shall be no earlier than the termination date of the terminated Revolving Facility Commitments and (5) all other terms applicable to such Refinancing Term Loans (other than provisions relating to original issue discount, upfront fees, interest rates and any other pricing terms (which original issue discount, upfront fees, interest rates and other pricing terms shall not be subject to the provisions set forth in Section 2.21(b)(vii)) and optional prepayment or mandatory prepayment or redemption terms, which shall be as agreed between the Borrower and the Lenders providing such Refinancing Term Loans) taken as a whole shall be substantially similar to, or not materially less favorable to the Borrower and its Subsidiaries than, the terms, taken as a whole, applicable to the Term B Loans (except to the extent such covenants and other terms apply solely to any period after the Term B Facility Maturity Date or are otherwise reasonably acceptable to the Administrative Agent), as determined by the Borrower in good faith;</w:t>
      </w:r>
    </w:p>
    <w:p>
      <w:pPr>
        <w:spacing w:after="0" w:line="162" w:lineRule="exact"/>
        <w:rPr>
          <w:sz w:val="20"/>
          <w:szCs w:val="20"/>
          <w:color w:val="auto"/>
        </w:rPr>
      </w:pPr>
    </w:p>
    <w:p>
      <w:pPr>
        <w:jc w:val="both"/>
        <w:ind w:left="540" w:firstLine="1292"/>
        <w:spacing w:after="0" w:line="261" w:lineRule="auto"/>
        <w:tabs>
          <w:tab w:leader="none" w:pos="2378" w:val="left"/>
        </w:tabs>
        <w:numPr>
          <w:ilvl w:val="1"/>
          <w:numId w:val="2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Refinancing Term Loans secured by Liens on the Collateral that rank pari passu or junior in right of security to the Term B Loans, such Liens will be subject to a Permitted Pari Passu Intercreditor Agreement or Permitted Junior Intercreditor Agreement, as applicable; and</w:t>
      </w:r>
    </w:p>
    <w:p>
      <w:pPr>
        <w:spacing w:after="0" w:line="154" w:lineRule="exact"/>
        <w:rPr>
          <w:rFonts w:ascii="Times New Roman" w:cs="Times New Roman" w:eastAsia="Times New Roman" w:hAnsi="Times New Roman"/>
          <w:sz w:val="20"/>
          <w:szCs w:val="20"/>
          <w:color w:val="auto"/>
        </w:rPr>
      </w:pPr>
    </w:p>
    <w:p>
      <w:pPr>
        <w:ind w:left="2380" w:hanging="548"/>
        <w:spacing w:after="0"/>
        <w:tabs>
          <w:tab w:leader="none" w:pos="2380" w:val="left"/>
        </w:tabs>
        <w:numPr>
          <w:ilvl w:val="1"/>
          <w:numId w:val="2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shall be no obligor in respect of such Refinancing Term Loans that is not a Loan Party.</w:t>
      </w:r>
    </w:p>
    <w:p>
      <w:pPr>
        <w:spacing w:after="0" w:line="215" w:lineRule="exact"/>
        <w:rPr>
          <w:rFonts w:ascii="Times New Roman" w:cs="Times New Roman" w:eastAsia="Times New Roman" w:hAnsi="Times New Roman"/>
          <w:sz w:val="20"/>
          <w:szCs w:val="20"/>
          <w:color w:val="auto"/>
        </w:rPr>
      </w:pPr>
    </w:p>
    <w:p>
      <w:pPr>
        <w:jc w:val="both"/>
        <w:ind w:firstLine="1292"/>
        <w:spacing w:after="0" w:line="251" w:lineRule="auto"/>
        <w:tabs>
          <w:tab w:leader="none" w:pos="1875" w:val="left"/>
        </w:tabs>
        <w:numPr>
          <w:ilvl w:val="0"/>
          <w:numId w:val="2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may approach any Lender or any other person that would be a permitted Assignee pursuant to Section 9.04 to provide all or a portion of the Refinancing Term Loans;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Lender offered or approached to provide all or a portion of the Refinancing Term Loans may elect or decline, in its sole discretion, to provide a Refinancing Term Loan. Any Refinancing Term Loans made on any Refinancing Effective Date shall be designated an additional Class of Term Loans for all purposes of this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any Refinancing Term Loans may, to the extent provided in the applicable Incremental Assumption Agreement governing such Refinancing Term Loans, be designated as an increase in any previously established Class of Term Loans made to the Borrower.</w:t>
      </w:r>
    </w:p>
    <w:p>
      <w:pPr>
        <w:spacing w:after="0" w:line="179" w:lineRule="exact"/>
        <w:rPr>
          <w:rFonts w:ascii="Times New Roman" w:cs="Times New Roman" w:eastAsia="Times New Roman" w:hAnsi="Times New Roman"/>
          <w:sz w:val="20"/>
          <w:szCs w:val="20"/>
          <w:color w:val="auto"/>
        </w:rPr>
      </w:pPr>
    </w:p>
    <w:p>
      <w:pPr>
        <w:jc w:val="both"/>
        <w:ind w:firstLine="1292"/>
        <w:spacing w:after="0" w:line="249" w:lineRule="auto"/>
        <w:tabs>
          <w:tab w:leader="none" w:pos="1715" w:val="left"/>
        </w:tabs>
        <w:numPr>
          <w:ilvl w:val="0"/>
          <w:numId w:val="2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in this Agreement, including Section 2.18(c) (which provisions shall not be applicable to clauses (l) through (o) of this Section 2.21), the Borrower may by written notice to the Administrative Agent establish one or more additional Facilities providing for revolving commitments (“</w:t>
      </w:r>
      <w:r>
        <w:rPr>
          <w:rFonts w:ascii="Times New Roman" w:cs="Times New Roman" w:eastAsia="Times New Roman" w:hAnsi="Times New Roman"/>
          <w:sz w:val="20"/>
          <w:szCs w:val="20"/>
          <w:u w:val="single" w:color="auto"/>
          <w:color w:val="auto"/>
        </w:rPr>
        <w:t>Replacement Revolving Facilities</w:t>
      </w:r>
      <w:r>
        <w:rPr>
          <w:rFonts w:ascii="Times New Roman" w:cs="Times New Roman" w:eastAsia="Times New Roman" w:hAnsi="Times New Roman"/>
          <w:sz w:val="20"/>
          <w:szCs w:val="20"/>
          <w:color w:val="auto"/>
        </w:rPr>
        <w:t>” and the commitments thereunder, “</w:t>
      </w:r>
      <w:r>
        <w:rPr>
          <w:rFonts w:ascii="Times New Roman" w:cs="Times New Roman" w:eastAsia="Times New Roman" w:hAnsi="Times New Roman"/>
          <w:sz w:val="20"/>
          <w:szCs w:val="20"/>
          <w:u w:val="single" w:color="auto"/>
          <w:color w:val="auto"/>
        </w:rPr>
        <w:t>Replacement Revolving Facility Commitments</w:t>
      </w:r>
      <w:r>
        <w:rPr>
          <w:rFonts w:ascii="Times New Roman" w:cs="Times New Roman" w:eastAsia="Times New Roman" w:hAnsi="Times New Roman"/>
          <w:sz w:val="20"/>
          <w:szCs w:val="20"/>
          <w:color w:val="auto"/>
        </w:rPr>
        <w:t>” and the revolving loans thereunder, “</w:t>
      </w:r>
      <w:r>
        <w:rPr>
          <w:rFonts w:ascii="Times New Roman" w:cs="Times New Roman" w:eastAsia="Times New Roman" w:hAnsi="Times New Roman"/>
          <w:sz w:val="20"/>
          <w:szCs w:val="20"/>
          <w:u w:val="single" w:color="auto"/>
          <w:color w:val="auto"/>
        </w:rPr>
        <w:t>Replacement Revolving Loans</w:t>
      </w:r>
      <w:r>
        <w:rPr>
          <w:rFonts w:ascii="Times New Roman" w:cs="Times New Roman" w:eastAsia="Times New Roman" w:hAnsi="Times New Roman"/>
          <w:sz w:val="20"/>
          <w:szCs w:val="20"/>
          <w:color w:val="auto"/>
        </w:rPr>
        <w:t>”), which replace in whole or in part any Class of Revolving Facility Commitments under this Agreement. Each such notice shall specify the date (each, a “</w:t>
      </w:r>
      <w:r>
        <w:rPr>
          <w:rFonts w:ascii="Times New Roman" w:cs="Times New Roman" w:eastAsia="Times New Roman" w:hAnsi="Times New Roman"/>
          <w:sz w:val="20"/>
          <w:szCs w:val="20"/>
          <w:u w:val="single" w:color="auto"/>
          <w:color w:val="auto"/>
        </w:rPr>
        <w:t>Replacement Revolving Facility Effective Date</w:t>
      </w:r>
      <w:r>
        <w:rPr>
          <w:rFonts w:ascii="Times New Roman" w:cs="Times New Roman" w:eastAsia="Times New Roman" w:hAnsi="Times New Roman"/>
          <w:sz w:val="20"/>
          <w:szCs w:val="20"/>
          <w:color w:val="auto"/>
        </w:rPr>
        <w:t xml:space="preserve">”) on which the Borrower proposes that the Replacement Revolving Facility Commitments shall become effective, which shall be a date not less than five Business Days after the date on which such notice is delivered to the Administrative Agent (or such shorter period agreed to by the Administrative Agent in its reasonable discretion);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before and after giving effect to the establishment of such Replacement Revolving Facility Commitments on the Replacement Revolving Facility Effective Date, each of the conditions set forth in Section 4.01 shall be satisfied to the extent required by the relevant Incremental Assumption Agreement governing such Replacement Revolving Facility Commitments; (ii) after giving effect to the establishment of any Replacement Revolving Facility Commitments and any concurrent reduction in the aggregate amount of any other Revolving Facility Commitments, the aggregate amount of Revolving Facility Commitments shall not exceed the aggregate amount of the Revolving Facility Commitments</w:t>
      </w:r>
    </w:p>
    <w:p>
      <w:pPr>
        <w:sectPr>
          <w:pgSz w:w="11900" w:h="16838" w:orient="portrait"/>
          <w:cols w:equalWidth="0" w:num="1">
            <w:col w:w="11120"/>
          </w:cols>
          <w:pgMar w:left="440" w:top="108" w:right="339" w:bottom="1440" w:gutter="0" w:footer="0" w:header="0"/>
        </w:sectPr>
      </w:pPr>
    </w:p>
    <w:bookmarkStart w:id="291" w:name="page292"/>
    <w:bookmarkEnd w:id="291"/>
    <w:p>
      <w:pPr>
        <w:jc w:val="right"/>
        <w:spacing w:after="0"/>
        <w:rPr>
          <w:sz w:val="20"/>
          <w:szCs w:val="20"/>
          <w:color w:val="auto"/>
        </w:rPr>
      </w:pPr>
      <w:r>
        <w:rPr>
          <w:rFonts w:ascii="Times New Roman" w:cs="Times New Roman" w:eastAsia="Times New Roman" w:hAnsi="Times New Roman"/>
          <w:sz w:val="22"/>
          <w:szCs w:val="22"/>
          <w:color w:val="FF0000"/>
          <w:strike w:val="1"/>
        </w:rPr>
        <w:t>ANNEX</w:t>
      </w:r>
      <w:r>
        <w:rPr>
          <w:rFonts w:ascii="Times New Roman" w:cs="Times New Roman" w:eastAsia="Times New Roman" w:hAnsi="Times New Roman"/>
          <w:sz w:val="22"/>
          <w:szCs w:val="22"/>
          <w:b w:val="1"/>
          <w:bCs w:val="1"/>
          <w:u w:val="single" w:color="auto"/>
          <w:color w:val="0000FF"/>
        </w:rPr>
        <w:t>EXHIBIT</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9"/>
          <w:szCs w:val="19"/>
          <w:color w:val="auto"/>
        </w:rPr>
        <w:t>outstanding immediately prior to the applicable Replacement Revolving Facility Effective Date; (iii) no Replacement Revolving Facility Commitments shall have a final maturity date (or require commitment reductions or amortizations) prior to the Revolving Facility Maturity Date in effect at the time of incurrence for the Revolving Facility Commitments being replaced; (iv) all other terms applicable to such Replacement Revolving Facility (other than provisions relating to (x) fees, interest rates and other pricing terms and prepayment and commitment reduction and optional redemption terms which shall be as agreed between the Borrower and the Lenders providing such Replacement Revolving Facility Commitments and (y) the amount of any letter of credit sublimit and swingline commitment under such Replacement Revolving Facility, which shall be as agreed between the Borrower, the Lenders providing such Replacement Revolving Facility Commitments, the Administrative Agent and the replacement issuing bank and replacement swingline lender, if any, under such Replacement Revolving Facility Commitments) taken as a whole shall be substantially similar to, or not materially less favorable to the Borrower and its Subsidiaries than, the terms, taken as a whole, applicable to the Initial Revolving Loans (except to the extent such covenants and other terms apply solely to any period after the latest Revolving Facility Maturity Date in effect at the time of incurrence or are otherwise reasonably acceptable to the Administrative Agent); and (v) there shall be no obligor in respect of such Replacement Revolving Facility that is not a Loan Party. In addition, the Borrower may establish Replacement Revolving Facility Commitments to refinance and/or replace all or any portion of a Term Loan hereunder (regardless of whether such Term Loan is repaid with the proceeds of Replacement Revolving Loans or otherwise), so long as the aggregate amount of such Replacement Revolving Facility Commitments does not exceed the aggregate amount of Term Loans repaid at the time of establishment thereof (it being understood that such Replacement Revolving Facility Commitment may be provided by the Lenders holding the Term Loans being repaid and/or by any other Person that would be a permitted Assignee hereunder) so long as (i) before and after giving effect to the establishment such Replacement Revolving Facility Commitments on the Replacement Revolving Facility Effective Date each of the conditions set forth in Section 4.01 shall be satisfied to the extent required by the relevant agreement governing such Replacement Revolving Facility Commitments, (ii) the remaining life to termination of such Replacement Revolving Facility Commitments shall be no shorter than the Weighted Average Life to Maturity then applicable to the refinanced Term Loans, (iii) the final termination date of the Replacement Revolving Facility Commitments shall be no earlier than the Term Facility Maturity Date of the refinanced Term Loans, (iv) with respect to Replacement Revolving Loans secured by Liens on Collateral that rank junior in right of security to the Initial Revolving Loans, such Liens will be subject to a Permitted Junior Intercreditor Agreement and (v) the requirement of clause (v) in the preceding sentence shall be satisfied mutatis mutandis. Solely to the extent that an Issuing Bank or Swingline Lender is not a replacement issuing bank or replacement swingline lender, as the case may be, under a Replacement Revolving Facility, it is understood and agreed that such Issuing Bank or Swingline Lender shall not be required to issue any letters of credit or swingline loans under such Replacement Revolving Facility and, to the extent it is necessary for such Issuing Bank or Swingline Lender to withdraw as an Issuing Bank or Swingline Lender, as the case may be, at the time of the establishment of such Replacement Revolving Facility, such withdrawal shall be on terms and conditions reasonably satisfactory to such Issuing Bank or Swingline Lender, as the case may be, in its sole discretion. The Borrower agrees to reimburse each Issuing Bank or Swingline Lender, as the case may be, in full upon demand, for any reasonable and documented out-of-pocket cost or expense attributable to such withdrawal.</w:t>
      </w:r>
    </w:p>
    <w:p>
      <w:pPr>
        <w:spacing w:after="0" w:line="200" w:lineRule="exact"/>
        <w:rPr>
          <w:sz w:val="20"/>
          <w:szCs w:val="20"/>
          <w:color w:val="auto"/>
        </w:rPr>
      </w:pPr>
    </w:p>
    <w:p>
      <w:pPr>
        <w:spacing w:after="0" w:line="209" w:lineRule="exact"/>
        <w:rPr>
          <w:sz w:val="20"/>
          <w:szCs w:val="20"/>
          <w:color w:val="auto"/>
        </w:rPr>
      </w:pPr>
    </w:p>
    <w:p>
      <w:pPr>
        <w:jc w:val="both"/>
        <w:ind w:right="20" w:firstLine="1292"/>
        <w:spacing w:after="0" w:line="261" w:lineRule="auto"/>
        <w:tabs>
          <w:tab w:leader="none" w:pos="1859" w:val="left"/>
        </w:tabs>
        <w:numPr>
          <w:ilvl w:val="0"/>
          <w:numId w:val="2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may approach any Lender or any other person that would be a permitted Assignee of a Revolving Facility Commitment pursuant to Section 9.04 to provide all or a portion of the Replacement Revolving Facility Commitments;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Lender offered or approached to provide all or a portion of the Replacement Revolving Facility Commitments may elect or</w:t>
      </w:r>
    </w:p>
    <w:p>
      <w:pPr>
        <w:sectPr>
          <w:pgSz w:w="11900" w:h="16838" w:orient="portrait"/>
          <w:cols w:equalWidth="0" w:num="1">
            <w:col w:w="11120"/>
          </w:cols>
          <w:pgMar w:left="440" w:top="108" w:right="339" w:bottom="1440" w:gutter="0" w:footer="0" w:header="0"/>
        </w:sectPr>
      </w:pPr>
    </w:p>
    <w:bookmarkStart w:id="292" w:name="page293"/>
    <w:bookmarkEnd w:id="292"/>
    <w:p>
      <w:pPr>
        <w:jc w:val="right"/>
        <w:spacing w:after="0"/>
        <w:rPr>
          <w:sz w:val="20"/>
          <w:szCs w:val="20"/>
          <w:color w:val="auto"/>
        </w:rPr>
      </w:pPr>
      <w:r>
        <w:rPr>
          <w:rFonts w:ascii="Times New Roman" w:cs="Times New Roman" w:eastAsia="Times New Roman" w:hAnsi="Times New Roman"/>
          <w:sz w:val="22"/>
          <w:szCs w:val="22"/>
          <w:color w:val="FF0000"/>
          <w:strike w:val="1"/>
        </w:rPr>
        <w:t>ANNEX</w:t>
      </w:r>
      <w:r>
        <w:rPr>
          <w:rFonts w:ascii="Times New Roman" w:cs="Times New Roman" w:eastAsia="Times New Roman" w:hAnsi="Times New Roman"/>
          <w:sz w:val="22"/>
          <w:szCs w:val="22"/>
          <w:b w:val="1"/>
          <w:bCs w:val="1"/>
          <w:u w:val="single" w:color="auto"/>
          <w:color w:val="0000FF"/>
        </w:rPr>
        <w:t>EXHIBIT</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ind w:left="120"/>
        <w:spacing w:after="0" w:line="253" w:lineRule="auto"/>
        <w:rPr>
          <w:sz w:val="20"/>
          <w:szCs w:val="20"/>
          <w:color w:val="auto"/>
        </w:rPr>
      </w:pPr>
      <w:r>
        <w:rPr>
          <w:rFonts w:ascii="Times New Roman" w:cs="Times New Roman" w:eastAsia="Times New Roman" w:hAnsi="Times New Roman"/>
          <w:sz w:val="20"/>
          <w:szCs w:val="20"/>
          <w:color w:val="auto"/>
        </w:rPr>
        <w:t xml:space="preserve">decline, in its sole discretion, to provide a Replacement Revolving Facility Commitment. Any Replacement Revolving Facility Commitment made on any Replacement Revolving Facility Effective Date shall be designated an additional Class of Revolving Facility Commitments for all purposes of this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Replacement Revolving Facility Commitments may, to the extent provided in the applicable Incremental Assumption Agreement, be designated as an increase in any previously established Class of Revolving Facility Commitments.</w:t>
      </w:r>
    </w:p>
    <w:p>
      <w:pPr>
        <w:spacing w:after="0" w:line="178" w:lineRule="exact"/>
        <w:rPr>
          <w:sz w:val="20"/>
          <w:szCs w:val="20"/>
          <w:color w:val="auto"/>
        </w:rPr>
      </w:pPr>
    </w:p>
    <w:p>
      <w:pPr>
        <w:jc w:val="both"/>
        <w:ind w:left="120" w:firstLine="1292"/>
        <w:spacing w:after="0" w:line="251" w:lineRule="auto"/>
        <w:tabs>
          <w:tab w:leader="none" w:pos="2004" w:val="left"/>
        </w:tabs>
        <w:numPr>
          <w:ilvl w:val="0"/>
          <w:numId w:val="2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any Replacement Revolving Facility Effective Date, subject to the satisfaction of the foregoing terms and conditions, each of the Lenders with Replacement Revolving Facility Commitments of such Class shall purchase from each of the other Lenders with Replacement Revolving Facility Commitments of such Class, at the principal amount thereof and in the applicable currencies, such interests in the Replacement Revolving Loans and participations in Letters of Credit and Swingline Loans under such Replacement Revolving Facility Commitments of such Class then outstanding on such Replacement Revolving Facility Effective Date as shall be necessary in order that, after giving effect to all such assignments and purchases, the Replacement Revolving Loans and participations of such Replacement Revolving Facility Commitments of such Class will be held by the Lenders thereunder ratably in accordance with their Replacement Revolving Facility Commitments.</w:t>
      </w:r>
    </w:p>
    <w:p>
      <w:pPr>
        <w:spacing w:after="0" w:line="168" w:lineRule="exact"/>
        <w:rPr>
          <w:rFonts w:ascii="Times New Roman" w:cs="Times New Roman" w:eastAsia="Times New Roman" w:hAnsi="Times New Roman"/>
          <w:sz w:val="20"/>
          <w:szCs w:val="20"/>
          <w:color w:val="auto"/>
        </w:rPr>
      </w:pPr>
    </w:p>
    <w:p>
      <w:pPr>
        <w:jc w:val="both"/>
        <w:ind w:left="120" w:firstLine="1292"/>
        <w:spacing w:after="0" w:line="251" w:lineRule="auto"/>
        <w:tabs>
          <w:tab w:leader="none" w:pos="1856" w:val="left"/>
        </w:tabs>
        <w:numPr>
          <w:ilvl w:val="0"/>
          <w:numId w:val="2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purposes of this Agreement and the other Loan Documents, (i) if a Lender is providing a Refinancing Term Loan, such Lender will be deemed to have an Incremental Term Loan having the terms of such Refinancing Term Loan and (ii) if a Lender is providing a Replacement Revolving Facility Commitment, such Lender will be deemed to have an Incremental Revolving Facility Commitment having the terms of such Replacement Revolving Facility Commitment. Notwithstanding anything to the contrary set forth in this Agreement or any other Loan Document (including, without limitation, this Section 2.21), (i) the aggregate amount of Refinancing Term Loans and Replacement Revolving Facility Commitments will not be included in the calculation of the Incremental Amount, (ii) no Refinancing Term Loan or Replacement Revolving Facility Commitment is required to be in any minimum amount or any minimum increment, (iii) there shall be no condition to any incurrence of any Refinancing Term Loan or Replacement Revolving Facility Commitment at any time or from time to time other than those set forth in clause (j) or (l) above, as applicable, and (iv) all Refinancing Term Loans, Replacement Revolving Facility Commitments and all obligations in respect thereof shall be Obligations under this Agreement and the other Loan Documents that are secured by the Collateral on a pari passu basis with all other Obligations under this Agreement and the other Loan Documents.</w:t>
      </w:r>
    </w:p>
    <w:p>
      <w:pPr>
        <w:spacing w:after="0" w:line="164" w:lineRule="exact"/>
        <w:rPr>
          <w:rFonts w:ascii="Times New Roman" w:cs="Times New Roman" w:eastAsia="Times New Roman" w:hAnsi="Times New Roman"/>
          <w:sz w:val="20"/>
          <w:szCs w:val="20"/>
          <w:color w:val="auto"/>
        </w:rPr>
      </w:pPr>
    </w:p>
    <w:p>
      <w:pPr>
        <w:jc w:val="both"/>
        <w:ind w:left="120" w:firstLine="1292"/>
        <w:spacing w:after="0" w:line="252" w:lineRule="auto"/>
        <w:tabs>
          <w:tab w:leader="none" w:pos="2028" w:val="left"/>
        </w:tabs>
        <w:numPr>
          <w:ilvl w:val="0"/>
          <w:numId w:val="2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in the foregoing to the contrary, (i) for the purpose of determining the number of outstanding SOFR Borrowings upon the incurrence of any Incremental Loans, (x) to the extent the last date of Interest Periods for multiple SOFR Borrowings under the Term Facilities fall on the same day, such SOFR Borrowings shall be considered a single SOFR Borrowing and (y) to the extent the last date of Interest Periods for multiple SOFR Borrowings under the Revolving Facilities fall on the same day, such SOFR Borrowings shall be considered a single SOFR Borrowing and (ii) the initial Interest Period with respect to any SOFR Borrowing of Incremental Loans may, at the Borrower’s option, be of a duration of a number of Business Days that is less than one month, and the Adjusted Term SOFR Rate with respect to such initial Interest Period shall be the same as the Adjusted Term SOFR Rate applicable to any then-outstanding SOFR Borrowing as the Borrower may direct, so long as the last day of such initial Interest Period is the same as the last day of the Interest Period with respect to such outstanding SOFR Borrowing.</w:t>
      </w:r>
    </w:p>
    <w:p>
      <w:pPr>
        <w:spacing w:after="0" w:line="158" w:lineRule="exact"/>
        <w:rPr>
          <w:sz w:val="20"/>
          <w:szCs w:val="20"/>
          <w:color w:val="auto"/>
        </w:rPr>
      </w:pPr>
    </w:p>
    <w:p>
      <w:pPr>
        <w:ind w:firstLine="1296"/>
        <w:spacing w:after="0" w:line="273" w:lineRule="auto"/>
        <w:rPr>
          <w:sz w:val="20"/>
          <w:szCs w:val="20"/>
          <w:color w:val="auto"/>
        </w:rPr>
      </w:pPr>
      <w:r>
        <w:rPr>
          <w:rFonts w:ascii="Times New Roman" w:cs="Times New Roman" w:eastAsia="Times New Roman" w:hAnsi="Times New Roman"/>
          <w:sz w:val="20"/>
          <w:szCs w:val="20"/>
          <w:color w:val="auto"/>
        </w:rPr>
        <w:t xml:space="preserve">Section 2.22 Defaulting Lender. (a) </w:t>
      </w:r>
      <w:r>
        <w:rPr>
          <w:rFonts w:ascii="Times New Roman" w:cs="Times New Roman" w:eastAsia="Times New Roman" w:hAnsi="Times New Roman"/>
          <w:sz w:val="20"/>
          <w:szCs w:val="20"/>
          <w:i w:val="1"/>
          <w:iCs w:val="1"/>
          <w:color w:val="auto"/>
        </w:rPr>
        <w:t>Defaulting Lender Adjustments</w:t>
      </w:r>
      <w:r>
        <w:rPr>
          <w:rFonts w:ascii="Times New Roman" w:cs="Times New Roman" w:eastAsia="Times New Roman" w:hAnsi="Times New Roman"/>
          <w:sz w:val="20"/>
          <w:szCs w:val="20"/>
          <w:color w:val="auto"/>
        </w:rPr>
        <w:t>. Notwithstanding anything to the contrary contained in this Agreement, if any Lender becomes a</w:t>
      </w:r>
    </w:p>
    <w:p>
      <w:pPr>
        <w:sectPr>
          <w:pgSz w:w="11900" w:h="16838" w:orient="portrait"/>
          <w:cols w:equalWidth="0" w:num="1">
            <w:col w:w="11240"/>
          </w:cols>
          <w:pgMar w:left="320" w:top="108" w:right="339" w:bottom="1440" w:gutter="0" w:footer="0" w:header="0"/>
        </w:sectPr>
      </w:pPr>
    </w:p>
    <w:bookmarkStart w:id="293" w:name="page294"/>
    <w:bookmarkEnd w:id="293"/>
    <w:p>
      <w:pPr>
        <w:jc w:val="right"/>
        <w:spacing w:after="0"/>
        <w:rPr>
          <w:sz w:val="20"/>
          <w:szCs w:val="20"/>
          <w:color w:val="auto"/>
        </w:rPr>
      </w:pPr>
      <w:r>
        <w:rPr>
          <w:rFonts w:ascii="Times New Roman" w:cs="Times New Roman" w:eastAsia="Times New Roman" w:hAnsi="Times New Roman"/>
          <w:sz w:val="22"/>
          <w:szCs w:val="22"/>
          <w:color w:val="FF0000"/>
          <w:strike w:val="1"/>
        </w:rPr>
        <w:t>ANNEX</w:t>
      </w:r>
      <w:r>
        <w:rPr>
          <w:rFonts w:ascii="Times New Roman" w:cs="Times New Roman" w:eastAsia="Times New Roman" w:hAnsi="Times New Roman"/>
          <w:sz w:val="22"/>
          <w:szCs w:val="22"/>
          <w:b w:val="1"/>
          <w:bCs w:val="1"/>
          <w:u w:val="single" w:color="auto"/>
          <w:color w:val="0000FF"/>
        </w:rPr>
        <w:t>EXHIBIT</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Defaulting Lender, then, until such time as such Lender is no longer a Defaulting Lender, to the extent permitted by applicable law:</w:t>
      </w:r>
    </w:p>
    <w:p>
      <w:pPr>
        <w:spacing w:after="0" w:line="198" w:lineRule="exact"/>
        <w:rPr>
          <w:sz w:val="20"/>
          <w:szCs w:val="20"/>
          <w:color w:val="auto"/>
        </w:rPr>
      </w:pPr>
    </w:p>
    <w:p>
      <w:pPr>
        <w:jc w:val="both"/>
        <w:ind w:left="660" w:firstLine="1292"/>
        <w:spacing w:after="0" w:line="263" w:lineRule="auto"/>
        <w:tabs>
          <w:tab w:leader="none" w:pos="2368" w:val="left"/>
        </w:tabs>
        <w:numPr>
          <w:ilvl w:val="0"/>
          <w:numId w:val="2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Waivers and Amendments</w:t>
      </w:r>
      <w:r>
        <w:rPr>
          <w:rFonts w:ascii="Times New Roman" w:cs="Times New Roman" w:eastAsia="Times New Roman" w:hAnsi="Times New Roman"/>
          <w:sz w:val="20"/>
          <w:szCs w:val="20"/>
          <w:color w:val="auto"/>
        </w:rPr>
        <w:t>. Such Defaulting Lender’s right to approve or disapprove any amendment, waiver or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consent with respect to this Agreement shall be restricted as set forth in the definitions of “Required Lenders” or “Required Revolving Facility Lenders.”</w:t>
      </w:r>
    </w:p>
    <w:p>
      <w:pPr>
        <w:spacing w:after="0" w:line="161" w:lineRule="exact"/>
        <w:rPr>
          <w:rFonts w:ascii="Times New Roman" w:cs="Times New Roman" w:eastAsia="Times New Roman" w:hAnsi="Times New Roman"/>
          <w:sz w:val="20"/>
          <w:szCs w:val="20"/>
          <w:color w:val="auto"/>
        </w:rPr>
      </w:pPr>
    </w:p>
    <w:p>
      <w:pPr>
        <w:jc w:val="both"/>
        <w:ind w:left="660" w:firstLine="1292"/>
        <w:spacing w:after="0" w:line="249" w:lineRule="auto"/>
        <w:tabs>
          <w:tab w:leader="none" w:pos="2557" w:val="left"/>
        </w:tabs>
        <w:numPr>
          <w:ilvl w:val="0"/>
          <w:numId w:val="2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Defaulting Lender Waterfall</w:t>
      </w:r>
      <w:r>
        <w:rPr>
          <w:rFonts w:ascii="Times New Roman" w:cs="Times New Roman" w:eastAsia="Times New Roman" w:hAnsi="Times New Roman"/>
          <w:sz w:val="20"/>
          <w:szCs w:val="20"/>
          <w:color w:val="auto"/>
        </w:rPr>
        <w:t>. Any payment of principal, interest, fees or other amounts received by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Administrative Agent for the account of such Defaulting Lender (whether voluntary or mandatory, at maturity, following an Event of Default or otherwise) or received by the Administrative Agent from a Defaulting Lender pursuant to Section 9.06 shall be applied at such time or times as may be determined by the Administrative Agent as follows: </w:t>
      </w:r>
      <w:r>
        <w:rPr>
          <w:rFonts w:ascii="Times New Roman" w:cs="Times New Roman" w:eastAsia="Times New Roman" w:hAnsi="Times New Roman"/>
          <w:sz w:val="20"/>
          <w:szCs w:val="20"/>
          <w:u w:val="single" w:color="auto"/>
          <w:color w:val="auto"/>
        </w:rPr>
        <w:t>first</w:t>
      </w:r>
      <w:r>
        <w:rPr>
          <w:rFonts w:ascii="Times New Roman" w:cs="Times New Roman" w:eastAsia="Times New Roman" w:hAnsi="Times New Roman"/>
          <w:sz w:val="20"/>
          <w:szCs w:val="20"/>
          <w:color w:val="auto"/>
        </w:rPr>
        <w:t xml:space="preserve">, to the payment of any amounts owing by such Defaulting Lender to the Administrative Agent hereunder, </w:t>
      </w:r>
      <w:r>
        <w:rPr>
          <w:rFonts w:ascii="Times New Roman" w:cs="Times New Roman" w:eastAsia="Times New Roman" w:hAnsi="Times New Roman"/>
          <w:sz w:val="20"/>
          <w:szCs w:val="20"/>
          <w:u w:val="single" w:color="auto"/>
          <w:color w:val="auto"/>
        </w:rPr>
        <w:t>second</w:t>
      </w:r>
      <w:r>
        <w:rPr>
          <w:rFonts w:ascii="Times New Roman" w:cs="Times New Roman" w:eastAsia="Times New Roman" w:hAnsi="Times New Roman"/>
          <w:sz w:val="20"/>
          <w:szCs w:val="20"/>
          <w:color w:val="auto"/>
        </w:rPr>
        <w:t xml:space="preserve">, to the payment on a pro rata basis of any amounts owing by such Defaulting Lender to any Issuing Bank or the Swingline Lender hereunder, </w:t>
      </w:r>
      <w:r>
        <w:rPr>
          <w:rFonts w:ascii="Times New Roman" w:cs="Times New Roman" w:eastAsia="Times New Roman" w:hAnsi="Times New Roman"/>
          <w:sz w:val="20"/>
          <w:szCs w:val="20"/>
          <w:u w:val="single" w:color="auto"/>
          <w:color w:val="auto"/>
        </w:rPr>
        <w:t>third</w:t>
      </w:r>
      <w:r>
        <w:rPr>
          <w:rFonts w:ascii="Times New Roman" w:cs="Times New Roman" w:eastAsia="Times New Roman" w:hAnsi="Times New Roman"/>
          <w:sz w:val="20"/>
          <w:szCs w:val="20"/>
          <w:color w:val="auto"/>
        </w:rPr>
        <w:t xml:space="preserve">, to Cash Collateralize the Issuing Banks’ Fronting Exposure with respect to such Defaulting Lender in accordance with Section 2.05(j), </w:t>
      </w:r>
      <w:r>
        <w:rPr>
          <w:rFonts w:ascii="Times New Roman" w:cs="Times New Roman" w:eastAsia="Times New Roman" w:hAnsi="Times New Roman"/>
          <w:sz w:val="20"/>
          <w:szCs w:val="20"/>
          <w:u w:val="single" w:color="auto"/>
          <w:color w:val="auto"/>
        </w:rPr>
        <w:t>fourth</w:t>
      </w:r>
      <w:r>
        <w:rPr>
          <w:rFonts w:ascii="Times New Roman" w:cs="Times New Roman" w:eastAsia="Times New Roman" w:hAnsi="Times New Roman"/>
          <w:sz w:val="20"/>
          <w:szCs w:val="20"/>
          <w:color w:val="auto"/>
        </w:rPr>
        <w:t xml:space="preserve">, as the Borrower may request (so long as no Default or Event of Default exists), to the funding of any Loan in respect of which such Defaulting Lender has failed to fund its portion thereof as required by this Agreement, as determined by the Administrative Agent, </w:t>
      </w:r>
      <w:r>
        <w:rPr>
          <w:rFonts w:ascii="Times New Roman" w:cs="Times New Roman" w:eastAsia="Times New Roman" w:hAnsi="Times New Roman"/>
          <w:sz w:val="20"/>
          <w:szCs w:val="20"/>
          <w:u w:val="single" w:color="auto"/>
          <w:color w:val="auto"/>
        </w:rPr>
        <w:t>fifth</w:t>
      </w:r>
      <w:r>
        <w:rPr>
          <w:rFonts w:ascii="Times New Roman" w:cs="Times New Roman" w:eastAsia="Times New Roman" w:hAnsi="Times New Roman"/>
          <w:sz w:val="20"/>
          <w:szCs w:val="20"/>
          <w:color w:val="auto"/>
        </w:rPr>
        <w:t xml:space="preserve">, if so determined by the Administrative Agent and the Borrower, to be held in a deposit account and released pro rata in order to (x) satisfy such Defaulting Lender’s potential future funding obligations with respect to Loans under this Agreement and (y) Cash Collateralize the Issuing Banks’ future Fronting Exposure with respect to such Defaulting Lender with respect to future Letters of Credit issued under this Agreement, in accordance with Section 2.05(j), </w:t>
      </w:r>
      <w:r>
        <w:rPr>
          <w:rFonts w:ascii="Times New Roman" w:cs="Times New Roman" w:eastAsia="Times New Roman" w:hAnsi="Times New Roman"/>
          <w:sz w:val="20"/>
          <w:szCs w:val="20"/>
          <w:u w:val="single" w:color="auto"/>
          <w:color w:val="auto"/>
        </w:rPr>
        <w:t>sixth</w:t>
      </w:r>
      <w:r>
        <w:rPr>
          <w:rFonts w:ascii="Times New Roman" w:cs="Times New Roman" w:eastAsia="Times New Roman" w:hAnsi="Times New Roman"/>
          <w:sz w:val="20"/>
          <w:szCs w:val="20"/>
          <w:color w:val="auto"/>
        </w:rPr>
        <w:t xml:space="preserve">, to the payment of any amounts owing to the Lenders, the Issuing Banks or the Swingline Lender as a result of any judgment of a court of competent jurisdiction obtained by any Lender, Issuing Bank or Swingline Lender against such Defaulting Lender as a result of such Defaulting Lender’s breach of its obligations under this Agreement, </w:t>
      </w:r>
      <w:r>
        <w:rPr>
          <w:rFonts w:ascii="Times New Roman" w:cs="Times New Roman" w:eastAsia="Times New Roman" w:hAnsi="Times New Roman"/>
          <w:sz w:val="20"/>
          <w:szCs w:val="20"/>
          <w:u w:val="single" w:color="auto"/>
          <w:color w:val="auto"/>
        </w:rPr>
        <w:t>seventh</w:t>
      </w:r>
      <w:r>
        <w:rPr>
          <w:rFonts w:ascii="Times New Roman" w:cs="Times New Roman" w:eastAsia="Times New Roman" w:hAnsi="Times New Roman"/>
          <w:sz w:val="20"/>
          <w:szCs w:val="20"/>
          <w:color w:val="auto"/>
        </w:rPr>
        <w:t xml:space="preserve">, so long as no Default or Event of Default exists, to the payment of any amounts owing to the Borrower as a result of any judgment of a court of competent jurisdiction obtained by the Borrower against such Defaulting Lender as a result of such Defaulting Lender’s breach of its obligations under this Agreement, and </w:t>
      </w:r>
      <w:r>
        <w:rPr>
          <w:rFonts w:ascii="Times New Roman" w:cs="Times New Roman" w:eastAsia="Times New Roman" w:hAnsi="Times New Roman"/>
          <w:sz w:val="20"/>
          <w:szCs w:val="20"/>
          <w:u w:val="single" w:color="auto"/>
          <w:color w:val="auto"/>
        </w:rPr>
        <w:t>eighth</w:t>
      </w:r>
      <w:r>
        <w:rPr>
          <w:rFonts w:ascii="Times New Roman" w:cs="Times New Roman" w:eastAsia="Times New Roman" w:hAnsi="Times New Roman"/>
          <w:sz w:val="20"/>
          <w:szCs w:val="20"/>
          <w:color w:val="auto"/>
        </w:rPr>
        <w:t>, to such Defaulting Lender or as otherwise directed by a court of competent jurisdiction. Any payments, prepayments or other amounts paid or payable to a Defaulting Lender that are applied (or held) to pay amounts owed by a Defaulting Lender or to post Cash Collateral pursuant to this Section 2.22 shall be deemed paid to and redirected by such Defaulting Lender, and each Lender irrevocably consents hereto.</w:t>
      </w:r>
    </w:p>
    <w:p>
      <w:pPr>
        <w:spacing w:after="0" w:line="173" w:lineRule="exact"/>
        <w:rPr>
          <w:rFonts w:ascii="Times New Roman" w:cs="Times New Roman" w:eastAsia="Times New Roman" w:hAnsi="Times New Roman"/>
          <w:sz w:val="20"/>
          <w:szCs w:val="20"/>
          <w:color w:val="auto"/>
        </w:rPr>
      </w:pPr>
    </w:p>
    <w:p>
      <w:pPr>
        <w:ind w:left="660" w:firstLine="1292"/>
        <w:spacing w:after="0" w:line="273" w:lineRule="auto"/>
        <w:tabs>
          <w:tab w:leader="none" w:pos="2545" w:val="left"/>
        </w:tabs>
        <w:numPr>
          <w:ilvl w:val="0"/>
          <w:numId w:val="2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Certain Fees</w:t>
      </w:r>
      <w:r>
        <w:rPr>
          <w:rFonts w:ascii="Times New Roman" w:cs="Times New Roman" w:eastAsia="Times New Roman" w:hAnsi="Times New Roman"/>
          <w:sz w:val="20"/>
          <w:szCs w:val="20"/>
          <w:color w:val="auto"/>
        </w:rPr>
        <w:t>. (A) No Defaulting Lender shall be entitled to receive any Commitment Fee for any period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during which that Lender is a Defaulting Lender.</w:t>
      </w:r>
    </w:p>
    <w:p>
      <w:pPr>
        <w:spacing w:after="0" w:line="156" w:lineRule="exact"/>
        <w:rPr>
          <w:sz w:val="20"/>
          <w:szCs w:val="20"/>
          <w:color w:val="auto"/>
        </w:rPr>
      </w:pPr>
    </w:p>
    <w:p>
      <w:pPr>
        <w:jc w:val="both"/>
        <w:ind w:firstLine="1952"/>
        <w:spacing w:after="0" w:line="261" w:lineRule="auto"/>
        <w:tabs>
          <w:tab w:leader="none" w:pos="2476" w:val="left"/>
        </w:tabs>
        <w:numPr>
          <w:ilvl w:val="0"/>
          <w:numId w:val="2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Defaulting Lender shall be entitled to receive L/C Participation Fees for any period during which that Lender is a Defaulting Lender only to the extent allocable to its pro rata share of the stated amount of Letters of Credit for which it has provided Cash Collateral.</w:t>
      </w:r>
    </w:p>
    <w:p>
      <w:pPr>
        <w:spacing w:after="0" w:line="154" w:lineRule="exact"/>
        <w:rPr>
          <w:rFonts w:ascii="Times New Roman" w:cs="Times New Roman" w:eastAsia="Times New Roman" w:hAnsi="Times New Roman"/>
          <w:sz w:val="20"/>
          <w:szCs w:val="20"/>
          <w:color w:val="auto"/>
        </w:rPr>
      </w:pPr>
    </w:p>
    <w:p>
      <w:pPr>
        <w:jc w:val="both"/>
        <w:ind w:firstLine="1952"/>
        <w:spacing w:after="0" w:line="253" w:lineRule="auto"/>
        <w:tabs>
          <w:tab w:leader="none" w:pos="2404" w:val="left"/>
        </w:tabs>
        <w:numPr>
          <w:ilvl w:val="0"/>
          <w:numId w:val="2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any Commitment Fee or L/C Participation Fee not required to be paid to any Defaulting Lender pursuant to clause (A) or (B) above, the Borrower shall (x) pay to each Non-Defaulting Lender that portion of any such fee otherwise payable to such Defaulting Lender with respect to such Defaulting Lender’s participation in Letters of Credit or Swingline Loans that has been reallocated to such Non-Defaulting Lender pursuant to clause (iv) below, (y) pay to each Issuing Bank and the Swingline Lender, as applicable, the amount of any such fee otherwise payable to such</w:t>
      </w:r>
    </w:p>
    <w:p>
      <w:pPr>
        <w:sectPr>
          <w:pgSz w:w="11900" w:h="16838" w:orient="portrait"/>
          <w:cols w:equalWidth="0" w:num="1">
            <w:col w:w="11240"/>
          </w:cols>
          <w:pgMar w:left="320" w:top="108" w:right="339" w:bottom="1440" w:gutter="0" w:footer="0" w:header="0"/>
        </w:sectPr>
      </w:pPr>
    </w:p>
    <w:bookmarkStart w:id="294" w:name="page295"/>
    <w:bookmarkEnd w:id="294"/>
    <w:p>
      <w:pPr>
        <w:jc w:val="right"/>
        <w:spacing w:after="0"/>
        <w:rPr>
          <w:sz w:val="20"/>
          <w:szCs w:val="20"/>
          <w:color w:val="auto"/>
        </w:rPr>
      </w:pPr>
      <w:r>
        <w:rPr>
          <w:rFonts w:ascii="Times New Roman" w:cs="Times New Roman" w:eastAsia="Times New Roman" w:hAnsi="Times New Roman"/>
          <w:sz w:val="22"/>
          <w:szCs w:val="22"/>
          <w:color w:val="FF0000"/>
          <w:strike w:val="1"/>
        </w:rPr>
        <w:t>ANNEX</w:t>
      </w:r>
      <w:r>
        <w:rPr>
          <w:rFonts w:ascii="Times New Roman" w:cs="Times New Roman" w:eastAsia="Times New Roman" w:hAnsi="Times New Roman"/>
          <w:sz w:val="22"/>
          <w:szCs w:val="22"/>
          <w:b w:val="1"/>
          <w:bCs w:val="1"/>
          <w:u w:val="single" w:color="auto"/>
          <w:color w:val="0000FF"/>
        </w:rPr>
        <w:t>EXHIBIT</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Defaulting Lender to the extent allocable to such Issuing Bank’s or Swingline Lender’s Fronting Exposure to such Defaulting Lender, and</w:t>
      </w:r>
    </w:p>
    <w:p>
      <w:pPr>
        <w:spacing w:after="0" w:line="28" w:lineRule="exact"/>
        <w:rPr>
          <w:sz w:val="20"/>
          <w:szCs w:val="20"/>
          <w:color w:val="auto"/>
        </w:rPr>
      </w:pPr>
    </w:p>
    <w:p>
      <w:pPr>
        <w:ind w:left="280" w:hanging="272"/>
        <w:spacing w:after="0"/>
        <w:tabs>
          <w:tab w:leader="none" w:pos="280" w:val="left"/>
        </w:tabs>
        <w:numPr>
          <w:ilvl w:val="0"/>
          <w:numId w:val="2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 be required to pay the remaining amount of any such fee.</w:t>
      </w:r>
    </w:p>
    <w:p>
      <w:pPr>
        <w:spacing w:after="0" w:line="182" w:lineRule="exact"/>
        <w:rPr>
          <w:rFonts w:ascii="Times New Roman" w:cs="Times New Roman" w:eastAsia="Times New Roman" w:hAnsi="Times New Roman"/>
          <w:sz w:val="20"/>
          <w:szCs w:val="20"/>
          <w:color w:val="auto"/>
        </w:rPr>
      </w:pPr>
    </w:p>
    <w:p>
      <w:pPr>
        <w:jc w:val="both"/>
        <w:ind w:left="660" w:firstLine="1292"/>
        <w:spacing w:after="0" w:line="252" w:lineRule="auto"/>
        <w:tabs>
          <w:tab w:leader="none" w:pos="2547" w:val="left"/>
        </w:tabs>
        <w:numPr>
          <w:ilvl w:val="2"/>
          <w:numId w:val="2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Reallocation of Participations to Reduce Fronting Exposure</w:t>
      </w:r>
      <w:r>
        <w:rPr>
          <w:rFonts w:ascii="Times New Roman" w:cs="Times New Roman" w:eastAsia="Times New Roman" w:hAnsi="Times New Roman"/>
          <w:sz w:val="20"/>
          <w:szCs w:val="20"/>
          <w:color w:val="auto"/>
        </w:rPr>
        <w:t>. All or any part of such Defaulting Lender’s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participation in Letters of Credit and Swingline Loans shall be reallocated among the Non-Defaulting Lenders in accordance with their respective pro rata Commitments (calculated without regard to such Defaulting Lender’s Commitment) but only to the extent that (x) the conditions set forth in Section 4.01 are satisfied at the time of such reallocation and (y) such reallocation does not cause the aggregate Revolving Facility Credit Exposure of any Non-Defaulting Lender to exceed such Non-Defaulting Lender’s Revolving Facility Commitment. Subject to Section 9.24,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spacing w:after="0" w:line="160" w:lineRule="exact"/>
        <w:rPr>
          <w:rFonts w:ascii="Times New Roman" w:cs="Times New Roman" w:eastAsia="Times New Roman" w:hAnsi="Times New Roman"/>
          <w:sz w:val="20"/>
          <w:szCs w:val="20"/>
          <w:color w:val="auto"/>
        </w:rPr>
      </w:pPr>
    </w:p>
    <w:p>
      <w:pPr>
        <w:jc w:val="both"/>
        <w:ind w:left="660" w:firstLine="1292"/>
        <w:spacing w:after="0" w:line="254" w:lineRule="auto"/>
        <w:tabs>
          <w:tab w:leader="none" w:pos="2438" w:val="left"/>
        </w:tabs>
        <w:numPr>
          <w:ilvl w:val="2"/>
          <w:numId w:val="2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Cash Collateral, Repayment of Swingline Loans</w:t>
      </w:r>
      <w:r>
        <w:rPr>
          <w:rFonts w:ascii="Times New Roman" w:cs="Times New Roman" w:eastAsia="Times New Roman" w:hAnsi="Times New Roman"/>
          <w:sz w:val="20"/>
          <w:szCs w:val="20"/>
          <w:color w:val="auto"/>
        </w:rPr>
        <w:t>. If the reallocation described in clause (iv) above cannot, or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can only partially, be effected, the Borrower shall, without prejudice to any right or remedy available to it hereunder or under law, within three (3) Business Days following the written request of (i) the Administrative Agent or (ii) the Swingline Lender or any Issuing Bank, as applicable (with a copy to the Administrative Agent) (x) </w:t>
      </w:r>
      <w:r>
        <w:rPr>
          <w:rFonts w:ascii="Times New Roman" w:cs="Times New Roman" w:eastAsia="Times New Roman" w:hAnsi="Times New Roman"/>
          <w:sz w:val="20"/>
          <w:szCs w:val="20"/>
          <w:u w:val="single" w:color="auto"/>
          <w:color w:val="auto"/>
        </w:rPr>
        <w:t>first</w:t>
      </w:r>
      <w:r>
        <w:rPr>
          <w:rFonts w:ascii="Times New Roman" w:cs="Times New Roman" w:eastAsia="Times New Roman" w:hAnsi="Times New Roman"/>
          <w:sz w:val="20"/>
          <w:szCs w:val="20"/>
          <w:color w:val="auto"/>
        </w:rPr>
        <w:t xml:space="preserve">, prepay Swingline Loans in an amount equal to the Swingline Lender’s Fronting Exposure and (y) </w:t>
      </w:r>
      <w:r>
        <w:rPr>
          <w:rFonts w:ascii="Times New Roman" w:cs="Times New Roman" w:eastAsia="Times New Roman" w:hAnsi="Times New Roman"/>
          <w:sz w:val="20"/>
          <w:szCs w:val="20"/>
          <w:u w:val="single" w:color="auto"/>
          <w:color w:val="auto"/>
        </w:rPr>
        <w:t>second</w:t>
      </w:r>
      <w:r>
        <w:rPr>
          <w:rFonts w:ascii="Times New Roman" w:cs="Times New Roman" w:eastAsia="Times New Roman" w:hAnsi="Times New Roman"/>
          <w:sz w:val="20"/>
          <w:szCs w:val="20"/>
          <w:color w:val="auto"/>
        </w:rPr>
        <w:t>, Cash Collateralize the Issuing Banks’ Fronting Exposure in accordance with the procedures set forth in Section 2.05(j).</w:t>
      </w:r>
    </w:p>
    <w:p>
      <w:pPr>
        <w:spacing w:after="0" w:line="159" w:lineRule="exact"/>
        <w:rPr>
          <w:rFonts w:ascii="Times New Roman" w:cs="Times New Roman" w:eastAsia="Times New Roman" w:hAnsi="Times New Roman"/>
          <w:sz w:val="20"/>
          <w:szCs w:val="20"/>
          <w:color w:val="auto"/>
        </w:rPr>
      </w:pPr>
    </w:p>
    <w:p>
      <w:pPr>
        <w:jc w:val="both"/>
        <w:ind w:left="120" w:firstLine="1292"/>
        <w:spacing w:after="0" w:line="251" w:lineRule="auto"/>
        <w:tabs>
          <w:tab w:leader="none" w:pos="1871" w:val="left"/>
        </w:tabs>
        <w:numPr>
          <w:ilvl w:val="1"/>
          <w:numId w:val="2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Defaulting Lender Cure</w:t>
      </w:r>
      <w:r>
        <w:rPr>
          <w:rFonts w:ascii="Times New Roman" w:cs="Times New Roman" w:eastAsia="Times New Roman" w:hAnsi="Times New Roman"/>
          <w:sz w:val="20"/>
          <w:szCs w:val="20"/>
          <w:color w:val="auto"/>
        </w:rPr>
        <w:t>. If the Borrower, the Administrative Agent and the Swingline Lender and each Issuing Bank</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agree in writing that a Lender is no longer a Defaulting Lender, the Administrative Agent will so notify the parties hereto, whereupon as of the effective date specified in such notice and subject to any conditions set forth therein (which may include arrangements with respect to any Cash Collateral), that Lender will, to the extent applicable, purchase at par that portion of outstanding Revolving Facility Loans of the other Lenders or take such other actions as the Administrative Agent may determine to be necessary to cause the Loans and funded and unfunded participations in Letters of Credit and Swingline Loans to be held pro rata by the Lenders in accordance with their Revolving Facility Commitments (without giving effect to Section 2.22(a)(iv)), whereupon such Lender will cease to be a Defaulting Lender;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adjustments will be made retroactively with respect to fees accrued or payments made by or on behalf of the Borrower while that Lender was a Defaulting Lender;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except to the extent otherwise expressly agreed by the affected parties, no change hereunder from Defaulting Lender to Lender will constitute a waiver or release of any claim of any party hereunder arising from that Lender’s having been a Defaulting Lender.</w:t>
      </w:r>
    </w:p>
    <w:p>
      <w:pPr>
        <w:spacing w:after="0" w:line="175" w:lineRule="exact"/>
        <w:rPr>
          <w:rFonts w:ascii="Times New Roman" w:cs="Times New Roman" w:eastAsia="Times New Roman" w:hAnsi="Times New Roman"/>
          <w:sz w:val="20"/>
          <w:szCs w:val="20"/>
          <w:color w:val="auto"/>
        </w:rPr>
      </w:pPr>
    </w:p>
    <w:p>
      <w:pPr>
        <w:jc w:val="both"/>
        <w:ind w:left="120" w:firstLine="1292"/>
        <w:spacing w:after="0" w:line="255" w:lineRule="auto"/>
        <w:tabs>
          <w:tab w:leader="none" w:pos="1860" w:val="left"/>
        </w:tabs>
        <w:numPr>
          <w:ilvl w:val="1"/>
          <w:numId w:val="2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New Swingline Loans/Letters of Credit</w:t>
      </w:r>
      <w:r>
        <w:rPr>
          <w:rFonts w:ascii="Times New Roman" w:cs="Times New Roman" w:eastAsia="Times New Roman" w:hAnsi="Times New Roman"/>
          <w:sz w:val="20"/>
          <w:szCs w:val="20"/>
          <w:color w:val="auto"/>
        </w:rPr>
        <w:t>. So long as any Lender is a Defaulting Lender, (i) the Swingline Lender shall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not be required to fund any Swingline Loans unless it is satisfied that it will have no Fronting Exposure after giving effect to such Swingline Loan and (ii) the Issuing Banks shall not be required to issue, extend, renew or increase any Letter of Credit unless it is satisfied that it will have no Fronting Exposure after giving effect thereto.</w:t>
      </w:r>
    </w:p>
    <w:p>
      <w:pPr>
        <w:spacing w:after="0" w:line="174" w:lineRule="exact"/>
        <w:rPr>
          <w:sz w:val="20"/>
          <w:szCs w:val="20"/>
          <w:color w:val="auto"/>
        </w:rPr>
      </w:pPr>
    </w:p>
    <w:p>
      <w:pPr>
        <w:ind w:firstLine="1296"/>
        <w:spacing w:after="0" w:line="269" w:lineRule="auto"/>
        <w:rPr>
          <w:sz w:val="20"/>
          <w:szCs w:val="20"/>
          <w:color w:val="auto"/>
        </w:rPr>
      </w:pPr>
      <w:r>
        <w:rPr>
          <w:rFonts w:ascii="Times New Roman" w:cs="Times New Roman" w:eastAsia="Times New Roman" w:hAnsi="Times New Roman"/>
          <w:sz w:val="20"/>
          <w:szCs w:val="20"/>
          <w:color w:val="auto"/>
        </w:rPr>
        <w:t>Section 2.23 Benchmark Replacement. Solely with respect to any SOFR Borrowing hereunder (it being understood, for the avoidance of doubt, that this Section 2.23 shall only apply to SOFR Loans):</w:t>
      </w:r>
    </w:p>
    <w:p>
      <w:pPr>
        <w:sectPr>
          <w:pgSz w:w="11900" w:h="16838" w:orient="portrait"/>
          <w:cols w:equalWidth="0" w:num="1">
            <w:col w:w="11240"/>
          </w:cols>
          <w:pgMar w:left="320" w:top="108" w:right="339" w:bottom="1440" w:gutter="0" w:footer="0" w:header="0"/>
        </w:sectPr>
      </w:pPr>
    </w:p>
    <w:bookmarkStart w:id="295" w:name="page296"/>
    <w:bookmarkEnd w:id="295"/>
    <w:p>
      <w:pPr>
        <w:ind w:left="8240"/>
        <w:spacing w:after="0"/>
        <w:rPr>
          <w:sz w:val="20"/>
          <w:szCs w:val="20"/>
          <w:color w:val="auto"/>
        </w:rPr>
      </w:pPr>
      <w:r>
        <w:rPr>
          <w:rFonts w:ascii="Times New Roman" w:cs="Times New Roman" w:eastAsia="Times New Roman" w:hAnsi="Times New Roman"/>
          <w:sz w:val="21"/>
          <w:szCs w:val="21"/>
          <w:color w:val="FF0000"/>
          <w:strike w:val="1"/>
        </w:rPr>
        <w:t>ANNEX</w:t>
      </w:r>
      <w:r>
        <w:rPr>
          <w:rFonts w:ascii="Times New Roman" w:cs="Times New Roman" w:eastAsia="Times New Roman" w:hAnsi="Times New Roman"/>
          <w:sz w:val="21"/>
          <w:szCs w:val="21"/>
          <w:b w:val="1"/>
          <w:bCs w:val="1"/>
          <w:u w:val="single" w:color="auto"/>
          <w:color w:val="0000FF"/>
        </w:rPr>
        <w:t>EXHIBIT</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000000"/>
        </w:rPr>
        <w: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ind w:left="-1120" w:firstLine="1304"/>
        <w:spacing w:after="0" w:line="245" w:lineRule="auto"/>
        <w:tabs>
          <w:tab w:leader="none" w:pos="640" w:val="left"/>
        </w:tabs>
        <w:numPr>
          <w:ilvl w:val="0"/>
          <w:numId w:val="217"/>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(i) Notwithstanding anything to the contrary herein or in any other Loan Document, if a Benchmark Transition Event and its related Benchmark Replacement Date have occurred prior to any setting of the then-current Benchmark, then (x) if a Benchmark Replacement is determined in accordance with clause (a) of the definition of “Benchmark Replacement” for such Benchmark Replacement Date, such Benchmark Replacement will replace such Benchmark for all purposes hereunder and under any Loan Document in respect of such Benchmark setting and subsequent Benchmark settings without any amendment to, or further action or consent of any other party to, this Agreement or any other Loan Document and (y) if a Benchmark Replacement is determined in accordance with clause (b) of the definition of “Benchmark Replacement” for such Benchmark Replacement Date, such Benchmark Replacement will replace such Benchmark for all purposes hereunder and under any Loan Document in respect of any Benchmark setting at or after 5:00 p.m. (New York City time) on the fifth (5</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 If the Benchmark Replacement is Daily Simple SOFR, all interest payments will be payable on a monthly basis.</w:t>
      </w:r>
    </w:p>
    <w:p>
      <w:pPr>
        <w:spacing w:after="0" w:line="188" w:lineRule="exact"/>
        <w:rPr>
          <w:rFonts w:ascii="Times New Roman" w:cs="Times New Roman" w:eastAsia="Times New Roman" w:hAnsi="Times New Roman"/>
          <w:sz w:val="20"/>
          <w:szCs w:val="20"/>
          <w:u w:val="single" w:color="auto"/>
          <w:color w:val="auto"/>
        </w:rPr>
      </w:pPr>
    </w:p>
    <w:p>
      <w:pPr>
        <w:ind w:left="1280" w:hanging="448"/>
        <w:spacing w:after="0"/>
        <w:tabs>
          <w:tab w:leader="none" w:pos="1280" w:val="left"/>
        </w:tabs>
        <w:numPr>
          <w:ilvl w:val="1"/>
          <w:numId w:val="2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swap agreement shall be deemed to be a “Loan Document” for purposes of this Section 2.23).</w:t>
      </w:r>
    </w:p>
    <w:p>
      <w:pPr>
        <w:spacing w:after="0" w:line="188" w:lineRule="exact"/>
        <w:rPr>
          <w:rFonts w:ascii="Times New Roman" w:cs="Times New Roman" w:eastAsia="Times New Roman" w:hAnsi="Times New Roman"/>
          <w:sz w:val="20"/>
          <w:szCs w:val="20"/>
          <w:color w:val="auto"/>
        </w:rPr>
      </w:pPr>
    </w:p>
    <w:p>
      <w:pPr>
        <w:jc w:val="both"/>
        <w:ind w:left="-1120" w:firstLine="1304"/>
        <w:spacing w:after="0" w:line="258" w:lineRule="auto"/>
        <w:tabs>
          <w:tab w:leader="none" w:pos="871" w:val="left"/>
        </w:tabs>
        <w:numPr>
          <w:ilvl w:val="0"/>
          <w:numId w:val="2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connection with the use, administration, adoption or implementation of a Benchmark Replacement, the Administrative Agent will have the right, in consultation with the Borrower,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w:t>
      </w:r>
    </w:p>
    <w:p>
      <w:pPr>
        <w:spacing w:after="0" w:line="172" w:lineRule="exact"/>
        <w:rPr>
          <w:rFonts w:ascii="Times New Roman" w:cs="Times New Roman" w:eastAsia="Times New Roman" w:hAnsi="Times New Roman"/>
          <w:sz w:val="20"/>
          <w:szCs w:val="20"/>
          <w:color w:val="auto"/>
        </w:rPr>
      </w:pPr>
    </w:p>
    <w:p>
      <w:pPr>
        <w:jc w:val="both"/>
        <w:ind w:left="-1120" w:firstLine="1304"/>
        <w:spacing w:after="0" w:line="252" w:lineRule="auto"/>
        <w:tabs>
          <w:tab w:leader="none" w:pos="749" w:val="left"/>
        </w:tabs>
        <w:numPr>
          <w:ilvl w:val="0"/>
          <w:numId w:val="2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will promptly notify the Borrower and the Lenders of (i) the implementation of any Benchmark Replacement and (ii) the effectiveness of any Conforming Changes in connection with the use, administration, adoption or implementation of a Benchmark Replacement. The Administrative Agent will notify the Borrower of (x) the removal or reinstatement of any tenor of a Benchmark pursuant to Section 2.23(d) and (y) the commencement of any Benchmark Unavailability Period. Any determination, decision or election that may be made by the Administrative Agent or, if applicable, any Lender (or group of Lenders) pursuant to this Section 2.23,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Section 2.23.</w:t>
      </w:r>
    </w:p>
    <w:p>
      <w:pPr>
        <w:spacing w:after="0" w:line="189" w:lineRule="exact"/>
        <w:rPr>
          <w:rFonts w:ascii="Times New Roman" w:cs="Times New Roman" w:eastAsia="Times New Roman" w:hAnsi="Times New Roman"/>
          <w:sz w:val="20"/>
          <w:szCs w:val="20"/>
          <w:color w:val="auto"/>
        </w:rPr>
      </w:pPr>
    </w:p>
    <w:p>
      <w:pPr>
        <w:jc w:val="both"/>
        <w:ind w:left="-1120" w:firstLine="1304"/>
        <w:spacing w:after="0" w:line="253" w:lineRule="auto"/>
        <w:tabs>
          <w:tab w:leader="none" w:pos="641" w:val="left"/>
        </w:tabs>
        <w:numPr>
          <w:ilvl w:val="0"/>
          <w:numId w:val="2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herein or in any other Loan Document, at any time (including in connection with the implementation of a Benchmark Replacement), (i) if the then-current Benchmark is a term rate (including the Term SOFR Reference Rate)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not or will not be representative, then the Administrative Agent may modify the definition of “Interest Period” (or any</w:t>
      </w:r>
    </w:p>
    <w:p>
      <w:pPr>
        <w:sectPr>
          <w:pgSz w:w="11900" w:h="16838" w:orient="portrait"/>
          <w:cols w:equalWidth="0" w:num="1">
            <w:col w:w="10120"/>
          </w:cols>
          <w:pgMar w:left="1440" w:top="108" w:right="339" w:bottom="1440" w:gutter="0" w:footer="0" w:header="0"/>
        </w:sectPr>
      </w:pPr>
    </w:p>
    <w:bookmarkStart w:id="296" w:name="page297"/>
    <w:bookmarkEnd w:id="296"/>
    <w:p>
      <w:pPr>
        <w:jc w:val="right"/>
        <w:spacing w:after="0"/>
        <w:rPr>
          <w:sz w:val="20"/>
          <w:szCs w:val="20"/>
          <w:color w:val="auto"/>
        </w:rPr>
      </w:pPr>
      <w:r>
        <w:rPr>
          <w:rFonts w:ascii="Times New Roman" w:cs="Times New Roman" w:eastAsia="Times New Roman" w:hAnsi="Times New Roman"/>
          <w:sz w:val="22"/>
          <w:szCs w:val="22"/>
          <w:color w:val="FF0000"/>
          <w:strike w:val="1"/>
        </w:rPr>
        <w:t>ANNEX</w:t>
      </w:r>
      <w:r>
        <w:rPr>
          <w:rFonts w:ascii="Times New Roman" w:cs="Times New Roman" w:eastAsia="Times New Roman" w:hAnsi="Times New Roman"/>
          <w:sz w:val="22"/>
          <w:szCs w:val="22"/>
          <w:b w:val="1"/>
          <w:bCs w:val="1"/>
          <w:u w:val="single" w:color="auto"/>
          <w:color w:val="0000FF"/>
        </w:rPr>
        <w:t>EXHIBIT</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similar or analogous definition) for any Benchmark settings at or after such time to remove such unavailable or non-representative tenor and</w:t>
      </w:r>
    </w:p>
    <w:p>
      <w:pPr>
        <w:spacing w:after="0" w:line="28" w:lineRule="exact"/>
        <w:rPr>
          <w:sz w:val="20"/>
          <w:szCs w:val="20"/>
          <w:color w:val="auto"/>
        </w:rPr>
      </w:pPr>
    </w:p>
    <w:p>
      <w:pPr>
        <w:jc w:val="both"/>
        <w:ind w:firstLine="8"/>
        <w:spacing w:after="0" w:line="266" w:lineRule="auto"/>
        <w:tabs>
          <w:tab w:leader="none" w:pos="311" w:val="left"/>
        </w:tabs>
        <w:numPr>
          <w:ilvl w:val="0"/>
          <w:numId w:val="2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a tenor that was removed pursuant to clause (i) above either (A) is subsequently displayed on a screen or information service for a Benchmark (including a Benchmark Replacement) or (B) is not, or is no longer, subject to an announcement that it is not or will not be representative for a Benchmark (including a Benchmark Replacement), then the Administrative Agent may modify the definition of “Interest Period” (or any similar or analogous definition) for all Benchmark settings at or after such time to reinstate such previously removed tenor.</w:t>
      </w:r>
    </w:p>
    <w:p>
      <w:pPr>
        <w:spacing w:after="0" w:line="177" w:lineRule="exact"/>
        <w:rPr>
          <w:rFonts w:ascii="Times New Roman" w:cs="Times New Roman" w:eastAsia="Times New Roman" w:hAnsi="Times New Roman"/>
          <w:sz w:val="19"/>
          <w:szCs w:val="19"/>
          <w:color w:val="auto"/>
        </w:rPr>
      </w:pPr>
    </w:p>
    <w:p>
      <w:pPr>
        <w:jc w:val="both"/>
        <w:ind w:firstLine="1304"/>
        <w:spacing w:after="0" w:line="253" w:lineRule="auto"/>
        <w:tabs>
          <w:tab w:leader="none" w:pos="1732" w:val="left"/>
        </w:tabs>
        <w:numPr>
          <w:ilvl w:val="1"/>
          <w:numId w:val="2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the Borrower’s receipt of notice of the commencement of a Benchmark Unavailability Period, the Borrower may revoke any pending request for a SOFR Borrowing of, conversion to or continuation of SOFR Loans to be made, converted or continued during any Benchmark Unavailability Period and, failing that, the Borrower will be deemed to have converted any such request into a request for a Borrowing of or conversion to ABR Loans. During a Benchmark Unavailability Period or at any time that a tenor for the then-current Benchmark is not an Available Tenor, the component of ABR based upon the then-current Benchmark or such tenor for such Benchmark, as applicable, will not be used in any determination of ABR.</w:t>
      </w:r>
    </w:p>
    <w:p>
      <w:pPr>
        <w:spacing w:after="0" w:line="20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22"/>
          <w:szCs w:val="22"/>
          <w:color w:val="auto"/>
        </w:rPr>
        <w:t>ARTICLE III</w:t>
      </w:r>
    </w:p>
    <w:p>
      <w:pPr>
        <w:spacing w:after="0" w:line="220"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0"/>
          <w:szCs w:val="20"/>
          <w:i w:val="1"/>
          <w:iCs w:val="1"/>
          <w:color w:val="auto"/>
        </w:rPr>
        <w:t>Representations and Warranties</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On the date of each Credit Event, the Borrower represents and warrants to each of the Lenders that:</w:t>
      </w:r>
    </w:p>
    <w:p>
      <w:pPr>
        <w:spacing w:after="0" w:line="216"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0"/>
          <w:szCs w:val="20"/>
          <w:color w:val="auto"/>
        </w:rPr>
        <w:t xml:space="preserve">Section 3.01 Organization; Powers. Except as set forth on </w:t>
      </w:r>
      <w:r>
        <w:rPr>
          <w:rFonts w:ascii="Times New Roman" w:cs="Times New Roman" w:eastAsia="Times New Roman" w:hAnsi="Times New Roman"/>
          <w:sz w:val="20"/>
          <w:szCs w:val="20"/>
          <w:u w:val="single" w:color="auto"/>
          <w:color w:val="auto"/>
        </w:rPr>
        <w:t>Schedule 3.01</w:t>
      </w:r>
      <w:r>
        <w:rPr>
          <w:rFonts w:ascii="Times New Roman" w:cs="Times New Roman" w:eastAsia="Times New Roman" w:hAnsi="Times New Roman"/>
          <w:sz w:val="20"/>
          <w:szCs w:val="20"/>
          <w:color w:val="auto"/>
        </w:rPr>
        <w:t xml:space="preserve"> to the Original Credit Agreement, each of Holdings (prior to a Qualified IPO), the Borrower and each of the Material Subsidiaries (a) is a partnership, limited liability company or corporation duly organized, validly existing and in good standing (or, if applicable in a foreign jurisdiction, enjoys the equivalent status under the laws of any jurisdiction of organization outside the United States of America) under the laws of the jurisdiction of its organization, (b) has all requisite power and authority to own its property and assets and to carry on its business as now conducted, (c) is qualified to do business in each jurisdiction where such qualification is required, except where the failure so to qualify would not reasonably be expected to have a Material Adverse Effect, and (d) has the power and authority to execute, deliver and perform its obligations under each of the Loan Documents and each other agreement or instrument contemplated thereby to which it is or will be a party and, in the case of the Borrower, to borrow and otherwise obtain credit hereunder.</w:t>
      </w:r>
    </w:p>
    <w:p>
      <w:pPr>
        <w:spacing w:after="0" w:line="17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0"/>
          <w:szCs w:val="20"/>
          <w:color w:val="auto"/>
        </w:rPr>
        <w:t>Section 3.02 Authorization. The execution, delivery and performance by the Borrower and each of the Subsidiary Loan Parties and, in the case of Section 3.02(a) and 3.02(b)(i)(B), Holdings (prior to a Qualified IPO), of each of the Loan Documents to which it is a party and the borrowings hereunder (a) have been duly authorized by all corporate, stockholder, partnership or limited liability company action required to be obtained by Holdings, the Borrower and such Subsidiary Loan Parties and (b) will not (i) violate (A) any provision of law, statute, rule or regulation applicable to Holdings, the Borrower or any such Subsidiary Loan Party, (B) the certificate or articles of incorporation or other constitutive documents (including any partnership, limited liability company or operating agreements) or by-laws of Holdings, the Borrower, or any such Subsidiary Loan Party, (C) any applicable order of any court or any rule, regulation or order of any Governmental Authority applicable to the Borrower or any such Subsidiary Loan Party or (D) any provision of any indenture, certificate of designation for preferred stock, agreement or other instrument to which the Borrower or any such</w:t>
      </w:r>
    </w:p>
    <w:p>
      <w:pPr>
        <w:sectPr>
          <w:pgSz w:w="11900" w:h="16838" w:orient="portrait"/>
          <w:cols w:equalWidth="0" w:num="1">
            <w:col w:w="11240"/>
          </w:cols>
          <w:pgMar w:left="320" w:top="108" w:right="339" w:bottom="1440" w:gutter="0" w:footer="0" w:header="0"/>
        </w:sectPr>
      </w:pPr>
    </w:p>
    <w:bookmarkStart w:id="297" w:name="page298"/>
    <w:bookmarkEnd w:id="297"/>
    <w:p>
      <w:pPr>
        <w:jc w:val="right"/>
        <w:spacing w:after="0"/>
        <w:rPr>
          <w:sz w:val="20"/>
          <w:szCs w:val="20"/>
          <w:color w:val="auto"/>
        </w:rPr>
      </w:pPr>
      <w:r>
        <w:rPr>
          <w:rFonts w:ascii="Times New Roman" w:cs="Times New Roman" w:eastAsia="Times New Roman" w:hAnsi="Times New Roman"/>
          <w:sz w:val="22"/>
          <w:szCs w:val="22"/>
          <w:color w:val="FF0000"/>
          <w:strike w:val="1"/>
        </w:rPr>
        <w:t>ANNEX</w:t>
      </w:r>
      <w:r>
        <w:rPr>
          <w:rFonts w:ascii="Times New Roman" w:cs="Times New Roman" w:eastAsia="Times New Roman" w:hAnsi="Times New Roman"/>
          <w:sz w:val="22"/>
          <w:szCs w:val="22"/>
          <w:b w:val="1"/>
          <w:bCs w:val="1"/>
          <w:u w:val="single" w:color="auto"/>
          <w:color w:val="0000FF"/>
        </w:rPr>
        <w:t>EXHIBIT</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Subsidiary Loan Party is a party or by which any of them or any of their property is or may be bound, (ii) result in a breach of or constitute (alone or with due notice or lapse of time or both) a default under, give rise to a right of or result in any cancellation or acceleration of any right or obligation (including any payment) under any such indenture, certificate of designation for preferred stock, agreement or other instrument, where any such conflict, violation, breach or default referred to in clause (i) or (ii) of this Section 3.02(b), would reasonably be expected to have, individually or in the aggregate, a Material Adverse Effect, or (iii) result in the creation or imposition of any Lien upon or with respect to (x) any property or assets now owned or hereafter acquired by the Borrower or any such Subsidiary Loan Party, other than the Liens created by the Loan Documents and Permitted Liens, or (y) any Equity Interests of the Borrower now owned or hereafter acquired by Holdings (prior to a Qualified IPO), other than Liens created by the Loan Documents or Liens permitted by Article VIA.</w:t>
      </w:r>
    </w:p>
    <w:p>
      <w:pPr>
        <w:spacing w:after="0" w:line="168"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Section 3.03 Enforceability. This Agreement has been duly executed and delivered by Holdings and the Borrower and constitutes, and each other Loan Document when executed and delivered by the Borrower and each Subsidiary Loan Party that is party thereto and the Holdings Guarantee and Pledge Agreement when executed and delivered by Holdings will constitute, a legal, valid and binding obligation of such Loan Party enforceable against the Borrower, such Subsidiary Loan Party and Holdings, as applicable, in accordance with its terms, subject to (i) the effects of bankruptcy, insolvency, moratorium, reorganization, fraudulent conveyance or other similar laws affecting creditors’ rights generally, (ii) general principles of equity (regardless of whether such enforceability is considered in a proceeding in equity or at law), (iii) implied covenants of good faith and fair dealing and (iv) any foreign laws, rules and regulations as they relate to pledges of Equity Interests of Foreign Subsidiaries that are not Loan Parties.</w:t>
      </w:r>
    </w:p>
    <w:p>
      <w:pPr>
        <w:spacing w:after="0" w:line="167"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0"/>
          <w:szCs w:val="20"/>
          <w:color w:val="auto"/>
        </w:rPr>
        <w:t xml:space="preserve">Section 3.04 Governmental Approvals. No action, consent or approval of, registration or filing with or any other action by any Governmental Authority is or will be required for the execution, delivery or performance of each Loan Document to which the Borrower or any Subsidiary Loan Party is a party, except for (a) the filing of Uniform Commercial Code financing statements, (b) filings with the United States Patent and Trademark Office and the United States Copyright Office and comparable offices in foreign jurisdictions and equivalent filings in foreign jurisdictions, (c) recordation of the Mortgages, (d) such as have been made or obtained and are in full force and effect, (e) such actions, consents and approvals the failure of which to be obtained or made would not reasonably be expected to have a Material Adverse Effect and (f) filings or other actions listed on </w:t>
      </w:r>
      <w:r>
        <w:rPr>
          <w:rFonts w:ascii="Times New Roman" w:cs="Times New Roman" w:eastAsia="Times New Roman" w:hAnsi="Times New Roman"/>
          <w:sz w:val="20"/>
          <w:szCs w:val="20"/>
          <w:u w:val="single" w:color="auto"/>
          <w:color w:val="auto"/>
        </w:rPr>
        <w:t>Schedule 3.04</w:t>
      </w:r>
      <w:r>
        <w:rPr>
          <w:rFonts w:ascii="Times New Roman" w:cs="Times New Roman" w:eastAsia="Times New Roman" w:hAnsi="Times New Roman"/>
          <w:sz w:val="20"/>
          <w:szCs w:val="20"/>
          <w:color w:val="auto"/>
        </w:rPr>
        <w:t xml:space="preserve"> to the Original Credit Agreement and any other filings or registrations required by the Security Documents.</w:t>
      </w:r>
    </w:p>
    <w:p>
      <w:pPr>
        <w:spacing w:after="0" w:line="168"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0"/>
          <w:szCs w:val="20"/>
          <w:color w:val="auto"/>
        </w:rPr>
        <w:t xml:space="preserve">Section 3.05 Financial Statements. (a) The audited consolidated balance sheets as of December 31, 2014 and December 31, 2015 and the statements of income, stockholders’ equity, and cash flow for the fiscal years ended December 31, 2013, December 31, 2014 and December 31, 2015 for the Company and its consolidated subsidiaries, and (b) the unaudited consolidated balance sheets and statements of income, stockholders’ equity and cash flow as of and for the fiscal quarter ended June 30, 2016 for the Company and its consolidated subsidiaries, including the notes thereto, if applicable, present fairly in all material respects the consolidated financial position of the Company and its consolidated subsidiaries as of the dates and for the periods referred to therein and the results of operations and, if applicable, cash flows for the periods then ended, and, except as set forth on </w:t>
      </w:r>
      <w:r>
        <w:rPr>
          <w:rFonts w:ascii="Times New Roman" w:cs="Times New Roman" w:eastAsia="Times New Roman" w:hAnsi="Times New Roman"/>
          <w:sz w:val="20"/>
          <w:szCs w:val="20"/>
          <w:u w:val="single" w:color="auto"/>
          <w:color w:val="auto"/>
        </w:rPr>
        <w:t>Schedule 3.05</w:t>
      </w:r>
      <w:r>
        <w:rPr>
          <w:rFonts w:ascii="Times New Roman" w:cs="Times New Roman" w:eastAsia="Times New Roman" w:hAnsi="Times New Roman"/>
          <w:sz w:val="20"/>
          <w:szCs w:val="20"/>
          <w:color w:val="auto"/>
        </w:rPr>
        <w:t xml:space="preserve"> to the Original Credit Agreement, were prepared in accordance with GAAP applied on a consistent basis throughout the periods covered thereby, except, in the case of interim period financial statements, for the absence of notes and for normal year-end adjustments and except as otherwise noted therein.</w:t>
      </w:r>
    </w:p>
    <w:p>
      <w:pPr>
        <w:sectPr>
          <w:pgSz w:w="11900" w:h="16838" w:orient="portrait"/>
          <w:cols w:equalWidth="0" w:num="1">
            <w:col w:w="11240"/>
          </w:cols>
          <w:pgMar w:left="320" w:top="108" w:right="339" w:bottom="1440" w:gutter="0" w:footer="0" w:header="0"/>
        </w:sectPr>
      </w:pPr>
    </w:p>
    <w:bookmarkStart w:id="298" w:name="page299"/>
    <w:bookmarkEnd w:id="298"/>
    <w:p>
      <w:pPr>
        <w:ind w:left="9360"/>
        <w:spacing w:after="0"/>
        <w:rPr>
          <w:sz w:val="20"/>
          <w:szCs w:val="20"/>
          <w:color w:val="auto"/>
        </w:rPr>
      </w:pPr>
      <w:r>
        <w:rPr>
          <w:rFonts w:ascii="Times New Roman" w:cs="Times New Roman" w:eastAsia="Times New Roman" w:hAnsi="Times New Roman"/>
          <w:sz w:val="21"/>
          <w:szCs w:val="21"/>
          <w:color w:val="FF0000"/>
          <w:strike w:val="1"/>
        </w:rPr>
        <w:t>ANNEX</w:t>
      </w:r>
      <w:r>
        <w:rPr>
          <w:rFonts w:ascii="Times New Roman" w:cs="Times New Roman" w:eastAsia="Times New Roman" w:hAnsi="Times New Roman"/>
          <w:sz w:val="21"/>
          <w:szCs w:val="21"/>
          <w:b w:val="1"/>
          <w:bCs w:val="1"/>
          <w:u w:val="single" w:color="auto"/>
          <w:color w:val="0000FF"/>
        </w:rPr>
        <w:t>EXHIBIT</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000000"/>
        </w:rPr>
        <w: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20"/>
          <w:szCs w:val="20"/>
          <w:color w:val="auto"/>
        </w:rPr>
        <w:t>Section 3.06 No Material Adverse Effect. Since the 2021 Effective Date, there has been no event or circumstance that, individually or in the aggregate with other events or circumstances, has had or would reasonably be expected to have a Material Adverse Effect</w:t>
      </w:r>
      <w:r>
        <w:rPr>
          <w:rFonts w:ascii="Arial" w:cs="Arial" w:eastAsia="Arial" w:hAnsi="Arial"/>
          <w:sz w:val="20"/>
          <w:szCs w:val="20"/>
          <w:color w:val="auto"/>
        </w:rPr>
        <w:t>.</w:t>
      </w:r>
    </w:p>
    <w:p>
      <w:pPr>
        <w:spacing w:after="0" w:line="150"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Section 3.07 Title to Properties; Possession Under Leases. (a) Each of the Borrower and the Subsidiaries has valid title in fee simple or equivalent to, or valid leasehold interests in, or easements or other limited property interests in, all its Real Properties (including all Mortgaged Properties) and has valid title to its personal property and assets, in each case, except for Permitted Liens and except for defects in title that do not materially interfere with its ability to conduct its business as currently conducted or to utilize such properties and assets for their intended purposes and except where the failure to have such title would not reasonably be expected to have, individually or in the aggregate, a Material Adverse Effect. All such properties and assets are free and clear of Liens, other than Permitted Liens or Liens arising by operation of law. The Equity Interests of the Borrower owned by Holdings (prior to a Qualified IPO) are free and clear of Liens, other than Liens permitted by Article VIA.</w:t>
      </w:r>
    </w:p>
    <w:p>
      <w:pPr>
        <w:spacing w:after="0" w:line="167" w:lineRule="exact"/>
        <w:rPr>
          <w:sz w:val="20"/>
          <w:szCs w:val="20"/>
          <w:color w:val="auto"/>
        </w:rPr>
      </w:pPr>
    </w:p>
    <w:p>
      <w:pPr>
        <w:jc w:val="both"/>
        <w:ind w:left="120" w:firstLine="1292"/>
        <w:spacing w:after="0" w:line="258" w:lineRule="auto"/>
        <w:tabs>
          <w:tab w:leader="none" w:pos="1866" w:val="left"/>
        </w:tabs>
        <w:numPr>
          <w:ilvl w:val="0"/>
          <w:numId w:val="2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and each of the Subsidiaries has complied with all material obligations under all leases to which it is a party, except where the failure to comply would not reasonably be expected to have Material Adverse Effect, and all such leases are in full force and effect, except leases in respect of which the failure to be in full force and effect would not reasonably be expected to have a Material Adverse Effect.</w:t>
      </w:r>
    </w:p>
    <w:p>
      <w:pPr>
        <w:spacing w:after="0" w:line="158" w:lineRule="exact"/>
        <w:rPr>
          <w:rFonts w:ascii="Times New Roman" w:cs="Times New Roman" w:eastAsia="Times New Roman" w:hAnsi="Times New Roman"/>
          <w:sz w:val="20"/>
          <w:szCs w:val="20"/>
          <w:color w:val="auto"/>
        </w:rPr>
      </w:pPr>
    </w:p>
    <w:p>
      <w:pPr>
        <w:jc w:val="both"/>
        <w:ind w:left="120" w:firstLine="1292"/>
        <w:spacing w:after="0" w:line="281" w:lineRule="auto"/>
        <w:tabs>
          <w:tab w:leader="none" w:pos="1856" w:val="left"/>
        </w:tabs>
        <w:numPr>
          <w:ilvl w:val="0"/>
          <w:numId w:val="2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As of the Closing Date, none of the Borrower and the Subsidiaries has received any written notice of any pending or contemplated condemnation proceeding affecting any material portion of the Mortgaged Properties or any sale or disposition thereof in lieu of condemnation that remains unresolved as of the Closing Date, except as set forth on </w:t>
      </w:r>
      <w:r>
        <w:rPr>
          <w:rFonts w:ascii="Times New Roman" w:cs="Times New Roman" w:eastAsia="Times New Roman" w:hAnsi="Times New Roman"/>
          <w:sz w:val="19"/>
          <w:szCs w:val="19"/>
          <w:u w:val="single" w:color="auto"/>
          <w:color w:val="auto"/>
        </w:rPr>
        <w:t>Schedule 3.07(c)</w:t>
      </w:r>
      <w:r>
        <w:rPr>
          <w:rFonts w:ascii="Times New Roman" w:cs="Times New Roman" w:eastAsia="Times New Roman" w:hAnsi="Times New Roman"/>
          <w:sz w:val="19"/>
          <w:szCs w:val="19"/>
          <w:color w:val="auto"/>
        </w:rPr>
        <w:t xml:space="preserve"> to the Original Credit Agreement.</w:t>
      </w:r>
    </w:p>
    <w:p>
      <w:pPr>
        <w:spacing w:after="0" w:line="137" w:lineRule="exact"/>
        <w:rPr>
          <w:rFonts w:ascii="Times New Roman" w:cs="Times New Roman" w:eastAsia="Times New Roman" w:hAnsi="Times New Roman"/>
          <w:sz w:val="19"/>
          <w:szCs w:val="19"/>
          <w:color w:val="auto"/>
        </w:rPr>
      </w:pPr>
    </w:p>
    <w:p>
      <w:pPr>
        <w:jc w:val="both"/>
        <w:ind w:left="120" w:firstLine="1292"/>
        <w:spacing w:after="0" w:line="268" w:lineRule="auto"/>
        <w:tabs>
          <w:tab w:leader="none" w:pos="1867" w:val="left"/>
        </w:tabs>
        <w:numPr>
          <w:ilvl w:val="0"/>
          <w:numId w:val="2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of the Closing Date, none of the Borrower and its Subsidiaries is obligated under any right of first refusal, option or other contractual right to sell, assign or otherwise dispose of any Mortgaged Property or any interest therein, except as permitted under Section 6.02 or 6.05 or as would not reasonably be expected to have a Material Adverse Effect.</w:t>
      </w:r>
    </w:p>
    <w:p>
      <w:pPr>
        <w:spacing w:after="0" w:line="147" w:lineRule="exact"/>
        <w:rPr>
          <w:rFonts w:ascii="Times New Roman" w:cs="Times New Roman" w:eastAsia="Times New Roman" w:hAnsi="Times New Roman"/>
          <w:sz w:val="20"/>
          <w:szCs w:val="20"/>
          <w:color w:val="auto"/>
        </w:rPr>
      </w:pPr>
    </w:p>
    <w:p>
      <w:pPr>
        <w:ind w:left="1860" w:hanging="448"/>
        <w:spacing w:after="0"/>
        <w:tabs>
          <w:tab w:leader="none" w:pos="1860" w:val="left"/>
        </w:tabs>
        <w:numPr>
          <w:ilvl w:val="0"/>
          <w:numId w:val="2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Schedule 1.01(E)</w:t>
      </w:r>
      <w:r>
        <w:rPr>
          <w:rFonts w:ascii="Times New Roman" w:cs="Times New Roman" w:eastAsia="Times New Roman" w:hAnsi="Times New Roman"/>
          <w:sz w:val="20"/>
          <w:szCs w:val="20"/>
          <w:color w:val="auto"/>
        </w:rPr>
        <w:t xml:space="preserve"> to the Original Credit Agreement lists each Material Real Property owned by any Loan Party as of</w:t>
      </w:r>
    </w:p>
    <w:p>
      <w:pPr>
        <w:spacing w:after="0" w:line="21" w:lineRule="exact"/>
        <w:rPr>
          <w:rFonts w:ascii="Times New Roman" w:cs="Times New Roman" w:eastAsia="Times New Roman" w:hAnsi="Times New Roman"/>
          <w:sz w:val="20"/>
          <w:szCs w:val="20"/>
          <w:color w:val="auto"/>
        </w:rPr>
      </w:pPr>
    </w:p>
    <w:p>
      <w:pPr>
        <w:ind w:left="12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Closing Date.</w:t>
      </w:r>
    </w:p>
    <w:p>
      <w:pPr>
        <w:spacing w:after="0" w:line="194"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 xml:space="preserve">Section 3.08 Subsidiaries. (a) </w:t>
      </w:r>
      <w:r>
        <w:rPr>
          <w:rFonts w:ascii="Times New Roman" w:cs="Times New Roman" w:eastAsia="Times New Roman" w:hAnsi="Times New Roman"/>
          <w:sz w:val="20"/>
          <w:szCs w:val="20"/>
          <w:u w:val="single" w:color="auto"/>
          <w:color w:val="auto"/>
        </w:rPr>
        <w:t>Schedule 3.08(a)</w:t>
      </w:r>
      <w:r>
        <w:rPr>
          <w:rFonts w:ascii="Times New Roman" w:cs="Times New Roman" w:eastAsia="Times New Roman" w:hAnsi="Times New Roman"/>
          <w:sz w:val="20"/>
          <w:szCs w:val="20"/>
          <w:color w:val="auto"/>
        </w:rPr>
        <w:t xml:space="preserve"> to the Original Credit Agreement sets forth as of the Closing Date the name and jurisdiction of incorporation, formation or organization of each Subsidiary of the Borrower and, as to each such Subsidiary, the percentage of each class of Equity Interests owned by the Borrower or by any such Subsidiary.</w:t>
      </w:r>
    </w:p>
    <w:p>
      <w:pPr>
        <w:spacing w:after="0" w:line="154" w:lineRule="exact"/>
        <w:rPr>
          <w:sz w:val="20"/>
          <w:szCs w:val="20"/>
          <w:color w:val="auto"/>
        </w:rPr>
      </w:pPr>
    </w:p>
    <w:p>
      <w:pPr>
        <w:jc w:val="both"/>
        <w:ind w:left="120" w:firstLine="1292"/>
        <w:spacing w:after="0" w:line="258" w:lineRule="auto"/>
        <w:tabs>
          <w:tab w:leader="none" w:pos="1974" w:val="left"/>
        </w:tabs>
        <w:numPr>
          <w:ilvl w:val="0"/>
          <w:numId w:val="2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As of the Closing Date, after giving effect to the Transactions, there are no outstanding subscriptions, options, warrants, calls, rights or other agreements or commitments (other than stock options granted to employees or directors (or entities controlled by directors) and shares held by directors (or entities controlled by directors)) relating to any Equity Interests of the Borrower or any of the Subsidiaries, except as set forth on </w:t>
      </w:r>
      <w:r>
        <w:rPr>
          <w:rFonts w:ascii="Times New Roman" w:cs="Times New Roman" w:eastAsia="Times New Roman" w:hAnsi="Times New Roman"/>
          <w:sz w:val="20"/>
          <w:szCs w:val="20"/>
          <w:u w:val="single" w:color="auto"/>
          <w:color w:val="auto"/>
        </w:rPr>
        <w:t>Schedule 3.08(b)</w:t>
      </w:r>
      <w:r>
        <w:rPr>
          <w:rFonts w:ascii="Times New Roman" w:cs="Times New Roman" w:eastAsia="Times New Roman" w:hAnsi="Times New Roman"/>
          <w:sz w:val="20"/>
          <w:szCs w:val="20"/>
          <w:color w:val="auto"/>
        </w:rPr>
        <w:t xml:space="preserve"> to the Original Credit Agreement.</w:t>
      </w:r>
    </w:p>
    <w:p>
      <w:pPr>
        <w:spacing w:after="0" w:line="159"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Section 3.09 Litigation; Compliance with Laws. (a) There are no actions, suits or proceedings at law or in equity or by or on behalf of any Governmental Authority or in arbitration now pending, or, to the knowledge of the Borrower, threatened in writing against the Borrower or any of the Subsidiaries or any business, property or rights of any such person (including those that involve any Loan</w:t>
      </w:r>
    </w:p>
    <w:p>
      <w:pPr>
        <w:sectPr>
          <w:pgSz w:w="11900" w:h="16838" w:orient="portrait"/>
          <w:cols w:equalWidth="0" w:num="1">
            <w:col w:w="11240"/>
          </w:cols>
          <w:pgMar w:left="320" w:top="108" w:right="339" w:bottom="1440" w:gutter="0" w:footer="0" w:header="0"/>
        </w:sectPr>
      </w:pPr>
    </w:p>
    <w:bookmarkStart w:id="299" w:name="page300"/>
    <w:bookmarkEnd w:id="299"/>
    <w:p>
      <w:pPr>
        <w:ind w:left="9360"/>
        <w:spacing w:after="0"/>
        <w:rPr>
          <w:sz w:val="20"/>
          <w:szCs w:val="20"/>
          <w:color w:val="auto"/>
        </w:rPr>
      </w:pPr>
      <w:r>
        <w:rPr>
          <w:rFonts w:ascii="Times New Roman" w:cs="Times New Roman" w:eastAsia="Times New Roman" w:hAnsi="Times New Roman"/>
          <w:sz w:val="21"/>
          <w:szCs w:val="21"/>
          <w:color w:val="FF0000"/>
          <w:strike w:val="1"/>
        </w:rPr>
        <w:t>ANNEX</w:t>
      </w:r>
      <w:r>
        <w:rPr>
          <w:rFonts w:ascii="Times New Roman" w:cs="Times New Roman" w:eastAsia="Times New Roman" w:hAnsi="Times New Roman"/>
          <w:sz w:val="21"/>
          <w:szCs w:val="21"/>
          <w:b w:val="1"/>
          <w:bCs w:val="1"/>
          <w:u w:val="single" w:color="auto"/>
          <w:color w:val="0000FF"/>
        </w:rPr>
        <w:t>EXHIBIT</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000000"/>
        </w:rPr>
        <w: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Document) that would reasonably be expected to have, individually or in the aggregate, a Material Adverse Effect, except for any action, suit or proceeding at law or in equity or by or on behalf of any Governmental Authority or in arbitration which has been disclosed in any of the Company’s or Merger Sub’s public filings with the Securities and Exchange Commission prior to the Closing Date or which arises out of the same facts and circumstances, and alleges substantially the same complaints and damages, as any action, suit or proceeding so disclosed and in which there has been no material adverse change since the date of such disclosure.</w:t>
      </w:r>
    </w:p>
    <w:p>
      <w:pPr>
        <w:spacing w:after="0" w:line="178" w:lineRule="exact"/>
        <w:rPr>
          <w:sz w:val="20"/>
          <w:szCs w:val="20"/>
          <w:color w:val="auto"/>
        </w:rPr>
      </w:pPr>
    </w:p>
    <w:p>
      <w:pPr>
        <w:jc w:val="both"/>
        <w:ind w:left="120" w:firstLine="1292"/>
        <w:spacing w:after="0" w:line="253" w:lineRule="auto"/>
        <w:tabs>
          <w:tab w:leader="none" w:pos="1982" w:val="left"/>
        </w:tabs>
        <w:numPr>
          <w:ilvl w:val="0"/>
          <w:numId w:val="2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None of the Borrower, the Subsidiaries and their respective properties or assets is in violation of (nor will the continued operation of their material properties and assets as currently conducted violate) any law, rule or regulation (including any zoning, building, ordinance, code or approval or any building permit, but excluding any Environmental Laws, which are the subject of Section 3.16) or any restriction of record or agreement affecting any Mortgaged Property, or is in default with respect to any judgment, writ, injunction or decree of any Governmental Authority, where such violation or default would reasonably be expected to have, individually or in the aggregate, a Material Adverse Effect.</w:t>
      </w:r>
    </w:p>
    <w:p>
      <w:pPr>
        <w:spacing w:after="0" w:line="165"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20"/>
          <w:szCs w:val="20"/>
          <w:color w:val="auto"/>
        </w:rPr>
        <w:t>Section 3.10 Federal Reserve Regulations. Neither the making of any Loan (or the extension of any Letter of Credit) hereunder nor the use of the proceeds thereof will violate the provisions of Regulation T, Regulation U or Regulation X of the Board.</w:t>
      </w:r>
    </w:p>
    <w:p>
      <w:pPr>
        <w:spacing w:after="0" w:line="159"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20"/>
          <w:szCs w:val="20"/>
          <w:color w:val="auto"/>
        </w:rPr>
        <w:t>Section 3.11 Investment Company Act. None of Holdings (prior to a Qualified IPO), the Borrower and the Subsidiaries is required to be registered as an “investment company” within the meaning of the Investment Company Act of 1940, as amended.</w:t>
      </w:r>
    </w:p>
    <w:p>
      <w:pPr>
        <w:spacing w:after="0" w:line="15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0"/>
          <w:szCs w:val="20"/>
          <w:color w:val="auto"/>
        </w:rPr>
        <w:t xml:space="preserve">Section 3.12 Use of Proceeds. (a) The Borrower will use the proceeds of the Revolving Facility Loans and Swingline Loans, and may request the issuance of Letters of Credit, solely for general corporate purposes (including, without limitation, for the Transactions, the 2021 Transactions, Permitted Business Acquisitions, Capital Expenditures and Transaction Expenses and, in the case of Letters of Credit, for the back-up or replacement of existing letters of credit);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the proceeds of any Revolving Facility Loans made under the Revolving Facility Commitments on the 2020 Effective Date may be used to refinance and replace any Revolving Facility Loans outstanding immediately prior to giving effect to the effectiveness of the 2020 Effective Date and (b) the Borrower will use the proceeds of the 2021 Term B Loans made on the 2021 Effective Date, together with the proceeds of the Senior Secured Notes and other funds available to the Borrower and the Subsidiaries, to refinance in full the outstanding principal amount of the Existing Term B Loans (as defined in the 2021 Incremental Assumption and Amendment Agreement) and to pay related Transaction Expenses in connection therewith.</w:t>
      </w:r>
    </w:p>
    <w:p>
      <w:pPr>
        <w:spacing w:after="0" w:line="179" w:lineRule="exact"/>
        <w:rPr>
          <w:sz w:val="20"/>
          <w:szCs w:val="20"/>
          <w:color w:val="auto"/>
        </w:rPr>
      </w:pPr>
    </w:p>
    <w:p>
      <w:pPr>
        <w:ind w:left="1300"/>
        <w:spacing w:after="0"/>
        <w:tabs>
          <w:tab w:leader="none" w:pos="2460" w:val="left"/>
        </w:tabs>
        <w:rPr>
          <w:sz w:val="20"/>
          <w:szCs w:val="20"/>
          <w:color w:val="auto"/>
        </w:rPr>
      </w:pPr>
      <w:r>
        <w:rPr>
          <w:rFonts w:ascii="Times New Roman" w:cs="Times New Roman" w:eastAsia="Times New Roman" w:hAnsi="Times New Roman"/>
          <w:sz w:val="20"/>
          <w:szCs w:val="20"/>
          <w:color w:val="auto"/>
        </w:rPr>
        <w:t>Section 3.13</w:t>
      </w:r>
      <w:r>
        <w:rPr>
          <w:sz w:val="20"/>
          <w:szCs w:val="20"/>
          <w:color w:val="auto"/>
        </w:rPr>
        <w:tab/>
      </w:r>
      <w:r>
        <w:rPr>
          <w:rFonts w:ascii="Times New Roman" w:cs="Times New Roman" w:eastAsia="Times New Roman" w:hAnsi="Times New Roman"/>
          <w:sz w:val="19"/>
          <w:szCs w:val="19"/>
          <w:color w:val="auto"/>
        </w:rPr>
        <w:t xml:space="preserve">Tax Returns. Except as set forth on </w:t>
      </w:r>
      <w:r>
        <w:rPr>
          <w:rFonts w:ascii="Times New Roman" w:cs="Times New Roman" w:eastAsia="Times New Roman" w:hAnsi="Times New Roman"/>
          <w:sz w:val="19"/>
          <w:szCs w:val="19"/>
          <w:u w:val="single" w:color="auto"/>
          <w:color w:val="auto"/>
        </w:rPr>
        <w:t>Schedule 3.13</w:t>
      </w:r>
      <w:r>
        <w:rPr>
          <w:rFonts w:ascii="Times New Roman" w:cs="Times New Roman" w:eastAsia="Times New Roman" w:hAnsi="Times New Roman"/>
          <w:sz w:val="19"/>
          <w:szCs w:val="19"/>
          <w:color w:val="auto"/>
        </w:rPr>
        <w:t xml:space="preserve"> to the Original Credit Agreement:</w:t>
      </w:r>
    </w:p>
    <w:p>
      <w:pPr>
        <w:spacing w:after="0" w:line="202" w:lineRule="exact"/>
        <w:rPr>
          <w:sz w:val="20"/>
          <w:szCs w:val="20"/>
          <w:color w:val="auto"/>
        </w:rPr>
      </w:pPr>
    </w:p>
    <w:p>
      <w:pPr>
        <w:jc w:val="both"/>
        <w:ind w:left="120" w:firstLine="1292"/>
        <w:spacing w:after="0" w:line="261" w:lineRule="auto"/>
        <w:tabs>
          <w:tab w:leader="none" w:pos="1875" w:val="left"/>
        </w:tabs>
        <w:numPr>
          <w:ilvl w:val="0"/>
          <w:numId w:val="2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would not, individually or in the aggregate, reasonably be expected to result in a Material Adverse Effect, the Borrower and each of the Subsidiaries has filed or caused to be filed all federal, state, local and non-U.S. Tax returns required to have been filed by it (including in its capacity as withholding agent) and each such Tax return is true and correct;</w:t>
      </w:r>
    </w:p>
    <w:p>
      <w:pPr>
        <w:spacing w:after="0" w:line="154" w:lineRule="exact"/>
        <w:rPr>
          <w:rFonts w:ascii="Times New Roman" w:cs="Times New Roman" w:eastAsia="Times New Roman" w:hAnsi="Times New Roman"/>
          <w:sz w:val="20"/>
          <w:szCs w:val="20"/>
          <w:color w:val="auto"/>
        </w:rPr>
      </w:pPr>
    </w:p>
    <w:p>
      <w:pPr>
        <w:jc w:val="both"/>
        <w:ind w:left="120" w:firstLine="1292"/>
        <w:spacing w:after="0" w:line="261" w:lineRule="auto"/>
        <w:tabs>
          <w:tab w:leader="none" w:pos="1884" w:val="left"/>
        </w:tabs>
        <w:numPr>
          <w:ilvl w:val="0"/>
          <w:numId w:val="2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would not, individually or in the aggregate, reasonably be expected to result in a Material Adverse Effect, the Borrower and each of the Subsidiaries has timely paid or caused to be timely paid all Taxes shown to be due and payable by it on the returns referred to in clause (a) and</w:t>
      </w:r>
    </w:p>
    <w:p>
      <w:pPr>
        <w:sectPr>
          <w:pgSz w:w="11900" w:h="16838" w:orient="portrait"/>
          <w:cols w:equalWidth="0" w:num="1">
            <w:col w:w="11240"/>
          </w:cols>
          <w:pgMar w:left="320" w:top="108" w:right="339" w:bottom="1440" w:gutter="0" w:footer="0" w:header="0"/>
        </w:sectPr>
      </w:pPr>
    </w:p>
    <w:bookmarkStart w:id="300" w:name="page301"/>
    <w:bookmarkEnd w:id="300"/>
    <w:p>
      <w:pPr>
        <w:jc w:val="right"/>
        <w:spacing w:after="0"/>
        <w:rPr>
          <w:sz w:val="20"/>
          <w:szCs w:val="20"/>
          <w:color w:val="auto"/>
        </w:rPr>
      </w:pPr>
      <w:r>
        <w:rPr>
          <w:rFonts w:ascii="Times New Roman" w:cs="Times New Roman" w:eastAsia="Times New Roman" w:hAnsi="Times New Roman"/>
          <w:sz w:val="22"/>
          <w:szCs w:val="22"/>
          <w:color w:val="FF0000"/>
          <w:strike w:val="1"/>
        </w:rPr>
        <w:t>ANNEX</w:t>
      </w:r>
      <w:r>
        <w:rPr>
          <w:rFonts w:ascii="Times New Roman" w:cs="Times New Roman" w:eastAsia="Times New Roman" w:hAnsi="Times New Roman"/>
          <w:sz w:val="22"/>
          <w:szCs w:val="22"/>
          <w:b w:val="1"/>
          <w:bCs w:val="1"/>
          <w:u w:val="single" w:color="auto"/>
          <w:color w:val="0000FF"/>
        </w:rPr>
        <w:t>EXHIBIT</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ind w:left="120"/>
        <w:spacing w:after="0" w:line="261" w:lineRule="auto"/>
        <w:rPr>
          <w:sz w:val="20"/>
          <w:szCs w:val="20"/>
          <w:color w:val="auto"/>
        </w:rPr>
      </w:pPr>
      <w:r>
        <w:rPr>
          <w:rFonts w:ascii="Times New Roman" w:cs="Times New Roman" w:eastAsia="Times New Roman" w:hAnsi="Times New Roman"/>
          <w:sz w:val="20"/>
          <w:szCs w:val="20"/>
          <w:color w:val="auto"/>
        </w:rPr>
        <w:t>all other Taxes or assessments (or made adequate provision (in accordance with GAAP) for the payment of all Taxes due), except Taxes or assessments that are being contested in good faith by appropriate proceedings in accordance with Section 5.03 and for which the Borrower or any of the Subsidiaries (as the case may be) has set aside on its books adequate reserves in accordance with GAAP; and</w:t>
      </w:r>
    </w:p>
    <w:p>
      <w:pPr>
        <w:spacing w:after="0" w:line="154" w:lineRule="exact"/>
        <w:rPr>
          <w:sz w:val="20"/>
          <w:szCs w:val="20"/>
          <w:color w:val="auto"/>
        </w:rPr>
      </w:pPr>
    </w:p>
    <w:p>
      <w:pPr>
        <w:jc w:val="both"/>
        <w:ind w:left="120" w:firstLine="1292"/>
        <w:spacing w:after="0" w:line="268" w:lineRule="auto"/>
        <w:tabs>
          <w:tab w:leader="none" w:pos="1870" w:val="left"/>
        </w:tabs>
        <w:numPr>
          <w:ilvl w:val="0"/>
          <w:numId w:val="2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than as would not be, individually or in the aggregate, reasonably expected to have a Material Adverse Effect, as of the Closing Date, with respect to the Borrower and each of the Subsidiaries, there are no claims being asserted in writing with respect to any Taxes.</w:t>
      </w:r>
    </w:p>
    <w:p>
      <w:pPr>
        <w:spacing w:after="0" w:line="148"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0"/>
          <w:szCs w:val="20"/>
          <w:color w:val="auto"/>
        </w:rPr>
        <w:t>Section 3.14 No Material Misstatements. (a) All written factual information (other than the Projections, forward looking information and information of a general economic nature or general industry nature) (the “</w:t>
      </w:r>
      <w:r>
        <w:rPr>
          <w:rFonts w:ascii="Times New Roman" w:cs="Times New Roman" w:eastAsia="Times New Roman" w:hAnsi="Times New Roman"/>
          <w:sz w:val="20"/>
          <w:szCs w:val="20"/>
          <w:u w:val="single" w:color="auto"/>
          <w:color w:val="auto"/>
        </w:rPr>
        <w:t>Information</w:t>
      </w:r>
      <w:r>
        <w:rPr>
          <w:rFonts w:ascii="Times New Roman" w:cs="Times New Roman" w:eastAsia="Times New Roman" w:hAnsi="Times New Roman"/>
          <w:sz w:val="20"/>
          <w:szCs w:val="20"/>
          <w:color w:val="auto"/>
        </w:rPr>
        <w:t>”) concerning the Borrower, the Subsidiaries, the Transactions and any other transactions contemplated by the Original Credit Agreement included in the Information Memorandum or otherwise prepared by or on behalf of the foregoing or their representatives and made available to any Lenders or the Administrative Agent in connection with the Transactions or the other transactions contemplated by the Original Credit Agreement (to the extent such Information relates to the Company on or prior to the Closing Date, to the Company’s knowledge), when taken as a whole, was true and correct in all material respects, as of the date such Information was furnished to the Lenders and as of the Closing Date and did not, taken as a whole, contain any untrue statement of a material fact as of any such date or omit to state a material fact necessary in order to make the statements contained therein, taken as a whole, not materially misleading in light of the circumstances under which such statements were made (giving effect to all supplements and updates provided thereto).</w:t>
      </w:r>
    </w:p>
    <w:p>
      <w:pPr>
        <w:spacing w:after="0" w:line="169" w:lineRule="exact"/>
        <w:rPr>
          <w:sz w:val="20"/>
          <w:szCs w:val="20"/>
          <w:color w:val="auto"/>
        </w:rPr>
      </w:pPr>
    </w:p>
    <w:p>
      <w:pPr>
        <w:jc w:val="both"/>
        <w:ind w:left="120" w:firstLine="1292"/>
        <w:spacing w:after="0" w:line="253" w:lineRule="auto"/>
        <w:tabs>
          <w:tab w:leader="none" w:pos="1876" w:val="left"/>
        </w:tabs>
        <w:numPr>
          <w:ilvl w:val="0"/>
          <w:numId w:val="2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Projections and other forward looking information and information of a general economic nature prepared by or on behalf of the Borrower or any of its representatives and that have been made available to any Lenders or the Administrative Agent in connection with the Transactions or the other transactions contemplated hereby have been prepared in good faith based upon assumptions believed by the Borrower to be reasonable as of the date thereof (it being understood that such Projections are as to future events and are not to be viewed as facts, such Projections are subject to significant uncertainties and contingencies and that actual results during the period or periods covered by any such Projections may differ significantly from the projected results, and that no assurance can be given that the projected results will be realized), as of the date such Projections and information were furnished to the Lenders.</w:t>
      </w:r>
    </w:p>
    <w:p>
      <w:pPr>
        <w:spacing w:after="0" w:line="165" w:lineRule="exact"/>
        <w:rPr>
          <w:rFonts w:ascii="Times New Roman" w:cs="Times New Roman" w:eastAsia="Times New Roman" w:hAnsi="Times New Roman"/>
          <w:sz w:val="20"/>
          <w:szCs w:val="20"/>
          <w:color w:val="auto"/>
        </w:rPr>
      </w:pPr>
    </w:p>
    <w:p>
      <w:pPr>
        <w:jc w:val="both"/>
        <w:ind w:left="120" w:firstLine="1292"/>
        <w:spacing w:after="0" w:line="261" w:lineRule="auto"/>
        <w:tabs>
          <w:tab w:leader="none" w:pos="1913" w:val="left"/>
        </w:tabs>
        <w:numPr>
          <w:ilvl w:val="0"/>
          <w:numId w:val="2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of the 2020 Effective Date, to the best knowledge of the Company, the information included in the Beneficial Ownership Certificate provided on or prior to the 2020 Effective Date to any Lender in connection with this Agreement is true and correct in all material respects.</w:t>
      </w:r>
    </w:p>
    <w:p>
      <w:pPr>
        <w:spacing w:after="0" w:line="168"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Section 3.15 Employee Benefit Plans. Except as would not reasonably be expected, individually or in the aggregate, to have a Material Adverse Effect: (i) no Reportable Event has occurred during the past five years as to which the Borrower, any of its Subsidiaries or any ERISA Affiliate was required to file a report with the PBGC, other than reports that have been filed; (ii) no ERISA Event has occurred or is reasonably expected to occur; and (iii) none of the Borrower, the Subsidiaries or any of their ERISA Affiliates has received any written notification that any Multiemployer Plan has been terminated within the meaning of Title IV of ERISA.</w:t>
      </w:r>
    </w:p>
    <w:p>
      <w:pPr>
        <w:spacing w:after="0" w:line="165"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20"/>
          <w:szCs w:val="20"/>
          <w:color w:val="auto"/>
        </w:rPr>
        <w:t>Section 3.16 Environmental Matters. Except as to matters that would not reasonably be expected to have, individually or in the aggregate, a Material Adverse Effect: (i) no written notice, request for information, order, complaint or penalty has been received by the Borrower or any of its Subsidiaries, and there are no judicial, administrative or other actions, suits or proceedings pending or, to</w:t>
      </w:r>
    </w:p>
    <w:p>
      <w:pPr>
        <w:sectPr>
          <w:pgSz w:w="11900" w:h="16838" w:orient="portrait"/>
          <w:cols w:equalWidth="0" w:num="1">
            <w:col w:w="11240"/>
          </w:cols>
          <w:pgMar w:left="320" w:top="108" w:right="339" w:bottom="1440" w:gutter="0" w:footer="0" w:header="0"/>
        </w:sectPr>
      </w:pPr>
    </w:p>
    <w:bookmarkStart w:id="301" w:name="page302"/>
    <w:bookmarkEnd w:id="301"/>
    <w:p>
      <w:pPr>
        <w:ind w:left="9360"/>
        <w:spacing w:after="0"/>
        <w:rPr>
          <w:sz w:val="20"/>
          <w:szCs w:val="20"/>
          <w:color w:val="auto"/>
        </w:rPr>
      </w:pPr>
      <w:r>
        <w:rPr>
          <w:rFonts w:ascii="Times New Roman" w:cs="Times New Roman" w:eastAsia="Times New Roman" w:hAnsi="Times New Roman"/>
          <w:sz w:val="21"/>
          <w:szCs w:val="21"/>
          <w:color w:val="FF0000"/>
          <w:strike w:val="1"/>
        </w:rPr>
        <w:t>ANNEX</w:t>
      </w:r>
      <w:r>
        <w:rPr>
          <w:rFonts w:ascii="Times New Roman" w:cs="Times New Roman" w:eastAsia="Times New Roman" w:hAnsi="Times New Roman"/>
          <w:sz w:val="21"/>
          <w:szCs w:val="21"/>
          <w:b w:val="1"/>
          <w:bCs w:val="1"/>
          <w:u w:val="single" w:color="auto"/>
          <w:color w:val="0000FF"/>
        </w:rPr>
        <w:t>EXHIBIT</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000000"/>
        </w:rPr>
        <w: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the Borrower’s knowledge, threatened which allege a violation of or liability under any Environmental Laws, in each case relating to the Borrower or any of its Subsidiaries, (ii) each of the Borrower and its Subsidiaries has all environmental permits, licenses and other approvals necessary for its operations to comply with all Environmental Laws (“</w:t>
      </w:r>
      <w:r>
        <w:rPr>
          <w:rFonts w:ascii="Times New Roman" w:cs="Times New Roman" w:eastAsia="Times New Roman" w:hAnsi="Times New Roman"/>
          <w:sz w:val="19"/>
          <w:szCs w:val="19"/>
          <w:u w:val="single" w:color="auto"/>
          <w:color w:val="auto"/>
        </w:rPr>
        <w:t>Environmental Permits</w:t>
      </w:r>
      <w:r>
        <w:rPr>
          <w:rFonts w:ascii="Times New Roman" w:cs="Times New Roman" w:eastAsia="Times New Roman" w:hAnsi="Times New Roman"/>
          <w:sz w:val="19"/>
          <w:szCs w:val="19"/>
          <w:color w:val="auto"/>
        </w:rPr>
        <w:t>”) and is in compliance with the terms of such Environmental Permits and with all other Environmental Laws, (iii) no Hazardous Material is located at, on or under any property currently or, to the Borrower’s knowledge, formerly owned, operated or leased by the Borrower or any of its Subsidiaries that would reasonably be expected to give rise to any cost, liability or obligation of the Borrower or any of its Subsidiaries under any Environmental Laws or Environmental Permits, and no Hazardous Material has been generated, used, treated, stored, handled, disposed of or controlled, transported or Released at any location in a manner that would reasonably be expected to give rise to any cost, liability or obligation of the Borrower or any of its Subsidiaries under any Environmental Laws or Environmental Permits, (iv) there are no agreements in which the Borrower or any of its Subsidiaries has expressly assumed or undertaken responsibility for any known or reasonably likely liability or obligation of any other person arising under or relating to Environmental Laws, which in any such case has not been made available to the Administrative Agent prior to the Closing Date, and (v) there has been no material written environmental assessment or audit conducted (other than customary assessments not revealing anything that would reasonably be expected to result in a Material Adverse Effect), by or on behalf of the Borrower or any of the Subsidiaries of any property currently or, to the Borrower’s knowledge, formerly owned or leased by the Borrower or any of the Subsidiaries that has not been made available to the Administrative Agent prior to the Closing Date.</w:t>
      </w:r>
    </w:p>
    <w:p>
      <w:pPr>
        <w:spacing w:after="0" w:line="175"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0"/>
          <w:szCs w:val="20"/>
          <w:color w:val="auto"/>
        </w:rPr>
        <w:t>Section 3.17 Security Documents. (a) Each of the Collateral Agreement and the Holdings Guarantee and Pledge Agreement is effective to create in favor of the Collateral Agent (for the benefit of the Secured Parties), in each case, a legal, valid and enforceable security interest in the Collateral described therein and proceeds thereof. As of the Closing Date, in the case of the Pledged Collateral described in the Collateral Agreement, when certificates or promissory notes, as applicable, representing such Pledged Collateral and required to be delivered under the applicable Security Document are delivered to the Collateral Agent, and in the case of the other Collateral described in the Collateral Agreement (other than the Intellectual Property), when financing statements and other filings specified in the Perfection Certificate are filed in the offices specified in the Perfection Certificate, the Collateral Agent (for the benefit of the Secured Parties) shall have a fully perfected Lien on, and security interest in, all right, title and interest of the Loan Parties in such Collateral and, subject to Section 9-315 of the New York Uniform Commercial Code, the proceeds thereof, as security for the Obligations to the extent perfection can be obtained by filing Uniform Commercial Code financing statements, in each case prior and superior in right to the Lien of any other person (except Permitted Liens).</w:t>
      </w:r>
    </w:p>
    <w:p>
      <w:pPr>
        <w:spacing w:after="0" w:line="173" w:lineRule="exact"/>
        <w:rPr>
          <w:sz w:val="20"/>
          <w:szCs w:val="20"/>
          <w:color w:val="auto"/>
        </w:rPr>
      </w:pPr>
    </w:p>
    <w:p>
      <w:pPr>
        <w:jc w:val="both"/>
        <w:ind w:left="120" w:firstLine="1292"/>
        <w:spacing w:after="0" w:line="250" w:lineRule="auto"/>
        <w:tabs>
          <w:tab w:leader="none" w:pos="1938" w:val="left"/>
        </w:tabs>
        <w:numPr>
          <w:ilvl w:val="0"/>
          <w:numId w:val="2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When the Collateral Agreement or an ancillary document thereunder is properly filed and recorded in the United States Patent and Trademark Office and the United States Copyright Office, and, with respect to Collateral in which a security interest cannot be perfected by such filings, upon the proper filing of the financing statements referred to in clause (a) above, the Collateral Agent (for the benefit of the Secured Parties) shall have a fully perfected (subject to exceptions arising from defects in the chain of title, which defects in the aggregate do not constitute a Material Adverse Effect hereunder) Lien on, and security interest in, all right, title and interest of the Loan Parties thereunder in the material United States Intellectual Property included in the Collateral (but, in the case of the United States registered copyrights included in the Collateral, only to the extent such United States registered copyrights are listed in such ancillary document filed with the United States Copyright Office) listed in such ancillary document, in each case prior and superior in right to the Lien of any other person, except for Permitted Liens (it being understood that subsequent recordings in the United States Patent and Trademark Office and the United States Copyright Office may be necessary to perfect a Lien on material</w:t>
      </w:r>
    </w:p>
    <w:p>
      <w:pPr>
        <w:sectPr>
          <w:pgSz w:w="11900" w:h="16838" w:orient="portrait"/>
          <w:cols w:equalWidth="0" w:num="1">
            <w:col w:w="11240"/>
          </w:cols>
          <w:pgMar w:left="320" w:top="108" w:right="339" w:bottom="1440" w:gutter="0" w:footer="0" w:header="0"/>
        </w:sectPr>
      </w:pPr>
    </w:p>
    <w:bookmarkStart w:id="302" w:name="page303"/>
    <w:bookmarkEnd w:id="302"/>
    <w:p>
      <w:pPr>
        <w:jc w:val="right"/>
        <w:spacing w:after="0"/>
        <w:rPr>
          <w:sz w:val="20"/>
          <w:szCs w:val="20"/>
          <w:color w:val="auto"/>
        </w:rPr>
      </w:pPr>
      <w:r>
        <w:rPr>
          <w:rFonts w:ascii="Times New Roman" w:cs="Times New Roman" w:eastAsia="Times New Roman" w:hAnsi="Times New Roman"/>
          <w:sz w:val="22"/>
          <w:szCs w:val="22"/>
          <w:color w:val="FF0000"/>
          <w:strike w:val="1"/>
        </w:rPr>
        <w:t>ANNEX</w:t>
      </w:r>
      <w:r>
        <w:rPr>
          <w:rFonts w:ascii="Times New Roman" w:cs="Times New Roman" w:eastAsia="Times New Roman" w:hAnsi="Times New Roman"/>
          <w:sz w:val="22"/>
          <w:szCs w:val="22"/>
          <w:b w:val="1"/>
          <w:bCs w:val="1"/>
          <w:u w:val="single" w:color="auto"/>
          <w:color w:val="0000FF"/>
        </w:rPr>
        <w:t>EXHIBIT</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ind w:left="120"/>
        <w:spacing w:after="0" w:line="283" w:lineRule="auto"/>
        <w:rPr>
          <w:sz w:val="20"/>
          <w:szCs w:val="20"/>
          <w:color w:val="auto"/>
        </w:rPr>
      </w:pPr>
      <w:r>
        <w:rPr>
          <w:rFonts w:ascii="Times New Roman" w:cs="Times New Roman" w:eastAsia="Times New Roman" w:hAnsi="Times New Roman"/>
          <w:sz w:val="20"/>
          <w:szCs w:val="20"/>
          <w:color w:val="auto"/>
        </w:rPr>
        <w:t>registered trademarks and patents, trademark and patent applications and registered copyrights acquired by the Loan Parties after the Closing Date).</w:t>
      </w:r>
    </w:p>
    <w:p>
      <w:pPr>
        <w:spacing w:after="0" w:line="133" w:lineRule="exact"/>
        <w:rPr>
          <w:sz w:val="20"/>
          <w:szCs w:val="20"/>
          <w:color w:val="auto"/>
        </w:rPr>
      </w:pPr>
    </w:p>
    <w:p>
      <w:pPr>
        <w:jc w:val="both"/>
        <w:ind w:left="120" w:firstLine="1292"/>
        <w:spacing w:after="0" w:line="266" w:lineRule="auto"/>
        <w:tabs>
          <w:tab w:leader="none" w:pos="1874" w:val="left"/>
        </w:tabs>
        <w:numPr>
          <w:ilvl w:val="0"/>
          <w:numId w:val="2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Mortgages executed and delivered after the Closing Date pursuant to Section 5.10 shall be effective to create in favor of the Collateral Agent (for the benefit of the Secured Parties) legal, valid and enforceable Liens on all of the Loan Parties’ rights, titles and interests in and to the Mortgaged Property thereunder and the proceeds thereof, and when such Mortgages are filed or recorded in the proper real estate filing or recording offices, and all relevant mortgage taxes and recording charges are duly paid, the Collateral Agent (for the benefit of the Secured Parties) shall have valid Liens with record notice to third parties on, and security interests in, all rights, titles and interests of the Loan Parties in such Mortgaged Property and, to the extent applicable, subject to Section 9-315 of the Uniform Commercial Code, the proceeds thereof, in each case prior and superior in right to the Lien of any other person, except for Permitted Liens.</w:t>
      </w:r>
    </w:p>
    <w:p>
      <w:pPr>
        <w:spacing w:after="0" w:line="167" w:lineRule="exact"/>
        <w:rPr>
          <w:rFonts w:ascii="Times New Roman" w:cs="Times New Roman" w:eastAsia="Times New Roman" w:hAnsi="Times New Roman"/>
          <w:sz w:val="19"/>
          <w:szCs w:val="19"/>
          <w:color w:val="auto"/>
        </w:rPr>
      </w:pPr>
    </w:p>
    <w:p>
      <w:pPr>
        <w:jc w:val="both"/>
        <w:ind w:left="120" w:firstLine="1292"/>
        <w:spacing w:after="0" w:line="254" w:lineRule="auto"/>
        <w:tabs>
          <w:tab w:leader="none" w:pos="1936" w:val="left"/>
        </w:tabs>
        <w:numPr>
          <w:ilvl w:val="0"/>
          <w:numId w:val="2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herein (including this Section 3.17) or in any other Loan Document to the contrary, no Borrower or any other Loan Party makes any representation or warranty as to the effects of perfection or non-perfection, the priority or the enforceability of any pledge of or security interest in any Equity Interests of any Foreign Subsidiary, or as to the rights and remedies of the Agents or any Lender with respect thereto, under foreign law.</w:t>
      </w:r>
    </w:p>
    <w:p>
      <w:pPr>
        <w:spacing w:after="0" w:line="174" w:lineRule="exact"/>
        <w:rPr>
          <w:sz w:val="20"/>
          <w:szCs w:val="20"/>
          <w:color w:val="auto"/>
        </w:rPr>
      </w:pPr>
    </w:p>
    <w:p>
      <w:pPr>
        <w:jc w:val="both"/>
        <w:ind w:right="20" w:firstLine="1296"/>
        <w:spacing w:after="0" w:line="254" w:lineRule="auto"/>
        <w:rPr>
          <w:sz w:val="20"/>
          <w:szCs w:val="20"/>
          <w:color w:val="auto"/>
        </w:rPr>
      </w:pPr>
      <w:r>
        <w:rPr>
          <w:rFonts w:ascii="Times New Roman" w:cs="Times New Roman" w:eastAsia="Times New Roman" w:hAnsi="Times New Roman"/>
          <w:sz w:val="20"/>
          <w:szCs w:val="20"/>
          <w:color w:val="auto"/>
        </w:rPr>
        <w:t>Section 3.18 Location of Real Property. The Perfection Certificate lists correctly, in all material respects, as of the Closing Date all Material Real Property owned by the Borrower and the Subsidiary Loan Parties and the addresses thereof. As of the Closing Date, the Borrower and the Subsidiary Loan Parties own in fee all the Real Property set forth as being owned by them in the Perfection Certificate except to the extent set forth therein.</w:t>
      </w:r>
    </w:p>
    <w:p>
      <w:pPr>
        <w:spacing w:after="0" w:line="174"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19"/>
          <w:szCs w:val="19"/>
          <w:color w:val="auto"/>
        </w:rPr>
        <w:t>Section 3.19 Solvency. (a) As of the 2021 Effective Date, immediately after giving effect to the consummation of the 2021 Transactions on the 2021 Effective Date, (i) the fair value of the assets of the Borrower and its Subsidiaries on a consolidated basis, at a fair valuation, will exceed the debts and liabilities, direct, subordinated, contingent or otherwise, of the Borrower and its Subsidiaries on a consolidated basis; (ii) the present fair saleable value of the property of the Borrower and its Subsidiaries on a consolidated basis will be greater than the amount that will be required to pay the probable liability of the Borrower and its Subsidiaries on a consolidated basis on their debts and other liabilities, direct, subordinated, contingent or otherwise, as such debts and other liabilities become absolute and matured;</w:t>
      </w:r>
    </w:p>
    <w:p>
      <w:pPr>
        <w:spacing w:after="0" w:line="3" w:lineRule="exact"/>
        <w:rPr>
          <w:sz w:val="20"/>
          <w:szCs w:val="20"/>
          <w:color w:val="auto"/>
        </w:rPr>
      </w:pPr>
    </w:p>
    <w:p>
      <w:pPr>
        <w:jc w:val="both"/>
        <w:ind w:firstLine="8"/>
        <w:spacing w:after="0" w:line="251" w:lineRule="auto"/>
        <w:tabs>
          <w:tab w:leader="none" w:pos="347" w:val="left"/>
        </w:tabs>
        <w:numPr>
          <w:ilvl w:val="0"/>
          <w:numId w:val="2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and its Subsidiaries on a consolidated basis will be able to pay their debts and liabilities, direct, subordinated, contingent or otherwise, as such debts and liabilities become absolute and matured; and (iv) the Borrower and its Subsidiaries on a consolidated basis will not have unreasonably small capital with which to conduct the businesses in which they are engaged as such businesses are now conducted and are proposed to be conducted following the 2021 Effective Date.</w:t>
      </w:r>
    </w:p>
    <w:p>
      <w:pPr>
        <w:spacing w:after="0" w:line="163" w:lineRule="exact"/>
        <w:rPr>
          <w:rFonts w:ascii="Times New Roman" w:cs="Times New Roman" w:eastAsia="Times New Roman" w:hAnsi="Times New Roman"/>
          <w:sz w:val="20"/>
          <w:szCs w:val="20"/>
          <w:color w:val="auto"/>
        </w:rPr>
      </w:pPr>
    </w:p>
    <w:p>
      <w:pPr>
        <w:jc w:val="both"/>
        <w:ind w:left="120" w:firstLine="1292"/>
        <w:spacing w:after="0" w:line="276" w:lineRule="auto"/>
        <w:tabs>
          <w:tab w:leader="none" w:pos="1878" w:val="left"/>
        </w:tabs>
        <w:numPr>
          <w:ilvl w:val="1"/>
          <w:numId w:val="2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As of the 2021 Effective Date, immediately after giving effect to the consummation of the 2021 Transactions on the 2021 Effective Date, the Borrower does not intend to, and the Borrower does not believe that it or any of its Subsidiaries will, incur debts beyond its ability to pay such debts as they mature, taking into account the timing and amounts of cash to be received by it or any such Subsidiary and the timing and amounts of cash to be payable on or in respect of its Indebtedness or the Indebtedness of any such Subsidiary.</w:t>
      </w:r>
    </w:p>
    <w:p>
      <w:pPr>
        <w:spacing w:after="0" w:line="143"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20"/>
          <w:szCs w:val="20"/>
          <w:color w:val="auto"/>
        </w:rPr>
        <w:t>Section 3.20 Labor Matters. Except as, individually or in the aggregate, would not reasonably be expected to have a Material Adverse Effect: (a) there are no strikes or other labor disputes pending or threatened against the Borrower or any of the Subsidiaries; (b) the hours worked and payments</w:t>
      </w:r>
    </w:p>
    <w:p>
      <w:pPr>
        <w:sectPr>
          <w:pgSz w:w="11900" w:h="16838" w:orient="portrait"/>
          <w:cols w:equalWidth="0" w:num="1">
            <w:col w:w="11240"/>
          </w:cols>
          <w:pgMar w:left="320" w:top="108" w:right="339" w:bottom="1440" w:gutter="0" w:footer="0" w:header="0"/>
        </w:sectPr>
      </w:pPr>
    </w:p>
    <w:bookmarkStart w:id="303" w:name="page304"/>
    <w:bookmarkEnd w:id="303"/>
    <w:p>
      <w:pPr>
        <w:jc w:val="right"/>
        <w:spacing w:after="0"/>
        <w:rPr>
          <w:sz w:val="20"/>
          <w:szCs w:val="20"/>
          <w:color w:val="auto"/>
        </w:rPr>
      </w:pPr>
      <w:r>
        <w:rPr>
          <w:rFonts w:ascii="Times New Roman" w:cs="Times New Roman" w:eastAsia="Times New Roman" w:hAnsi="Times New Roman"/>
          <w:sz w:val="22"/>
          <w:szCs w:val="22"/>
          <w:color w:val="FF0000"/>
          <w:strike w:val="1"/>
        </w:rPr>
        <w:t>ANNEX</w:t>
      </w:r>
      <w:r>
        <w:rPr>
          <w:rFonts w:ascii="Times New Roman" w:cs="Times New Roman" w:eastAsia="Times New Roman" w:hAnsi="Times New Roman"/>
          <w:sz w:val="22"/>
          <w:szCs w:val="22"/>
          <w:b w:val="1"/>
          <w:bCs w:val="1"/>
          <w:u w:val="single" w:color="auto"/>
          <w:color w:val="0000FF"/>
        </w:rPr>
        <w:t>EXHIBIT</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made to employees of the Borrower and the Subsidiaries have not been in violation of the Fair Labor Standards Act or any other applicable law dealing with such matters; and (c) all payments due from the Borrower or any of the Subsidiaries or for which any claim may be made against the Borrower or any of the Subsidiaries, on account of wages and employee health and welfare insurance and other benefits have been paid or accrued as a liability on the books of the Borrower or such Subsidiary to the extent required by GAAP. Except as, individually or in the aggregate, would not reasonably be expected to have a Material Adverse Effect, the consummation of the Transactions will not give rise to a right of termination or right of renegotiation on the part of any union under any material collective bargaining agreement to which the Borrower or any of the Subsidiaries (or any predecessor) is a party or by which the Borrower or any of the Subsidiaries (or any predecessor) is bound.</w:t>
      </w:r>
    </w:p>
    <w:p>
      <w:pPr>
        <w:spacing w:after="0" w:line="168"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20"/>
          <w:szCs w:val="20"/>
          <w:color w:val="auto"/>
        </w:rPr>
        <w:t xml:space="preserve">Section 3.21 Insurance. </w:t>
      </w:r>
      <w:r>
        <w:rPr>
          <w:rFonts w:ascii="Times New Roman" w:cs="Times New Roman" w:eastAsia="Times New Roman" w:hAnsi="Times New Roman"/>
          <w:sz w:val="20"/>
          <w:szCs w:val="20"/>
          <w:u w:val="single" w:color="auto"/>
          <w:color w:val="auto"/>
        </w:rPr>
        <w:t>Schedule 3.21</w:t>
      </w:r>
      <w:r>
        <w:rPr>
          <w:rFonts w:ascii="Times New Roman" w:cs="Times New Roman" w:eastAsia="Times New Roman" w:hAnsi="Times New Roman"/>
          <w:sz w:val="20"/>
          <w:szCs w:val="20"/>
          <w:color w:val="auto"/>
        </w:rPr>
        <w:t xml:space="preserve"> to the Original Credit Agreement sets forth a true, complete and correct description, in all material respects, of all material insurance (excluding any title insurance) maintained by or on behalf of the Borrower or the Subsidiaries as of the Closing Date. As of such date, such insurance is in full force and effect.</w:t>
      </w:r>
    </w:p>
    <w:p>
      <w:pPr>
        <w:spacing w:after="0" w:line="148"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20"/>
          <w:szCs w:val="20"/>
          <w:color w:val="auto"/>
        </w:rPr>
        <w:t>Section 3.22 No Default. No Default or Event of Default has occurred and is continuing or would result from the consummation of the transactions contemplated by this Agreement or any other Loan Document.</w:t>
      </w:r>
    </w:p>
    <w:p>
      <w:pPr>
        <w:spacing w:after="0" w:line="159"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0"/>
          <w:szCs w:val="20"/>
          <w:color w:val="auto"/>
        </w:rPr>
        <w:t xml:space="preserve">Section 3.23 Intellectual Property; Licenses, Etc. Except as would not reasonably be expected to have a Material Adverse Effect or as set forth in </w:t>
      </w:r>
      <w:r>
        <w:rPr>
          <w:rFonts w:ascii="Times New Roman" w:cs="Times New Roman" w:eastAsia="Times New Roman" w:hAnsi="Times New Roman"/>
          <w:sz w:val="20"/>
          <w:szCs w:val="20"/>
          <w:u w:val="single" w:color="auto"/>
          <w:color w:val="auto"/>
        </w:rPr>
        <w:t>Schedule 3.23</w:t>
      </w:r>
      <w:r>
        <w:rPr>
          <w:rFonts w:ascii="Times New Roman" w:cs="Times New Roman" w:eastAsia="Times New Roman" w:hAnsi="Times New Roman"/>
          <w:sz w:val="20"/>
          <w:szCs w:val="20"/>
          <w:color w:val="auto"/>
        </w:rPr>
        <w:t xml:space="preserve"> to the Original Credit Agreement, (a) the Borrower and each of its Subsidiaries owns, or possesses the right to use, all Intellectual Property used or held for use in or otherwise reasonably necessary for the present conduct of their respective businesses, (b) to the knowledge of the Borrower, the Borrower and its Subsidiaries are not interfering with, infringing upon, misappropriating or otherwise violating Intellectual Property of any person, and (c) (i) no claim or litigation regarding any of the Intellectual Property owned by the Borrower and its Subsidiaries is pending or, to the knowledge of the Borrower, threatened and (ii) to the knowledge of the Borrower, no claim or litigation regarding any other Intellectual Property described in the foregoing clauses (a) and (b) is pending or threatened.</w:t>
      </w:r>
    </w:p>
    <w:p>
      <w:pPr>
        <w:spacing w:after="0" w:line="168"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Section 3.24 Senior Debt. The Loan Obligations constitute “Senior Debt” (or the equivalent thereof) under the documentation governing any Material Indebtedness of any Loan Party permitted to be incurred hereunder constituting Indebtedness that is subordinated in right of payment to the Loan Obligations.</w:t>
      </w:r>
    </w:p>
    <w:p>
      <w:pPr>
        <w:spacing w:after="0" w:line="168" w:lineRule="exact"/>
        <w:rPr>
          <w:sz w:val="20"/>
          <w:szCs w:val="20"/>
          <w:color w:val="auto"/>
        </w:rPr>
      </w:pPr>
    </w:p>
    <w:p>
      <w:pPr>
        <w:ind w:left="1300"/>
        <w:spacing w:after="0"/>
        <w:tabs>
          <w:tab w:leader="none" w:pos="2480" w:val="left"/>
        </w:tabs>
        <w:rPr>
          <w:sz w:val="20"/>
          <w:szCs w:val="20"/>
          <w:color w:val="auto"/>
        </w:rPr>
      </w:pPr>
      <w:r>
        <w:rPr>
          <w:rFonts w:ascii="Times New Roman" w:cs="Times New Roman" w:eastAsia="Times New Roman" w:hAnsi="Times New Roman"/>
          <w:sz w:val="20"/>
          <w:szCs w:val="20"/>
          <w:color w:val="auto"/>
        </w:rPr>
        <w:t>Section 3.25</w:t>
      </w:r>
      <w:r>
        <w:rPr>
          <w:sz w:val="20"/>
          <w:szCs w:val="20"/>
          <w:color w:val="auto"/>
        </w:rPr>
        <w:tab/>
      </w:r>
      <w:r>
        <w:rPr>
          <w:rFonts w:ascii="Times New Roman" w:cs="Times New Roman" w:eastAsia="Times New Roman" w:hAnsi="Times New Roman"/>
          <w:sz w:val="19"/>
          <w:szCs w:val="19"/>
          <w:color w:val="auto"/>
        </w:rPr>
        <w:t>USA PATRIOT Act; OFAC.</w:t>
      </w:r>
    </w:p>
    <w:p>
      <w:pPr>
        <w:spacing w:after="0" w:line="202" w:lineRule="exact"/>
        <w:rPr>
          <w:sz w:val="20"/>
          <w:szCs w:val="20"/>
          <w:color w:val="auto"/>
        </w:rPr>
      </w:pPr>
    </w:p>
    <w:p>
      <w:pPr>
        <w:jc w:val="both"/>
        <w:ind w:left="120" w:firstLine="1292"/>
        <w:spacing w:after="0" w:line="252" w:lineRule="auto"/>
        <w:tabs>
          <w:tab w:leader="none" w:pos="1886" w:val="left"/>
        </w:tabs>
        <w:numPr>
          <w:ilvl w:val="0"/>
          <w:numId w:val="2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and each Subsidiary Loan Party is in compliance in all material respects with the applicable material provisions of the USA PATRIOT Act, and, (i) at least three Business Days prior to the 2021 Effective Date, the Borrower has provided to the Agents all information related to the Loan Parties (including names, addresses and tax identification numbers (if applicable)) reasonably requested in writing by the Agents not less than five (5) Business Days prior to the 2021 Effective Date and mutually agreed to be required under “know your customer” and anti-money laundering rules and regulations, including the USA PATRIOT Act, to be obtained by the Agents or any Lender and (ii) at least three Business Days prior to the 2021 Effective Date, to the extent the Borrower qualifies as a “legal entity customer” under the Beneficial Ownership Regulation, any Lender that has reasonably requested, in written notice to the Borrower not less than five (5) Business Days prior to the 2021 Effective Date, a Beneficial Ownership Certificate in relation to the Borrower, shall have received such Beneficial Ownership Certificate.</w:t>
      </w:r>
    </w:p>
    <w:p>
      <w:pPr>
        <w:sectPr>
          <w:pgSz w:w="11900" w:h="16838" w:orient="portrait"/>
          <w:cols w:equalWidth="0" w:num="1">
            <w:col w:w="11240"/>
          </w:cols>
          <w:pgMar w:left="320" w:top="108" w:right="339" w:bottom="1440" w:gutter="0" w:footer="0" w:header="0"/>
        </w:sectPr>
      </w:pPr>
    </w:p>
    <w:bookmarkStart w:id="304" w:name="page305"/>
    <w:bookmarkEnd w:id="304"/>
    <w:p>
      <w:pPr>
        <w:jc w:val="right"/>
        <w:spacing w:after="0"/>
        <w:rPr>
          <w:sz w:val="20"/>
          <w:szCs w:val="20"/>
          <w:color w:val="auto"/>
        </w:rPr>
      </w:pPr>
      <w:r>
        <w:rPr>
          <w:rFonts w:ascii="Times New Roman" w:cs="Times New Roman" w:eastAsia="Times New Roman" w:hAnsi="Times New Roman"/>
          <w:sz w:val="22"/>
          <w:szCs w:val="22"/>
          <w:color w:val="FF0000"/>
          <w:strike w:val="1"/>
        </w:rPr>
        <w:t>ANNEX</w:t>
      </w:r>
      <w:r>
        <w:rPr>
          <w:rFonts w:ascii="Times New Roman" w:cs="Times New Roman" w:eastAsia="Times New Roman" w:hAnsi="Times New Roman"/>
          <w:sz w:val="22"/>
          <w:szCs w:val="22"/>
          <w:b w:val="1"/>
          <w:bCs w:val="1"/>
          <w:u w:val="single" w:color="auto"/>
          <w:color w:val="0000FF"/>
        </w:rPr>
        <w:t>EXHIBIT</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ind w:left="120" w:firstLine="1292"/>
        <w:spacing w:after="0" w:line="250" w:lineRule="auto"/>
        <w:tabs>
          <w:tab w:leader="none" w:pos="1849" w:val="left"/>
        </w:tabs>
        <w:numPr>
          <w:ilvl w:val="0"/>
          <w:numId w:val="2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None of Holdings, the Borrower or any of its Subsidiaries nor, to the knowledge of the Borrower, any director, officer, agent, employee or Affiliate of the Borrower or any of the Subsidiaries is currently subject to any U.S. sanctions administered by the Office of Foreign Assets Control of the U.S. Treasury Department (“</w:t>
      </w:r>
      <w:r>
        <w:rPr>
          <w:rFonts w:ascii="Times New Roman" w:cs="Times New Roman" w:eastAsia="Times New Roman" w:hAnsi="Times New Roman"/>
          <w:sz w:val="20"/>
          <w:szCs w:val="20"/>
          <w:u w:val="single" w:color="auto"/>
          <w:color w:val="auto"/>
        </w:rPr>
        <w:t>OFAC</w:t>
      </w:r>
      <w:r>
        <w:rPr>
          <w:rFonts w:ascii="Times New Roman" w:cs="Times New Roman" w:eastAsia="Times New Roman" w:hAnsi="Times New Roman"/>
          <w:sz w:val="20"/>
          <w:szCs w:val="20"/>
          <w:color w:val="auto"/>
        </w:rPr>
        <w:t xml:space="preserve">”) or the U.S. Treasury Department, the European Union or relevant member states of the European Union, the United Nations Security Council or </w:t>
      </w:r>
      <w:r>
        <w:rPr>
          <w:rFonts w:ascii="Times New Roman" w:cs="Times New Roman" w:eastAsia="Times New Roman" w:hAnsi="Times New Roman"/>
          <w:sz w:val="20"/>
          <w:szCs w:val="20"/>
          <w:color w:val="FF0000"/>
          <w:strike w:val="1"/>
        </w:rPr>
        <w:t>Her</w:t>
      </w:r>
      <w:r>
        <w:rPr>
          <w:rFonts w:ascii="Times New Roman" w:cs="Times New Roman" w:eastAsia="Times New Roman" w:hAnsi="Times New Roman"/>
          <w:sz w:val="20"/>
          <w:szCs w:val="20"/>
          <w:b w:val="1"/>
          <w:bCs w:val="1"/>
          <w:u w:val="single" w:color="auto"/>
          <w:color w:val="0000FF"/>
        </w:rPr>
        <w:t>His</w:t>
      </w:r>
      <w:r>
        <w:rPr>
          <w:rFonts w:ascii="Times New Roman" w:cs="Times New Roman" w:eastAsia="Times New Roman" w:hAnsi="Times New Roman"/>
          <w:sz w:val="20"/>
          <w:szCs w:val="20"/>
          <w:color w:val="auto"/>
        </w:rPr>
        <w:t xml:space="preserve"> Majesty’s Treasury (“</w:t>
      </w:r>
      <w:r>
        <w:rPr>
          <w:rFonts w:ascii="Times New Roman" w:cs="Times New Roman" w:eastAsia="Times New Roman" w:hAnsi="Times New Roman"/>
          <w:sz w:val="20"/>
          <w:szCs w:val="20"/>
          <w:u w:val="single" w:color="auto"/>
          <w:color w:val="auto"/>
        </w:rPr>
        <w:t>Sanctions</w:t>
      </w:r>
      <w:r>
        <w:rPr>
          <w:rFonts w:ascii="Times New Roman" w:cs="Times New Roman" w:eastAsia="Times New Roman" w:hAnsi="Times New Roman"/>
          <w:sz w:val="20"/>
          <w:szCs w:val="20"/>
          <w:color w:val="auto"/>
        </w:rPr>
        <w:t>”). The Borrower will not directly or indirectly use the proceeds of the Loans or the Letters of Credit or otherwise make available such proceeds to any person, for the purpose of financing the activities of any person that is currently the target of any Sanctions or for the purpose of funding, financing or facilitating any activities, business or transaction with or in any country that is the target of the Sanctions, to the extent such activities, businesses or transaction would be prohibited by sanctions laws and regulations administered by the United States, including OFAC and the U.S. State Department, the United Nations Security Council, His Majesty’s Treasury, the European Union or relevant member states of the European Union (collectively, the “</w:t>
      </w:r>
      <w:r>
        <w:rPr>
          <w:rFonts w:ascii="Times New Roman" w:cs="Times New Roman" w:eastAsia="Times New Roman" w:hAnsi="Times New Roman"/>
          <w:sz w:val="20"/>
          <w:szCs w:val="20"/>
          <w:u w:val="single" w:color="auto"/>
          <w:color w:val="auto"/>
        </w:rPr>
        <w:t>Sanctions Laws</w:t>
      </w:r>
      <w:r>
        <w:rPr>
          <w:rFonts w:ascii="Times New Roman" w:cs="Times New Roman" w:eastAsia="Times New Roman" w:hAnsi="Times New Roman"/>
          <w:sz w:val="20"/>
          <w:szCs w:val="20"/>
          <w:color w:val="auto"/>
        </w:rPr>
        <w:t>”), or in any manner that would result in the violation of any Sanctions Laws applicable to any party hereto.</w:t>
      </w:r>
    </w:p>
    <w:p>
      <w:pPr>
        <w:spacing w:after="0" w:line="173"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color w:val="auto"/>
        </w:rPr>
        <w:t>Section 3.26 Foreign Corrupt Practices Act. Holdings, the Borrower and its Subsidiaries, and, to the knowledge of the Borrower or any of its Subsidiaries, their directors, officers, agents or employees, are in compliance with the U.S. Foreign Corrupt Practices Act of 1977 or similar law of a jurisdiction in which the Borrower or any of its Subsidiaries conduct their business and to which they are lawfully subject (“</w:t>
      </w:r>
      <w:r>
        <w:rPr>
          <w:rFonts w:ascii="Times New Roman" w:cs="Times New Roman" w:eastAsia="Times New Roman" w:hAnsi="Times New Roman"/>
          <w:sz w:val="20"/>
          <w:szCs w:val="20"/>
          <w:u w:val="single" w:color="auto"/>
          <w:color w:val="auto"/>
        </w:rPr>
        <w:t>Anti-Corruption Laws</w:t>
      </w:r>
      <w:r>
        <w:rPr>
          <w:rFonts w:ascii="Times New Roman" w:cs="Times New Roman" w:eastAsia="Times New Roman" w:hAnsi="Times New Roman"/>
          <w:sz w:val="20"/>
          <w:szCs w:val="20"/>
          <w:color w:val="auto"/>
        </w:rPr>
        <w:t>”), in each case, in all material respects. No part of the proceeds of the Loans made hereunder will be used to make any unlawful bribe, rebate, payoff, influence payment, kickback or other unlawful payment</w:t>
      </w:r>
      <w:r>
        <w:rPr>
          <w:rFonts w:ascii="Arial" w:cs="Arial" w:eastAsia="Arial" w:hAnsi="Arial"/>
          <w:sz w:val="20"/>
          <w:szCs w:val="20"/>
          <w:color w:val="auto"/>
        </w:rPr>
        <w:t>.</w:t>
      </w:r>
    </w:p>
    <w:p>
      <w:pPr>
        <w:spacing w:after="0" w:line="162"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22"/>
          <w:szCs w:val="22"/>
          <w:color w:val="auto"/>
        </w:rPr>
        <w:t>ARTICLE IV</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Conditions of Lending</w:t>
      </w:r>
    </w:p>
    <w:p>
      <w:pPr>
        <w:spacing w:after="0" w:line="220"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19"/>
          <w:szCs w:val="19"/>
          <w:color w:val="auto"/>
        </w:rPr>
        <w:t>The obligations of (a) the Lenders (including the Swingline Lender) to make Loans (other than with respect to Revolving Facility Loans and other Credit Events pursuant to the Revolving Facility Commitments outstanding on the 2020 Effective Date, the conditions with respect to which are set forth in the 2020 Incremental Assumption Agreement, and other than 2021 Term B Loans on the 2021 Effective Date, the conditions with respect to which are set forth in the 2021 Incremental Assumption and Amendment Agreement) and</w:t>
      </w:r>
    </w:p>
    <w:p>
      <w:pPr>
        <w:spacing w:after="0" w:line="3" w:lineRule="exact"/>
        <w:rPr>
          <w:sz w:val="20"/>
          <w:szCs w:val="20"/>
          <w:color w:val="auto"/>
        </w:rPr>
      </w:pPr>
    </w:p>
    <w:p>
      <w:pPr>
        <w:ind w:firstLine="8"/>
        <w:spacing w:after="0" w:line="267" w:lineRule="auto"/>
        <w:tabs>
          <w:tab w:leader="none" w:pos="282" w:val="left"/>
        </w:tabs>
        <w:numPr>
          <w:ilvl w:val="0"/>
          <w:numId w:val="2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Issuing Bank to issue, amend, extend or renew Letters of Credit or increase the stated amounts of Letters of Credit hereunder (each, a “</w:t>
      </w:r>
      <w:r>
        <w:rPr>
          <w:rFonts w:ascii="Times New Roman" w:cs="Times New Roman" w:eastAsia="Times New Roman" w:hAnsi="Times New Roman"/>
          <w:sz w:val="20"/>
          <w:szCs w:val="20"/>
          <w:u w:val="single" w:color="auto"/>
          <w:color w:val="auto"/>
        </w:rPr>
        <w:t>Credit Event</w:t>
      </w:r>
      <w:r>
        <w:rPr>
          <w:rFonts w:ascii="Times New Roman" w:cs="Times New Roman" w:eastAsia="Times New Roman" w:hAnsi="Times New Roman"/>
          <w:sz w:val="20"/>
          <w:szCs w:val="20"/>
          <w:color w:val="auto"/>
        </w:rPr>
        <w:t>”) are subject to the satisfaction (or waiver in accordance with Section 9.08) of the following conditions:</w:t>
      </w:r>
    </w:p>
    <w:p>
      <w:pPr>
        <w:spacing w:after="0" w:line="148" w:lineRule="exact"/>
        <w:rPr>
          <w:sz w:val="20"/>
          <w:szCs w:val="20"/>
          <w:color w:val="auto"/>
        </w:rPr>
      </w:pPr>
    </w:p>
    <w:p>
      <w:pPr>
        <w:ind w:firstLine="1296"/>
        <w:spacing w:after="0" w:line="269" w:lineRule="auto"/>
        <w:rPr>
          <w:sz w:val="20"/>
          <w:szCs w:val="20"/>
          <w:color w:val="auto"/>
        </w:rPr>
      </w:pPr>
      <w:r>
        <w:rPr>
          <w:rFonts w:ascii="Times New Roman" w:cs="Times New Roman" w:eastAsia="Times New Roman" w:hAnsi="Times New Roman"/>
          <w:sz w:val="20"/>
          <w:szCs w:val="20"/>
          <w:color w:val="auto"/>
        </w:rPr>
        <w:t>Section 4.01 All Credit Events. On the date of each Borrowing and on the date of each issuance, amendment, extension or renewal of a Letter of Credit (in each case, other than pursuant to an Incremental Assumption Agreement):</w:t>
      </w:r>
    </w:p>
    <w:p>
      <w:pPr>
        <w:spacing w:after="0" w:line="159" w:lineRule="exact"/>
        <w:rPr>
          <w:sz w:val="20"/>
          <w:szCs w:val="20"/>
          <w:color w:val="auto"/>
        </w:rPr>
      </w:pPr>
    </w:p>
    <w:p>
      <w:pPr>
        <w:jc w:val="both"/>
        <w:ind w:left="120" w:firstLine="1292"/>
        <w:spacing w:after="0" w:line="258" w:lineRule="auto"/>
        <w:tabs>
          <w:tab w:leader="none" w:pos="1948" w:val="left"/>
        </w:tabs>
        <w:numPr>
          <w:ilvl w:val="0"/>
          <w:numId w:val="2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have received, in the case of a Borrowing, a Borrowing Request as required by Section 2.03 (or a Borrowing Request shall have been deemed given in accordance with the last paragraph of Section 2.03) or, in the case of the issuance of a Letter of Credit, the applicable Issuing Bank and the Administrative Agent shall have received a notice requesting the issuance of such Letter of Credit as required by Section 2.05(b).</w:t>
      </w:r>
    </w:p>
    <w:p>
      <w:pPr>
        <w:spacing w:after="0" w:line="158" w:lineRule="exact"/>
        <w:rPr>
          <w:rFonts w:ascii="Times New Roman" w:cs="Times New Roman" w:eastAsia="Times New Roman" w:hAnsi="Times New Roman"/>
          <w:sz w:val="20"/>
          <w:szCs w:val="20"/>
          <w:color w:val="auto"/>
        </w:rPr>
      </w:pPr>
    </w:p>
    <w:p>
      <w:pPr>
        <w:jc w:val="both"/>
        <w:ind w:left="120" w:firstLine="1292"/>
        <w:spacing w:after="0" w:line="261" w:lineRule="auto"/>
        <w:tabs>
          <w:tab w:leader="none" w:pos="1908" w:val="left"/>
        </w:tabs>
        <w:numPr>
          <w:ilvl w:val="0"/>
          <w:numId w:val="2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each Credit Event (other than an amendment, extension or renewal of a Letter of Credit without any increase in the stated amount of such Letter of Credit), the representations and warranties set forth in the Loan Documents shall be true and correct in all material respects as of such date, in each case, with the same effect as though made on and as of such date,</w:t>
      </w:r>
    </w:p>
    <w:p>
      <w:pPr>
        <w:sectPr>
          <w:pgSz w:w="11900" w:h="16838" w:orient="portrait"/>
          <w:cols w:equalWidth="0" w:num="1">
            <w:col w:w="11240"/>
          </w:cols>
          <w:pgMar w:left="320" w:top="108" w:right="339" w:bottom="1440" w:gutter="0" w:footer="0" w:header="0"/>
        </w:sectPr>
      </w:pPr>
    </w:p>
    <w:bookmarkStart w:id="305" w:name="page306"/>
    <w:bookmarkEnd w:id="305"/>
    <w:p>
      <w:pPr>
        <w:jc w:val="right"/>
        <w:spacing w:after="0"/>
        <w:rPr>
          <w:sz w:val="20"/>
          <w:szCs w:val="20"/>
          <w:color w:val="auto"/>
        </w:rPr>
      </w:pPr>
      <w:r>
        <w:rPr>
          <w:rFonts w:ascii="Times New Roman" w:cs="Times New Roman" w:eastAsia="Times New Roman" w:hAnsi="Times New Roman"/>
          <w:sz w:val="22"/>
          <w:szCs w:val="22"/>
          <w:color w:val="FF0000"/>
          <w:strike w:val="1"/>
        </w:rPr>
        <w:t>ANNEX</w:t>
      </w:r>
      <w:r>
        <w:rPr>
          <w:rFonts w:ascii="Times New Roman" w:cs="Times New Roman" w:eastAsia="Times New Roman" w:hAnsi="Times New Roman"/>
          <w:sz w:val="22"/>
          <w:szCs w:val="22"/>
          <w:b w:val="1"/>
          <w:bCs w:val="1"/>
          <w:u w:val="single" w:color="auto"/>
          <w:color w:val="0000FF"/>
        </w:rPr>
        <w:t>EXHIBIT</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ind w:left="120"/>
        <w:spacing w:after="0" w:line="283" w:lineRule="auto"/>
        <w:rPr>
          <w:sz w:val="20"/>
          <w:szCs w:val="20"/>
          <w:color w:val="auto"/>
        </w:rPr>
      </w:pPr>
      <w:r>
        <w:rPr>
          <w:rFonts w:ascii="Times New Roman" w:cs="Times New Roman" w:eastAsia="Times New Roman" w:hAnsi="Times New Roman"/>
          <w:sz w:val="20"/>
          <w:szCs w:val="20"/>
          <w:color w:val="auto"/>
        </w:rPr>
        <w:t>except to the extent such representations and warranties expressly relate to an earlier date (in which case such representations and warranties shall be true and correct in all material respects as of such earlier date).</w:t>
      </w:r>
    </w:p>
    <w:p>
      <w:pPr>
        <w:spacing w:after="0" w:line="133" w:lineRule="exact"/>
        <w:rPr>
          <w:sz w:val="20"/>
          <w:szCs w:val="20"/>
          <w:color w:val="auto"/>
        </w:rPr>
      </w:pPr>
    </w:p>
    <w:p>
      <w:pPr>
        <w:jc w:val="both"/>
        <w:ind w:left="120" w:firstLine="1292"/>
        <w:spacing w:after="0" w:line="281" w:lineRule="auto"/>
        <w:tabs>
          <w:tab w:leader="none" w:pos="1845" w:val="left"/>
        </w:tabs>
        <w:numPr>
          <w:ilvl w:val="1"/>
          <w:numId w:val="2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case of each Borrowing or other Credit Event, at the time of and immediately after such Borrowing or issuance, amendment, extension or renewal of a Letter of Credit (other than an amendment, extension or renewal of a Letter of Credit without any increase in the stated amount of such Letter of Credit), as applicable, no Event of Default or Default shall have occurred and be continuing.</w:t>
      </w:r>
    </w:p>
    <w:p>
      <w:pPr>
        <w:spacing w:after="0" w:line="137" w:lineRule="exact"/>
        <w:rPr>
          <w:rFonts w:ascii="Times New Roman" w:cs="Times New Roman" w:eastAsia="Times New Roman" w:hAnsi="Times New Roman"/>
          <w:sz w:val="19"/>
          <w:szCs w:val="19"/>
          <w:color w:val="auto"/>
        </w:rPr>
      </w:pPr>
    </w:p>
    <w:p>
      <w:pPr>
        <w:jc w:val="both"/>
        <w:ind w:left="120" w:firstLine="1292"/>
        <w:spacing w:after="0" w:line="258" w:lineRule="auto"/>
        <w:tabs>
          <w:tab w:leader="none" w:pos="1875" w:val="left"/>
        </w:tabs>
        <w:numPr>
          <w:ilvl w:val="1"/>
          <w:numId w:val="2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Borrowing and other Credit Event shall be deemed to constitute a representation and warranty by the Borrower on the date of such Borrowing, issuance, amendment, extension or renewal as applicable, as to the matters specified in paragraphs (b) and</w:t>
      </w:r>
    </w:p>
    <w:p>
      <w:pPr>
        <w:ind w:left="380" w:hanging="264"/>
        <w:spacing w:after="0"/>
        <w:tabs>
          <w:tab w:leader="none" w:pos="380" w:val="left"/>
        </w:tabs>
        <w:numPr>
          <w:ilvl w:val="0"/>
          <w:numId w:val="2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 this Section 4.01.</w:t>
      </w:r>
    </w:p>
    <w:p>
      <w:pPr>
        <w:spacing w:after="0" w:line="194" w:lineRule="exact"/>
        <w:rPr>
          <w:sz w:val="20"/>
          <w:szCs w:val="20"/>
          <w:color w:val="auto"/>
        </w:rPr>
      </w:pPr>
    </w:p>
    <w:p>
      <w:pPr>
        <w:ind w:left="1300"/>
        <w:spacing w:after="0"/>
        <w:tabs>
          <w:tab w:leader="none" w:pos="2480" w:val="left"/>
        </w:tabs>
        <w:rPr>
          <w:sz w:val="20"/>
          <w:szCs w:val="20"/>
          <w:color w:val="auto"/>
        </w:rPr>
      </w:pPr>
      <w:r>
        <w:rPr>
          <w:rFonts w:ascii="Times New Roman" w:cs="Times New Roman" w:eastAsia="Times New Roman" w:hAnsi="Times New Roman"/>
          <w:sz w:val="20"/>
          <w:szCs w:val="20"/>
          <w:color w:val="auto"/>
        </w:rPr>
        <w:t>Section 4.02</w:t>
      </w:r>
      <w:r>
        <w:rPr>
          <w:sz w:val="20"/>
          <w:szCs w:val="20"/>
          <w:color w:val="auto"/>
        </w:rPr>
        <w:tab/>
      </w:r>
      <w:r>
        <w:rPr>
          <w:rFonts w:ascii="Times New Roman" w:cs="Times New Roman" w:eastAsia="Times New Roman" w:hAnsi="Times New Roman"/>
          <w:sz w:val="19"/>
          <w:szCs w:val="19"/>
          <w:color w:val="auto"/>
        </w:rPr>
        <w:t>[Reserved].</w:t>
      </w:r>
    </w:p>
    <w:p>
      <w:pPr>
        <w:spacing w:after="0" w:line="21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22"/>
          <w:szCs w:val="22"/>
          <w:color w:val="auto"/>
        </w:rPr>
        <w:t>ARTICLE V</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Affirmative Covenants</w:t>
      </w:r>
    </w:p>
    <w:p>
      <w:pPr>
        <w:spacing w:after="0" w:line="206" w:lineRule="exact"/>
        <w:rPr>
          <w:sz w:val="20"/>
          <w:szCs w:val="20"/>
          <w:color w:val="auto"/>
        </w:rPr>
      </w:pPr>
    </w:p>
    <w:p>
      <w:pPr>
        <w:jc w:val="both"/>
        <w:ind w:right="20" w:firstLine="1296"/>
        <w:spacing w:after="0" w:line="269" w:lineRule="auto"/>
        <w:rPr>
          <w:sz w:val="20"/>
          <w:szCs w:val="20"/>
          <w:color w:val="auto"/>
        </w:rPr>
      </w:pPr>
      <w:r>
        <w:rPr>
          <w:rFonts w:ascii="Times New Roman" w:cs="Times New Roman" w:eastAsia="Times New Roman" w:hAnsi="Times New Roman"/>
          <w:sz w:val="20"/>
          <w:szCs w:val="20"/>
          <w:color w:val="auto"/>
        </w:rPr>
        <w:t>The Borrower covenants and agrees with each Lender that, until the Termination Date, unless the Required Lenders shall otherwise consent in writing, the Borrower will, and will cause each of the Subsidiaries to:</w:t>
      </w:r>
    </w:p>
    <w:p>
      <w:pPr>
        <w:spacing w:after="0" w:line="159"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0"/>
          <w:szCs w:val="20"/>
          <w:color w:val="auto"/>
        </w:rPr>
        <w:t xml:space="preserve">Section 5.01 Existence; Business and Properties. (a) Do or cause to be done all things necessary to preserve, renew and keep in full force and effect its legal existence, except, in the case of a Subsidiary of the Borrower, where the failure to do so would not reasonably be expected to have a Material Adverse Effect, and except as otherwise permitted under Section 6.05, and except for the liquidation or dissolution of Subsidiaries if the assets of such Subsidiaries to the extent they exceed estimated liabilities are acquired by the Borrower or a Wholly Owned Subsidiary of the Borrower in such liquidation or dissolution;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Subsidiary Loan Parties may not be liquidated into Subsidiaries that are not Loan Parties and Domestic Subsidiaries may not be liquidated into Foreign Subsidiaries (except in each case as permitted under Section 6.05).</w:t>
      </w:r>
    </w:p>
    <w:p>
      <w:pPr>
        <w:spacing w:after="0" w:line="166" w:lineRule="exact"/>
        <w:rPr>
          <w:sz w:val="20"/>
          <w:szCs w:val="20"/>
          <w:color w:val="auto"/>
        </w:rPr>
      </w:pPr>
    </w:p>
    <w:p>
      <w:pPr>
        <w:jc w:val="both"/>
        <w:ind w:left="120" w:firstLine="1292"/>
        <w:spacing w:after="0" w:line="253" w:lineRule="auto"/>
        <w:tabs>
          <w:tab w:leader="none" w:pos="1862" w:val="left"/>
        </w:tabs>
        <w:numPr>
          <w:ilvl w:val="0"/>
          <w:numId w:val="2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where the failure to do so would not reasonably be expected to have a Material Adverse Effect, do or cause to be done all things necessary to (i) lawfully obtain, preserve, renew, extend and keep in full force and effect the permits, franchises, authorizations, Intellectual Property, licenses and rights with respect thereto necessary to the normal conduct of its business, and (ii) at all times maintain, protect and preserve all property necessary to the normal conduct of its business and keep such property in good repair, working order and condition (ordinary wear and tear excepted), from time to time make, or cause to be made, all needful and proper repairs, renewals, additions, improvements and replacements thereto necessary in order that the business carried on in connection therewith, if any, may be properly conducted at all times (in each case except as permitted by this Agreement).</w:t>
      </w:r>
    </w:p>
    <w:p>
      <w:pPr>
        <w:spacing w:after="0" w:line="16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Section 5.02 Insurance. (a) Maintain, with financially sound and reputable insurance companies, insurance (subject to customary deductibles and retentions) in such amounts and against such risks as are customarily maintained by similarly situated companies engaged in the same or similar businesses operating in the same or similar locations, cause the Collateral Agent to be listed as a co-loss</w:t>
      </w:r>
    </w:p>
    <w:p>
      <w:pPr>
        <w:sectPr>
          <w:pgSz w:w="11900" w:h="16838" w:orient="portrait"/>
          <w:cols w:equalWidth="0" w:num="1">
            <w:col w:w="11240"/>
          </w:cols>
          <w:pgMar w:left="320" w:top="108" w:right="339" w:bottom="1440" w:gutter="0" w:footer="0" w:header="0"/>
        </w:sectPr>
      </w:pPr>
    </w:p>
    <w:bookmarkStart w:id="306" w:name="page307"/>
    <w:bookmarkEnd w:id="306"/>
    <w:p>
      <w:pPr>
        <w:jc w:val="right"/>
        <w:spacing w:after="0"/>
        <w:rPr>
          <w:sz w:val="20"/>
          <w:szCs w:val="20"/>
          <w:color w:val="auto"/>
        </w:rPr>
      </w:pPr>
      <w:r>
        <w:rPr>
          <w:rFonts w:ascii="Times New Roman" w:cs="Times New Roman" w:eastAsia="Times New Roman" w:hAnsi="Times New Roman"/>
          <w:sz w:val="22"/>
          <w:szCs w:val="22"/>
          <w:color w:val="FF0000"/>
          <w:strike w:val="1"/>
        </w:rPr>
        <w:t>ANNEX</w:t>
      </w:r>
      <w:r>
        <w:rPr>
          <w:rFonts w:ascii="Times New Roman" w:cs="Times New Roman" w:eastAsia="Times New Roman" w:hAnsi="Times New Roman"/>
          <w:sz w:val="22"/>
          <w:szCs w:val="22"/>
          <w:b w:val="1"/>
          <w:bCs w:val="1"/>
          <w:u w:val="single" w:color="auto"/>
          <w:color w:val="0000FF"/>
        </w:rPr>
        <w:t>EXHIBIT</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payee on property and casualty policies with respect to Mortgaged Property located in the United States of America and as an additional insured on liability policies. Notwithstanding the foregoing, the Borrower and the Subsidiaries may self-insure with respect to such risks with respect to which companies of established reputation engaged in the same general line of business in the same general area usually self-insure.</w:t>
      </w:r>
    </w:p>
    <w:p>
      <w:pPr>
        <w:spacing w:after="0" w:line="155" w:lineRule="exact"/>
        <w:rPr>
          <w:sz w:val="20"/>
          <w:szCs w:val="20"/>
          <w:color w:val="auto"/>
        </w:rPr>
      </w:pPr>
    </w:p>
    <w:p>
      <w:pPr>
        <w:jc w:val="both"/>
        <w:ind w:left="120" w:firstLine="1292"/>
        <w:spacing w:after="0" w:line="251" w:lineRule="auto"/>
        <w:tabs>
          <w:tab w:leader="none" w:pos="1887" w:val="left"/>
        </w:tabs>
        <w:numPr>
          <w:ilvl w:val="0"/>
          <w:numId w:val="2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as the Administrative Agent </w:t>
      </w:r>
      <w:r>
        <w:rPr>
          <w:rFonts w:ascii="Times New Roman" w:cs="Times New Roman" w:eastAsia="Times New Roman" w:hAnsi="Times New Roman"/>
          <w:sz w:val="20"/>
          <w:szCs w:val="20"/>
          <w:b w:val="1"/>
          <w:bCs w:val="1"/>
          <w:u w:val="single" w:color="auto"/>
          <w:color w:val="0000FF"/>
        </w:rPr>
        <w:t>(acting at the direction of the Required Lenders)</w:t>
      </w:r>
      <w:r>
        <w:rPr>
          <w:rFonts w:ascii="Times New Roman" w:cs="Times New Roman" w:eastAsia="Times New Roman" w:hAnsi="Times New Roman"/>
          <w:sz w:val="20"/>
          <w:szCs w:val="20"/>
          <w:color w:val="auto"/>
        </w:rPr>
        <w:t xml:space="preserve"> may agree in its reasonable discretion, cause all such property and casualty insurance policies with respect to the Mortgaged Property located in the United States of America to be endorsed or otherwise amended to include a “standard” or “New York” lender’s loss payable endorsement, in form and substance reasonably satisfactory to the Administrative Agent, deliver a certificate of an insurance broker to the Collateral Agent; cause each such policy covered by this clause (b) to provide that it shall not be cancelled or not renewed upon less than 30 days’ prior written notice thereof by the insurer to the Collateral Agent; deliver to the Collateral Agent, prior to or concurrently with the cancellation or nonrenewal of any such policy of insurance covered by this clause (b), a copy of a renewal or replacement policy (or other evidence of renewal of a policy previously delivered to the Collateral Agent), or insurance certificate with respect thereto, together with evidence satisfactory to the Administrative Agent of payment of the premium therefor, in each case of the foregoing, to the extent customarily maintained, purchased or provided to, or at the request of, lenders by similarly situated companies in connection with credit facilities of this nature.</w:t>
      </w:r>
    </w:p>
    <w:p>
      <w:pPr>
        <w:spacing w:after="0" w:line="166" w:lineRule="exact"/>
        <w:rPr>
          <w:rFonts w:ascii="Times New Roman" w:cs="Times New Roman" w:eastAsia="Times New Roman" w:hAnsi="Times New Roman"/>
          <w:sz w:val="20"/>
          <w:szCs w:val="20"/>
          <w:color w:val="auto"/>
        </w:rPr>
      </w:pPr>
    </w:p>
    <w:p>
      <w:pPr>
        <w:jc w:val="both"/>
        <w:ind w:left="120" w:firstLine="1292"/>
        <w:spacing w:after="0" w:line="270" w:lineRule="auto"/>
        <w:tabs>
          <w:tab w:leader="none" w:pos="1944" w:val="left"/>
        </w:tabs>
        <w:numPr>
          <w:ilvl w:val="0"/>
          <w:numId w:val="2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any portion of any Mortgaged Property is at any time located in an area identified by the Federal Emergency Management Agency (or any successor agency) as a special flood hazard area (each a “</w:t>
      </w:r>
      <w:r>
        <w:rPr>
          <w:rFonts w:ascii="Times New Roman" w:cs="Times New Roman" w:eastAsia="Times New Roman" w:hAnsi="Times New Roman"/>
          <w:sz w:val="19"/>
          <w:szCs w:val="19"/>
          <w:u w:val="single" w:color="auto"/>
          <w:color w:val="auto"/>
        </w:rPr>
        <w:t>Special Flood Hazard Area</w:t>
      </w:r>
      <w:r>
        <w:rPr>
          <w:rFonts w:ascii="Times New Roman" w:cs="Times New Roman" w:eastAsia="Times New Roman" w:hAnsi="Times New Roman"/>
          <w:sz w:val="19"/>
          <w:szCs w:val="19"/>
          <w:color w:val="auto"/>
        </w:rPr>
        <w:t>”) with respect to which flood insurance has been made available under the Flood Insurance Laws, (i) maintain, or cause to be maintained, with a financially sound and reputable insurer, flood insurance in an amount and otherwise sufficient to comply with all applicable rules and regulations promulgated pursuant to the Flood Insurance Laws and (ii) deliver to the Collateral Agent evidence of such compliance in form and substance reasonably acceptable to the Administrative Agent, including a copy of the flood insurance policy and declaration page relating thereto</w:t>
      </w:r>
      <w:r>
        <w:rPr>
          <w:rFonts w:ascii="Arial" w:cs="Arial" w:eastAsia="Arial" w:hAnsi="Arial"/>
          <w:sz w:val="19"/>
          <w:szCs w:val="19"/>
          <w:color w:val="auto"/>
        </w:rPr>
        <w:t>.</w:t>
      </w:r>
    </w:p>
    <w:p>
      <w:pPr>
        <w:spacing w:after="0" w:line="144" w:lineRule="exact"/>
        <w:rPr>
          <w:rFonts w:ascii="Times New Roman" w:cs="Times New Roman" w:eastAsia="Times New Roman" w:hAnsi="Times New Roman"/>
          <w:sz w:val="19"/>
          <w:szCs w:val="19"/>
          <w:color w:val="auto"/>
        </w:rPr>
      </w:pPr>
    </w:p>
    <w:p>
      <w:pPr>
        <w:ind w:left="1840" w:hanging="428"/>
        <w:spacing w:after="0"/>
        <w:tabs>
          <w:tab w:leader="none" w:pos="1840" w:val="left"/>
        </w:tabs>
        <w:numPr>
          <w:ilvl w:val="0"/>
          <w:numId w:val="2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connection with the covenants set forth in this Section 5.02, it is understood and agreed that:</w:t>
      </w:r>
    </w:p>
    <w:p>
      <w:pPr>
        <w:spacing w:after="0" w:line="215" w:lineRule="exact"/>
        <w:rPr>
          <w:rFonts w:ascii="Times New Roman" w:cs="Times New Roman" w:eastAsia="Times New Roman" w:hAnsi="Times New Roman"/>
          <w:sz w:val="20"/>
          <w:szCs w:val="20"/>
          <w:color w:val="auto"/>
        </w:rPr>
      </w:pPr>
    </w:p>
    <w:p>
      <w:pPr>
        <w:jc w:val="both"/>
        <w:ind w:left="660" w:firstLine="1292"/>
        <w:spacing w:after="0" w:line="250" w:lineRule="auto"/>
        <w:tabs>
          <w:tab w:leader="none" w:pos="2400" w:val="left"/>
        </w:tabs>
        <w:numPr>
          <w:ilvl w:val="1"/>
          <w:numId w:val="2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the Collateral Agent, the Lenders, the Issuing Banks and their respective agents or employees shall not be liable for any loss or damage insured by the insurance policies required to be maintained under this Section 5.02, it being understood that (A) the Loan Parties shall look solely to their insurance companies or any other parties other than the aforesaid parties for the recovery of such loss or damage and (B) such insurance companies shall have no rights of subrogation against the Administrative Agent, the Collateral Agent, the Lenders, any Issuing Bank or their agents or employees. If, however, the insurance policies, as a matter of the internal policy of such insurer, do not provide waiver of subrogation rights against such parties, as required above, then each of Holdings and the Borrower, on behalf of itself and behalf of each of its Subsidiaries, hereby agrees, to the extent permitted by law, to waive, and further agrees to cause each of their Subsidiaries to waive, its right of recovery, if any, against the Administrative Agent, the Collateral Agent, the Lenders, any Issuing Bank and their agents and employees;</w:t>
      </w:r>
    </w:p>
    <w:p>
      <w:pPr>
        <w:spacing w:after="0" w:line="200" w:lineRule="exact"/>
        <w:rPr>
          <w:rFonts w:ascii="Times New Roman" w:cs="Times New Roman" w:eastAsia="Times New Roman" w:hAnsi="Times New Roman"/>
          <w:sz w:val="20"/>
          <w:szCs w:val="20"/>
          <w:color w:val="auto"/>
        </w:rPr>
      </w:pPr>
    </w:p>
    <w:p>
      <w:pPr>
        <w:spacing w:after="0" w:line="208" w:lineRule="exact"/>
        <w:rPr>
          <w:rFonts w:ascii="Times New Roman" w:cs="Times New Roman" w:eastAsia="Times New Roman" w:hAnsi="Times New Roman"/>
          <w:sz w:val="20"/>
          <w:szCs w:val="20"/>
          <w:color w:val="auto"/>
        </w:rPr>
      </w:pPr>
    </w:p>
    <w:p>
      <w:pPr>
        <w:ind w:left="660" w:right="20" w:firstLine="1292"/>
        <w:spacing w:after="0" w:line="283" w:lineRule="auto"/>
        <w:tabs>
          <w:tab w:leader="none" w:pos="2408" w:val="left"/>
        </w:tabs>
        <w:numPr>
          <w:ilvl w:val="1"/>
          <w:numId w:val="2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designation of any form, type or amount of insurance coverage by the Collateral Agent (including acting in the capacity as the Collateral Agent) under this Section 5.02</w:t>
      </w:r>
    </w:p>
    <w:p>
      <w:pPr>
        <w:sectPr>
          <w:pgSz w:w="11900" w:h="16838" w:orient="portrait"/>
          <w:cols w:equalWidth="0" w:num="1">
            <w:col w:w="11240"/>
          </w:cols>
          <w:pgMar w:left="320" w:top="108" w:right="339" w:bottom="1440" w:gutter="0" w:footer="0" w:header="0"/>
        </w:sectPr>
      </w:pPr>
    </w:p>
    <w:bookmarkStart w:id="307" w:name="page308"/>
    <w:bookmarkEnd w:id="307"/>
    <w:p>
      <w:pPr>
        <w:ind w:left="9360"/>
        <w:spacing w:after="0"/>
        <w:rPr>
          <w:sz w:val="20"/>
          <w:szCs w:val="20"/>
          <w:color w:val="auto"/>
        </w:rPr>
      </w:pPr>
      <w:r>
        <w:rPr>
          <w:rFonts w:ascii="Times New Roman" w:cs="Times New Roman" w:eastAsia="Times New Roman" w:hAnsi="Times New Roman"/>
          <w:sz w:val="21"/>
          <w:szCs w:val="21"/>
          <w:color w:val="FF0000"/>
          <w:strike w:val="1"/>
        </w:rPr>
        <w:t>ANNEX</w:t>
      </w:r>
      <w:r>
        <w:rPr>
          <w:rFonts w:ascii="Times New Roman" w:cs="Times New Roman" w:eastAsia="Times New Roman" w:hAnsi="Times New Roman"/>
          <w:sz w:val="21"/>
          <w:szCs w:val="21"/>
          <w:b w:val="1"/>
          <w:bCs w:val="1"/>
          <w:u w:val="single" w:color="auto"/>
          <w:color w:val="0000FF"/>
        </w:rPr>
        <w:t>EXHIBIT</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000000"/>
        </w:rPr>
        <w: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660"/>
        <w:spacing w:after="0" w:line="283" w:lineRule="auto"/>
        <w:rPr>
          <w:sz w:val="20"/>
          <w:szCs w:val="20"/>
          <w:color w:val="auto"/>
        </w:rPr>
      </w:pPr>
      <w:r>
        <w:rPr>
          <w:rFonts w:ascii="Times New Roman" w:cs="Times New Roman" w:eastAsia="Times New Roman" w:hAnsi="Times New Roman"/>
          <w:sz w:val="20"/>
          <w:szCs w:val="20"/>
          <w:color w:val="auto"/>
        </w:rPr>
        <w:t>shall in no event be deemed a representation, warranty or advice by the Collateral Agent or the Lenders that such insurance is adequate for the purposes of the business of Holdings, the Borrower and the Subsidiaries or the protection of their properties; and</w:t>
      </w:r>
    </w:p>
    <w:p>
      <w:pPr>
        <w:spacing w:after="0" w:line="133" w:lineRule="exact"/>
        <w:rPr>
          <w:sz w:val="20"/>
          <w:szCs w:val="20"/>
          <w:color w:val="auto"/>
        </w:rPr>
      </w:pPr>
    </w:p>
    <w:p>
      <w:pPr>
        <w:ind w:left="660" w:right="20" w:firstLine="1292"/>
        <w:spacing w:after="0" w:line="269" w:lineRule="auto"/>
        <w:tabs>
          <w:tab w:leader="none" w:pos="2502" w:val="left"/>
        </w:tabs>
        <w:numPr>
          <w:ilvl w:val="0"/>
          <w:numId w:val="2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amount and type of insurance that the Borrower and its Subsidiaries has in effect as of the Closing Date satisfies for all purposes the requirements of this Section 5.02.</w:t>
      </w:r>
    </w:p>
    <w:p>
      <w:pPr>
        <w:spacing w:after="0" w:line="159"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20"/>
          <w:szCs w:val="20"/>
          <w:color w:val="auto"/>
        </w:rPr>
        <w:t>Section 5.03 Taxes. Pay its obligations in respect of all Tax liabilities, assessments and governmental charges, before the same shall become delinquent or in default, except where (i) the amount or validity thereof is being contested in good faith by appropriate proceedings and the Borrower or a Subsidiary thereof has set aside on its books adequate reserves therefor in accordance with GAAP or (ii) the failure to make payment could not reasonably be expected, individually or in the aggregate, to result in a Material Adverse Effect.</w:t>
      </w:r>
    </w:p>
    <w:p>
      <w:pPr>
        <w:spacing w:after="0" w:line="174"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20"/>
          <w:szCs w:val="20"/>
          <w:color w:val="auto"/>
        </w:rPr>
        <w:t>Section 5.04 Financial Statements, Reports, etc. Furnish to the Administrative Agent (which will promptly furnish such information to the Lenders):</w:t>
      </w:r>
    </w:p>
    <w:p>
      <w:pPr>
        <w:spacing w:after="0" w:line="159" w:lineRule="exact"/>
        <w:rPr>
          <w:sz w:val="20"/>
          <w:szCs w:val="20"/>
          <w:color w:val="auto"/>
        </w:rPr>
      </w:pPr>
    </w:p>
    <w:p>
      <w:pPr>
        <w:jc w:val="both"/>
        <w:ind w:left="120" w:firstLine="1292"/>
        <w:spacing w:after="0" w:line="250" w:lineRule="auto"/>
        <w:tabs>
          <w:tab w:leader="none" w:pos="1838" w:val="left"/>
        </w:tabs>
        <w:numPr>
          <w:ilvl w:val="0"/>
          <w:numId w:val="2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within 90 days after the end of each fiscal year, a consolidated balance sheet and related statements of operations, cash flows and owners’ equity showing the financial position of the Borrower and its Subsidiaries as of the close of such fiscal year and the consolidated results of their operations during such year and, starting with the fiscal year ending December 31, 2016, setting forth in comparative form the corresponding figures for the prior fiscal year, which consolidated balance sheet and related statements of operations, cash flows and owners’ equity shall be accompanied by customary management’s discussion and analysis and audited by independent public accountants of recognized national standing and accompanied by an opinion of such accountants (which opinion shall not be qualified as to scope of audit or as to the status of the Borrower or any Material Subsidiary as a going concern, other than solely with respect to, or resulting solely from, an upcoming maturity date under any series of Indebtedness occurring within one year from the time such opinion is delivered or any potential inability to satisfy a financial maintenance covenant on a future date or in a future period) to the effect that such consolidated financial statements fairly present, in all material respects, the financial position and results of operations of the Borrower and its Subsidiaries on a consolidated basis in accordance with GAAP (it being understood that the delivery by the Borrower of annual reports on Form 10-K (or any successor or comparable form) of the Borrower and its consolidated Subsidiaries shall satisfy the requirements of this Section 5.04(a) to the extent such annual reports include the information specified herein);</w:t>
      </w:r>
    </w:p>
    <w:p>
      <w:pPr>
        <w:spacing w:after="0" w:line="166" w:lineRule="exact"/>
        <w:rPr>
          <w:rFonts w:ascii="Times New Roman" w:cs="Times New Roman" w:eastAsia="Times New Roman" w:hAnsi="Times New Roman"/>
          <w:sz w:val="20"/>
          <w:szCs w:val="20"/>
          <w:color w:val="auto"/>
        </w:rPr>
      </w:pPr>
    </w:p>
    <w:p>
      <w:pPr>
        <w:jc w:val="both"/>
        <w:ind w:left="120" w:firstLine="1292"/>
        <w:spacing w:after="0" w:line="250" w:lineRule="auto"/>
        <w:tabs>
          <w:tab w:leader="none" w:pos="1890" w:val="left"/>
        </w:tabs>
        <w:numPr>
          <w:ilvl w:val="0"/>
          <w:numId w:val="2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within 60 days after the end of each of the first three fiscal quarters of each fiscal year (commencing with the fiscal quarter ending September 30, 2016), a consolidated balance sheet and related statements of operations and cash flows showing the financial position of the Borrower and its Subsidiaries as of the close of such fiscal quarter and the consolidated results of their operations during such fiscal quarter and the then-elapsed portion of the fiscal year and, starting with the fiscal quarter ending September 30, 2017, setting forth in comparative form the corresponding figures for the corresponding periods of the prior fiscal year, all of which shall be in reasonable detail, which consolidated balance sheet and related statements of operations and cash flows shall be accompanied by customary management’s discussion and analysis and which consolidated balance sheet and related statements of operations and cash flows shall be certified by a Financial Officer of the Borrower on behalf of the Borrower as fairly presenting, in all material respects, the financial position and results of operations of the Borrower and its Subsidiaries on a consolidated basis in accordance with GAAP (subject to normal year-end audit adjustments and the absence of footnotes) (it being understood that the delivery by the Borrower of quarterly reports on Form 10-Q (or any successor or comparable form) of</w:t>
      </w:r>
    </w:p>
    <w:p>
      <w:pPr>
        <w:sectPr>
          <w:pgSz w:w="11900" w:h="16838" w:orient="portrait"/>
          <w:cols w:equalWidth="0" w:num="1">
            <w:col w:w="11240"/>
          </w:cols>
          <w:pgMar w:left="320" w:top="108" w:right="339" w:bottom="1440" w:gutter="0" w:footer="0" w:header="0"/>
        </w:sectPr>
      </w:pPr>
    </w:p>
    <w:bookmarkStart w:id="308" w:name="page309"/>
    <w:bookmarkEnd w:id="308"/>
    <w:p>
      <w:pPr>
        <w:jc w:val="right"/>
        <w:spacing w:after="0"/>
        <w:rPr>
          <w:sz w:val="20"/>
          <w:szCs w:val="20"/>
          <w:color w:val="auto"/>
        </w:rPr>
      </w:pPr>
      <w:r>
        <w:rPr>
          <w:rFonts w:ascii="Times New Roman" w:cs="Times New Roman" w:eastAsia="Times New Roman" w:hAnsi="Times New Roman"/>
          <w:sz w:val="22"/>
          <w:szCs w:val="22"/>
          <w:color w:val="FF0000"/>
          <w:strike w:val="1"/>
        </w:rPr>
        <w:t>ANNEX</w:t>
      </w:r>
      <w:r>
        <w:rPr>
          <w:rFonts w:ascii="Times New Roman" w:cs="Times New Roman" w:eastAsia="Times New Roman" w:hAnsi="Times New Roman"/>
          <w:sz w:val="22"/>
          <w:szCs w:val="22"/>
          <w:b w:val="1"/>
          <w:bCs w:val="1"/>
          <w:u w:val="single" w:color="auto"/>
          <w:color w:val="0000FF"/>
        </w:rPr>
        <w:t>EXHIBIT</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ind w:left="4"/>
        <w:spacing w:after="0" w:line="283" w:lineRule="auto"/>
        <w:rPr>
          <w:sz w:val="20"/>
          <w:szCs w:val="20"/>
          <w:color w:val="auto"/>
        </w:rPr>
      </w:pPr>
      <w:r>
        <w:rPr>
          <w:rFonts w:ascii="Times New Roman" w:cs="Times New Roman" w:eastAsia="Times New Roman" w:hAnsi="Times New Roman"/>
          <w:sz w:val="20"/>
          <w:szCs w:val="20"/>
          <w:color w:val="auto"/>
        </w:rPr>
        <w:t>the Borrower and its consolidated Subsidiaries shall satisfy the requirements of this Section 5.04(b) to the extent such quarterly reports include the information specified herein);</w:t>
      </w:r>
    </w:p>
    <w:p>
      <w:pPr>
        <w:spacing w:after="0" w:line="133" w:lineRule="exact"/>
        <w:rPr>
          <w:sz w:val="20"/>
          <w:szCs w:val="20"/>
          <w:color w:val="auto"/>
        </w:rPr>
      </w:pPr>
    </w:p>
    <w:p>
      <w:pPr>
        <w:jc w:val="both"/>
        <w:ind w:left="4" w:firstLine="1292"/>
        <w:spacing w:after="0" w:line="265" w:lineRule="auto"/>
        <w:tabs>
          <w:tab w:leader="none" w:pos="1781" w:val="left"/>
        </w:tabs>
        <w:numPr>
          <w:ilvl w:val="1"/>
          <w:numId w:val="2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(x) concurrently with any delivery of financial statements under clause (a) or (b) above, a certificate of a Financial Officer of the Borrower (i) certifying that no Event of Default or Default has occurred since the date of the last certificate delivered pursuant to this Section 5.04(c) or, if such an Event of Default or Default has occurred, specifying the nature and extent thereof and any corrective action taken or proposed to be taken with respect thereto, (ii) commencing with the end of the first full fiscal quarter ending after the Closing Date, setting forth computations in reasonable detail demonstrating compliance with the Financial Covenant and (iii) setting forth the calculation and uses of the Cumulative Credit for the fiscal period then ended if the Borrower shall have used the Cumulative Credit for any purpose during such fiscal period and (y) concurrently with any delivery of financial statements under clause (a) above, if the accounting firm is not restricted from providing such a certificate by its policies office, a certificate of the accounting firm opining on or certifying such statements stating whether they obtained knowledge during the course of their examination of such statements of any Default or Event of Default (which certificate may be limited to accounting matters and disclaim responsibility for legal interpretations);</w:t>
      </w:r>
    </w:p>
    <w:p>
      <w:pPr>
        <w:spacing w:after="0" w:line="152" w:lineRule="exact"/>
        <w:rPr>
          <w:rFonts w:ascii="Times New Roman" w:cs="Times New Roman" w:eastAsia="Times New Roman" w:hAnsi="Times New Roman"/>
          <w:sz w:val="19"/>
          <w:szCs w:val="19"/>
          <w:color w:val="auto"/>
        </w:rPr>
      </w:pPr>
    </w:p>
    <w:p>
      <w:pPr>
        <w:jc w:val="both"/>
        <w:ind w:left="4" w:firstLine="1292"/>
        <w:spacing w:after="0" w:line="253" w:lineRule="auto"/>
        <w:tabs>
          <w:tab w:leader="none" w:pos="1769" w:val="left"/>
        </w:tabs>
        <w:numPr>
          <w:ilvl w:val="1"/>
          <w:numId w:val="2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promptly after the same become publicly available, copies of all periodic and other publicly available reports, proxy statements and, to the extent requested by the Administrative Agent, other materials filed by Holdings (prior to a Qualified IPO), the Borrower or any of the Subsidiaries with the SEC, or after an initial public offering, distributed to its stockholders generally, as applicable;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such reports, proxy statements, filings and other materials required to be delivered pursuant to this clause (d) shall be deemed delivered for purposes of this Agreement when posted to the website of the Borrower (or Holdings or any Parent Entity referred to in Section 5.04(i)) or the website of the SEC and written notice of such posting has been delivered to the Administrative Agent;</w:t>
      </w:r>
    </w:p>
    <w:p>
      <w:pPr>
        <w:spacing w:after="0" w:line="178" w:lineRule="exact"/>
        <w:rPr>
          <w:rFonts w:ascii="Times New Roman" w:cs="Times New Roman" w:eastAsia="Times New Roman" w:hAnsi="Times New Roman"/>
          <w:sz w:val="20"/>
          <w:szCs w:val="20"/>
          <w:color w:val="auto"/>
        </w:rPr>
      </w:pPr>
    </w:p>
    <w:p>
      <w:pPr>
        <w:jc w:val="both"/>
        <w:ind w:left="4" w:firstLine="1292"/>
        <w:spacing w:after="0" w:line="253" w:lineRule="auto"/>
        <w:tabs>
          <w:tab w:leader="none" w:pos="1843" w:val="left"/>
        </w:tabs>
        <w:numPr>
          <w:ilvl w:val="1"/>
          <w:numId w:val="2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within 90 days (or such later date as the Administrative Agent may agree in its reasonable discretion) after the beginning of each fiscal year (commencing with the fiscal year ending December 31, 2017), a consolidated annual budget for such fiscal year consisting of a projected consolidated balance sheet of the Borrower and its Subsidiaries as of the end of the following fiscal year and the related consolidated statements of projected cash flow and projected income (collectively, the “</w:t>
      </w:r>
      <w:r>
        <w:rPr>
          <w:rFonts w:ascii="Times New Roman" w:cs="Times New Roman" w:eastAsia="Times New Roman" w:hAnsi="Times New Roman"/>
          <w:sz w:val="20"/>
          <w:szCs w:val="20"/>
          <w:u w:val="single" w:color="auto"/>
          <w:color w:val="auto"/>
        </w:rPr>
        <w:t>Budget</w:t>
      </w:r>
      <w:r>
        <w:rPr>
          <w:rFonts w:ascii="Times New Roman" w:cs="Times New Roman" w:eastAsia="Times New Roman" w:hAnsi="Times New Roman"/>
          <w:sz w:val="20"/>
          <w:szCs w:val="20"/>
          <w:color w:val="auto"/>
        </w:rPr>
        <w:t>”), which Budget shall in each case be accompanied by the statement of a Financial Officer of the Borrower to the effect that the Budget is based on assumptions believed by the Borrower to be reasonable as of the date of delivery thereof;</w:t>
      </w:r>
    </w:p>
    <w:p>
      <w:pPr>
        <w:spacing w:after="0" w:line="165" w:lineRule="exact"/>
        <w:rPr>
          <w:rFonts w:ascii="Times New Roman" w:cs="Times New Roman" w:eastAsia="Times New Roman" w:hAnsi="Times New Roman"/>
          <w:sz w:val="20"/>
          <w:szCs w:val="20"/>
          <w:color w:val="auto"/>
        </w:rPr>
      </w:pPr>
    </w:p>
    <w:p>
      <w:pPr>
        <w:jc w:val="both"/>
        <w:ind w:left="4" w:firstLine="1292"/>
        <w:spacing w:after="0" w:line="261" w:lineRule="auto"/>
        <w:tabs>
          <w:tab w:leader="none" w:pos="1729" w:val="left"/>
        </w:tabs>
        <w:numPr>
          <w:ilvl w:val="1"/>
          <w:numId w:val="2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the reasonable request of the Administrative Agent not more frequently than once a year, an updated Perfection Certificate (or, to the extent such request relates to specified information contained in the Perfection Certificate, such information) reflecting all changes since the date of the information most recently received pursuant to this clause (f) or Section 5.10(f);</w:t>
      </w:r>
    </w:p>
    <w:p>
      <w:pPr>
        <w:spacing w:after="0" w:line="154" w:lineRule="exact"/>
        <w:rPr>
          <w:rFonts w:ascii="Times New Roman" w:cs="Times New Roman" w:eastAsia="Times New Roman" w:hAnsi="Times New Roman"/>
          <w:sz w:val="20"/>
          <w:szCs w:val="20"/>
          <w:color w:val="auto"/>
        </w:rPr>
      </w:pPr>
    </w:p>
    <w:p>
      <w:pPr>
        <w:jc w:val="both"/>
        <w:ind w:left="4" w:firstLine="1292"/>
        <w:spacing w:after="0" w:line="275" w:lineRule="auto"/>
        <w:tabs>
          <w:tab w:leader="none" w:pos="1845" w:val="left"/>
        </w:tabs>
        <w:numPr>
          <w:ilvl w:val="1"/>
          <w:numId w:val="2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promptly, from time to time, such other customary information (i) regarding the operations, business affairs and financial condition of Holdings, the Borrower or any of the Subsidiaries, (ii) regarding compliance with the terms of any Loan Document or</w:t>
      </w:r>
    </w:p>
    <w:p>
      <w:pPr>
        <w:ind w:left="4" w:hanging="4"/>
        <w:spacing w:after="0" w:line="253" w:lineRule="auto"/>
        <w:tabs>
          <w:tab w:leader="none" w:pos="391" w:val="left"/>
        </w:tabs>
        <w:numPr>
          <w:ilvl w:val="0"/>
          <w:numId w:val="2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required under the USA PATRIOT Act or the Beneficial Ownership Regulation, as in each case the Administrative Agent may reasonably request (for itself or on behalf of any Lender);</w:t>
      </w:r>
    </w:p>
    <w:p>
      <w:pPr>
        <w:spacing w:after="0" w:line="161" w:lineRule="exact"/>
        <w:rPr>
          <w:rFonts w:ascii="Times New Roman" w:cs="Times New Roman" w:eastAsia="Times New Roman" w:hAnsi="Times New Roman"/>
          <w:sz w:val="20"/>
          <w:szCs w:val="20"/>
          <w:color w:val="auto"/>
        </w:rPr>
      </w:pPr>
    </w:p>
    <w:p>
      <w:pPr>
        <w:ind w:left="4" w:firstLine="1292"/>
        <w:spacing w:after="0" w:line="283" w:lineRule="auto"/>
        <w:tabs>
          <w:tab w:leader="none" w:pos="1738" w:val="left"/>
        </w:tabs>
        <w:numPr>
          <w:ilvl w:val="1"/>
          <w:numId w:val="2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later than 10 Business Days after the delivery of the financial statements required pursuant to clauses (a) and (b) of this Section 5.04, commencing with the financial statements</w:t>
      </w:r>
    </w:p>
    <w:p>
      <w:pPr>
        <w:sectPr>
          <w:pgSz w:w="11900" w:h="16838" w:orient="portrait"/>
          <w:cols w:equalWidth="0" w:num="1">
            <w:col w:w="11124"/>
          </w:cols>
          <w:pgMar w:left="436" w:top="108" w:right="339" w:bottom="1440" w:gutter="0" w:footer="0" w:header="0"/>
        </w:sectPr>
      </w:pPr>
    </w:p>
    <w:bookmarkStart w:id="309" w:name="page310"/>
    <w:bookmarkEnd w:id="309"/>
    <w:p>
      <w:pPr>
        <w:ind w:left="9360"/>
        <w:spacing w:after="0"/>
        <w:rPr>
          <w:sz w:val="20"/>
          <w:szCs w:val="20"/>
          <w:color w:val="auto"/>
        </w:rPr>
      </w:pPr>
      <w:r>
        <w:rPr>
          <w:rFonts w:ascii="Times New Roman" w:cs="Times New Roman" w:eastAsia="Times New Roman" w:hAnsi="Times New Roman"/>
          <w:sz w:val="21"/>
          <w:szCs w:val="21"/>
          <w:color w:val="FF0000"/>
          <w:strike w:val="1"/>
        </w:rPr>
        <w:t>ANNEX</w:t>
      </w:r>
      <w:r>
        <w:rPr>
          <w:rFonts w:ascii="Times New Roman" w:cs="Times New Roman" w:eastAsia="Times New Roman" w:hAnsi="Times New Roman"/>
          <w:sz w:val="21"/>
          <w:szCs w:val="21"/>
          <w:b w:val="1"/>
          <w:bCs w:val="1"/>
          <w:u w:val="single" w:color="auto"/>
          <w:color w:val="0000FF"/>
        </w:rPr>
        <w:t>EXHIBIT</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000000"/>
        </w:rPr>
        <w: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0"/>
        <w:spacing w:after="0" w:line="287" w:lineRule="auto"/>
        <w:rPr>
          <w:sz w:val="20"/>
          <w:szCs w:val="20"/>
          <w:color w:val="auto"/>
        </w:rPr>
      </w:pPr>
      <w:r>
        <w:rPr>
          <w:rFonts w:ascii="Times New Roman" w:cs="Times New Roman" w:eastAsia="Times New Roman" w:hAnsi="Times New Roman"/>
          <w:sz w:val="20"/>
          <w:szCs w:val="20"/>
          <w:color w:val="auto"/>
        </w:rPr>
        <w:t xml:space="preserve">for the first full fiscal period ending after the Closing Date, upon request of the Administrative Agent </w:t>
      </w:r>
      <w:r>
        <w:rPr>
          <w:rFonts w:ascii="Times New Roman" w:cs="Times New Roman" w:eastAsia="Times New Roman" w:hAnsi="Times New Roman"/>
          <w:sz w:val="20"/>
          <w:szCs w:val="20"/>
          <w:b w:val="1"/>
          <w:bCs w:val="1"/>
          <w:u w:val="single" w:color="auto"/>
          <w:color w:val="0000FF"/>
        </w:rPr>
        <w:t>(acting at the direction of the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u w:val="single" w:color="auto"/>
          <w:color w:val="0000FF"/>
        </w:rPr>
        <w:t>Required Lenders)</w:t>
      </w:r>
      <w:r>
        <w:rPr>
          <w:rFonts w:ascii="Times New Roman" w:cs="Times New Roman" w:eastAsia="Times New Roman" w:hAnsi="Times New Roman"/>
          <w:sz w:val="20"/>
          <w:szCs w:val="20"/>
          <w:color w:val="000000"/>
        </w:rPr>
        <w:t>, the Borrower shall hold a customary conference call for Lenders; and</w:t>
      </w:r>
    </w:p>
    <w:p>
      <w:pPr>
        <w:spacing w:after="0" w:line="129" w:lineRule="exact"/>
        <w:rPr>
          <w:sz w:val="20"/>
          <w:szCs w:val="20"/>
          <w:color w:val="auto"/>
        </w:rPr>
      </w:pPr>
    </w:p>
    <w:p>
      <w:pPr>
        <w:jc w:val="both"/>
        <w:ind w:left="120" w:firstLine="1292"/>
        <w:spacing w:after="0" w:line="258" w:lineRule="auto"/>
        <w:tabs>
          <w:tab w:leader="none" w:pos="1806" w:val="left"/>
        </w:tabs>
        <w:numPr>
          <w:ilvl w:val="0"/>
          <w:numId w:val="2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that Holdings or any Parent Entity reports on a consolidated basis, such consolidated reporting at Holdings or such Parent Entity’s level in a manner consistent with that described in clauses (a) and (b) of this Section 5.04 for the Borrower (together with a reconciliation showing the adjustments necessary to determine compliance by the Borrower and its Subsidiaries with the Financial Covenant) will satisfy the requirements of such paragraphs.</w:t>
      </w:r>
    </w:p>
    <w:p>
      <w:pPr>
        <w:spacing w:after="0" w:line="159"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color w:val="auto"/>
        </w:rPr>
        <w:t>The Borrower hereby acknowledges and agrees that all financial statements furnished pursuant to clauses (a), (b) and (d) above are hereby deemed to be Borrower Materials suitable for distribution, and to be made available, to Public Lenders as contemplated by Section 9.17 and may be treated by the Administrative Agent and the Lenders as if the same had been marked “PUBLIC” in accordance with such paragraph (unless the Borrower otherwise notifies the Administrative Agent in writing on or prior to delivery thereof).</w:t>
      </w:r>
    </w:p>
    <w:p>
      <w:pPr>
        <w:spacing w:after="0" w:line="159" w:lineRule="exact"/>
        <w:rPr>
          <w:sz w:val="20"/>
          <w:szCs w:val="20"/>
          <w:color w:val="auto"/>
        </w:rPr>
      </w:pPr>
    </w:p>
    <w:p>
      <w:pPr>
        <w:jc w:val="both"/>
        <w:ind w:right="20" w:firstLine="1296"/>
        <w:spacing w:after="0" w:line="261" w:lineRule="auto"/>
        <w:rPr>
          <w:sz w:val="20"/>
          <w:szCs w:val="20"/>
          <w:color w:val="auto"/>
        </w:rPr>
      </w:pPr>
      <w:r>
        <w:rPr>
          <w:rFonts w:ascii="Times New Roman" w:cs="Times New Roman" w:eastAsia="Times New Roman" w:hAnsi="Times New Roman"/>
          <w:sz w:val="20"/>
          <w:szCs w:val="20"/>
          <w:color w:val="auto"/>
        </w:rPr>
        <w:t>Section 5.05 Litigation and Other Notices. Furnish to the Administrative Agent (which will promptly thereafter furnish to the Lenders) written notice of the following promptly after any Responsible Officer of Holdings (prior to a Qualified IPO) or the Borrower obtains actual knowledge thereof:</w:t>
      </w:r>
    </w:p>
    <w:p>
      <w:pPr>
        <w:spacing w:after="0" w:line="154" w:lineRule="exact"/>
        <w:rPr>
          <w:sz w:val="20"/>
          <w:szCs w:val="20"/>
          <w:color w:val="auto"/>
        </w:rPr>
      </w:pPr>
    </w:p>
    <w:p>
      <w:pPr>
        <w:ind w:left="120" w:firstLine="1292"/>
        <w:spacing w:after="0" w:line="283" w:lineRule="auto"/>
        <w:tabs>
          <w:tab w:leader="none" w:pos="1840" w:val="left"/>
        </w:tabs>
        <w:numPr>
          <w:ilvl w:val="0"/>
          <w:numId w:val="2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Event of Default or Default, specifying the nature and extent thereof and the corrective action (if any) proposed to be taken with respect thereto;</w:t>
      </w:r>
    </w:p>
    <w:p>
      <w:pPr>
        <w:spacing w:after="0" w:line="132" w:lineRule="exact"/>
        <w:rPr>
          <w:rFonts w:ascii="Times New Roman" w:cs="Times New Roman" w:eastAsia="Times New Roman" w:hAnsi="Times New Roman"/>
          <w:sz w:val="20"/>
          <w:szCs w:val="20"/>
          <w:color w:val="auto"/>
        </w:rPr>
      </w:pPr>
    </w:p>
    <w:p>
      <w:pPr>
        <w:jc w:val="both"/>
        <w:ind w:left="120" w:firstLine="1292"/>
        <w:spacing w:after="0" w:line="258" w:lineRule="auto"/>
        <w:tabs>
          <w:tab w:leader="none" w:pos="1908" w:val="left"/>
        </w:tabs>
        <w:numPr>
          <w:ilvl w:val="0"/>
          <w:numId w:val="2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filing or commencement of, or any written threat or notice of intention of any person to file or commence, any action, suit or proceeding, whether at law or in equity or by or before any Governmental Authority or in arbitration, against Holdings, the Borrower or any of the Subsidiaries as to which an adverse determination is reasonably probable and which, if adversely determined, would reasonably be expected to have a Material Adverse Effect;</w:t>
      </w:r>
    </w:p>
    <w:p>
      <w:pPr>
        <w:spacing w:after="0" w:line="158" w:lineRule="exact"/>
        <w:rPr>
          <w:rFonts w:ascii="Times New Roman" w:cs="Times New Roman" w:eastAsia="Times New Roman" w:hAnsi="Times New Roman"/>
          <w:sz w:val="20"/>
          <w:szCs w:val="20"/>
          <w:color w:val="auto"/>
        </w:rPr>
      </w:pPr>
    </w:p>
    <w:p>
      <w:pPr>
        <w:ind w:left="120" w:firstLine="1292"/>
        <w:spacing w:after="0" w:line="283" w:lineRule="auto"/>
        <w:tabs>
          <w:tab w:leader="none" w:pos="1897" w:val="left"/>
        </w:tabs>
        <w:numPr>
          <w:ilvl w:val="0"/>
          <w:numId w:val="2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development specific to Holdings, the Borrower or any of the Subsidiaries that is not a matter of general public knowledge and that has had, or would reasonably be expected to have, a Material Adverse Effect; and</w:t>
      </w:r>
    </w:p>
    <w:p>
      <w:pPr>
        <w:spacing w:after="0" w:line="132" w:lineRule="exact"/>
        <w:rPr>
          <w:rFonts w:ascii="Times New Roman" w:cs="Times New Roman" w:eastAsia="Times New Roman" w:hAnsi="Times New Roman"/>
          <w:sz w:val="20"/>
          <w:szCs w:val="20"/>
          <w:color w:val="auto"/>
        </w:rPr>
      </w:pPr>
    </w:p>
    <w:p>
      <w:pPr>
        <w:ind w:left="120" w:firstLine="1292"/>
        <w:spacing w:after="0" w:line="283" w:lineRule="auto"/>
        <w:tabs>
          <w:tab w:leader="none" w:pos="1870" w:val="left"/>
        </w:tabs>
        <w:numPr>
          <w:ilvl w:val="0"/>
          <w:numId w:val="2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occurrence of any ERISA Event that, together with all other ERISA Events that have occurred, would reasonably be expected to have a Material Adverse Effect.</w:t>
      </w:r>
    </w:p>
    <w:p>
      <w:pPr>
        <w:spacing w:after="0" w:line="133"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 xml:space="preserve">Section 5.06 Compliance with Laws. Comply with all laws, rules, regulations and orders of any Governmental Authority applicable to it or its property, except where the failure to do so, individually or in the aggregate, would not reasonably be expected to result in a Material Adverse Effect;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this Section 5.06 shall not apply to Environmental Laws, which are the subject of Section 5.09, or to laws related to Taxes, which are the subject of Section 5.03. The Borrower will maintain in effect and enforce policies and procedures designed to ensure compliance in all material respects by the Borrower, its Subsidiaries and their respective directors, officers, employees and agents with Anti-Corruption Laws and applicable Sanctions Laws.</w:t>
      </w:r>
    </w:p>
    <w:p>
      <w:pPr>
        <w:spacing w:after="0" w:line="16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Section 5.07 Maintaining Records; Access to Properties and Inspections. Maintain all financial records in accordance with GAAP and permit any persons designated by the Administrative Agent or, upon the occurrence and during the continuance of an Event of Default, any Lender to visit and</w:t>
      </w:r>
    </w:p>
    <w:p>
      <w:pPr>
        <w:sectPr>
          <w:pgSz w:w="11900" w:h="16838" w:orient="portrait"/>
          <w:cols w:equalWidth="0" w:num="1">
            <w:col w:w="11240"/>
          </w:cols>
          <w:pgMar w:left="320" w:top="108" w:right="339" w:bottom="1440" w:gutter="0" w:footer="0" w:header="0"/>
        </w:sectPr>
      </w:pPr>
    </w:p>
    <w:bookmarkStart w:id="310" w:name="page311"/>
    <w:bookmarkEnd w:id="310"/>
    <w:p>
      <w:pPr>
        <w:jc w:val="right"/>
        <w:spacing w:after="0"/>
        <w:rPr>
          <w:sz w:val="20"/>
          <w:szCs w:val="20"/>
          <w:color w:val="auto"/>
        </w:rPr>
      </w:pPr>
      <w:r>
        <w:rPr>
          <w:rFonts w:ascii="Times New Roman" w:cs="Times New Roman" w:eastAsia="Times New Roman" w:hAnsi="Times New Roman"/>
          <w:sz w:val="22"/>
          <w:szCs w:val="22"/>
          <w:color w:val="FF0000"/>
          <w:strike w:val="1"/>
        </w:rPr>
        <w:t>ANNEX</w:t>
      </w:r>
      <w:r>
        <w:rPr>
          <w:rFonts w:ascii="Times New Roman" w:cs="Times New Roman" w:eastAsia="Times New Roman" w:hAnsi="Times New Roman"/>
          <w:sz w:val="22"/>
          <w:szCs w:val="22"/>
          <w:b w:val="1"/>
          <w:bCs w:val="1"/>
          <w:u w:val="single" w:color="auto"/>
          <w:color w:val="0000FF"/>
        </w:rPr>
        <w:t>EXHIBIT</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inspect the financial records and the properties of Holdings (prior to a Qualified IPO), the Borrower or any of the Subsidiaries at reasonable times, upon reasonable prior notice to Holdings (prior to a Qualified IPO) or the Borrower, and as often as reasonably requested and to make extracts from and copies of such financial records, and permit any persons designated by the Administrative Agent or, upon the occurrence and during the continuance of an Event of Default, any Lender upon reasonable prior notice to Holdings (prior to a Qualified IPO) or the Borrower to discuss the affairs, finances and condition of Holdings (prior to a Qualified IPO), the Borrower or any of the Subsidiaries with the officers thereof and independent accountants therefor (so long as the Borrower has the opportunity to participate in any such discussions with such accountants), in each case, subject to reasonable requirements of confidentiality, including requirements imposed by law or by contract.</w:t>
      </w:r>
    </w:p>
    <w:p>
      <w:pPr>
        <w:spacing w:after="0" w:line="168" w:lineRule="exact"/>
        <w:rPr>
          <w:sz w:val="20"/>
          <w:szCs w:val="20"/>
          <w:color w:val="auto"/>
        </w:rPr>
      </w:pPr>
    </w:p>
    <w:p>
      <w:pPr>
        <w:ind w:left="1300"/>
        <w:spacing w:after="0"/>
        <w:tabs>
          <w:tab w:leader="none" w:pos="2480" w:val="left"/>
        </w:tabs>
        <w:rPr>
          <w:sz w:val="20"/>
          <w:szCs w:val="20"/>
          <w:color w:val="auto"/>
        </w:rPr>
      </w:pPr>
      <w:r>
        <w:rPr>
          <w:rFonts w:ascii="Times New Roman" w:cs="Times New Roman" w:eastAsia="Times New Roman" w:hAnsi="Times New Roman"/>
          <w:sz w:val="20"/>
          <w:szCs w:val="20"/>
          <w:color w:val="auto"/>
        </w:rPr>
        <w:t>Section 5.08</w:t>
      </w:r>
      <w:r>
        <w:rPr>
          <w:sz w:val="20"/>
          <w:szCs w:val="20"/>
          <w:color w:val="auto"/>
        </w:rPr>
        <w:tab/>
      </w:r>
      <w:r>
        <w:rPr>
          <w:rFonts w:ascii="Times New Roman" w:cs="Times New Roman" w:eastAsia="Times New Roman" w:hAnsi="Times New Roman"/>
          <w:sz w:val="19"/>
          <w:szCs w:val="19"/>
          <w:color w:val="auto"/>
        </w:rPr>
        <w:t>Use of Proceeds. Use the proceeds of the Loans made and Letters of Credit issued in the manner contemplated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Section 3.12.</w:t>
      </w:r>
    </w:p>
    <w:p>
      <w:pPr>
        <w:spacing w:after="0" w:line="187"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0"/>
          <w:szCs w:val="20"/>
          <w:color w:val="auto"/>
        </w:rPr>
        <w:t>Section 5.09 Compliance with Environmental Laws. Comply, and make reasonable efforts to cause all lessees and other persons occupying its properties to comply, with all Environmental Laws applicable to its operations and properties; and obtain and renew all material authorizations and permits required pursuant to Environmental Law for its operations and properties, in each case in accordance with Environmental Laws, except, in each case with respect to this Section 5.09, to the extent the failure to do so would not reasonably be expected to have, individually or in the aggregate, a Material Adverse Effect.</w:t>
      </w:r>
    </w:p>
    <w:p>
      <w:pPr>
        <w:spacing w:after="0" w:line="159" w:lineRule="exact"/>
        <w:rPr>
          <w:sz w:val="20"/>
          <w:szCs w:val="20"/>
          <w:color w:val="auto"/>
        </w:rPr>
      </w:pPr>
    </w:p>
    <w:p>
      <w:pPr>
        <w:ind w:left="1300"/>
        <w:spacing w:after="0"/>
        <w:tabs>
          <w:tab w:leader="none" w:pos="2480" w:val="left"/>
        </w:tabs>
        <w:rPr>
          <w:sz w:val="20"/>
          <w:szCs w:val="20"/>
          <w:color w:val="auto"/>
        </w:rPr>
      </w:pPr>
      <w:r>
        <w:rPr>
          <w:rFonts w:ascii="Times New Roman" w:cs="Times New Roman" w:eastAsia="Times New Roman" w:hAnsi="Times New Roman"/>
          <w:sz w:val="20"/>
          <w:szCs w:val="20"/>
          <w:color w:val="auto"/>
        </w:rPr>
        <w:t>Section 5.10</w:t>
      </w:r>
      <w:r>
        <w:rPr>
          <w:sz w:val="20"/>
          <w:szCs w:val="20"/>
          <w:color w:val="auto"/>
        </w:rPr>
        <w:tab/>
      </w:r>
      <w:r>
        <w:rPr>
          <w:rFonts w:ascii="Times New Roman" w:cs="Times New Roman" w:eastAsia="Times New Roman" w:hAnsi="Times New Roman"/>
          <w:sz w:val="19"/>
          <w:szCs w:val="19"/>
          <w:color w:val="auto"/>
        </w:rPr>
        <w:t>Further Assurances; Additional Security.</w:t>
      </w:r>
    </w:p>
    <w:p>
      <w:pPr>
        <w:spacing w:after="0" w:line="202" w:lineRule="exact"/>
        <w:rPr>
          <w:sz w:val="20"/>
          <w:szCs w:val="20"/>
          <w:color w:val="auto"/>
        </w:rPr>
      </w:pPr>
    </w:p>
    <w:p>
      <w:pPr>
        <w:jc w:val="both"/>
        <w:ind w:left="120" w:firstLine="1292"/>
        <w:spacing w:after="0" w:line="253" w:lineRule="auto"/>
        <w:tabs>
          <w:tab w:leader="none" w:pos="1899" w:val="left"/>
        </w:tabs>
        <w:numPr>
          <w:ilvl w:val="0"/>
          <w:numId w:val="2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Execute any and all further documents, financing statements, agreements and instruments, and take all such further actions (including the filing and recording of financing statements, fixture filings, Mortgages and other documents), that the Administrative Agent </w:t>
      </w:r>
      <w:r>
        <w:rPr>
          <w:rFonts w:ascii="Times New Roman" w:cs="Times New Roman" w:eastAsia="Times New Roman" w:hAnsi="Times New Roman"/>
          <w:sz w:val="20"/>
          <w:szCs w:val="20"/>
          <w:b w:val="1"/>
          <w:bCs w:val="1"/>
          <w:u w:val="single" w:color="auto"/>
          <w:color w:val="0000FF"/>
        </w:rPr>
        <w:t>(acting at the direction of the Required Lenders)</w:t>
      </w:r>
      <w:r>
        <w:rPr>
          <w:rFonts w:ascii="Times New Roman" w:cs="Times New Roman" w:eastAsia="Times New Roman" w:hAnsi="Times New Roman"/>
          <w:sz w:val="20"/>
          <w:szCs w:val="20"/>
          <w:color w:val="auto"/>
        </w:rPr>
        <w:t xml:space="preserve"> may reasonably request (including, without limitation, those required by applicable law), to satisfy the Collateral and Guarantee Requirement and to cause the Collateral and Guarantee Requirement to be and remain satisfied, all at the expense of the Loan Parties and provide to the Collateral Agent, from time to time upon reasonable written request by the Administrative Agent </w:t>
      </w:r>
      <w:r>
        <w:rPr>
          <w:rFonts w:ascii="Times New Roman" w:cs="Times New Roman" w:eastAsia="Times New Roman" w:hAnsi="Times New Roman"/>
          <w:sz w:val="20"/>
          <w:szCs w:val="20"/>
          <w:b w:val="1"/>
          <w:bCs w:val="1"/>
          <w:color w:val="0000FF"/>
        </w:rPr>
        <w:t>(acting at the direction of the Required Lenders)</w:t>
      </w:r>
      <w:r>
        <w:rPr>
          <w:rFonts w:ascii="Times New Roman" w:cs="Times New Roman" w:eastAsia="Times New Roman" w:hAnsi="Times New Roman"/>
          <w:sz w:val="20"/>
          <w:szCs w:val="20"/>
          <w:color w:val="auto"/>
        </w:rPr>
        <w:t>, evidence reasonably satisfactory to the Administrative Agent as to the perfection and priority of the Liens created or intended to be created by the Security Documents.</w:t>
      </w:r>
    </w:p>
    <w:p>
      <w:pPr>
        <w:spacing w:after="0" w:line="165" w:lineRule="exact"/>
        <w:rPr>
          <w:rFonts w:ascii="Times New Roman" w:cs="Times New Roman" w:eastAsia="Times New Roman" w:hAnsi="Times New Roman"/>
          <w:sz w:val="20"/>
          <w:szCs w:val="20"/>
          <w:color w:val="auto"/>
        </w:rPr>
      </w:pPr>
    </w:p>
    <w:p>
      <w:pPr>
        <w:jc w:val="both"/>
        <w:ind w:left="120" w:firstLine="1292"/>
        <w:spacing w:after="0" w:line="252" w:lineRule="auto"/>
        <w:tabs>
          <w:tab w:leader="none" w:pos="1912" w:val="left"/>
        </w:tabs>
        <w:numPr>
          <w:ilvl w:val="0"/>
          <w:numId w:val="2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any asset (other than Real Property) that has an individual fair market value (as determined in good faith by the Borrower) in an amount greater than $10,000,000 is acquired by the Borrower or any Subsidiary Loan Party after the Closing Date or owned by an entity at the time it becomes a Subsidiary Loan Party (in each case other than (x) assets constituting Collateral under a Security Document that become subject to the Lien of such Security Document upon acquisition thereof and (y) assets constituting Excluded Property), the Borrower or such Subsidiary Loan Party, as applicable, will (i) notify the Collateral Agent in writing of such acquisition or ownership and (ii) cause such asset to be subjected to a Lien (subject to any Permitted Liens) securing the Obligations by, and take, and cause the Subsidiary Loan Parties to take, such actions as shall be reasonably requested by the Administrative Agent </w:t>
      </w:r>
      <w:r>
        <w:rPr>
          <w:rFonts w:ascii="Times New Roman" w:cs="Times New Roman" w:eastAsia="Times New Roman" w:hAnsi="Times New Roman"/>
          <w:sz w:val="20"/>
          <w:szCs w:val="20"/>
          <w:b w:val="1"/>
          <w:bCs w:val="1"/>
          <w:u w:val="single" w:color="auto"/>
          <w:color w:val="0000FF"/>
        </w:rPr>
        <w:t>(acting at the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u w:val="single" w:color="auto"/>
          <w:color w:val="0000FF"/>
        </w:rPr>
        <w:t>direction of the Required Lenders)</w:t>
      </w:r>
      <w:r>
        <w:rPr>
          <w:rFonts w:ascii="Times New Roman" w:cs="Times New Roman" w:eastAsia="Times New Roman" w:hAnsi="Times New Roman"/>
          <w:sz w:val="20"/>
          <w:szCs w:val="20"/>
          <w:b w:val="1"/>
          <w:bCs w:val="1"/>
          <w:color w:val="0000FF"/>
        </w:rPr>
        <w:t xml:space="preserve"> </w:t>
      </w:r>
      <w:r>
        <w:rPr>
          <w:rFonts w:ascii="Times New Roman" w:cs="Times New Roman" w:eastAsia="Times New Roman" w:hAnsi="Times New Roman"/>
          <w:sz w:val="20"/>
          <w:szCs w:val="20"/>
          <w:color w:val="000000"/>
        </w:rPr>
        <w:t>to grant and perfect such Liens, including actions described in clause (a) of this Section 5.10, all at the</w:t>
      </w:r>
      <w:r>
        <w:rPr>
          <w:rFonts w:ascii="Times New Roman" w:cs="Times New Roman" w:eastAsia="Times New Roman" w:hAnsi="Times New Roman"/>
          <w:sz w:val="20"/>
          <w:szCs w:val="20"/>
          <w:b w:val="1"/>
          <w:bCs w:val="1"/>
          <w:color w:val="0000FF"/>
        </w:rPr>
        <w:t xml:space="preserve"> </w:t>
      </w:r>
      <w:r>
        <w:rPr>
          <w:rFonts w:ascii="Times New Roman" w:cs="Times New Roman" w:eastAsia="Times New Roman" w:hAnsi="Times New Roman"/>
          <w:sz w:val="20"/>
          <w:szCs w:val="20"/>
          <w:color w:val="000000"/>
        </w:rPr>
        <w:t>expense of the Loan Parties, subject to clause (g) below.</w:t>
      </w:r>
    </w:p>
    <w:p>
      <w:pPr>
        <w:spacing w:after="0" w:line="162" w:lineRule="exact"/>
        <w:rPr>
          <w:rFonts w:ascii="Times New Roman" w:cs="Times New Roman" w:eastAsia="Times New Roman" w:hAnsi="Times New Roman"/>
          <w:sz w:val="20"/>
          <w:szCs w:val="20"/>
          <w:color w:val="auto"/>
        </w:rPr>
      </w:pPr>
    </w:p>
    <w:p>
      <w:pPr>
        <w:ind w:left="120" w:firstLine="1292"/>
        <w:spacing w:after="0" w:line="283" w:lineRule="auto"/>
        <w:tabs>
          <w:tab w:leader="none" w:pos="1930" w:val="left"/>
        </w:tabs>
        <w:numPr>
          <w:ilvl w:val="0"/>
          <w:numId w:val="2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Grant and cause each of the Subsidiary Loan Parties to grant to the Collateral Agent security interests in, and Mortgages on, any Material Real Property of the Borrower or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2038985</wp:posOffset>
            </wp:positionH>
            <wp:positionV relativeFrom="paragraph">
              <wp:posOffset>-2120900</wp:posOffset>
            </wp:positionV>
            <wp:extent cx="290957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26">
                      <a:extLst>
                        <a:ext uri="{28A0092B-C50C-407E-A947-70E740481C1C}"/>
                      </a:extLst>
                    </a:blip>
                    <a:srcRect/>
                    <a:stretch>
                      <a:fillRect/>
                    </a:stretch>
                  </pic:blipFill>
                  <pic:spPr bwMode="auto">
                    <a:xfrm>
                      <a:off x="0" y="0"/>
                      <a:ext cx="2909570" cy="825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11" w:name="page312"/>
    <w:bookmarkEnd w:id="311"/>
    <w:p>
      <w:pPr>
        <w:jc w:val="right"/>
        <w:spacing w:after="0"/>
        <w:rPr>
          <w:sz w:val="20"/>
          <w:szCs w:val="20"/>
          <w:color w:val="auto"/>
        </w:rPr>
      </w:pPr>
      <w:r>
        <w:rPr>
          <w:rFonts w:ascii="Times New Roman" w:cs="Times New Roman" w:eastAsia="Times New Roman" w:hAnsi="Times New Roman"/>
          <w:sz w:val="22"/>
          <w:szCs w:val="22"/>
          <w:color w:val="FF0000"/>
          <w:strike w:val="1"/>
        </w:rPr>
        <w:t>ANNEX</w:t>
      </w:r>
      <w:r>
        <w:rPr>
          <w:rFonts w:ascii="Times New Roman" w:cs="Times New Roman" w:eastAsia="Times New Roman" w:hAnsi="Times New Roman"/>
          <w:sz w:val="22"/>
          <w:szCs w:val="22"/>
          <w:b w:val="1"/>
          <w:bCs w:val="1"/>
          <w:u w:val="single" w:color="auto"/>
          <w:color w:val="0000FF"/>
        </w:rPr>
        <w:t>EXHIBIT</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ind w:left="4"/>
        <w:spacing w:after="0" w:line="250" w:lineRule="auto"/>
        <w:rPr>
          <w:sz w:val="20"/>
          <w:szCs w:val="20"/>
          <w:color w:val="auto"/>
        </w:rPr>
      </w:pPr>
      <w:r>
        <w:rPr>
          <w:rFonts w:ascii="Times New Roman" w:cs="Times New Roman" w:eastAsia="Times New Roman" w:hAnsi="Times New Roman"/>
          <w:sz w:val="20"/>
          <w:szCs w:val="20"/>
          <w:color w:val="auto"/>
        </w:rPr>
        <w:t xml:space="preserve">Subsidiary Loan Parties, as applicable, that are acquired after the Closing Date, within 120 days after the acquisition thereof (or such later date as the Administrative Agent may agree in its reasonable discretion) in a customary form for Affiliates of the Fund and otherwise reasonably satisfactory to the Administrative Agent and the Borrower, which security interest and mortgage shall constitute valid and enforceable Liens subject to no other Liens except Permitted Liens, (ii) record or file, and cause each such Subsidiary to record or file, the Mortgage or instruments related thereto in such manner and in such places as is required by law to establish, perfect, preserve and protect the Liens in favor of the Collateral Agent (for the benefit of the Secured Parties) required to be granted pursuant to the Mortgages and pay, and cause each such Subsidiary to pay, in full, all Taxes, fees and other charges required to be paid in connection with such recording or filing, in each case subject to clause (g) below, and (iii) deliver to the Collateral Agent an updated </w:t>
      </w:r>
      <w:r>
        <w:rPr>
          <w:rFonts w:ascii="Times New Roman" w:cs="Times New Roman" w:eastAsia="Times New Roman" w:hAnsi="Times New Roman"/>
          <w:sz w:val="20"/>
          <w:szCs w:val="20"/>
          <w:u w:val="single" w:color="auto"/>
          <w:color w:val="auto"/>
        </w:rPr>
        <w:t>Schedule 1.01(E)</w:t>
      </w:r>
      <w:r>
        <w:rPr>
          <w:rFonts w:ascii="Times New Roman" w:cs="Times New Roman" w:eastAsia="Times New Roman" w:hAnsi="Times New Roman"/>
          <w:sz w:val="20"/>
          <w:szCs w:val="20"/>
          <w:color w:val="auto"/>
        </w:rPr>
        <w:t xml:space="preserve"> reflecting such Mortgaged Properties. Unless otherwise waived by the Administrative Agent </w:t>
      </w:r>
      <w:r>
        <w:rPr>
          <w:rFonts w:ascii="Times New Roman" w:cs="Times New Roman" w:eastAsia="Times New Roman" w:hAnsi="Times New Roman"/>
          <w:sz w:val="20"/>
          <w:szCs w:val="20"/>
          <w:b w:val="1"/>
          <w:bCs w:val="1"/>
          <w:u w:val="single" w:color="auto"/>
          <w:color w:val="0000FF"/>
        </w:rPr>
        <w:t>(acting at the direction of the Required Lenders)</w:t>
      </w:r>
      <w:r>
        <w:rPr>
          <w:rFonts w:ascii="Times New Roman" w:cs="Times New Roman" w:eastAsia="Times New Roman" w:hAnsi="Times New Roman"/>
          <w:sz w:val="20"/>
          <w:szCs w:val="20"/>
          <w:color w:val="auto"/>
        </w:rPr>
        <w:t>, with respect to each such Mortgage, the Borrower shall cause the requirements set forth in clauses (f) and (g) of the definition of “Collateral and Guarantee Requirement” to be satisfied with respect to such Material Real Property.</w:t>
      </w:r>
    </w:p>
    <w:p>
      <w:pPr>
        <w:spacing w:after="0" w:line="173" w:lineRule="exact"/>
        <w:rPr>
          <w:sz w:val="20"/>
          <w:szCs w:val="20"/>
          <w:color w:val="auto"/>
        </w:rPr>
      </w:pPr>
    </w:p>
    <w:p>
      <w:pPr>
        <w:jc w:val="both"/>
        <w:ind w:left="4" w:firstLine="1292"/>
        <w:spacing w:after="0" w:line="264" w:lineRule="auto"/>
        <w:tabs>
          <w:tab w:leader="none" w:pos="1738" w:val="left"/>
        </w:tabs>
        <w:numPr>
          <w:ilvl w:val="1"/>
          <w:numId w:val="2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any additional direct or indirect Subsidiary of the Borrower is formed or acquired after the Closing Date (including, without limitation, pursuant to a Delaware LLC Division) (with any Subsidiary Redesignation resulting in an Unrestricted Subsidiary becoming a Subsidiary being deemed to constitute the acquisition of a Subsidiary) and if such Subsidiary is a Subsidiary Loan Party, within 15 Business Days after the date such Subsidiary is formed or acquired (or such longer period as the Administrative Agent may agree in its reasonable discretion), notify the Collateral Agent in writing thereof and, within 20 Business Days after the date such Subsidiary is formed or acquired or such longer period as the Administrative Agent may agree in its reasonable discretion (or, with respect to clauses (f), (g) and</w:t>
      </w:r>
    </w:p>
    <w:p>
      <w:pPr>
        <w:spacing w:after="0" w:line="4" w:lineRule="exact"/>
        <w:rPr>
          <w:rFonts w:ascii="Times New Roman" w:cs="Times New Roman" w:eastAsia="Times New Roman" w:hAnsi="Times New Roman"/>
          <w:sz w:val="19"/>
          <w:szCs w:val="19"/>
          <w:color w:val="auto"/>
        </w:rPr>
      </w:pPr>
    </w:p>
    <w:p>
      <w:pPr>
        <w:jc w:val="both"/>
        <w:ind w:left="4" w:hanging="4"/>
        <w:spacing w:after="0" w:line="253" w:lineRule="auto"/>
        <w:tabs>
          <w:tab w:leader="none" w:pos="294" w:val="left"/>
        </w:tabs>
        <w:numPr>
          <w:ilvl w:val="0"/>
          <w:numId w:val="2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 the definition of “Collateral and Guarantee Requirement,” within 120 days after such formation or acquisition or such longer period as set forth therein or as the Administrative Agent may agree in its reasonable discretion, as applicable), cause the Collateral and Guarantee Requirement to be satisfied with respect to such Subsidiary and with respect to any Equity Interest in or Indebtedness of such Subsidiary owned by or on behalf of any Loan Party, subject to clause (g) below.</w:t>
      </w:r>
    </w:p>
    <w:p>
      <w:pPr>
        <w:spacing w:after="0" w:line="162" w:lineRule="exact"/>
        <w:rPr>
          <w:rFonts w:ascii="Times New Roman" w:cs="Times New Roman" w:eastAsia="Times New Roman" w:hAnsi="Times New Roman"/>
          <w:sz w:val="20"/>
          <w:szCs w:val="20"/>
          <w:color w:val="auto"/>
        </w:rPr>
      </w:pPr>
    </w:p>
    <w:p>
      <w:pPr>
        <w:jc w:val="both"/>
        <w:ind w:left="4" w:firstLine="1292"/>
        <w:spacing w:after="0" w:line="251" w:lineRule="auto"/>
        <w:tabs>
          <w:tab w:leader="none" w:pos="1885" w:val="left"/>
        </w:tabs>
        <w:numPr>
          <w:ilvl w:val="1"/>
          <w:numId w:val="2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additional Foreign Subsidiary of the Borrower is formed or acquired after the Closing Date (with any Subsidiary Redesignation resulting in an Unrestricted Subsidiary becoming a Subsidiary being deemed to constitute the acquisition of a Subsidiary) and if such Subsidiary is a “first tier” Foreign Subsidiary of a Loan Party, within 15 Business Days after the date such Foreign Subsidiary is formed or acquired (or such longer period as the Administrative Agent may agree in its reasonable discretion), notify the Collateral Agent in writing thereof and, within 50 Business Days after the date such Foreign Subsidiary is formed or acquired or such longer period as the Administrative Agent may agree in its reasonable discretion, cause the Collateral and Guarantee Requirement to be satisfied with respect to any Equity Interest in such Foreign Subsidiary owned by or on behalf of any Loan Party, subject to clause (g) below.</w:t>
      </w:r>
    </w:p>
    <w:p>
      <w:pPr>
        <w:spacing w:after="0" w:line="168" w:lineRule="exact"/>
        <w:rPr>
          <w:rFonts w:ascii="Times New Roman" w:cs="Times New Roman" w:eastAsia="Times New Roman" w:hAnsi="Times New Roman"/>
          <w:sz w:val="20"/>
          <w:szCs w:val="20"/>
          <w:color w:val="auto"/>
        </w:rPr>
      </w:pPr>
    </w:p>
    <w:p>
      <w:pPr>
        <w:jc w:val="both"/>
        <w:ind w:left="4" w:firstLine="1292"/>
        <w:spacing w:after="0" w:line="253" w:lineRule="auto"/>
        <w:tabs>
          <w:tab w:leader="none" w:pos="1710" w:val="left"/>
        </w:tabs>
        <w:numPr>
          <w:ilvl w:val="1"/>
          <w:numId w:val="2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Furnish to the Collateral Agent prompt written notice of any change (A) in any Loan Party’s corporate or organization name, (B) in any Loan Party’s identity or organizational structure, (C) in any Loan Party’s organizational identification number, (D) in any Loan Party’s jurisdiction of organization or (E) in the location of the chief executive office of any Loan Party that is not a registered organization;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the Borrower shall not effect or permit any such change unless all filings have been made, or will have been made within 30 days following such change (or such longer period as the Administrative Agent may agree in its reasonable discretion), under the Uniform Commercial Code that are required in order for the Collateral Agent to continue at all times</w:t>
      </w:r>
    </w:p>
    <w:p>
      <w:pPr>
        <w:sectPr>
          <w:pgSz w:w="11900" w:h="16838" w:orient="portrait"/>
          <w:cols w:equalWidth="0" w:num="1">
            <w:col w:w="11124"/>
          </w:cols>
          <w:pgMar w:left="436" w:top="108" w:right="339" w:bottom="1440" w:gutter="0" w:footer="0" w:header="0"/>
        </w:sectPr>
      </w:pPr>
    </w:p>
    <w:bookmarkStart w:id="312" w:name="page313"/>
    <w:bookmarkEnd w:id="312"/>
    <w:p>
      <w:pPr>
        <w:jc w:val="right"/>
        <w:spacing w:after="0"/>
        <w:rPr>
          <w:sz w:val="20"/>
          <w:szCs w:val="20"/>
          <w:color w:val="auto"/>
        </w:rPr>
      </w:pPr>
      <w:r>
        <w:rPr>
          <w:rFonts w:ascii="Times New Roman" w:cs="Times New Roman" w:eastAsia="Times New Roman" w:hAnsi="Times New Roman"/>
          <w:sz w:val="22"/>
          <w:szCs w:val="22"/>
          <w:color w:val="FF0000"/>
          <w:strike w:val="1"/>
        </w:rPr>
        <w:t>ANNEX</w:t>
      </w:r>
      <w:r>
        <w:rPr>
          <w:rFonts w:ascii="Times New Roman" w:cs="Times New Roman" w:eastAsia="Times New Roman" w:hAnsi="Times New Roman"/>
          <w:sz w:val="22"/>
          <w:szCs w:val="22"/>
          <w:b w:val="1"/>
          <w:bCs w:val="1"/>
          <w:u w:val="single" w:color="auto"/>
          <w:color w:val="0000FF"/>
        </w:rPr>
        <w:t>EXHIBIT</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ind w:left="4"/>
        <w:spacing w:after="0" w:line="283" w:lineRule="auto"/>
        <w:rPr>
          <w:sz w:val="20"/>
          <w:szCs w:val="20"/>
          <w:color w:val="auto"/>
        </w:rPr>
      </w:pPr>
      <w:r>
        <w:rPr>
          <w:rFonts w:ascii="Times New Roman" w:cs="Times New Roman" w:eastAsia="Times New Roman" w:hAnsi="Times New Roman"/>
          <w:sz w:val="20"/>
          <w:szCs w:val="20"/>
          <w:color w:val="auto"/>
        </w:rPr>
        <w:t>following such change to have a valid, legal and perfected security interest in all the Collateral in which a security interest may be perfected by such filing, for the benefit of the Secured Parties.</w:t>
      </w:r>
    </w:p>
    <w:p>
      <w:pPr>
        <w:spacing w:after="0" w:line="133" w:lineRule="exact"/>
        <w:rPr>
          <w:sz w:val="20"/>
          <w:szCs w:val="20"/>
          <w:color w:val="auto"/>
        </w:rPr>
      </w:pPr>
    </w:p>
    <w:p>
      <w:pPr>
        <w:jc w:val="both"/>
        <w:ind w:left="4" w:firstLine="1292"/>
        <w:spacing w:after="0" w:line="254" w:lineRule="auto"/>
        <w:tabs>
          <w:tab w:leader="none" w:pos="1906" w:val="left"/>
        </w:tabs>
        <w:numPr>
          <w:ilvl w:val="1"/>
          <w:numId w:val="2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Collateral and Guarantee Requirement and the other provisions of this Section 5.10 and the other Loan Documents with respect to Collateral need not be satisfied with respect to any of the following (collectively, the “</w:t>
      </w:r>
      <w:r>
        <w:rPr>
          <w:rFonts w:ascii="Times New Roman" w:cs="Times New Roman" w:eastAsia="Times New Roman" w:hAnsi="Times New Roman"/>
          <w:sz w:val="20"/>
          <w:szCs w:val="20"/>
          <w:u w:val="single" w:color="auto"/>
          <w:color w:val="auto"/>
        </w:rPr>
        <w:t>Excluded Property</w:t>
      </w:r>
      <w:r>
        <w:rPr>
          <w:rFonts w:ascii="Times New Roman" w:cs="Times New Roman" w:eastAsia="Times New Roman" w:hAnsi="Times New Roman"/>
          <w:sz w:val="20"/>
          <w:szCs w:val="20"/>
          <w:color w:val="auto"/>
        </w:rPr>
        <w:t>”):</w:t>
      </w:r>
    </w:p>
    <w:p>
      <w:pPr>
        <w:spacing w:after="0" w:line="1" w:lineRule="exact"/>
        <w:rPr>
          <w:rFonts w:ascii="Times New Roman" w:cs="Times New Roman" w:eastAsia="Times New Roman" w:hAnsi="Times New Roman"/>
          <w:sz w:val="20"/>
          <w:szCs w:val="20"/>
          <w:color w:val="auto"/>
        </w:rPr>
      </w:pPr>
    </w:p>
    <w:p>
      <w:pPr>
        <w:jc w:val="both"/>
        <w:ind w:left="4" w:hanging="4"/>
        <w:spacing w:after="0" w:line="248" w:lineRule="auto"/>
        <w:tabs>
          <w:tab w:leader="none" w:pos="257" w:val="left"/>
        </w:tabs>
        <w:numPr>
          <w:ilvl w:val="0"/>
          <w:numId w:val="2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Real Property other than Material Real Property, (ii) motor vehicles and other assets subject to certificates of title, letter of credit rights (in each case, other than to the extent a Lien on such assets or such rights can be perfected by filing a UCC-1) and commercial tort claims with a value of less than $10,000,000, (iii) pledges and security interests prohibited by applicable law, rule, regulation or contractual obligation (with respect to any such contractual obligation, only to the extent such restriction is permitted under Section 6.09(c) and such restriction is binding on such assets (1) on the Closing Date or (2) on the date of the acquisition thereof and not entered into in contemplation thereof (other than in connection with the incurrence of Indebtedness of the type contemplated by Section 6.01(i))) (in each case, except to the extent such prohibition is unenforceable after giving effect to the applicable anti-assignment provisions of Article 9 of the Uniform Commercial Code) or which could require governmental (including regulatory) consent, approval, license or authorization to be pledged (unless such consent, approval, license or authorization has been received), (iv) assets to the extent a security interest in such assets could reasonably be expected to result in material adverse tax consequences as determined in good faith by the Borrower, (v) any lease, license or other agreement to the extent that a grant of a security interest therein would violate or invalidate such lease, license or agreement or create a right of termination in favor of any other party thereto (other than the Borrower or any Guarantor) after giving effect to the applicable anti-assignment provisions of Article 9 of the Uniform Commercial Code, (vi) those assets as to which the Administrative Agent </w:t>
      </w:r>
      <w:r>
        <w:rPr>
          <w:rFonts w:ascii="Times New Roman" w:cs="Times New Roman" w:eastAsia="Times New Roman" w:hAnsi="Times New Roman"/>
          <w:sz w:val="20"/>
          <w:szCs w:val="20"/>
          <w:b w:val="1"/>
          <w:bCs w:val="1"/>
          <w:u w:val="single" w:color="auto"/>
          <w:color w:val="0000FF"/>
        </w:rPr>
        <w:t>(acting at the direction of the Required Lenders)</w:t>
      </w:r>
      <w:r>
        <w:rPr>
          <w:rFonts w:ascii="Times New Roman" w:cs="Times New Roman" w:eastAsia="Times New Roman" w:hAnsi="Times New Roman"/>
          <w:sz w:val="20"/>
          <w:szCs w:val="20"/>
          <w:color w:val="auto"/>
        </w:rPr>
        <w:t xml:space="preserve"> and the Borrower reasonably agree that the cost or other consequence of obtaining such a security interest or perfection thereof are excessive in relation to the value afforded thereby, (vii) any governmental licenses or state or local licenses, franchises, charters and authorizations, to the extent security interests in such licenses, franchises, charters or authorizations are prohibited or restricted thereby after giving effect to the applicable anti-assignment provisions of Article 9 of the Uniform Commercial Code, (viii) any “intent-to-use” applications for trademark or service mark registrations filed pursuant to Section 1(b) of the Lanham Act, 15 U.S.C. §1051, unless and until an Amendment to Allege Use or a Statement of Use under Section 1(c) or 1(d) of the Lanham Act has been filed, (ix) other customary exclusions under applicable local law or in applicable local jurisdictions set forth in any applicable Security Documents or otherwise separately agreed in writing between the Administrative Agent </w:t>
      </w:r>
      <w:r>
        <w:rPr>
          <w:rFonts w:ascii="Times New Roman" w:cs="Times New Roman" w:eastAsia="Times New Roman" w:hAnsi="Times New Roman"/>
          <w:sz w:val="20"/>
          <w:szCs w:val="20"/>
          <w:color w:val="FF0000"/>
          <w:strike w:val="1"/>
        </w:rPr>
        <w:t>and the</w:t>
      </w:r>
      <w:r>
        <w:rPr>
          <w:rFonts w:ascii="Times New Roman" w:cs="Times New Roman" w:eastAsia="Times New Roman" w:hAnsi="Times New Roman"/>
          <w:sz w:val="20"/>
          <w:szCs w:val="20"/>
          <w:b w:val="1"/>
          <w:bCs w:val="1"/>
          <w:u w:val="single" w:color="auto"/>
          <w:color w:val="0000FF"/>
        </w:rPr>
        <w:t>(acting at the direction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u w:val="single" w:color="auto"/>
          <w:color w:val="0000FF"/>
        </w:rPr>
        <w:t>of the Required Lenders) and the</w:t>
      </w:r>
      <w:r>
        <w:rPr>
          <w:rFonts w:ascii="Times New Roman" w:cs="Times New Roman" w:eastAsia="Times New Roman" w:hAnsi="Times New Roman"/>
          <w:sz w:val="20"/>
          <w:szCs w:val="20"/>
          <w:b w:val="1"/>
          <w:bCs w:val="1"/>
          <w:color w:val="0000FF"/>
        </w:rPr>
        <w:t xml:space="preserve"> </w:t>
      </w:r>
      <w:r>
        <w:rPr>
          <w:rFonts w:ascii="Times New Roman" w:cs="Times New Roman" w:eastAsia="Times New Roman" w:hAnsi="Times New Roman"/>
          <w:sz w:val="20"/>
          <w:szCs w:val="20"/>
          <w:color w:val="000000"/>
        </w:rPr>
        <w:t>Borrower, (x) Securitization Assets sold to any Special Purpose Securitization Subsidiary or otherwise</w:t>
      </w:r>
      <w:r>
        <w:rPr>
          <w:rFonts w:ascii="Times New Roman" w:cs="Times New Roman" w:eastAsia="Times New Roman" w:hAnsi="Times New Roman"/>
          <w:sz w:val="20"/>
          <w:szCs w:val="20"/>
          <w:b w:val="1"/>
          <w:bCs w:val="1"/>
          <w:color w:val="0000FF"/>
        </w:rPr>
        <w:t xml:space="preserve"> </w:t>
      </w:r>
      <w:r>
        <w:rPr>
          <w:rFonts w:ascii="Times New Roman" w:cs="Times New Roman" w:eastAsia="Times New Roman" w:hAnsi="Times New Roman"/>
          <w:sz w:val="20"/>
          <w:szCs w:val="20"/>
          <w:color w:val="000000"/>
        </w:rPr>
        <w:t xml:space="preserve">pledged, factored, transferred or sold in connection with any Permitted Securitization Financing, and any other assets subject to Liens securing Permitted Securitization Financings, (xi) any Excluded Securities, (xii) any Third Party Funds, (xiii) any equipment or other asset that is subject to a Lien permitted by any of clauses (c), (i), (j), (aa), (mm) or (oo) of Section 6.02 or is otherwise subject to a purchase money debt or a Capitalized Lease Obligation, in each case, as permitted by Section 6.01, if the contract or other agreement providing for such debt or Capitalized Lease Obligation prohibits or requires the consent of any person (other than the Borrower or any Guarantor) as a condition to the creation of any other security interest on such equipment or asset and, in each case, such prohibition or requirement is permitted hereunder (after giving effect to the applicable anti-assignment provisions of Article 9 of the Uniform Commercial Code or other applicable law), (xiv) all assets of Holdings other than, prior to a Qualified IPO, Equity Interests of the Borrower directly held by Holdings and pledged pursuant to the Holdings Guarantee and Pledge Agreement and (xv) any other exceptions mutually agreed upon between the Borrower and the Administrative Agent; </w:t>
      </w:r>
      <w:r>
        <w:rPr>
          <w:rFonts w:ascii="Times New Roman" w:cs="Times New Roman" w:eastAsia="Times New Roman" w:hAnsi="Times New Roman"/>
          <w:sz w:val="20"/>
          <w:szCs w:val="20"/>
          <w:u w:val="single" w:color="auto"/>
          <w:color w:val="000000"/>
        </w:rPr>
        <w:t>provided</w:t>
      </w:r>
      <w:r>
        <w:rPr>
          <w:rFonts w:ascii="Times New Roman" w:cs="Times New Roman" w:eastAsia="Times New Roman" w:hAnsi="Times New Roman"/>
          <w:sz w:val="20"/>
          <w:szCs w:val="20"/>
          <w:color w:val="000000"/>
        </w:rPr>
        <w:t>, that the Borrower may in its sole discretion elect to exclude any property from the definition</w:t>
      </w:r>
    </w:p>
    <w:p>
      <w:pPr>
        <w:sectPr>
          <w:pgSz w:w="11900" w:h="16838" w:orient="portrait"/>
          <w:cols w:equalWidth="0" w:num="1">
            <w:col w:w="11124"/>
          </w:cols>
          <w:pgMar w:left="436" w:top="108" w:right="339" w:bottom="1440" w:gutter="0" w:footer="0" w:header="0"/>
        </w:sectPr>
      </w:pPr>
    </w:p>
    <w:bookmarkStart w:id="313" w:name="page314"/>
    <w:bookmarkEnd w:id="313"/>
    <w:p>
      <w:pPr>
        <w:jc w:val="right"/>
        <w:spacing w:after="0"/>
        <w:rPr>
          <w:sz w:val="20"/>
          <w:szCs w:val="20"/>
          <w:color w:val="auto"/>
        </w:rPr>
      </w:pPr>
      <w:r>
        <w:rPr>
          <w:rFonts w:ascii="Times New Roman" w:cs="Times New Roman" w:eastAsia="Times New Roman" w:hAnsi="Times New Roman"/>
          <w:sz w:val="22"/>
          <w:szCs w:val="22"/>
          <w:color w:val="FF0000"/>
          <w:strike w:val="1"/>
        </w:rPr>
        <w:t>ANNEX</w:t>
      </w:r>
      <w:r>
        <w:rPr>
          <w:rFonts w:ascii="Times New Roman" w:cs="Times New Roman" w:eastAsia="Times New Roman" w:hAnsi="Times New Roman"/>
          <w:sz w:val="22"/>
          <w:szCs w:val="22"/>
          <w:b w:val="1"/>
          <w:bCs w:val="1"/>
          <w:u w:val="single" w:color="auto"/>
          <w:color w:val="0000FF"/>
        </w:rPr>
        <w:t>EXHIBIT</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ind w:left="120"/>
        <w:spacing w:after="0" w:line="250" w:lineRule="auto"/>
        <w:rPr>
          <w:sz w:val="20"/>
          <w:szCs w:val="20"/>
          <w:color w:val="auto"/>
        </w:rPr>
      </w:pPr>
      <w:r>
        <w:rPr>
          <w:rFonts w:ascii="Times New Roman" w:cs="Times New Roman" w:eastAsia="Times New Roman" w:hAnsi="Times New Roman"/>
          <w:sz w:val="20"/>
          <w:szCs w:val="20"/>
          <w:color w:val="auto"/>
        </w:rPr>
        <w:t>of “Excluded Property.” Notwithstanding anything herein to the contrary, (A) the Administrative Agent may grant extensions of time or waiver of requirement for the creation or perfection of security interests in or the obtaining of insurance (including title insurance) or surveys with respect to particular assets (including extensions beyond the Closing Date for the perfection of security interests in the assets of the Loan Parties on such date) where it reasonably determines, in consultation with the Borrower, that perfection or obtaining of such items cannot be accomplished without undue effort or expense by the time or times at which it would otherwise be required by this Agreement or the other Loan Documents, (B) no control agreement or control, lockbox or similar arrangement shall be required with respect to any deposit accounts, securities accounts or commodities accounts, (C) no landlord, mortgagee or bailee waivers shall be required, (D) no foreign-law governed security documents or perfection under foreign law shall be required, (E) no notice shall be required to be sent to account debtors or other contractual third parties prior to an Event of Default, (F) Liens required to be granted from time to time pursuant to, or any other requirements of, the Collateral and Guarantee Requirement and the Security Documents shall be subject to exceptions and limitations set forth in the Security Documents and (G) to the extent any Mortgaged Property is located in a jurisdiction with mortgage recording or similar tax, the amount secured by the Security Document with respect to such Mortgaged Property shall be limited to the fair market value of such Mortgaged Property as determined in good faith by the Borrower (subject to any applicable laws in the relevant jurisdiction or such lesser amount agreed to by the Administrative Agent).</w:t>
      </w:r>
    </w:p>
    <w:p>
      <w:pPr>
        <w:spacing w:after="0" w:line="183"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20"/>
          <w:szCs w:val="20"/>
          <w:color w:val="auto"/>
        </w:rPr>
        <w:t>Section 5.11 Rating. Exercise commercially reasonable efforts to obtain and to maintain (a) public ratings (but not to obtain a specific rating) from Moody’s and S&amp;P for the Term B Loans and (b) public corporate credit ratings and corporate family ratings (but, in each case, not to obtain a specific rating) from Moody’s and S&amp;P in respect of the Borrower.</w:t>
      </w:r>
    </w:p>
    <w:p>
      <w:pPr>
        <w:spacing w:after="0" w:line="148"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 xml:space="preserve">Section 5.12 Post-Closing. Take all necessary actions to satisfy the items described on </w:t>
      </w:r>
      <w:r>
        <w:rPr>
          <w:rFonts w:ascii="Times New Roman" w:cs="Times New Roman" w:eastAsia="Times New Roman" w:hAnsi="Times New Roman"/>
          <w:sz w:val="20"/>
          <w:szCs w:val="20"/>
          <w:u w:val="single" w:color="auto"/>
          <w:color w:val="auto"/>
        </w:rPr>
        <w:t>Schedule 5.12</w:t>
      </w:r>
      <w:r>
        <w:rPr>
          <w:rFonts w:ascii="Times New Roman" w:cs="Times New Roman" w:eastAsia="Times New Roman" w:hAnsi="Times New Roman"/>
          <w:sz w:val="20"/>
          <w:szCs w:val="20"/>
          <w:color w:val="auto"/>
        </w:rPr>
        <w:t xml:space="preserve"> to the Original Credit Agreement within the applicable period of time specified in such Schedule (or such longer period as the Administrative Agent may agree in its reasonable discretion).</w:t>
      </w:r>
    </w:p>
    <w:p>
      <w:pPr>
        <w:spacing w:after="0" w:line="163"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22"/>
          <w:szCs w:val="22"/>
          <w:color w:val="auto"/>
        </w:rPr>
        <w:t>ARTICLE VI</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Negative Covenants</w:t>
      </w:r>
    </w:p>
    <w:p>
      <w:pPr>
        <w:spacing w:after="0" w:line="20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The Borrower covenants and agrees with each Lender that, until the Termination Date, unless the Required Lenders (or, in the case of Section 6.11, the Required Revolving Facility Lenders voting as a single Class) shall otherwise consent in writing, the Borrower will not, and will not permit any of the Subsidiaries to:</w:t>
      </w:r>
    </w:p>
    <w:p>
      <w:pPr>
        <w:spacing w:after="0" w:line="154" w:lineRule="exact"/>
        <w:rPr>
          <w:sz w:val="20"/>
          <w:szCs w:val="20"/>
          <w:color w:val="auto"/>
        </w:rPr>
      </w:pPr>
    </w:p>
    <w:p>
      <w:pPr>
        <w:ind w:left="1300"/>
        <w:spacing w:after="0"/>
        <w:tabs>
          <w:tab w:leader="none" w:pos="2480" w:val="left"/>
        </w:tabs>
        <w:rPr>
          <w:sz w:val="20"/>
          <w:szCs w:val="20"/>
          <w:color w:val="auto"/>
        </w:rPr>
      </w:pPr>
      <w:r>
        <w:rPr>
          <w:rFonts w:ascii="Times New Roman" w:cs="Times New Roman" w:eastAsia="Times New Roman" w:hAnsi="Times New Roman"/>
          <w:sz w:val="20"/>
          <w:szCs w:val="20"/>
          <w:color w:val="auto"/>
        </w:rPr>
        <w:t>Section 6.01</w:t>
      </w:r>
      <w:r>
        <w:rPr>
          <w:sz w:val="20"/>
          <w:szCs w:val="20"/>
          <w:color w:val="auto"/>
        </w:rPr>
        <w:tab/>
      </w:r>
      <w:r>
        <w:rPr>
          <w:rFonts w:ascii="Times New Roman" w:cs="Times New Roman" w:eastAsia="Times New Roman" w:hAnsi="Times New Roman"/>
          <w:sz w:val="19"/>
          <w:szCs w:val="19"/>
          <w:color w:val="auto"/>
        </w:rPr>
        <w:t>Indebtedness. Incur, create, assume or permit to exist any Indebtedness, except:</w:t>
      </w:r>
    </w:p>
    <w:p>
      <w:pPr>
        <w:spacing w:after="0" w:line="216" w:lineRule="exact"/>
        <w:rPr>
          <w:sz w:val="20"/>
          <w:szCs w:val="20"/>
          <w:color w:val="auto"/>
        </w:rPr>
      </w:pPr>
    </w:p>
    <w:p>
      <w:pPr>
        <w:jc w:val="both"/>
        <w:ind w:left="120" w:firstLine="1292"/>
        <w:spacing w:after="0" w:line="258" w:lineRule="auto"/>
        <w:tabs>
          <w:tab w:leader="none" w:pos="1941" w:val="left"/>
        </w:tabs>
        <w:numPr>
          <w:ilvl w:val="0"/>
          <w:numId w:val="2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Indebtedness existing or committed on the Closing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such Indebtedness that is (x) not intercompany Indebtedness and (y) in excess of $5,000,000 shall be set forth on </w:t>
      </w:r>
      <w:r>
        <w:rPr>
          <w:rFonts w:ascii="Times New Roman" w:cs="Times New Roman" w:eastAsia="Times New Roman" w:hAnsi="Times New Roman"/>
          <w:sz w:val="20"/>
          <w:szCs w:val="20"/>
          <w:u w:val="single" w:color="auto"/>
          <w:color w:val="auto"/>
        </w:rPr>
        <w:t>Schedule 6.01</w:t>
      </w:r>
      <w:r>
        <w:rPr>
          <w:rFonts w:ascii="Times New Roman" w:cs="Times New Roman" w:eastAsia="Times New Roman" w:hAnsi="Times New Roman"/>
          <w:sz w:val="20"/>
          <w:szCs w:val="20"/>
          <w:color w:val="auto"/>
        </w:rPr>
        <w:t xml:space="preserve"> to the Original Credit Agreement) and (ii) any Permitted Refinancing Indebtedness incurred to Refinance such Indebtedness (other than intercompany Indebtedness Refinanced with Indebtedness owed to a person not affiliated with the Borrower or any Subsidiary);</w:t>
      </w:r>
    </w:p>
    <w:p>
      <w:pPr>
        <w:spacing w:after="0" w:line="158" w:lineRule="exact"/>
        <w:rPr>
          <w:rFonts w:ascii="Times New Roman" w:cs="Times New Roman" w:eastAsia="Times New Roman" w:hAnsi="Times New Roman"/>
          <w:sz w:val="20"/>
          <w:szCs w:val="20"/>
          <w:color w:val="auto"/>
        </w:rPr>
      </w:pPr>
    </w:p>
    <w:p>
      <w:pPr>
        <w:ind w:left="120" w:firstLine="1292"/>
        <w:spacing w:after="0" w:line="269" w:lineRule="auto"/>
        <w:tabs>
          <w:tab w:leader="none" w:pos="1874" w:val="left"/>
        </w:tabs>
        <w:numPr>
          <w:ilvl w:val="0"/>
          <w:numId w:val="2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Indebtedness created hereunder (including pursuant to Section 2.21) and under the other Loan Documents and (ii) any Permitted Refinancing Indebtedness incurred to Refinance such Indebtedness;</w:t>
      </w:r>
    </w:p>
    <w:p>
      <w:pPr>
        <w:sectPr>
          <w:pgSz w:w="11900" w:h="16838" w:orient="portrait"/>
          <w:cols w:equalWidth="0" w:num="1">
            <w:col w:w="11240"/>
          </w:cols>
          <w:pgMar w:left="320" w:top="108" w:right="339" w:bottom="1440" w:gutter="0" w:footer="0" w:header="0"/>
        </w:sectPr>
      </w:pPr>
    </w:p>
    <w:bookmarkStart w:id="314" w:name="page315"/>
    <w:bookmarkEnd w:id="314"/>
    <w:p>
      <w:pPr>
        <w:jc w:val="right"/>
        <w:spacing w:after="0"/>
        <w:rPr>
          <w:sz w:val="20"/>
          <w:szCs w:val="20"/>
          <w:color w:val="auto"/>
        </w:rPr>
      </w:pPr>
      <w:r>
        <w:rPr>
          <w:rFonts w:ascii="Times New Roman" w:cs="Times New Roman" w:eastAsia="Times New Roman" w:hAnsi="Times New Roman"/>
          <w:sz w:val="22"/>
          <w:szCs w:val="22"/>
          <w:color w:val="FF0000"/>
          <w:strike w:val="1"/>
        </w:rPr>
        <w:t>ANNEX</w:t>
      </w:r>
      <w:r>
        <w:rPr>
          <w:rFonts w:ascii="Times New Roman" w:cs="Times New Roman" w:eastAsia="Times New Roman" w:hAnsi="Times New Roman"/>
          <w:sz w:val="22"/>
          <w:szCs w:val="22"/>
          <w:b w:val="1"/>
          <w:bCs w:val="1"/>
          <w:u w:val="single" w:color="auto"/>
          <w:color w:val="0000FF"/>
        </w:rPr>
        <w:t>EXHIBIT</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804" w:hanging="508"/>
        <w:spacing w:after="0"/>
        <w:tabs>
          <w:tab w:leader="none" w:pos="1804" w:val="left"/>
        </w:tabs>
        <w:numPr>
          <w:ilvl w:val="0"/>
          <w:numId w:val="2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of the Borrower or any Subsidiary pursuant to Hedging Agreements entered into for non-speculative</w:t>
      </w:r>
    </w:p>
    <w:p>
      <w:pPr>
        <w:spacing w:after="0" w:line="28"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purposes;</w:t>
      </w:r>
    </w:p>
    <w:p>
      <w:pPr>
        <w:spacing w:after="0" w:line="187" w:lineRule="exact"/>
        <w:rPr>
          <w:sz w:val="20"/>
          <w:szCs w:val="20"/>
          <w:color w:val="auto"/>
        </w:rPr>
      </w:pPr>
    </w:p>
    <w:p>
      <w:pPr>
        <w:jc w:val="both"/>
        <w:ind w:left="4" w:firstLine="1292"/>
        <w:spacing w:after="0" w:line="258" w:lineRule="auto"/>
        <w:tabs>
          <w:tab w:leader="none" w:pos="1729" w:val="left"/>
        </w:tabs>
        <w:numPr>
          <w:ilvl w:val="1"/>
          <w:numId w:val="2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owed to (including obligations in respect of letters of credit or bank guarantees or similar instruments for the benefit of) any person providing workers’ compensation, health, disability or other employee benefits or property, casualty or liability insurance to the Borrower or any Subsidiary, pursuant to reimbursement or indemnification obligations to such person, in each case in the ordinary course of business or consistent with past practice or industry practices;</w:t>
      </w:r>
    </w:p>
    <w:p>
      <w:pPr>
        <w:spacing w:after="0" w:line="158" w:lineRule="exact"/>
        <w:rPr>
          <w:rFonts w:ascii="Times New Roman" w:cs="Times New Roman" w:eastAsia="Times New Roman" w:hAnsi="Times New Roman"/>
          <w:sz w:val="20"/>
          <w:szCs w:val="20"/>
          <w:color w:val="auto"/>
        </w:rPr>
      </w:pPr>
    </w:p>
    <w:p>
      <w:pPr>
        <w:jc w:val="both"/>
        <w:ind w:left="4" w:firstLine="1292"/>
        <w:spacing w:after="0" w:line="253" w:lineRule="auto"/>
        <w:tabs>
          <w:tab w:leader="none" w:pos="1749" w:val="left"/>
        </w:tabs>
        <w:numPr>
          <w:ilvl w:val="1"/>
          <w:numId w:val="2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Indebtedness of the Borrower to Holdings or any Subsidiary and of any Subsidiary to Holdings, the Borrower or any other Subsidiary;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Indebtedness owed by any Loan Party to any Subsidiary that is not a Loan Party incurred pursuant to this Section 6.01(e) shall be subordinated to the Loan Obligations under this Agreement on subordination terms described in the intercompany note substantially in the form of </w:t>
      </w:r>
      <w:r>
        <w:rPr>
          <w:rFonts w:ascii="Times New Roman" w:cs="Times New Roman" w:eastAsia="Times New Roman" w:hAnsi="Times New Roman"/>
          <w:sz w:val="20"/>
          <w:szCs w:val="20"/>
          <w:u w:val="single" w:color="auto"/>
          <w:color w:val="auto"/>
        </w:rPr>
        <w:t>Exhibit J</w:t>
      </w:r>
      <w:r>
        <w:rPr>
          <w:rFonts w:ascii="Times New Roman" w:cs="Times New Roman" w:eastAsia="Times New Roman" w:hAnsi="Times New Roman"/>
          <w:sz w:val="20"/>
          <w:szCs w:val="20"/>
          <w:color w:val="auto"/>
        </w:rPr>
        <w:t xml:space="preserve"> to the Original Credit Agreement or on substantially identical subordination terms or other subordination terms reasonably satisfactory to the Administrative Agent and the Borrower;</w:t>
      </w:r>
    </w:p>
    <w:p>
      <w:pPr>
        <w:spacing w:after="0" w:line="178" w:lineRule="exact"/>
        <w:rPr>
          <w:rFonts w:ascii="Times New Roman" w:cs="Times New Roman" w:eastAsia="Times New Roman" w:hAnsi="Times New Roman"/>
          <w:sz w:val="20"/>
          <w:szCs w:val="20"/>
          <w:color w:val="auto"/>
        </w:rPr>
      </w:pPr>
    </w:p>
    <w:p>
      <w:pPr>
        <w:jc w:val="both"/>
        <w:ind w:left="4" w:firstLine="1292"/>
        <w:spacing w:after="0" w:line="254" w:lineRule="auto"/>
        <w:tabs>
          <w:tab w:leader="none" w:pos="1732" w:val="left"/>
        </w:tabs>
        <w:numPr>
          <w:ilvl w:val="1"/>
          <w:numId w:val="2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in respect of performance bonds, bid bonds, appeal bonds, surety bonds and completion guarantees and similar obligations, in each case provided in the ordinary course of business or consistent with past practice or industry practices, including those incurred to secure health, safety and environmental obligations in the ordinary course of business or consistent with past practice or industry practices;</w:t>
      </w:r>
    </w:p>
    <w:p>
      <w:pPr>
        <w:spacing w:after="0" w:line="173" w:lineRule="exact"/>
        <w:rPr>
          <w:rFonts w:ascii="Times New Roman" w:cs="Times New Roman" w:eastAsia="Times New Roman" w:hAnsi="Times New Roman"/>
          <w:sz w:val="20"/>
          <w:szCs w:val="20"/>
          <w:color w:val="auto"/>
        </w:rPr>
      </w:pPr>
    </w:p>
    <w:p>
      <w:pPr>
        <w:jc w:val="both"/>
        <w:ind w:left="4" w:firstLine="1292"/>
        <w:spacing w:after="0" w:line="261" w:lineRule="auto"/>
        <w:tabs>
          <w:tab w:leader="none" w:pos="1758" w:val="left"/>
        </w:tabs>
        <w:numPr>
          <w:ilvl w:val="1"/>
          <w:numId w:val="2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arising from the honoring by a bank or other financial institution of a check, draft or similar instrument drawn against insufficient funds in the ordinary course of business or other cash management services, in each case incurred in the ordinary course of business;</w:t>
      </w:r>
    </w:p>
    <w:p>
      <w:pPr>
        <w:spacing w:after="0" w:line="154" w:lineRule="exact"/>
        <w:rPr>
          <w:rFonts w:ascii="Times New Roman" w:cs="Times New Roman" w:eastAsia="Times New Roman" w:hAnsi="Times New Roman"/>
          <w:sz w:val="20"/>
          <w:szCs w:val="20"/>
          <w:color w:val="auto"/>
        </w:rPr>
      </w:pPr>
    </w:p>
    <w:p>
      <w:pPr>
        <w:jc w:val="both"/>
        <w:ind w:left="4" w:firstLine="1292"/>
        <w:spacing w:after="0" w:line="264" w:lineRule="auto"/>
        <w:tabs>
          <w:tab w:leader="none" w:pos="1871" w:val="left"/>
        </w:tabs>
        <w:numPr>
          <w:ilvl w:val="1"/>
          <w:numId w:val="2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 Indebtedness of a Subsidiary acquired after the Closing Date or a person merged or consolidated with the Borrower or any Subsidiary after the Closing Date and Indebtedness otherwise incurred or assumed by the Borrower or any Subsidiary in connection with the acquisition of assets or Equity Interests (including a Permitted Business Acquisition), where such acquisition, merger or consolidation is not prohibited by this Agreement;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that, (w) in the case of any such Indebtedness secured by Liens on Collateral that are Other First Liens, the Net First Lien Leverage Ratio on a Pro Forma Basis immediately after giving effect to such acquisition, merger or consolidation, the incurrence or assumption of such Indebtedness and the use of proceeds thereof and any related transactions is</w:t>
      </w:r>
    </w:p>
    <w:p>
      <w:pPr>
        <w:spacing w:after="0" w:line="4" w:lineRule="exact"/>
        <w:rPr>
          <w:rFonts w:ascii="Times New Roman" w:cs="Times New Roman" w:eastAsia="Times New Roman" w:hAnsi="Times New Roman"/>
          <w:sz w:val="19"/>
          <w:szCs w:val="19"/>
          <w:color w:val="auto"/>
        </w:rPr>
      </w:pPr>
    </w:p>
    <w:p>
      <w:pPr>
        <w:jc w:val="both"/>
        <w:ind w:left="4" w:hanging="4"/>
        <w:spacing w:after="0" w:line="248" w:lineRule="auto"/>
        <w:tabs>
          <w:tab w:leader="none" w:pos="258" w:val="left"/>
        </w:tabs>
        <w:numPr>
          <w:ilvl w:val="0"/>
          <w:numId w:val="2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 greater than 3.10 to 1.00 or (II) no greater than the Net First Lien Leverage Ratio in effect immediately prior thereto, (x) in the case of any such Indebtedness secured by Liens on Collateral that are Junior Liens, the Net Secured Leverage Ratio on a Pro Forma Basis immediately after giving effect to such acquisition, merger or consolidation, the incurrence or assumption of such Indebtedness and the use of proceeds thereof and any related transactions is (I) not greater than 3.60 to 1.00 or (II) no greater than the Net Secured Leverage Ratio in effect immediately prior thereto, (y) in the case of any other such Indebtedness, the Interest Coverage Ratio on a Pro Forma Basis immediately after giving effect to such acquisition, merger or consolidation, the incurrence or assumption of such Indebtedness and the use of proceeds thereof and any related transactions is (I) not less than 2.00 to 1.00 or (II) no less than the Interest Coverage Ratio in effect immediately prior thereto and (z) in the case of any such Indebtedness incurred under this clause (h) by a Subsidiary other than a Subsidiary Loan Party that is incurred in contemplation of such acquisition, merger or consolidation, the aggregate outstanding principal amount of such Indebtedness immediately after giving effect to such acquisition, merger or consolidation, the incurrence of such Indebtedness and the use of proceeds thereof and any related transactions shall not exceed the greater of $250,000,000 and 0.30 </w:t>
      </w:r>
      <w:r>
        <w:rPr>
          <w:rFonts w:ascii="Times New Roman" w:cs="Times New Roman" w:eastAsia="Times New Roman" w:hAnsi="Times New Roman"/>
          <w:sz w:val="20"/>
          <w:szCs w:val="20"/>
          <w:u w:val="single" w:color="auto"/>
          <w:color w:val="auto"/>
        </w:rPr>
        <w:t>times</w:t>
      </w:r>
      <w:r>
        <w:rPr>
          <w:rFonts w:ascii="Times New Roman" w:cs="Times New Roman" w:eastAsia="Times New Roman" w:hAnsi="Times New Roman"/>
          <w:sz w:val="20"/>
          <w:szCs w:val="20"/>
          <w:color w:val="auto"/>
        </w:rPr>
        <w:t xml:space="preserve"> the EBITDA calculated on a</w:t>
      </w:r>
    </w:p>
    <w:p>
      <w:pPr>
        <w:sectPr>
          <w:pgSz w:w="11900" w:h="16838" w:orient="portrait"/>
          <w:cols w:equalWidth="0" w:num="1">
            <w:col w:w="11124"/>
          </w:cols>
          <w:pgMar w:left="436" w:top="108" w:right="339" w:bottom="1440" w:gutter="0" w:footer="0" w:header="0"/>
        </w:sectPr>
      </w:pPr>
    </w:p>
    <w:bookmarkStart w:id="315" w:name="page316"/>
    <w:bookmarkEnd w:id="315"/>
    <w:p>
      <w:pPr>
        <w:ind w:left="9240"/>
        <w:spacing w:after="0"/>
        <w:rPr>
          <w:sz w:val="20"/>
          <w:szCs w:val="20"/>
          <w:color w:val="auto"/>
        </w:rPr>
      </w:pPr>
      <w:r>
        <w:rPr>
          <w:rFonts w:ascii="Times New Roman" w:cs="Times New Roman" w:eastAsia="Times New Roman" w:hAnsi="Times New Roman"/>
          <w:sz w:val="21"/>
          <w:szCs w:val="21"/>
          <w:color w:val="FF0000"/>
          <w:strike w:val="1"/>
        </w:rPr>
        <w:t>ANNEX</w:t>
      </w:r>
      <w:r>
        <w:rPr>
          <w:rFonts w:ascii="Times New Roman" w:cs="Times New Roman" w:eastAsia="Times New Roman" w:hAnsi="Times New Roman"/>
          <w:sz w:val="21"/>
          <w:szCs w:val="21"/>
          <w:b w:val="1"/>
          <w:bCs w:val="1"/>
          <w:u w:val="single" w:color="auto"/>
          <w:color w:val="0000FF"/>
        </w:rPr>
        <w:t>EXHIBIT</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000000"/>
        </w:rPr>
        <w: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Pro Forma Basis for the then most recently ended Test Period;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the incurrence of any Indebtedness for borrowed money pursuant to this clause (h)(i) incurred in contemplation of such acquisition, merger or consolidation shall be subject to the last paragraph of this Section 6.01 and the incurrence (but not assumption) of any such term loan Indebtedness that is secured by Other First Liens shall be subject to the last paragraph of Section 6.02; and (ii) any Permitted Refinancing Indebtedness incurred to Refinance any such Indebtedness;</w:t>
      </w:r>
    </w:p>
    <w:p>
      <w:pPr>
        <w:spacing w:after="0" w:line="178" w:lineRule="exact"/>
        <w:rPr>
          <w:sz w:val="20"/>
          <w:szCs w:val="20"/>
          <w:color w:val="auto"/>
        </w:rPr>
      </w:pPr>
    </w:p>
    <w:p>
      <w:pPr>
        <w:jc w:val="both"/>
        <w:ind w:firstLine="1292"/>
        <w:spacing w:after="0" w:line="249" w:lineRule="auto"/>
        <w:tabs>
          <w:tab w:leader="none" w:pos="1819" w:val="left"/>
        </w:tabs>
        <w:numPr>
          <w:ilvl w:val="0"/>
          <w:numId w:val="2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 Capitalized Lease Obligations, mortgage financings and other Indebtedness incurred by the Borrower or any Subsidiary prior to or within 270 days after the acquisition, lease, construction, installation, maintenance, service, repair, replacement or improvement of the respective property (real or personal, and whether through the direct purchase of property or the Equity Interest of any person owning such property) permitted under this Agreement in order to finance such acquisition, lease, construction, installation, maintenance, service, repair, replacement or improvement, in an aggregate principal amount that immediately after giving effect to the incurrence of such Indebtedness and the use of proceeds thereof, together with the aggregate principal amount of any other Indebtedness outstanding pursuant to this Section 6.01(i)(i), would not exceed the greater of $300,000,000 and 0.35 </w:t>
      </w:r>
      <w:r>
        <w:rPr>
          <w:rFonts w:ascii="Times New Roman" w:cs="Times New Roman" w:eastAsia="Times New Roman" w:hAnsi="Times New Roman"/>
          <w:sz w:val="20"/>
          <w:szCs w:val="20"/>
          <w:u w:val="single" w:color="auto"/>
          <w:color w:val="auto"/>
        </w:rPr>
        <w:t>times</w:t>
      </w:r>
      <w:r>
        <w:rPr>
          <w:rFonts w:ascii="Times New Roman" w:cs="Times New Roman" w:eastAsia="Times New Roman" w:hAnsi="Times New Roman"/>
          <w:sz w:val="20"/>
          <w:szCs w:val="20"/>
          <w:color w:val="auto"/>
        </w:rPr>
        <w:t xml:space="preserve"> the EBITDA calculated on a Pro Forma Basis for the then most recently ended Test Period, (ii) Indebtedness (including Capitalized Lease Obligations) incurred by the Borrower or any Subsidiary to finance (whether prior to or within 270 days after) the acquisition, lease, construction, installation, maintenance, service, repair, replacement or improvement of property (real or personal), computer equipment (including servers), storage equipment, networking equipment or other equipment or assets used or useful in the business of the Borrower and its Subsidiaries and any finance lease obligations not prohibited hereunder and (iii) any Permitted Refinancing Indebtedness in respect of the foregoing;</w:t>
      </w:r>
    </w:p>
    <w:p>
      <w:pPr>
        <w:spacing w:after="0" w:line="201" w:lineRule="exact"/>
        <w:rPr>
          <w:rFonts w:ascii="Times New Roman" w:cs="Times New Roman" w:eastAsia="Times New Roman" w:hAnsi="Times New Roman"/>
          <w:sz w:val="20"/>
          <w:szCs w:val="20"/>
          <w:color w:val="auto"/>
        </w:rPr>
      </w:pPr>
    </w:p>
    <w:p>
      <w:pPr>
        <w:jc w:val="both"/>
        <w:ind w:firstLine="1292"/>
        <w:spacing w:after="0" w:line="261" w:lineRule="auto"/>
        <w:tabs>
          <w:tab w:leader="none" w:pos="1697" w:val="left"/>
        </w:tabs>
        <w:numPr>
          <w:ilvl w:val="0"/>
          <w:numId w:val="2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Capitalized Lease Obligations and any other Indebtedness incurred by the Borrower or any Subsidiary arising from any Sale and Lease-Back Transaction that is permitted under Section 6.03, (ii) Capitalized Lease Obligations or other obligations or deferrals attributable to capital spending and (iii) any Permitted Refinancing Indebtedness in respect of the foregoing;</w:t>
      </w:r>
    </w:p>
    <w:p>
      <w:pPr>
        <w:spacing w:after="0" w:line="154" w:lineRule="exact"/>
        <w:rPr>
          <w:rFonts w:ascii="Times New Roman" w:cs="Times New Roman" w:eastAsia="Times New Roman" w:hAnsi="Times New Roman"/>
          <w:sz w:val="20"/>
          <w:szCs w:val="20"/>
          <w:color w:val="auto"/>
        </w:rPr>
      </w:pPr>
    </w:p>
    <w:p>
      <w:pPr>
        <w:jc w:val="both"/>
        <w:ind w:firstLine="1292"/>
        <w:spacing w:after="0" w:line="257" w:lineRule="auto"/>
        <w:tabs>
          <w:tab w:leader="none" w:pos="1800" w:val="left"/>
        </w:tabs>
        <w:numPr>
          <w:ilvl w:val="0"/>
          <w:numId w:val="2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 other Indebtedness of the Borrower or any Subsidiary, in an aggregate principal amount that, immediately after giving effect to the incurrence of such Indebtedness and the use of proceeds thereof, together with the aggregate principal amount of any other Indebtedness outstanding pursuant to this Section 6.01(k), would not exceed the greater of $425,000,000 and 0.50 </w:t>
      </w:r>
      <w:r>
        <w:rPr>
          <w:rFonts w:ascii="Times New Roman" w:cs="Times New Roman" w:eastAsia="Times New Roman" w:hAnsi="Times New Roman"/>
          <w:sz w:val="20"/>
          <w:szCs w:val="20"/>
          <w:u w:val="single" w:color="auto"/>
          <w:color w:val="auto"/>
        </w:rPr>
        <w:t>times</w:t>
      </w:r>
      <w:r>
        <w:rPr>
          <w:rFonts w:ascii="Times New Roman" w:cs="Times New Roman" w:eastAsia="Times New Roman" w:hAnsi="Times New Roman"/>
          <w:sz w:val="20"/>
          <w:szCs w:val="20"/>
          <w:color w:val="auto"/>
        </w:rPr>
        <w:t xml:space="preserve"> the EBITDA calculated on a Pro Forma Basis for the then most recently ended Test Period, and (ii) any Permitted Refinancing Indebtedness in respect thereof;</w:t>
      </w:r>
    </w:p>
    <w:p>
      <w:pPr>
        <w:spacing w:after="0" w:line="159" w:lineRule="exact"/>
        <w:rPr>
          <w:rFonts w:ascii="Times New Roman" w:cs="Times New Roman" w:eastAsia="Times New Roman" w:hAnsi="Times New Roman"/>
          <w:sz w:val="20"/>
          <w:szCs w:val="20"/>
          <w:color w:val="auto"/>
        </w:rPr>
      </w:pPr>
    </w:p>
    <w:p>
      <w:pPr>
        <w:jc w:val="both"/>
        <w:ind w:firstLine="1292"/>
        <w:spacing w:after="0" w:line="253" w:lineRule="auto"/>
        <w:tabs>
          <w:tab w:leader="none" w:pos="1681" w:val="left"/>
        </w:tabs>
        <w:numPr>
          <w:ilvl w:val="0"/>
          <w:numId w:val="2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of the Borrower or any Subsidiary in an aggregate outstanding principal amount not greater than 100% of the amount of net cash proceeds received by the Borrower from (x) the issuance or sale of its Qualified Equity Interests or (y) a contribution to its common equity with the net cash proceeds from the issuance and sale by Holdings or a Parent Entity of its Qualified Equity Interests or a contribution to its common equity (in each case of (x) and (y), other than proceeds from the sale of Equity Interests to, or contributions from, the Borrower or any of its Subsidiaries), to the extent such net cash proceeds do not constitute Excluded Contributions or Permitted Cure Securities;</w:t>
      </w:r>
    </w:p>
    <w:p>
      <w:pPr>
        <w:spacing w:after="0" w:line="165" w:lineRule="exact"/>
        <w:rPr>
          <w:rFonts w:ascii="Times New Roman" w:cs="Times New Roman" w:eastAsia="Times New Roman" w:hAnsi="Times New Roman"/>
          <w:sz w:val="20"/>
          <w:szCs w:val="20"/>
          <w:color w:val="auto"/>
        </w:rPr>
      </w:pPr>
    </w:p>
    <w:p>
      <w:pPr>
        <w:jc w:val="both"/>
        <w:ind w:firstLine="1292"/>
        <w:spacing w:after="0" w:line="258" w:lineRule="auto"/>
        <w:tabs>
          <w:tab w:leader="none" w:pos="1782" w:val="left"/>
        </w:tabs>
        <w:numPr>
          <w:ilvl w:val="0"/>
          <w:numId w:val="2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Guarantees by the Borrower or any Subsidiary of any Indebtedness of the Borrower or any Subsidiary permitted to be incurred under this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Guarantees by the Borrower or any Subsidiary Loan Party under this Section 6.01(m) of any other Indebtedness of a person that is subordinated to other Indebtedness of such person shall be expressly subordinated to the Loan Obligations to at least the same extent as such underlying Indebtedness is subordinated;</w:t>
      </w:r>
    </w:p>
    <w:p>
      <w:pPr>
        <w:sectPr>
          <w:pgSz w:w="11900" w:h="16838" w:orient="portrait"/>
          <w:cols w:equalWidth="0" w:num="1">
            <w:col w:w="11120"/>
          </w:cols>
          <w:pgMar w:left="440" w:top="108" w:right="339" w:bottom="1440" w:gutter="0" w:footer="0" w:header="0"/>
        </w:sectPr>
      </w:pPr>
    </w:p>
    <w:bookmarkStart w:id="316" w:name="page317"/>
    <w:bookmarkEnd w:id="316"/>
    <w:p>
      <w:pPr>
        <w:jc w:val="right"/>
        <w:spacing w:after="0"/>
        <w:rPr>
          <w:sz w:val="20"/>
          <w:szCs w:val="20"/>
          <w:color w:val="auto"/>
        </w:rPr>
      </w:pPr>
      <w:r>
        <w:rPr>
          <w:rFonts w:ascii="Times New Roman" w:cs="Times New Roman" w:eastAsia="Times New Roman" w:hAnsi="Times New Roman"/>
          <w:sz w:val="22"/>
          <w:szCs w:val="22"/>
          <w:color w:val="FF0000"/>
          <w:strike w:val="1"/>
        </w:rPr>
        <w:t>ANNEX</w:t>
      </w:r>
      <w:r>
        <w:rPr>
          <w:rFonts w:ascii="Times New Roman" w:cs="Times New Roman" w:eastAsia="Times New Roman" w:hAnsi="Times New Roman"/>
          <w:sz w:val="22"/>
          <w:szCs w:val="22"/>
          <w:b w:val="1"/>
          <w:bCs w:val="1"/>
          <w:u w:val="single" w:color="auto"/>
          <w:color w:val="0000FF"/>
        </w:rPr>
        <w:t>EXHIBIT</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ind w:firstLine="1292"/>
        <w:spacing w:after="0" w:line="258" w:lineRule="auto"/>
        <w:tabs>
          <w:tab w:leader="none" w:pos="1734" w:val="left"/>
        </w:tabs>
        <w:numPr>
          <w:ilvl w:val="0"/>
          <w:numId w:val="2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arising from agreements of the Borrower or any Subsidiary providing for indemnification, adjustment of purchase or acquisition price or similar obligations (including earn-outs), in each case, incurred or assumed in connection with the Transactions, any Permitted Business Acquisition, other Investments or the disposition of any business, assets or a Subsidiary not prohibited by this Agreement;</w:t>
      </w:r>
    </w:p>
    <w:p>
      <w:pPr>
        <w:spacing w:after="0" w:line="158" w:lineRule="exact"/>
        <w:rPr>
          <w:rFonts w:ascii="Times New Roman" w:cs="Times New Roman" w:eastAsia="Times New Roman" w:hAnsi="Times New Roman"/>
          <w:sz w:val="20"/>
          <w:szCs w:val="20"/>
          <w:color w:val="auto"/>
        </w:rPr>
      </w:pPr>
    </w:p>
    <w:p>
      <w:pPr>
        <w:jc w:val="both"/>
        <w:ind w:firstLine="1292"/>
        <w:spacing w:after="0" w:line="261" w:lineRule="auto"/>
        <w:tabs>
          <w:tab w:leader="none" w:pos="1844" w:val="left"/>
        </w:tabs>
        <w:numPr>
          <w:ilvl w:val="0"/>
          <w:numId w:val="2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in respect of letters of credit, bank guarantees, warehouse receipts or similar instruments issued to support performance obligations and trade letters of credit (other than obligations in respect of other Indebtedness) in the ordinary course of business or consistent with past practice or industry practices;</w:t>
      </w:r>
    </w:p>
    <w:p>
      <w:pPr>
        <w:spacing w:after="0" w:line="154" w:lineRule="exact"/>
        <w:rPr>
          <w:rFonts w:ascii="Times New Roman" w:cs="Times New Roman" w:eastAsia="Times New Roman" w:hAnsi="Times New Roman"/>
          <w:sz w:val="20"/>
          <w:szCs w:val="20"/>
          <w:color w:val="auto"/>
        </w:rPr>
      </w:pPr>
    </w:p>
    <w:p>
      <w:pPr>
        <w:ind w:left="1720" w:hanging="428"/>
        <w:spacing w:after="0"/>
        <w:tabs>
          <w:tab w:leader="none" w:pos="1720" w:val="left"/>
        </w:tabs>
        <w:numPr>
          <w:ilvl w:val="0"/>
          <w:numId w:val="2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15" w:lineRule="exact"/>
        <w:rPr>
          <w:rFonts w:ascii="Times New Roman" w:cs="Times New Roman" w:eastAsia="Times New Roman" w:hAnsi="Times New Roman"/>
          <w:sz w:val="20"/>
          <w:szCs w:val="20"/>
          <w:color w:val="auto"/>
        </w:rPr>
      </w:pPr>
    </w:p>
    <w:p>
      <w:pPr>
        <w:jc w:val="both"/>
        <w:ind w:firstLine="1292"/>
        <w:spacing w:after="0" w:line="250" w:lineRule="auto"/>
        <w:tabs>
          <w:tab w:leader="none" w:pos="1736" w:val="left"/>
        </w:tabs>
        <w:numPr>
          <w:ilvl w:val="0"/>
          <w:numId w:val="2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 Indebtedness secured by Liens on Collateral that are Other First Liens so long as immediately after giving effect to the incurrence of such Indebtedness and the use of proceeds thereof, the Net First Lien Leverage Ratio on a Pro Forma Basis is not greater than 3.10 to 1.00;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(x) the aggregate principal amount of Indebtedness outstanding under this clause (q)(i) at such time that is incurred by a Subsidiary other than a Subsidiary Loan Party shall not exceed, when taken together with the aggregate principal amount of any other Indebtedness outstanding pursuant to this Section 6.01(q)(i), Section 6.01(r)(i) and Section 6.01(s)(i) that are incurred by Subsidiaries other than the Subsidiary Loan Parties, the greater of $250,000,000 and 0.30 </w:t>
      </w:r>
      <w:r>
        <w:rPr>
          <w:rFonts w:ascii="Times New Roman" w:cs="Times New Roman" w:eastAsia="Times New Roman" w:hAnsi="Times New Roman"/>
          <w:sz w:val="20"/>
          <w:szCs w:val="20"/>
          <w:u w:val="single" w:color="auto"/>
          <w:color w:val="auto"/>
        </w:rPr>
        <w:t>times</w:t>
      </w:r>
      <w:r>
        <w:rPr>
          <w:rFonts w:ascii="Times New Roman" w:cs="Times New Roman" w:eastAsia="Times New Roman" w:hAnsi="Times New Roman"/>
          <w:sz w:val="20"/>
          <w:szCs w:val="20"/>
          <w:color w:val="auto"/>
        </w:rPr>
        <w:t xml:space="preserve"> the EBITDA calculated on a Pro Forma Basis for the then most recently ended Test Period and (y) the incurrence of any Indebtedness for borrowed money pursuant to this clause (q)(i) shall be subject to the last paragraph of this Section 6.01 and the incurrence of any Indebtedness for borrowed money pursuant to this clause (q)(i) in the form of term loans shall be subject to the last paragraph of Section 6.02, and (ii) any Permitted Refinancing Indebtedness in respect thereof;</w:t>
      </w:r>
    </w:p>
    <w:p>
      <w:pPr>
        <w:spacing w:after="0" w:line="169" w:lineRule="exact"/>
        <w:rPr>
          <w:rFonts w:ascii="Times New Roman" w:cs="Times New Roman" w:eastAsia="Times New Roman" w:hAnsi="Times New Roman"/>
          <w:sz w:val="20"/>
          <w:szCs w:val="20"/>
          <w:color w:val="auto"/>
        </w:rPr>
      </w:pPr>
    </w:p>
    <w:p>
      <w:pPr>
        <w:jc w:val="both"/>
        <w:ind w:firstLine="1292"/>
        <w:spacing w:after="0" w:line="251" w:lineRule="auto"/>
        <w:tabs>
          <w:tab w:leader="none" w:pos="1724" w:val="left"/>
        </w:tabs>
        <w:numPr>
          <w:ilvl w:val="0"/>
          <w:numId w:val="2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 Indebtedness secured by Liens on Collateral that are Junior Liens so long as immediately after giving effect to the incurrence of such Indebtedness and the use of proceeds thereof, the Net Secured Leverage Ratio on a Pro Forma Basis is not greater than 3.60 to 1.00;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(x) the aggregate principal amount of Indebtedness outstanding under this clause (r)(i) at such time that is incurred by a Subsidiary other than a Subsidiary Loan Party shall not exceed, when taken together with the aggregate principal amount of any other Indebtedness outstanding pursuant to Section 6.01(q)(i), this Section 6.01(r)(i) and Section 6.01(s)(i) that are incurred by Subsidiaries other than the Subsidiary Loan Parties, the greater of $250,000,000 and 0.30 </w:t>
      </w:r>
      <w:r>
        <w:rPr>
          <w:rFonts w:ascii="Times New Roman" w:cs="Times New Roman" w:eastAsia="Times New Roman" w:hAnsi="Times New Roman"/>
          <w:sz w:val="20"/>
          <w:szCs w:val="20"/>
          <w:u w:val="single" w:color="auto"/>
          <w:color w:val="auto"/>
        </w:rPr>
        <w:t>times</w:t>
      </w:r>
      <w:r>
        <w:rPr>
          <w:rFonts w:ascii="Times New Roman" w:cs="Times New Roman" w:eastAsia="Times New Roman" w:hAnsi="Times New Roman"/>
          <w:sz w:val="20"/>
          <w:szCs w:val="20"/>
          <w:color w:val="auto"/>
        </w:rPr>
        <w:t xml:space="preserve"> the EBITDA calculated on a Pro Forma Basis for the then most recently ended Test Period and (y) the incurrence of any Indebtedness for borrowed money pursuant to this clause (r)(i) shall be subject to the last paragraph of this Section 6.01, and (ii) any Permitted Refinancing Indebtedness in respect thereof;</w:t>
      </w:r>
    </w:p>
    <w:p>
      <w:pPr>
        <w:spacing w:after="0" w:line="181" w:lineRule="exact"/>
        <w:rPr>
          <w:rFonts w:ascii="Times New Roman" w:cs="Times New Roman" w:eastAsia="Times New Roman" w:hAnsi="Times New Roman"/>
          <w:sz w:val="20"/>
          <w:szCs w:val="20"/>
          <w:color w:val="auto"/>
        </w:rPr>
      </w:pPr>
    </w:p>
    <w:p>
      <w:pPr>
        <w:jc w:val="both"/>
        <w:ind w:firstLine="1292"/>
        <w:spacing w:after="0" w:line="251" w:lineRule="auto"/>
        <w:tabs>
          <w:tab w:leader="none" w:pos="1721" w:val="left"/>
        </w:tabs>
        <w:numPr>
          <w:ilvl w:val="0"/>
          <w:numId w:val="2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 other Indebtedness so long as immediately after giving effect to the incurrence of such Indebtedness and the use of proceeds thereof, the Interest Coverage Ratio on a Pro Forma Basis is not less than 2.00 to 1.00;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(x) the aggregate principal amount of Indebtedness outstanding under this clause (s)(i) at such time that is incurred by a Subsidiary other than a Subsidiary Loan Party shall not exceed, when taken together with the aggregate principal amount of any other Indebtedness outstanding pursuant to Section 6.01(q)(i), Section 6.01(r)(i) and this Section 6.01(s)(i) that are incurred by Subsidiaries other than the Subsidiary Loan Parties, the greater of $250,000,000 and 0.30 </w:t>
      </w:r>
      <w:r>
        <w:rPr>
          <w:rFonts w:ascii="Times New Roman" w:cs="Times New Roman" w:eastAsia="Times New Roman" w:hAnsi="Times New Roman"/>
          <w:sz w:val="20"/>
          <w:szCs w:val="20"/>
          <w:u w:val="single" w:color="auto"/>
          <w:color w:val="auto"/>
        </w:rPr>
        <w:t>times</w:t>
      </w:r>
      <w:r>
        <w:rPr>
          <w:rFonts w:ascii="Times New Roman" w:cs="Times New Roman" w:eastAsia="Times New Roman" w:hAnsi="Times New Roman"/>
          <w:sz w:val="20"/>
          <w:szCs w:val="20"/>
          <w:color w:val="auto"/>
        </w:rPr>
        <w:t xml:space="preserve"> the EBITDA calculated on a Pro Forma Basis for the then most recently ended Test Period and (y) the incurrence of any Indebtedness for borrowed money pursuant to this clause (s)(i) shall be subject to the last paragraph of this Section 6.01, and (ii) any Permitted Refinancing Indebtedness in respect thereof;</w:t>
      </w:r>
    </w:p>
    <w:p>
      <w:pPr>
        <w:sectPr>
          <w:pgSz w:w="11900" w:h="16838" w:orient="portrait"/>
          <w:cols w:equalWidth="0" w:num="1">
            <w:col w:w="11120"/>
          </w:cols>
          <w:pgMar w:left="440" w:top="108" w:right="339" w:bottom="1440" w:gutter="0" w:footer="0" w:header="0"/>
        </w:sectPr>
      </w:pPr>
    </w:p>
    <w:bookmarkStart w:id="317" w:name="page318"/>
    <w:bookmarkEnd w:id="317"/>
    <w:p>
      <w:pPr>
        <w:jc w:val="right"/>
        <w:spacing w:after="0"/>
        <w:rPr>
          <w:sz w:val="20"/>
          <w:szCs w:val="20"/>
          <w:color w:val="auto"/>
        </w:rPr>
      </w:pPr>
      <w:r>
        <w:rPr>
          <w:rFonts w:ascii="Times New Roman" w:cs="Times New Roman" w:eastAsia="Times New Roman" w:hAnsi="Times New Roman"/>
          <w:sz w:val="22"/>
          <w:szCs w:val="22"/>
          <w:color w:val="FF0000"/>
          <w:strike w:val="1"/>
        </w:rPr>
        <w:t>ANNEX</w:t>
      </w:r>
      <w:r>
        <w:rPr>
          <w:rFonts w:ascii="Times New Roman" w:cs="Times New Roman" w:eastAsia="Times New Roman" w:hAnsi="Times New Roman"/>
          <w:sz w:val="22"/>
          <w:szCs w:val="22"/>
          <w:b w:val="1"/>
          <w:bCs w:val="1"/>
          <w:u w:val="single" w:color="auto"/>
          <w:color w:val="0000FF"/>
        </w:rPr>
        <w:t>EXHIBIT</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ind w:firstLine="1292"/>
        <w:spacing w:after="0" w:line="253" w:lineRule="auto"/>
        <w:tabs>
          <w:tab w:leader="none" w:pos="1689" w:val="left"/>
        </w:tabs>
        <w:numPr>
          <w:ilvl w:val="0"/>
          <w:numId w:val="2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 Indebtedness of Subsidiaries that are not Subsidiary Loan Parties in an aggregate principal amount outstanding that, immediately after giving effect to the incurrence of such Indebtedness and the use of proceeds thereof, together with the aggregate principal amount of any other Indebtedness outstanding pursuant to this Section 6.01(t), would not exceed the greater of $250,000,000 and 0.30 </w:t>
      </w:r>
      <w:r>
        <w:rPr>
          <w:rFonts w:ascii="Times New Roman" w:cs="Times New Roman" w:eastAsia="Times New Roman" w:hAnsi="Times New Roman"/>
          <w:sz w:val="20"/>
          <w:szCs w:val="20"/>
          <w:u w:val="single" w:color="auto"/>
          <w:color w:val="auto"/>
        </w:rPr>
        <w:t>times</w:t>
      </w:r>
      <w:r>
        <w:rPr>
          <w:rFonts w:ascii="Times New Roman" w:cs="Times New Roman" w:eastAsia="Times New Roman" w:hAnsi="Times New Roman"/>
          <w:sz w:val="20"/>
          <w:szCs w:val="20"/>
          <w:color w:val="auto"/>
        </w:rPr>
        <w:t xml:space="preserve"> the EBITDA calculated on a Pro Forma Basis for the then most recently ended Test Period, and (ii) any Permitted Refinancing Indebtedness in respect thereof;</w:t>
      </w:r>
    </w:p>
    <w:p>
      <w:pPr>
        <w:spacing w:after="0" w:line="178" w:lineRule="exact"/>
        <w:rPr>
          <w:rFonts w:ascii="Times New Roman" w:cs="Times New Roman" w:eastAsia="Times New Roman" w:hAnsi="Times New Roman"/>
          <w:sz w:val="20"/>
          <w:szCs w:val="20"/>
          <w:color w:val="auto"/>
        </w:rPr>
      </w:pPr>
    </w:p>
    <w:p>
      <w:pPr>
        <w:jc w:val="both"/>
        <w:ind w:firstLine="1292"/>
        <w:spacing w:after="0" w:line="254" w:lineRule="auto"/>
        <w:tabs>
          <w:tab w:leader="none" w:pos="1727" w:val="left"/>
        </w:tabs>
        <w:numPr>
          <w:ilvl w:val="0"/>
          <w:numId w:val="2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Indebtedness incurred in the ordinary course of business in respect of obligations of the Borrower or any Subsidiary to pay the deferred purchase price of goods or services or progress payments in connection with such goods and services;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such obligations are incurred in connection with open accounts extended by suppliers on customary trade terms in the ordinary course of business and not in connection with the borrowing of money or any Hedging Agreements;</w:t>
      </w:r>
    </w:p>
    <w:p>
      <w:pPr>
        <w:spacing w:after="0" w:line="173" w:lineRule="exact"/>
        <w:rPr>
          <w:rFonts w:ascii="Times New Roman" w:cs="Times New Roman" w:eastAsia="Times New Roman" w:hAnsi="Times New Roman"/>
          <w:sz w:val="20"/>
          <w:szCs w:val="20"/>
          <w:color w:val="auto"/>
        </w:rPr>
      </w:pPr>
    </w:p>
    <w:p>
      <w:pPr>
        <w:jc w:val="both"/>
        <w:ind w:firstLine="1292"/>
        <w:spacing w:after="0" w:line="261" w:lineRule="auto"/>
        <w:tabs>
          <w:tab w:leader="none" w:pos="1919" w:val="left"/>
        </w:tabs>
        <w:numPr>
          <w:ilvl w:val="0"/>
          <w:numId w:val="2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representing deferred compensation to employees, consultants or independent contractors of the Borrower (or, to the extent such work is done for the Borrower or its Subsidiaries, any direct or indirect parent thereof) or any Subsidiary incurred in the ordinary course of business;</w:t>
      </w:r>
    </w:p>
    <w:p>
      <w:pPr>
        <w:spacing w:after="0" w:line="154" w:lineRule="exact"/>
        <w:rPr>
          <w:rFonts w:ascii="Times New Roman" w:cs="Times New Roman" w:eastAsia="Times New Roman" w:hAnsi="Times New Roman"/>
          <w:sz w:val="20"/>
          <w:szCs w:val="20"/>
          <w:color w:val="auto"/>
        </w:rPr>
      </w:pPr>
    </w:p>
    <w:p>
      <w:pPr>
        <w:ind w:left="1760" w:hanging="468"/>
        <w:spacing w:after="0"/>
        <w:tabs>
          <w:tab w:leader="none" w:pos="1760" w:val="left"/>
        </w:tabs>
        <w:numPr>
          <w:ilvl w:val="0"/>
          <w:numId w:val="2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in connection with Permitted Securitization Financings;</w:t>
      </w:r>
    </w:p>
    <w:p>
      <w:pPr>
        <w:spacing w:after="0" w:line="202" w:lineRule="exact"/>
        <w:rPr>
          <w:rFonts w:ascii="Times New Roman" w:cs="Times New Roman" w:eastAsia="Times New Roman" w:hAnsi="Times New Roman"/>
          <w:sz w:val="20"/>
          <w:szCs w:val="20"/>
          <w:color w:val="auto"/>
        </w:rPr>
      </w:pPr>
    </w:p>
    <w:p>
      <w:pPr>
        <w:ind w:left="1720" w:hanging="428"/>
        <w:spacing w:after="0"/>
        <w:tabs>
          <w:tab w:leader="none" w:pos="1720" w:val="left"/>
        </w:tabs>
        <w:numPr>
          <w:ilvl w:val="0"/>
          <w:numId w:val="2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obligations in respect of Cash Management Agreements;</w:t>
      </w:r>
    </w:p>
    <w:p>
      <w:pPr>
        <w:spacing w:after="0" w:line="215" w:lineRule="exact"/>
        <w:rPr>
          <w:rFonts w:ascii="Times New Roman" w:cs="Times New Roman" w:eastAsia="Times New Roman" w:hAnsi="Times New Roman"/>
          <w:sz w:val="20"/>
          <w:szCs w:val="20"/>
          <w:color w:val="auto"/>
        </w:rPr>
      </w:pPr>
    </w:p>
    <w:p>
      <w:pPr>
        <w:ind w:left="1720" w:hanging="428"/>
        <w:spacing w:after="0"/>
        <w:tabs>
          <w:tab w:leader="none" w:pos="1720" w:val="left"/>
        </w:tabs>
        <w:numPr>
          <w:ilvl w:val="0"/>
          <w:numId w:val="2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Refinancing Notes and (ii) any Permitted Refinancing Indebtedness incurred in respect thereof;</w:t>
      </w:r>
    </w:p>
    <w:p>
      <w:pPr>
        <w:spacing w:after="0" w:line="202" w:lineRule="exact"/>
        <w:rPr>
          <w:rFonts w:ascii="Times New Roman" w:cs="Times New Roman" w:eastAsia="Times New Roman" w:hAnsi="Times New Roman"/>
          <w:sz w:val="20"/>
          <w:szCs w:val="20"/>
          <w:color w:val="auto"/>
        </w:rPr>
      </w:pPr>
    </w:p>
    <w:p>
      <w:pPr>
        <w:jc w:val="both"/>
        <w:ind w:firstLine="1292"/>
        <w:spacing w:after="0" w:line="253" w:lineRule="auto"/>
        <w:tabs>
          <w:tab w:leader="none" w:pos="1739" w:val="left"/>
        </w:tabs>
        <w:numPr>
          <w:ilvl w:val="0"/>
          <w:numId w:val="2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 Indebtedness in an aggregate principal amount outstanding not to exceed at the time of incurrence the Incremental Amount available at such time;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incurrence of any Indebtedness for borrowed money pursuant to this clause (z)(i) shall be subject to the last paragraph of Section 6.01 and the incurrence of any Indebtedness for borrowed money secured by Liens on Collateral that are Other First Liens pursuant to this clause (z)(i) in the form of term loans shall be subject to the last paragraph of Section 6.02 and (ii) any Permitted Refinancing Indebtedness in respect thereof;</w:t>
      </w:r>
    </w:p>
    <w:p>
      <w:pPr>
        <w:spacing w:after="0" w:line="165" w:lineRule="exact"/>
        <w:rPr>
          <w:sz w:val="20"/>
          <w:szCs w:val="20"/>
          <w:color w:val="auto"/>
        </w:rPr>
      </w:pPr>
    </w:p>
    <w:p>
      <w:pPr>
        <w:ind w:left="1800" w:hanging="508"/>
        <w:spacing w:after="0"/>
        <w:tabs>
          <w:tab w:leader="none" w:pos="1800" w:val="left"/>
        </w:tabs>
        <w:numPr>
          <w:ilvl w:val="0"/>
          <w:numId w:val="2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15" w:lineRule="exact"/>
        <w:rPr>
          <w:rFonts w:ascii="Times New Roman" w:cs="Times New Roman" w:eastAsia="Times New Roman" w:hAnsi="Times New Roman"/>
          <w:sz w:val="20"/>
          <w:szCs w:val="20"/>
          <w:color w:val="auto"/>
        </w:rPr>
      </w:pPr>
    </w:p>
    <w:p>
      <w:pPr>
        <w:jc w:val="both"/>
        <w:ind w:firstLine="1292"/>
        <w:spacing w:after="0" w:line="253" w:lineRule="auto"/>
        <w:tabs>
          <w:tab w:leader="none" w:pos="1961" w:val="left"/>
        </w:tabs>
        <w:numPr>
          <w:ilvl w:val="0"/>
          <w:numId w:val="2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 Indebtedness of, incurred on behalf of, or representing Guarantees of Indebtedness of, joint ventures in an aggregate principal amount that, immediately after giving effect to the incurrence of such Indebtedness and the use of proceeds thereof, together with the aggregate principal amount of any other Indebtedness outstanding pursuant to this Section 6.01(bb), would not exceed the greater of $425,000,000 and 0.50 </w:t>
      </w:r>
      <w:r>
        <w:rPr>
          <w:rFonts w:ascii="Times New Roman" w:cs="Times New Roman" w:eastAsia="Times New Roman" w:hAnsi="Times New Roman"/>
          <w:sz w:val="20"/>
          <w:szCs w:val="20"/>
          <w:u w:val="single" w:color="auto"/>
          <w:color w:val="auto"/>
        </w:rPr>
        <w:t>times</w:t>
      </w:r>
      <w:r>
        <w:rPr>
          <w:rFonts w:ascii="Times New Roman" w:cs="Times New Roman" w:eastAsia="Times New Roman" w:hAnsi="Times New Roman"/>
          <w:sz w:val="20"/>
          <w:szCs w:val="20"/>
          <w:color w:val="auto"/>
        </w:rPr>
        <w:t xml:space="preserve"> the EBITDA calculated on a Pro Forma Basis for the then most recently ended Test Period, and (ii) any Permitted Refinancing Indebtedness in respect thereof;</w:t>
      </w:r>
    </w:p>
    <w:p>
      <w:pPr>
        <w:spacing w:after="0" w:line="164" w:lineRule="exact"/>
        <w:rPr>
          <w:rFonts w:ascii="Times New Roman" w:cs="Times New Roman" w:eastAsia="Times New Roman" w:hAnsi="Times New Roman"/>
          <w:sz w:val="20"/>
          <w:szCs w:val="20"/>
          <w:color w:val="auto"/>
        </w:rPr>
      </w:pPr>
    </w:p>
    <w:p>
      <w:pPr>
        <w:jc w:val="both"/>
        <w:ind w:firstLine="1292"/>
        <w:spacing w:after="0" w:line="268" w:lineRule="auto"/>
        <w:tabs>
          <w:tab w:leader="none" w:pos="1812" w:val="left"/>
        </w:tabs>
        <w:numPr>
          <w:ilvl w:val="0"/>
          <w:numId w:val="2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issued by the Borrower or any Subsidiary to current or former officers, directors and employees thereof or of Holdings or any Parent Entity, their respective estates, spouses or former spouses to finance the purchase or redemption of Equity Interests of the Borrower, Holdings or any Parent Entity permitted by Section 6.06;</w:t>
      </w:r>
    </w:p>
    <w:p>
      <w:pPr>
        <w:sectPr>
          <w:pgSz w:w="11900" w:h="16838" w:orient="portrait"/>
          <w:cols w:equalWidth="0" w:num="1">
            <w:col w:w="11120"/>
          </w:cols>
          <w:pgMar w:left="440" w:top="108" w:right="339" w:bottom="1440" w:gutter="0" w:footer="0" w:header="0"/>
        </w:sectPr>
      </w:pPr>
    </w:p>
    <w:bookmarkStart w:id="318" w:name="page319"/>
    <w:bookmarkEnd w:id="318"/>
    <w:p>
      <w:pPr>
        <w:jc w:val="right"/>
        <w:spacing w:after="0"/>
        <w:rPr>
          <w:sz w:val="20"/>
          <w:szCs w:val="20"/>
          <w:color w:val="auto"/>
        </w:rPr>
      </w:pPr>
      <w:r>
        <w:rPr>
          <w:rFonts w:ascii="Times New Roman" w:cs="Times New Roman" w:eastAsia="Times New Roman" w:hAnsi="Times New Roman"/>
          <w:sz w:val="22"/>
          <w:szCs w:val="22"/>
          <w:color w:val="FF0000"/>
          <w:strike w:val="1"/>
        </w:rPr>
        <w:t>ANNEX</w:t>
      </w:r>
      <w:r>
        <w:rPr>
          <w:rFonts w:ascii="Times New Roman" w:cs="Times New Roman" w:eastAsia="Times New Roman" w:hAnsi="Times New Roman"/>
          <w:sz w:val="22"/>
          <w:szCs w:val="22"/>
          <w:b w:val="1"/>
          <w:bCs w:val="1"/>
          <w:u w:val="single" w:color="auto"/>
          <w:color w:val="0000FF"/>
        </w:rPr>
        <w:t>EXHIBIT</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ind w:left="120" w:firstLine="1292"/>
        <w:spacing w:after="0" w:line="261" w:lineRule="auto"/>
        <w:tabs>
          <w:tab w:leader="none" w:pos="2051" w:val="left"/>
        </w:tabs>
        <w:numPr>
          <w:ilvl w:val="0"/>
          <w:numId w:val="2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consisting of obligations of the Borrower or any Subsidiary under deferred compensation or other similar arrangements incurred by such person in connection with the Transactions and Permitted Business Acquisitions or any other Investment permitted hereunder;</w:t>
      </w:r>
    </w:p>
    <w:p>
      <w:pPr>
        <w:spacing w:after="0" w:line="154" w:lineRule="exact"/>
        <w:rPr>
          <w:rFonts w:ascii="Times New Roman" w:cs="Times New Roman" w:eastAsia="Times New Roman" w:hAnsi="Times New Roman"/>
          <w:sz w:val="20"/>
          <w:szCs w:val="20"/>
          <w:color w:val="auto"/>
        </w:rPr>
      </w:pPr>
    </w:p>
    <w:p>
      <w:pPr>
        <w:jc w:val="both"/>
        <w:ind w:left="120" w:firstLine="1292"/>
        <w:spacing w:after="0" w:line="268" w:lineRule="auto"/>
        <w:tabs>
          <w:tab w:leader="none" w:pos="1955" w:val="left"/>
        </w:tabs>
        <w:numPr>
          <w:ilvl w:val="0"/>
          <w:numId w:val="2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of the Borrower or any Subsidiary to or on behalf of any joint venture (regardless of the form of legal entity) that is not a Subsidiary arising in the ordinary course of business in connection with the cash management operations (including with respect to intercompany self-insurance arrangements) of the Borrower and its Subsidiaries;</w:t>
      </w:r>
    </w:p>
    <w:p>
      <w:pPr>
        <w:spacing w:after="0" w:line="147" w:lineRule="exact"/>
        <w:rPr>
          <w:rFonts w:ascii="Times New Roman" w:cs="Times New Roman" w:eastAsia="Times New Roman" w:hAnsi="Times New Roman"/>
          <w:sz w:val="20"/>
          <w:szCs w:val="20"/>
          <w:color w:val="auto"/>
        </w:rPr>
      </w:pPr>
    </w:p>
    <w:p>
      <w:pPr>
        <w:ind w:left="120" w:right="20" w:firstLine="1292"/>
        <w:spacing w:after="0" w:line="269" w:lineRule="auto"/>
        <w:tabs>
          <w:tab w:leader="none" w:pos="1891" w:val="left"/>
        </w:tabs>
        <w:numPr>
          <w:ilvl w:val="0"/>
          <w:numId w:val="2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consisting of (i) the financing of insurance premiums or (ii) take-or-pay obligations contained in supply arrangements, in each case, in the ordinary course of business;</w:t>
      </w:r>
    </w:p>
    <w:p>
      <w:pPr>
        <w:spacing w:after="0" w:line="159" w:lineRule="exact"/>
        <w:rPr>
          <w:rFonts w:ascii="Times New Roman" w:cs="Times New Roman" w:eastAsia="Times New Roman" w:hAnsi="Times New Roman"/>
          <w:sz w:val="20"/>
          <w:szCs w:val="20"/>
          <w:color w:val="auto"/>
        </w:rPr>
      </w:pPr>
    </w:p>
    <w:p>
      <w:pPr>
        <w:ind w:left="120" w:firstLine="1292"/>
        <w:spacing w:after="0" w:line="269" w:lineRule="auto"/>
        <w:tabs>
          <w:tab w:leader="none" w:pos="1961" w:val="left"/>
        </w:tabs>
        <w:numPr>
          <w:ilvl w:val="0"/>
          <w:numId w:val="2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supported by a Letter of Credit, in a principal amount not in excess of the stated amount of such Letter of Credit (or a letter of credit issued under any other revolving credit or letter of credit facility permitted by Section 6.01);</w:t>
      </w:r>
    </w:p>
    <w:p>
      <w:pPr>
        <w:spacing w:after="0" w:line="159" w:lineRule="exact"/>
        <w:rPr>
          <w:rFonts w:ascii="Times New Roman" w:cs="Times New Roman" w:eastAsia="Times New Roman" w:hAnsi="Times New Roman"/>
          <w:sz w:val="20"/>
          <w:szCs w:val="20"/>
          <w:color w:val="auto"/>
        </w:rPr>
      </w:pPr>
    </w:p>
    <w:p>
      <w:pPr>
        <w:ind w:left="120" w:firstLine="1292"/>
        <w:spacing w:after="0" w:line="269" w:lineRule="auto"/>
        <w:tabs>
          <w:tab w:leader="none" w:pos="1989" w:val="left"/>
        </w:tabs>
        <w:numPr>
          <w:ilvl w:val="0"/>
          <w:numId w:val="2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Indebtedness, including in respect of the Senior Unsecured Notes, in an aggregate principal amount outstanding pursuant to this Section 6.01(hh)(i) not to exceed $550,000,000 and (ii) any Permitted Refinancing Indebtedness in respect thereof;</w:t>
      </w:r>
    </w:p>
    <w:p>
      <w:pPr>
        <w:spacing w:after="0" w:line="145" w:lineRule="exact"/>
        <w:rPr>
          <w:rFonts w:ascii="Times New Roman" w:cs="Times New Roman" w:eastAsia="Times New Roman" w:hAnsi="Times New Roman"/>
          <w:sz w:val="20"/>
          <w:szCs w:val="20"/>
          <w:color w:val="auto"/>
        </w:rPr>
      </w:pPr>
    </w:p>
    <w:p>
      <w:pPr>
        <w:ind w:left="120" w:firstLine="1292"/>
        <w:spacing w:after="0" w:line="283" w:lineRule="auto"/>
        <w:tabs>
          <w:tab w:leader="none" w:pos="1964" w:val="left"/>
        </w:tabs>
        <w:numPr>
          <w:ilvl w:val="0"/>
          <w:numId w:val="2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Indebtedness, including in respect of the Senior Secured Notes, in an aggregate principal amount outstanding pursuant to this Section 6.01(ii)(i) not to exceed $550,000,000 and (ii) any Permitted Refinancing Indebtedness in respect thereof;</w:t>
      </w:r>
    </w:p>
    <w:p>
      <w:pPr>
        <w:spacing w:after="0" w:line="159" w:lineRule="exact"/>
        <w:rPr>
          <w:rFonts w:ascii="Times New Roman" w:cs="Times New Roman" w:eastAsia="Times New Roman" w:hAnsi="Times New Roman"/>
          <w:sz w:val="20"/>
          <w:szCs w:val="20"/>
          <w:color w:val="auto"/>
        </w:rPr>
      </w:pPr>
    </w:p>
    <w:p>
      <w:pPr>
        <w:jc w:val="both"/>
        <w:ind w:left="120" w:firstLine="1292"/>
        <w:spacing w:after="0" w:line="261" w:lineRule="auto"/>
        <w:tabs>
          <w:tab w:leader="none" w:pos="1868" w:val="left"/>
        </w:tabs>
        <w:numPr>
          <w:ilvl w:val="0"/>
          <w:numId w:val="2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premium (if any, including tender premiums) expenses, defeasance costs, interest (including post-petition interest), fees, expenses, charges and additional or contingent interest on obligations described in clauses (a) through (ii) above or refinancings thereof.</w:t>
      </w:r>
    </w:p>
    <w:p>
      <w:pPr>
        <w:spacing w:after="0" w:line="154"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0"/>
          <w:szCs w:val="20"/>
          <w:color w:val="auto"/>
        </w:rPr>
        <w:t xml:space="preserve">For purposes of determining compliance with this Section 6.01 or Section 6.02, the amount of any Indebtedness denominated in any currency other than Dollars shall be calculated based on customary currency exchange rates in effect, in the case of such Indebtedness incurred (in respect of term Indebtedness) or committed (in respect of revolving Indebtedness) on or prior to the Closing Date, on the Closing Date and, in the case of such Indebtedness incurred (in respect of term Indebtedness) or committed (in respect of revolving Indebtedness) after the Closing Date, on the date on which such Indebtedness was incurred (in respect of term Indebtedness) or committed (in respect of revolving Indebtedness);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such Indebtedness is incurred to refinance other Indebtedness denominated in a currency other than Dollars (or in a different currency from the Indebtedness being refinanced), and such refinancing would cause the applicable Dollar-denominated restriction to be exceeded if calculated at the relevant currency exchange rate in effect on the date of such refinancing, such Dollar-denominated restriction shall be deemed not to have been exceeded so long as the principal amount of such refinancing Indebtedness does not exceed (i) the outstanding or committed principal amount, as applicable, of such Indebtedness being refinanced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(ii) the aggregate amount of fees, underwriting discounts, premiums (including tender premiums), accrued interest, defeasance costs and other costs and expenses incurred in connection with such refinancing.</w:t>
      </w:r>
    </w:p>
    <w:p>
      <w:pPr>
        <w:spacing w:after="0" w:line="165" w:lineRule="exact"/>
        <w:rPr>
          <w:sz w:val="20"/>
          <w:szCs w:val="20"/>
          <w:color w:val="auto"/>
        </w:rPr>
      </w:pPr>
    </w:p>
    <w:p>
      <w:pPr>
        <w:jc w:val="both"/>
        <w:ind w:firstLine="464"/>
        <w:spacing w:after="0" w:line="258" w:lineRule="auto"/>
        <w:rPr>
          <w:sz w:val="20"/>
          <w:szCs w:val="20"/>
          <w:color w:val="auto"/>
        </w:rPr>
      </w:pPr>
      <w:r>
        <w:rPr>
          <w:rFonts w:ascii="Times New Roman" w:cs="Times New Roman" w:eastAsia="Times New Roman" w:hAnsi="Times New Roman"/>
          <w:sz w:val="20"/>
          <w:szCs w:val="20"/>
          <w:color w:val="auto"/>
        </w:rPr>
        <w:t>Further, for purposes of determining compliance with this Section 6.01, (A) Indebtedness need not be permitted solely by reference to one category of permitted Indebtedness (or any portion thereof) described in Sections 6.01(a) through (jj) (including, for the avoidance of doubt, with respect to the clauses set forth in the definition of “Incremental Amount”) but may be permitted in part under any combination thereof, (B) in the event that an item of Indebtedness (or any portion thereof) meets the</w:t>
      </w:r>
    </w:p>
    <w:p>
      <w:pPr>
        <w:sectPr>
          <w:pgSz w:w="11900" w:h="16838" w:orient="portrait"/>
          <w:cols w:equalWidth="0" w:num="1">
            <w:col w:w="11240"/>
          </w:cols>
          <w:pgMar w:left="320" w:top="108" w:right="339" w:bottom="1440" w:gutter="0" w:footer="0" w:header="0"/>
        </w:sectPr>
      </w:pPr>
    </w:p>
    <w:bookmarkStart w:id="319" w:name="page320"/>
    <w:bookmarkEnd w:id="319"/>
    <w:p>
      <w:pPr>
        <w:jc w:val="right"/>
        <w:spacing w:after="0"/>
        <w:rPr>
          <w:sz w:val="20"/>
          <w:szCs w:val="20"/>
          <w:color w:val="auto"/>
        </w:rPr>
      </w:pPr>
      <w:r>
        <w:rPr>
          <w:rFonts w:ascii="Times New Roman" w:cs="Times New Roman" w:eastAsia="Times New Roman" w:hAnsi="Times New Roman"/>
          <w:sz w:val="22"/>
          <w:szCs w:val="22"/>
          <w:color w:val="FF0000"/>
          <w:strike w:val="1"/>
        </w:rPr>
        <w:t>ANNEX</w:t>
      </w:r>
      <w:r>
        <w:rPr>
          <w:rFonts w:ascii="Times New Roman" w:cs="Times New Roman" w:eastAsia="Times New Roman" w:hAnsi="Times New Roman"/>
          <w:sz w:val="22"/>
          <w:szCs w:val="22"/>
          <w:b w:val="1"/>
          <w:bCs w:val="1"/>
          <w:u w:val="single" w:color="auto"/>
          <w:color w:val="0000FF"/>
        </w:rPr>
        <w:t>EXHIBIT</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9"/>
          <w:szCs w:val="19"/>
          <w:color w:val="auto"/>
        </w:rPr>
        <w:t xml:space="preserve">criteria of one or more of the categories of permitted Indebtedness (or any portion thereof) described in Sections 6.01(a) through (jj) (including, for the avoidance of doubt, with respect to the clauses set forth in the definition of “Incremental Amount”), the Borrower may, in its sole discretion, divide, classify or reclassify, or later divide, classify or reclassify (as if incurred at such later time), such item of Indebtedness (or any portion thereof) in any manner that complies with this Section 6.01 and at the time of incurrence, division, classification or reclassification will be entitled to only include the amount and type of such item of Indebtedness (or any portion thereof) in one of the above clauses (or any portion thereof) and such item of Indebtedness (or any portion thereof) shall be treated as having been incurred or existing pursuant to only such clause or clauses (or any portion thereof) without giving pro forma effect to such item (or any portion thereof) when calculating the amount of Indebtedness that may be incurred, divided, classified or reclassified pursuant to any other clause (or any portion thereof) at such time;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that (x) all Indebtedness outstanding on the 2021 Effective Date under this Agreement shall at all times be deemed to have been incurred pursuant to clause (b) of this Section 6.01, (y) all Indebtedness outstanding on the 2021 Effective Date under the Senior Unsecured Notes shall be deemed on the 2021 Effective Date to have been incurred pursuant to clause (hh) of this Section 6.01 and (z) all Indebtedness outstanding on the 2021 Effective Date under the Senior Secured Notes shall be deemed on the 2021 Effective Date to have been incurred pursuant to clause (ii) of this Section 6.01, (C) in connection with (1) the incurrence of revolving loan Indebtedness under this Section 6.01 or (2) any commitment or other transaction relating to the incurrence of Indebtedness under this Section 6.01 and the granting of any Lien to secure such Indebtedness, the Borrower or applicable Subsidiary may designate the incurrence of such Indebtedness and the granting of such Lien therefor as having occurred on the date of first incurrence of such revolving loan Indebtedness or commitment or intention to consummate such transaction (such date, the “</w:t>
      </w:r>
      <w:r>
        <w:rPr>
          <w:rFonts w:ascii="Times New Roman" w:cs="Times New Roman" w:eastAsia="Times New Roman" w:hAnsi="Times New Roman"/>
          <w:sz w:val="19"/>
          <w:szCs w:val="19"/>
          <w:u w:val="single" w:color="auto"/>
          <w:color w:val="auto"/>
        </w:rPr>
        <w:t>Deemed Date</w:t>
      </w:r>
      <w:r>
        <w:rPr>
          <w:rFonts w:ascii="Times New Roman" w:cs="Times New Roman" w:eastAsia="Times New Roman" w:hAnsi="Times New Roman"/>
          <w:sz w:val="19"/>
          <w:szCs w:val="19"/>
          <w:color w:val="auto"/>
        </w:rPr>
        <w:t>”), and any related subsequent actual incurrence and the granting of such Lien therefor will be deemed for purposes of this Section 6.01 and Section 6.02 of this Agreement to have been incurred or granted on such Deemed Date, including, without limitation, for purposes of calculating usage of any baskets hereunder (if applicable), the Net Total Leverage Ratio, the Net Secured Leverage Ratio, the Net First Lien Leverage Ratio, the Interest Coverage Ratio and EBITDA (and all such calculations, without duplication, on the Deemed Date and on any subsequent date until such commitment is funded or until such transaction is consummated or abandoned or such election is rescinded without the incurrence thereby shall be made on a Pro Forma Basis after giving effect to the deemed incurrence, the granting of any Lien therefor and related transactions in connection therewith) and (D) for purposes of calculating the Net Secured Leverage Ratio and the Net First Lien Leverage Ratio under Section 6.01(h), (q), (r) and/or (z) on any date of incurrence of Indebtedness pursuant to such Section 6.01(h), (q), (r) and/or (z), the net cash proceeds funded by financing sources upon the incurrence of such Indebtedness incurred at such time shall not be netted against the applicable amount of Consolidated Debt for purposes of such calculation of the Net Secured Leverage Ratio or the Net First Lien Leverage Ratio, as applicable, at such time. In addition, with respect to any Indebtedness that was permitted to be incurred hereunder on the date of such incurrence, any Increased Amount of such Indebtedness shall also be permitted hereunder after the date of such incurrence.</w:t>
      </w:r>
    </w:p>
    <w:p>
      <w:pPr>
        <w:spacing w:after="0" w:line="200" w:lineRule="exact"/>
        <w:rPr>
          <w:sz w:val="20"/>
          <w:szCs w:val="20"/>
          <w:color w:val="auto"/>
        </w:rPr>
      </w:pPr>
    </w:p>
    <w:p>
      <w:pPr>
        <w:spacing w:after="0" w:line="223"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This Agreement will not treat (1) unsecured Indebtedness as subordinated or junior to secured Indebtedness merely because it is unsecured or (2) senior Indebtedness as subordinated or junior to any other senior Indebtedness merely because it has a junior priority with respect to the same collateral.</w:t>
      </w:r>
    </w:p>
    <w:p>
      <w:pPr>
        <w:spacing w:after="0" w:line="168"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20"/>
          <w:szCs w:val="20"/>
          <w:color w:val="auto"/>
        </w:rPr>
        <w:t>With respect to any Indebtedness for borrowed money incurred under Section 6.01(h)(i) (solely to the extent set forth therein), 6.01(q)(i), 6.01(r)(i), 6.01(s)(i) and 6.01(z)(i), (A) in the form of term Indebtedness, (1) the stated maturity date of any such Indebtedness shall be no earlier than the Term B Facility Maturity Date as in effect at the time such Indebtedness is incurred and (2) the Weighted Average Life to Maturity of such Indebtedness shall be no shorter than the remaining Weighted Average</w:t>
      </w:r>
    </w:p>
    <w:p>
      <w:pPr>
        <w:sectPr>
          <w:pgSz w:w="11900" w:h="16838" w:orient="portrait"/>
          <w:cols w:equalWidth="0" w:num="1">
            <w:col w:w="11240"/>
          </w:cols>
          <w:pgMar w:left="320" w:top="108" w:right="339" w:bottom="1440" w:gutter="0" w:footer="0" w:header="0"/>
        </w:sectPr>
      </w:pPr>
    </w:p>
    <w:bookmarkStart w:id="320" w:name="page321"/>
    <w:bookmarkEnd w:id="320"/>
    <w:p>
      <w:pPr>
        <w:jc w:val="right"/>
        <w:spacing w:after="0"/>
        <w:rPr>
          <w:sz w:val="20"/>
          <w:szCs w:val="20"/>
          <w:color w:val="auto"/>
        </w:rPr>
      </w:pPr>
      <w:r>
        <w:rPr>
          <w:rFonts w:ascii="Times New Roman" w:cs="Times New Roman" w:eastAsia="Times New Roman" w:hAnsi="Times New Roman"/>
          <w:sz w:val="22"/>
          <w:szCs w:val="22"/>
          <w:color w:val="FF0000"/>
          <w:strike w:val="1"/>
        </w:rPr>
        <w:t>ANNEX</w:t>
      </w:r>
      <w:r>
        <w:rPr>
          <w:rFonts w:ascii="Times New Roman" w:cs="Times New Roman" w:eastAsia="Times New Roman" w:hAnsi="Times New Roman"/>
          <w:sz w:val="22"/>
          <w:szCs w:val="22"/>
          <w:b w:val="1"/>
          <w:bCs w:val="1"/>
          <w:u w:val="single" w:color="auto"/>
          <w:color w:val="0000FF"/>
        </w:rPr>
        <w:t>EXHIBIT</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Life to Maturity of the Term B Loans in effect at the time such Indebtedness is incurred and (B) in the form of revolving Indebtedness, (1) the stated maturity date of any such Indebtedness shall be no earlier than the Revolving Facility Maturity Date as in effect at the time such Indebtedness is incurred and (2) the Weighted Average Life to Maturity of such Indebtedness shall be no shorter than the remaining Weighted Average Life to Maturity of the Revolving Facility Loans in effect at the time such Indebtedness is incurred.</w:t>
      </w:r>
    </w:p>
    <w:p>
      <w:pPr>
        <w:spacing w:after="0" w:line="159"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Section 6.02 Liens. Create, incur, assume or permit to exist any Lien on any property or assets (including stock or other securities of any person) of the Borrower or any Subsidiary at the time owned by it or on any income or revenues or rights in respect of any thereof, except the following (collectively, “</w:t>
      </w:r>
      <w:r>
        <w:rPr>
          <w:rFonts w:ascii="Times New Roman" w:cs="Times New Roman" w:eastAsia="Times New Roman" w:hAnsi="Times New Roman"/>
          <w:sz w:val="20"/>
          <w:szCs w:val="20"/>
          <w:u w:val="single" w:color="auto"/>
          <w:color w:val="auto"/>
        </w:rPr>
        <w:t>Permitted Liens</w:t>
      </w:r>
      <w:r>
        <w:rPr>
          <w:rFonts w:ascii="Times New Roman" w:cs="Times New Roman" w:eastAsia="Times New Roman" w:hAnsi="Times New Roman"/>
          <w:sz w:val="20"/>
          <w:szCs w:val="20"/>
          <w:color w:val="auto"/>
        </w:rPr>
        <w:t>”):</w:t>
      </w:r>
    </w:p>
    <w:p>
      <w:pPr>
        <w:spacing w:after="0" w:line="154" w:lineRule="exact"/>
        <w:rPr>
          <w:sz w:val="20"/>
          <w:szCs w:val="20"/>
          <w:color w:val="auto"/>
        </w:rPr>
      </w:pPr>
    </w:p>
    <w:p>
      <w:pPr>
        <w:jc w:val="both"/>
        <w:ind w:left="120" w:firstLine="1292"/>
        <w:spacing w:after="0" w:line="253" w:lineRule="auto"/>
        <w:tabs>
          <w:tab w:leader="none" w:pos="1833" w:val="left"/>
        </w:tabs>
        <w:numPr>
          <w:ilvl w:val="0"/>
          <w:numId w:val="2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on property or assets of the Borrower and the Subsidiaries existing on the Closing Date (or created following the Closing Date pursuant to agreements in existence on the Closing Date requiring the creation of such Liens) and, to the extent securing Indebtedness in an aggregate principal amount in excess of $5,000,000, set forth on </w:t>
      </w:r>
      <w:r>
        <w:rPr>
          <w:rFonts w:ascii="Times New Roman" w:cs="Times New Roman" w:eastAsia="Times New Roman" w:hAnsi="Times New Roman"/>
          <w:sz w:val="20"/>
          <w:szCs w:val="20"/>
          <w:u w:val="single" w:color="auto"/>
          <w:color w:val="auto"/>
        </w:rPr>
        <w:t>Schedule 6.02(a)</w:t>
      </w:r>
      <w:r>
        <w:rPr>
          <w:rFonts w:ascii="Times New Roman" w:cs="Times New Roman" w:eastAsia="Times New Roman" w:hAnsi="Times New Roman"/>
          <w:sz w:val="20"/>
          <w:szCs w:val="20"/>
          <w:color w:val="auto"/>
        </w:rPr>
        <w:t xml:space="preserve"> to the Original Credit Agreement and any modifications, replacements, renewals or extensions thereof;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such Liens shall secure only those obligations that they secure on the Closing Date (and any Permitted Refinancing Indebtedness in respect of such obligations permitted by Section 6.01) and shall not subsequently apply to any other property or assets of the Borrower or any Subsidiary other than (A) after-acquired property that is affixed or incorporated into the property covered by such Lien, and (B) proceeds and products thereof;</w:t>
      </w:r>
    </w:p>
    <w:p>
      <w:pPr>
        <w:spacing w:after="0" w:line="165" w:lineRule="exact"/>
        <w:rPr>
          <w:rFonts w:ascii="Times New Roman" w:cs="Times New Roman" w:eastAsia="Times New Roman" w:hAnsi="Times New Roman"/>
          <w:sz w:val="20"/>
          <w:szCs w:val="20"/>
          <w:color w:val="auto"/>
        </w:rPr>
      </w:pPr>
    </w:p>
    <w:p>
      <w:pPr>
        <w:jc w:val="both"/>
        <w:ind w:left="120" w:firstLine="1292"/>
        <w:spacing w:after="0" w:line="261" w:lineRule="auto"/>
        <w:tabs>
          <w:tab w:leader="none" w:pos="2007" w:val="left"/>
        </w:tabs>
        <w:numPr>
          <w:ilvl w:val="0"/>
          <w:numId w:val="2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Lien created under the Loan Documents (including Liens created under the Security Documents securing obligations in respect of Secured Hedge Agreements and Secured Cash Management Agreements) or permitted in respect of any Mortgaged Property by the terms of the applicable Mortgage;</w:t>
      </w:r>
    </w:p>
    <w:p>
      <w:pPr>
        <w:spacing w:after="0" w:line="167" w:lineRule="exact"/>
        <w:rPr>
          <w:rFonts w:ascii="Times New Roman" w:cs="Times New Roman" w:eastAsia="Times New Roman" w:hAnsi="Times New Roman"/>
          <w:sz w:val="20"/>
          <w:szCs w:val="20"/>
          <w:color w:val="auto"/>
        </w:rPr>
      </w:pPr>
    </w:p>
    <w:p>
      <w:pPr>
        <w:jc w:val="both"/>
        <w:ind w:left="120" w:firstLine="1292"/>
        <w:spacing w:after="0" w:line="264" w:lineRule="auto"/>
        <w:tabs>
          <w:tab w:leader="none" w:pos="1862" w:val="left"/>
        </w:tabs>
        <w:numPr>
          <w:ilvl w:val="0"/>
          <w:numId w:val="2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any Lien on any property or asset of the Borrower or any Subsidiary securing Indebtedness or Permitted Refinancing Indebtedness permitted by Section 6.01(h);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that (i) in the case of Liens that do not extend to the Collateral, such Lien does not apply to any other property or assets of the Borrower or any of the Subsidiaries not securing such Indebtedness at the date of the acquisition of such property or asset and accessions and additions thereto and proceeds and products thereof (other than after-acquired property required to be subjected to such Lien pursuant to the terms of such Indebtedness (and refinancings thereof)), (ii) in the case of Liens on the Collateral that are (or are intended to be) junior in priority to the Liens securing the Term B Loans, such Liens shall be subject to a Permitted Junior Intercreditor Agreement and (iii) in the case of Liens on the Collateral that are (or are intended to be) pari passu with the Liens on the Collateral securing the Term B Loans, (x) such Liens shall be subject to a Permitted Pari Passu Intercreditor Agreement and (y) any Indebtedness for borrowed money in the form of term loans secured by such Liens shall be subject to the last paragraph of Section 6.02;</w:t>
      </w:r>
    </w:p>
    <w:p>
      <w:pPr>
        <w:spacing w:after="0" w:line="172" w:lineRule="exact"/>
        <w:rPr>
          <w:rFonts w:ascii="Times New Roman" w:cs="Times New Roman" w:eastAsia="Times New Roman" w:hAnsi="Times New Roman"/>
          <w:sz w:val="19"/>
          <w:szCs w:val="19"/>
          <w:color w:val="auto"/>
        </w:rPr>
      </w:pPr>
    </w:p>
    <w:p>
      <w:pPr>
        <w:ind w:left="120" w:firstLine="1292"/>
        <w:spacing w:after="0" w:line="269" w:lineRule="auto"/>
        <w:tabs>
          <w:tab w:leader="none" w:pos="1868" w:val="left"/>
        </w:tabs>
        <w:numPr>
          <w:ilvl w:val="0"/>
          <w:numId w:val="2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for Taxes, assessments or other governmental charges or levies not yet delinquent by more than 30 days or that are being contested in compliance with Section 5.03;</w:t>
      </w:r>
    </w:p>
    <w:p>
      <w:pPr>
        <w:spacing w:after="0" w:line="159" w:lineRule="exact"/>
        <w:rPr>
          <w:rFonts w:ascii="Times New Roman" w:cs="Times New Roman" w:eastAsia="Times New Roman" w:hAnsi="Times New Roman"/>
          <w:sz w:val="20"/>
          <w:szCs w:val="20"/>
          <w:color w:val="auto"/>
        </w:rPr>
      </w:pPr>
    </w:p>
    <w:p>
      <w:pPr>
        <w:jc w:val="both"/>
        <w:ind w:left="120" w:firstLine="1292"/>
        <w:spacing w:after="0" w:line="254" w:lineRule="auto"/>
        <w:tabs>
          <w:tab w:leader="none" w:pos="2013" w:val="left"/>
        </w:tabs>
        <w:numPr>
          <w:ilvl w:val="0"/>
          <w:numId w:val="2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imposed by law, such as landlord’s, carriers’, warehousemen’s, mechanics’, materialmen’s, repairmen’s, supplier’s, construction or other like Liens, securing obligations that are not overdue by more than 30 days or that are being contested in good faith by appropriate proceedings and in respect of which, if applicable, the Borrower or any Subsidiary shall have set aside on its books reserves in accordance with GAAP;</w:t>
      </w:r>
    </w:p>
    <w:p>
      <w:pPr>
        <w:sectPr>
          <w:pgSz w:w="11900" w:h="16838" w:orient="portrait"/>
          <w:cols w:equalWidth="0" w:num="1">
            <w:col w:w="11240"/>
          </w:cols>
          <w:pgMar w:left="320" w:top="108" w:right="339" w:bottom="1440" w:gutter="0" w:footer="0" w:header="0"/>
        </w:sectPr>
      </w:pPr>
    </w:p>
    <w:bookmarkStart w:id="321" w:name="page322"/>
    <w:bookmarkEnd w:id="321"/>
    <w:p>
      <w:pPr>
        <w:jc w:val="right"/>
        <w:spacing w:after="0"/>
        <w:rPr>
          <w:sz w:val="20"/>
          <w:szCs w:val="20"/>
          <w:color w:val="auto"/>
        </w:rPr>
      </w:pPr>
      <w:r>
        <w:rPr>
          <w:rFonts w:ascii="Times New Roman" w:cs="Times New Roman" w:eastAsia="Times New Roman" w:hAnsi="Times New Roman"/>
          <w:sz w:val="22"/>
          <w:szCs w:val="22"/>
          <w:color w:val="FF0000"/>
          <w:strike w:val="1"/>
        </w:rPr>
        <w:t>ANNEX</w:t>
      </w:r>
      <w:r>
        <w:rPr>
          <w:rFonts w:ascii="Times New Roman" w:cs="Times New Roman" w:eastAsia="Times New Roman" w:hAnsi="Times New Roman"/>
          <w:sz w:val="22"/>
          <w:szCs w:val="22"/>
          <w:b w:val="1"/>
          <w:bCs w:val="1"/>
          <w:u w:val="single" w:color="auto"/>
          <w:color w:val="0000FF"/>
        </w:rPr>
        <w:t>EXHIBIT</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ind w:left="4" w:firstLine="1292"/>
        <w:spacing w:after="0" w:line="254" w:lineRule="auto"/>
        <w:tabs>
          <w:tab w:leader="none" w:pos="1801" w:val="left"/>
        </w:tabs>
        <w:numPr>
          <w:ilvl w:val="1"/>
          <w:numId w:val="2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pledges and deposits and other Liens made in the ordinary course of business in compliance with the Federal Employers Liability Act or any other workers’ compensation, unemployment insurance and other social security laws or regulations and deposits securing liability to insurance carriers under insurance or self-insurance arrangements in respect of such obligations and</w:t>
      </w:r>
    </w:p>
    <w:p>
      <w:pPr>
        <w:jc w:val="both"/>
        <w:ind w:left="4" w:hanging="4"/>
        <w:spacing w:after="0" w:line="253" w:lineRule="auto"/>
        <w:tabs>
          <w:tab w:leader="none" w:pos="316" w:val="left"/>
        </w:tabs>
        <w:numPr>
          <w:ilvl w:val="0"/>
          <w:numId w:val="2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pledges and deposits and other Liens securing liability for reimbursement or indemnification obligations of (including obligations in respect of letters of credit or bank guarantees for the benefit of) insurance carriers providing property, casualty or liability insurance to the Borrower or any Subsidiary;</w:t>
      </w:r>
    </w:p>
    <w:p>
      <w:pPr>
        <w:spacing w:after="0" w:line="161" w:lineRule="exact"/>
        <w:rPr>
          <w:rFonts w:ascii="Times New Roman" w:cs="Times New Roman" w:eastAsia="Times New Roman" w:hAnsi="Times New Roman"/>
          <w:sz w:val="20"/>
          <w:szCs w:val="20"/>
          <w:color w:val="auto"/>
        </w:rPr>
      </w:pPr>
    </w:p>
    <w:p>
      <w:pPr>
        <w:jc w:val="both"/>
        <w:ind w:left="4" w:firstLine="1292"/>
        <w:spacing w:after="0" w:line="257" w:lineRule="auto"/>
        <w:tabs>
          <w:tab w:leader="none" w:pos="1744" w:val="left"/>
        </w:tabs>
        <w:numPr>
          <w:ilvl w:val="1"/>
          <w:numId w:val="2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deposits and other Liens to secure the performance of bids, trade contracts (other than for Indebtedness), leases (other than Capitalized Lease Obligations), statutory obligations, surety and appeal bonds, performance and return of money bonds, bids, leases, government contracts, trade contracts, agreements with utilities, and other obligations of a like nature (including letters of credit in lieu of any such bonds or to support the issuance thereof) incurred in the ordinary course of business, including those incurred to secure health, safety and environmental obligations in the ordinary course of business;</w:t>
      </w:r>
    </w:p>
    <w:p>
      <w:pPr>
        <w:spacing w:after="0" w:line="159" w:lineRule="exact"/>
        <w:rPr>
          <w:rFonts w:ascii="Times New Roman" w:cs="Times New Roman" w:eastAsia="Times New Roman" w:hAnsi="Times New Roman"/>
          <w:sz w:val="20"/>
          <w:szCs w:val="20"/>
          <w:color w:val="auto"/>
        </w:rPr>
      </w:pPr>
    </w:p>
    <w:p>
      <w:pPr>
        <w:jc w:val="both"/>
        <w:ind w:left="4" w:firstLine="1292"/>
        <w:spacing w:after="0" w:line="253" w:lineRule="auto"/>
        <w:tabs>
          <w:tab w:leader="none" w:pos="1776" w:val="left"/>
        </w:tabs>
        <w:numPr>
          <w:ilvl w:val="1"/>
          <w:numId w:val="2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zoning restrictions, easements, survey exceptions, trackage rights, leases (other than Capitalized Lease Obligations), licenses, special assessments, rights-of-way, covenants, conditions, restrictions and declarations on or with respect to the use of Real Property, servicing agreements, development agreements, site plan agreements and other similar encumbrances incurred in the ordinary course of business and title defects or irregularities that are of a minor nature and that, in the aggregate, do not interfere in any material respect with the ordinary conduct of the business of the Borrower or any Subsidiary;</w:t>
      </w:r>
    </w:p>
    <w:p>
      <w:pPr>
        <w:spacing w:after="0" w:line="164" w:lineRule="exact"/>
        <w:rPr>
          <w:rFonts w:ascii="Times New Roman" w:cs="Times New Roman" w:eastAsia="Times New Roman" w:hAnsi="Times New Roman"/>
          <w:sz w:val="20"/>
          <w:szCs w:val="20"/>
          <w:color w:val="auto"/>
        </w:rPr>
      </w:pPr>
    </w:p>
    <w:p>
      <w:pPr>
        <w:jc w:val="both"/>
        <w:ind w:left="4" w:firstLine="1292"/>
        <w:spacing w:after="0" w:line="253" w:lineRule="auto"/>
        <w:tabs>
          <w:tab w:leader="none" w:pos="1697" w:val="left"/>
        </w:tabs>
        <w:numPr>
          <w:ilvl w:val="1"/>
          <w:numId w:val="2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securing Indebtedness permitted by Section 6.01(i) or (j);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Liens do not apply to any property or assets of the Borrower or any Subsidiary other than the property or assets acquired, leased, constructed, replaced, repaired or improved with such Indebtedness (or the Indebtedness Refinanced thereby) or sold in the applicable Sale and Lease-Back Transaction, and accessions and additions thereto, proceeds and products thereof, customary security deposits and related property;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individual financings provided by one lender may be cross-collateralized to other financings provided by such lender (and its Affiliates) (it being understood that with respect to any Liens on the Collateral being incurred under this clause (i) to secure Permitted Refinancing Indebtedness, if Liens on the Collateral securing the Indebtedness being Refinanced (if any) were Junior Liens, then any Liens on such Collateral being incurred under this clause (i) to secure Permitted Refinancing Indebtedness shall also be Junior Liens);</w:t>
      </w:r>
    </w:p>
    <w:p>
      <w:pPr>
        <w:spacing w:after="0" w:line="166" w:lineRule="exact"/>
        <w:rPr>
          <w:rFonts w:ascii="Times New Roman" w:cs="Times New Roman" w:eastAsia="Times New Roman" w:hAnsi="Times New Roman"/>
          <w:sz w:val="20"/>
          <w:szCs w:val="20"/>
          <w:color w:val="auto"/>
        </w:rPr>
      </w:pPr>
    </w:p>
    <w:p>
      <w:pPr>
        <w:jc w:val="both"/>
        <w:ind w:left="4" w:firstLine="1292"/>
        <w:spacing w:after="0" w:line="261" w:lineRule="auto"/>
        <w:tabs>
          <w:tab w:leader="none" w:pos="1697" w:val="left"/>
        </w:tabs>
        <w:numPr>
          <w:ilvl w:val="1"/>
          <w:numId w:val="2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arising out of Sale and Lease-Back Transactions permitted under Section 6.03, so long as such Liens attach only to the property sold and being leased in such transaction and any accessions and additions thereto or proceeds and products thereof and related property;</w:t>
      </w:r>
    </w:p>
    <w:p>
      <w:pPr>
        <w:spacing w:after="0" w:line="154" w:lineRule="exact"/>
        <w:rPr>
          <w:rFonts w:ascii="Times New Roman" w:cs="Times New Roman" w:eastAsia="Times New Roman" w:hAnsi="Times New Roman"/>
          <w:sz w:val="20"/>
          <w:szCs w:val="20"/>
          <w:color w:val="auto"/>
        </w:rPr>
      </w:pPr>
    </w:p>
    <w:p>
      <w:pPr>
        <w:ind w:left="1724" w:hanging="428"/>
        <w:spacing w:after="0"/>
        <w:tabs>
          <w:tab w:leader="none" w:pos="1724" w:val="left"/>
        </w:tabs>
        <w:numPr>
          <w:ilvl w:val="1"/>
          <w:numId w:val="2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securing judgments that do not constitute an Event of Default under Section 7.01(j);</w:t>
      </w:r>
    </w:p>
    <w:p>
      <w:pPr>
        <w:spacing w:after="0" w:line="215" w:lineRule="exact"/>
        <w:rPr>
          <w:rFonts w:ascii="Times New Roman" w:cs="Times New Roman" w:eastAsia="Times New Roman" w:hAnsi="Times New Roman"/>
          <w:sz w:val="20"/>
          <w:szCs w:val="20"/>
          <w:color w:val="auto"/>
        </w:rPr>
      </w:pPr>
    </w:p>
    <w:p>
      <w:pPr>
        <w:jc w:val="both"/>
        <w:ind w:left="4" w:firstLine="1292"/>
        <w:spacing w:after="0" w:line="253" w:lineRule="auto"/>
        <w:tabs>
          <w:tab w:leader="none" w:pos="1780" w:val="left"/>
        </w:tabs>
        <w:numPr>
          <w:ilvl w:val="1"/>
          <w:numId w:val="2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disclosed by the title insurance policies delivered on or subsequent to the Closing Date and pursuant to the Collateral and Guarantee Requirement, Section 5.10 or </w:t>
      </w:r>
      <w:r>
        <w:rPr>
          <w:rFonts w:ascii="Times New Roman" w:cs="Times New Roman" w:eastAsia="Times New Roman" w:hAnsi="Times New Roman"/>
          <w:sz w:val="20"/>
          <w:szCs w:val="20"/>
          <w:u w:val="single" w:color="auto"/>
          <w:color w:val="auto"/>
        </w:rPr>
        <w:t>Schedule 5.12</w:t>
      </w:r>
      <w:r>
        <w:rPr>
          <w:rFonts w:ascii="Times New Roman" w:cs="Times New Roman" w:eastAsia="Times New Roman" w:hAnsi="Times New Roman"/>
          <w:sz w:val="20"/>
          <w:szCs w:val="20"/>
          <w:color w:val="auto"/>
        </w:rPr>
        <w:t xml:space="preserve"> to the Original Credit Agreement and any replacement, extension or renewal of any such Lien;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replacement, extension or renewal Lien shall not cover any property other than the property that was subject to such Lien prior to such replacement, extension or renewal;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the Indebtedness and other obligations secured by such replacement, extension or renewal Lien are permitted by this Agreement;</w:t>
      </w:r>
    </w:p>
    <w:p>
      <w:pPr>
        <w:sectPr>
          <w:pgSz w:w="11900" w:h="16838" w:orient="portrait"/>
          <w:cols w:equalWidth="0" w:num="1">
            <w:col w:w="11124"/>
          </w:cols>
          <w:pgMar w:left="436" w:top="108" w:right="339" w:bottom="1440" w:gutter="0" w:footer="0" w:header="0"/>
        </w:sectPr>
      </w:pPr>
    </w:p>
    <w:bookmarkStart w:id="322" w:name="page323"/>
    <w:bookmarkEnd w:id="322"/>
    <w:p>
      <w:pPr>
        <w:ind w:left="8240"/>
        <w:spacing w:after="0"/>
        <w:rPr>
          <w:sz w:val="20"/>
          <w:szCs w:val="20"/>
          <w:color w:val="auto"/>
        </w:rPr>
      </w:pPr>
      <w:r>
        <w:rPr>
          <w:rFonts w:ascii="Times New Roman" w:cs="Times New Roman" w:eastAsia="Times New Roman" w:hAnsi="Times New Roman"/>
          <w:sz w:val="21"/>
          <w:szCs w:val="21"/>
          <w:color w:val="FF0000"/>
          <w:strike w:val="1"/>
        </w:rPr>
        <w:t>ANNEX</w:t>
      </w:r>
      <w:r>
        <w:rPr>
          <w:rFonts w:ascii="Times New Roman" w:cs="Times New Roman" w:eastAsia="Times New Roman" w:hAnsi="Times New Roman"/>
          <w:sz w:val="21"/>
          <w:szCs w:val="21"/>
          <w:b w:val="1"/>
          <w:bCs w:val="1"/>
          <w:u w:val="single" w:color="auto"/>
          <w:color w:val="0000FF"/>
        </w:rPr>
        <w:t>EXHIBIT</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000000"/>
        </w:rPr>
        <w: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000" w:right="20" w:firstLine="1292"/>
        <w:spacing w:after="0" w:line="283" w:lineRule="auto"/>
        <w:tabs>
          <w:tab w:leader="none" w:pos="901" w:val="left"/>
        </w:tabs>
        <w:numPr>
          <w:ilvl w:val="0"/>
          <w:numId w:val="2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interest or title of a lessor or sublessor under any leases or subleases entered into by the Borrower or any Subsidiary in the ordinary course of business;</w:t>
      </w:r>
    </w:p>
    <w:p>
      <w:pPr>
        <w:spacing w:after="0" w:line="132" w:lineRule="exact"/>
        <w:rPr>
          <w:rFonts w:ascii="Times New Roman" w:cs="Times New Roman" w:eastAsia="Times New Roman" w:hAnsi="Times New Roman"/>
          <w:sz w:val="20"/>
          <w:szCs w:val="20"/>
          <w:color w:val="auto"/>
        </w:rPr>
      </w:pPr>
    </w:p>
    <w:p>
      <w:pPr>
        <w:jc w:val="both"/>
        <w:ind w:left="-1000" w:firstLine="1292"/>
        <w:spacing w:after="0" w:line="253" w:lineRule="auto"/>
        <w:tabs>
          <w:tab w:leader="none" w:pos="735" w:val="left"/>
        </w:tabs>
        <w:numPr>
          <w:ilvl w:val="0"/>
          <w:numId w:val="2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that are contractual rights of set-off (and related pledges) (i) relating to the establishment of depository relations with banks and other financial institutions not given in connection with the issuance of Indebtedness, (ii) relating to pooled deposits, sweep accounts, reserve accounts or similar accounts of the Borrower or any Subsidiary to permit satisfaction of overdraft or similar obligations incurred in the ordinary course of business of the Borrower or any Subsidiary, including with respect to credit card charge-backs and similar obligations, or (iii) relating to purchase orders and other agreements entered into with customers, suppliers or service providers of the Borrower or any Subsidiary in the ordinary course of business;</w:t>
      </w:r>
    </w:p>
    <w:p>
      <w:pPr>
        <w:spacing w:after="0" w:line="165" w:lineRule="exact"/>
        <w:rPr>
          <w:rFonts w:ascii="Times New Roman" w:cs="Times New Roman" w:eastAsia="Times New Roman" w:hAnsi="Times New Roman"/>
          <w:sz w:val="20"/>
          <w:szCs w:val="20"/>
          <w:color w:val="auto"/>
        </w:rPr>
      </w:pPr>
    </w:p>
    <w:p>
      <w:pPr>
        <w:jc w:val="both"/>
        <w:ind w:left="-1000" w:firstLine="1292"/>
        <w:spacing w:after="0" w:line="253" w:lineRule="auto"/>
        <w:tabs>
          <w:tab w:leader="none" w:pos="748" w:val="left"/>
        </w:tabs>
        <w:numPr>
          <w:ilvl w:val="0"/>
          <w:numId w:val="2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(i) arising solely by virtue of any statutory or common law provision relating to banker’s liens, rights of set-off or similar rights, (ii) attaching to commodity trading accounts or other commodity brokerage accounts incurred in the ordinary course of business, (iii) encumbering reasonable customary initial deposits and margin deposits and similar Liens attaching to brokerage accounts incurred in the ordinary course of business and not for speculative purposes, (iv) in respect of Third Party Funds or (v) in favor of credit card companies pursuant to agreements therewith;</w:t>
      </w:r>
    </w:p>
    <w:p>
      <w:pPr>
        <w:spacing w:after="0" w:line="178" w:lineRule="exact"/>
        <w:rPr>
          <w:rFonts w:ascii="Times New Roman" w:cs="Times New Roman" w:eastAsia="Times New Roman" w:hAnsi="Times New Roman"/>
          <w:sz w:val="20"/>
          <w:szCs w:val="20"/>
          <w:color w:val="auto"/>
        </w:rPr>
      </w:pPr>
    </w:p>
    <w:p>
      <w:pPr>
        <w:jc w:val="both"/>
        <w:ind w:left="-1000" w:right="20" w:firstLine="1292"/>
        <w:spacing w:after="0" w:line="261" w:lineRule="auto"/>
        <w:tabs>
          <w:tab w:leader="none" w:pos="827" w:val="left"/>
        </w:tabs>
        <w:numPr>
          <w:ilvl w:val="0"/>
          <w:numId w:val="2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securing obligations in respect of trade-related letters of credit, bankers’ acceptances or similar obligations permitted under Section 6.01(f), (k) or (o) and covering the property (or the documents of title in respect of such property) financed by such letters of credit, bankers’ acceptances or similar obligations and the proceeds and products thereof;</w:t>
      </w:r>
    </w:p>
    <w:p>
      <w:pPr>
        <w:spacing w:after="0" w:line="154" w:lineRule="exact"/>
        <w:rPr>
          <w:rFonts w:ascii="Times New Roman" w:cs="Times New Roman" w:eastAsia="Times New Roman" w:hAnsi="Times New Roman"/>
          <w:sz w:val="20"/>
          <w:szCs w:val="20"/>
          <w:color w:val="auto"/>
        </w:rPr>
      </w:pPr>
    </w:p>
    <w:p>
      <w:pPr>
        <w:ind w:left="-1000" w:firstLine="1292"/>
        <w:spacing w:after="0" w:line="283" w:lineRule="auto"/>
        <w:tabs>
          <w:tab w:leader="none" w:pos="792" w:val="left"/>
        </w:tabs>
        <w:numPr>
          <w:ilvl w:val="0"/>
          <w:numId w:val="2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leases or subleases, licenses or sublicenses (including with respect to Intellectual Property) granted to others in the ordinary course of business not interfering in any material respect with the business of the Borrower and its Subsidiaries, taken as a whole;</w:t>
      </w:r>
    </w:p>
    <w:p>
      <w:pPr>
        <w:spacing w:after="0" w:line="132" w:lineRule="exact"/>
        <w:rPr>
          <w:rFonts w:ascii="Times New Roman" w:cs="Times New Roman" w:eastAsia="Times New Roman" w:hAnsi="Times New Roman"/>
          <w:sz w:val="20"/>
          <w:szCs w:val="20"/>
          <w:color w:val="auto"/>
        </w:rPr>
      </w:pPr>
    </w:p>
    <w:p>
      <w:pPr>
        <w:ind w:left="-1000" w:firstLine="1292"/>
        <w:spacing w:after="0" w:line="283" w:lineRule="auto"/>
        <w:tabs>
          <w:tab w:leader="none" w:pos="748" w:val="left"/>
        </w:tabs>
        <w:numPr>
          <w:ilvl w:val="0"/>
          <w:numId w:val="2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in favor of customs and revenue authorities arising as a matter of law to secure payment of customs duties in connection with the importation of goods;</w:t>
      </w:r>
    </w:p>
    <w:p>
      <w:pPr>
        <w:spacing w:after="0" w:line="132" w:lineRule="exact"/>
        <w:rPr>
          <w:rFonts w:ascii="Times New Roman" w:cs="Times New Roman" w:eastAsia="Times New Roman" w:hAnsi="Times New Roman"/>
          <w:sz w:val="20"/>
          <w:szCs w:val="20"/>
          <w:color w:val="auto"/>
        </w:rPr>
      </w:pPr>
    </w:p>
    <w:p>
      <w:pPr>
        <w:ind w:left="-1000" w:firstLine="1292"/>
        <w:spacing w:after="0" w:line="269" w:lineRule="auto"/>
        <w:tabs>
          <w:tab w:leader="none" w:pos="731" w:val="left"/>
        </w:tabs>
        <w:numPr>
          <w:ilvl w:val="0"/>
          <w:numId w:val="2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solely on any cash earnest money deposits made by the Borrower or any of the Subsidiaries in connection with any letter of intent or purchase agreement in respect of any Investment permitted hereunder;</w:t>
      </w:r>
    </w:p>
    <w:p>
      <w:pPr>
        <w:spacing w:after="0" w:line="159" w:lineRule="exact"/>
        <w:rPr>
          <w:rFonts w:ascii="Times New Roman" w:cs="Times New Roman" w:eastAsia="Times New Roman" w:hAnsi="Times New Roman"/>
          <w:sz w:val="20"/>
          <w:szCs w:val="20"/>
          <w:color w:val="auto"/>
        </w:rPr>
      </w:pPr>
    </w:p>
    <w:p>
      <w:pPr>
        <w:jc w:val="both"/>
        <w:ind w:left="-1000" w:firstLine="1292"/>
        <w:spacing w:after="0" w:line="253" w:lineRule="auto"/>
        <w:tabs>
          <w:tab w:leader="none" w:pos="809" w:val="left"/>
        </w:tabs>
        <w:numPr>
          <w:ilvl w:val="0"/>
          <w:numId w:val="2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Liens with respect to property or assets of any Subsidiary that is not a Loan Party securing obligations of a Subsidiary that is not a Loan Party permitted under Section 6.01 and (ii) Liens with respect to property or assets of the applicable joint venture or the Equity Interests of such joint venture securing Indebtedness permitted under Section 6.01(bb) (it being understood that with respect to any Liens on the Collateral being incurred under this clause (t)(ii) to secure Permitted Refinancing Indebtedness, if Liens on the Collateral securing the Indebtedness being Refinanced (if any) were Junior Liens, then any Liens on such Collateral being incurred under this clause (t)(ii) to secure Permitted Refinancing Indebtedness shall also be Junior Liens);</w:t>
      </w:r>
    </w:p>
    <w:p>
      <w:pPr>
        <w:spacing w:after="0" w:line="178" w:lineRule="exact"/>
        <w:rPr>
          <w:rFonts w:ascii="Times New Roman" w:cs="Times New Roman" w:eastAsia="Times New Roman" w:hAnsi="Times New Roman"/>
          <w:sz w:val="20"/>
          <w:szCs w:val="20"/>
          <w:color w:val="auto"/>
        </w:rPr>
      </w:pPr>
    </w:p>
    <w:p>
      <w:pPr>
        <w:jc w:val="both"/>
        <w:ind w:left="-1000" w:firstLine="1292"/>
        <w:spacing w:after="0" w:line="261" w:lineRule="auto"/>
        <w:tabs>
          <w:tab w:leader="none" w:pos="844" w:val="left"/>
        </w:tabs>
        <w:numPr>
          <w:ilvl w:val="0"/>
          <w:numId w:val="2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on any amounts held by a trustee or agent under any indenture or other debt agreement issued in escrow pursuant to customary escrow arrangements pending the release thereof, or under any indenture or other debt agreement pursuant to customary discharge, redemption or defeasance provisions;</w:t>
      </w:r>
    </w:p>
    <w:p>
      <w:pPr>
        <w:sectPr>
          <w:pgSz w:w="11900" w:h="16838" w:orient="portrait"/>
          <w:cols w:equalWidth="0" w:num="1">
            <w:col w:w="10120"/>
          </w:cols>
          <w:pgMar w:left="1440" w:top="108" w:right="339" w:bottom="1440" w:gutter="0" w:footer="0" w:header="0"/>
        </w:sectPr>
      </w:pPr>
    </w:p>
    <w:bookmarkStart w:id="323" w:name="page324"/>
    <w:bookmarkEnd w:id="323"/>
    <w:p>
      <w:pPr>
        <w:jc w:val="right"/>
        <w:spacing w:after="0"/>
        <w:rPr>
          <w:sz w:val="20"/>
          <w:szCs w:val="20"/>
          <w:color w:val="auto"/>
        </w:rPr>
      </w:pPr>
      <w:r>
        <w:rPr>
          <w:rFonts w:ascii="Times New Roman" w:cs="Times New Roman" w:eastAsia="Times New Roman" w:hAnsi="Times New Roman"/>
          <w:sz w:val="22"/>
          <w:szCs w:val="22"/>
          <w:color w:val="FF0000"/>
          <w:strike w:val="1"/>
        </w:rPr>
        <w:t>ANNEX</w:t>
      </w:r>
      <w:r>
        <w:rPr>
          <w:rFonts w:ascii="Times New Roman" w:cs="Times New Roman" w:eastAsia="Times New Roman" w:hAnsi="Times New Roman"/>
          <w:sz w:val="22"/>
          <w:szCs w:val="22"/>
          <w:b w:val="1"/>
          <w:bCs w:val="1"/>
          <w:u w:val="single" w:color="auto"/>
          <w:color w:val="0000FF"/>
        </w:rPr>
        <w:t>EXHIBIT</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744" w:hanging="448"/>
        <w:spacing w:after="0"/>
        <w:tabs>
          <w:tab w:leader="none" w:pos="1744" w:val="left"/>
        </w:tabs>
        <w:numPr>
          <w:ilvl w:val="0"/>
          <w:numId w:val="2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prior rights of consignees and their lenders under consignment arrangements entered into in the ordinary course of</w:t>
      </w:r>
    </w:p>
    <w:p>
      <w:pPr>
        <w:spacing w:after="0" w:line="40"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business;</w:t>
      </w:r>
    </w:p>
    <w:p>
      <w:pPr>
        <w:spacing w:after="0" w:line="187" w:lineRule="exact"/>
        <w:rPr>
          <w:sz w:val="20"/>
          <w:szCs w:val="20"/>
          <w:color w:val="auto"/>
        </w:rPr>
      </w:pPr>
    </w:p>
    <w:p>
      <w:pPr>
        <w:jc w:val="both"/>
        <w:ind w:left="4" w:firstLine="1292"/>
        <w:spacing w:after="0" w:line="261" w:lineRule="auto"/>
        <w:tabs>
          <w:tab w:leader="none" w:pos="1918" w:val="left"/>
        </w:tabs>
        <w:numPr>
          <w:ilvl w:val="1"/>
          <w:numId w:val="2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agreements to subordinate any interest of the Borrower or any Subsidiary in any accounts receivable or other proceeds arising from inventory consigned by the Borrower or any of its Subsidiaries pursuant to an agreement entered into in the ordinary course of business;</w:t>
      </w:r>
    </w:p>
    <w:p>
      <w:pPr>
        <w:spacing w:after="0" w:line="154" w:lineRule="exact"/>
        <w:rPr>
          <w:rFonts w:ascii="Times New Roman" w:cs="Times New Roman" w:eastAsia="Times New Roman" w:hAnsi="Times New Roman"/>
          <w:sz w:val="20"/>
          <w:szCs w:val="20"/>
          <w:color w:val="auto"/>
        </w:rPr>
      </w:pPr>
    </w:p>
    <w:p>
      <w:pPr>
        <w:ind w:left="4" w:firstLine="1292"/>
        <w:spacing w:after="0" w:line="283" w:lineRule="auto"/>
        <w:tabs>
          <w:tab w:leader="none" w:pos="1751" w:val="left"/>
        </w:tabs>
        <w:numPr>
          <w:ilvl w:val="1"/>
          <w:numId w:val="2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arising from precautionary Uniform Commercial Code financing statements regarding operating leases or other obligations not constituting Indebtedness;</w:t>
      </w:r>
    </w:p>
    <w:p>
      <w:pPr>
        <w:spacing w:after="0" w:line="132" w:lineRule="exact"/>
        <w:rPr>
          <w:rFonts w:ascii="Times New Roman" w:cs="Times New Roman" w:eastAsia="Times New Roman" w:hAnsi="Times New Roman"/>
          <w:sz w:val="20"/>
          <w:szCs w:val="20"/>
          <w:color w:val="auto"/>
        </w:rPr>
      </w:pPr>
    </w:p>
    <w:p>
      <w:pPr>
        <w:ind w:left="1904" w:hanging="608"/>
        <w:spacing w:after="0"/>
        <w:tabs>
          <w:tab w:leader="none" w:pos="1904" w:val="left"/>
        </w:tabs>
        <w:numPr>
          <w:ilvl w:val="1"/>
          <w:numId w:val="2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(i) on Equity Interests of, or loans to, joint ventures (A) securing obligations of such joint venture or</w:t>
      </w:r>
    </w:p>
    <w:p>
      <w:pPr>
        <w:spacing w:after="0" w:line="28" w:lineRule="exact"/>
        <w:rPr>
          <w:rFonts w:ascii="Times New Roman" w:cs="Times New Roman" w:eastAsia="Times New Roman" w:hAnsi="Times New Roman"/>
          <w:sz w:val="20"/>
          <w:szCs w:val="20"/>
          <w:color w:val="auto"/>
        </w:rPr>
      </w:pPr>
    </w:p>
    <w:p>
      <w:pPr>
        <w:ind w:left="304" w:hanging="304"/>
        <w:spacing w:after="0"/>
        <w:tabs>
          <w:tab w:leader="none" w:pos="304" w:val="left"/>
        </w:tabs>
        <w:numPr>
          <w:ilvl w:val="0"/>
          <w:numId w:val="2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pursuant to the relevant joint venture agreement or arrangement and (ii) on Equity Interests of, or loans to, Unrestricted Subsidiaries;</w:t>
      </w:r>
    </w:p>
    <w:p>
      <w:pPr>
        <w:spacing w:after="0" w:line="186" w:lineRule="exact"/>
        <w:rPr>
          <w:rFonts w:ascii="Times New Roman" w:cs="Times New Roman" w:eastAsia="Times New Roman" w:hAnsi="Times New Roman"/>
          <w:sz w:val="20"/>
          <w:szCs w:val="20"/>
          <w:color w:val="auto"/>
        </w:rPr>
      </w:pPr>
    </w:p>
    <w:p>
      <w:pPr>
        <w:ind w:left="1824" w:hanging="528"/>
        <w:spacing w:after="0"/>
        <w:tabs>
          <w:tab w:leader="none" w:pos="1824" w:val="left"/>
        </w:tabs>
        <w:numPr>
          <w:ilvl w:val="1"/>
          <w:numId w:val="2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on securities that are the subject of repurchase agreements constituting Permitted Investments under clause</w:t>
      </w:r>
    </w:p>
    <w:p>
      <w:pPr>
        <w:spacing w:after="0" w:line="28" w:lineRule="exact"/>
        <w:rPr>
          <w:rFonts w:ascii="Times New Roman" w:cs="Times New Roman" w:eastAsia="Times New Roman" w:hAnsi="Times New Roman"/>
          <w:sz w:val="20"/>
          <w:szCs w:val="20"/>
          <w:color w:val="auto"/>
        </w:rPr>
      </w:pPr>
    </w:p>
    <w:p>
      <w:pPr>
        <w:ind w:left="4"/>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 of the definition thereof;</w:t>
      </w:r>
    </w:p>
    <w:p>
      <w:pPr>
        <w:spacing w:after="0" w:line="187" w:lineRule="exact"/>
        <w:rPr>
          <w:sz w:val="20"/>
          <w:szCs w:val="20"/>
          <w:color w:val="auto"/>
        </w:rPr>
      </w:pPr>
    </w:p>
    <w:p>
      <w:pPr>
        <w:ind w:left="4" w:firstLine="1292"/>
        <w:spacing w:after="0" w:line="269" w:lineRule="auto"/>
        <w:tabs>
          <w:tab w:leader="none" w:pos="1908" w:val="left"/>
        </w:tabs>
        <w:numPr>
          <w:ilvl w:val="0"/>
          <w:numId w:val="2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in respect of Permitted Securitization Financings that extend only to the assets subject thereto and Equity Interests of Special Purpose Securitization Subsidiaries;</w:t>
      </w:r>
    </w:p>
    <w:p>
      <w:pPr>
        <w:spacing w:after="0" w:line="159" w:lineRule="exact"/>
        <w:rPr>
          <w:rFonts w:ascii="Times New Roman" w:cs="Times New Roman" w:eastAsia="Times New Roman" w:hAnsi="Times New Roman"/>
          <w:sz w:val="20"/>
          <w:szCs w:val="20"/>
          <w:color w:val="auto"/>
        </w:rPr>
      </w:pPr>
    </w:p>
    <w:p>
      <w:pPr>
        <w:ind w:left="4" w:firstLine="1292"/>
        <w:spacing w:after="0" w:line="269" w:lineRule="auto"/>
        <w:tabs>
          <w:tab w:leader="none" w:pos="1876" w:val="left"/>
        </w:tabs>
        <w:numPr>
          <w:ilvl w:val="0"/>
          <w:numId w:val="2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securing insurance premiums financing arrangements;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such Liens are limited to the applicable unearned insurance premiums;</w:t>
      </w:r>
    </w:p>
    <w:p>
      <w:pPr>
        <w:spacing w:after="0" w:line="159" w:lineRule="exact"/>
        <w:rPr>
          <w:rFonts w:ascii="Times New Roman" w:cs="Times New Roman" w:eastAsia="Times New Roman" w:hAnsi="Times New Roman"/>
          <w:sz w:val="20"/>
          <w:szCs w:val="20"/>
          <w:color w:val="auto"/>
        </w:rPr>
      </w:pPr>
    </w:p>
    <w:p>
      <w:pPr>
        <w:ind w:left="4" w:firstLine="1292"/>
        <w:spacing w:after="0" w:line="269" w:lineRule="auto"/>
        <w:tabs>
          <w:tab w:leader="none" w:pos="1868" w:val="left"/>
        </w:tabs>
        <w:numPr>
          <w:ilvl w:val="0"/>
          <w:numId w:val="2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Real Property that constitutes a leasehold interest, any Lien to which the fee simple interest (or any superior leasehold interest) is subject;</w:t>
      </w:r>
    </w:p>
    <w:p>
      <w:pPr>
        <w:spacing w:after="0" w:line="145" w:lineRule="exact"/>
        <w:rPr>
          <w:rFonts w:ascii="Times New Roman" w:cs="Times New Roman" w:eastAsia="Times New Roman" w:hAnsi="Times New Roman"/>
          <w:sz w:val="20"/>
          <w:szCs w:val="20"/>
          <w:color w:val="auto"/>
        </w:rPr>
      </w:pPr>
    </w:p>
    <w:p>
      <w:pPr>
        <w:ind w:left="4" w:firstLine="1292"/>
        <w:spacing w:after="0" w:line="283" w:lineRule="auto"/>
        <w:tabs>
          <w:tab w:leader="none" w:pos="1863" w:val="left"/>
        </w:tabs>
        <w:numPr>
          <w:ilvl w:val="0"/>
          <w:numId w:val="2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securing Indebtedness or other obligation (i) of the Borrower or a Subsidiary in favor of the Borrower or any Subsidiary Loan Party and (ii) of any Subsidiary that is not a Loan Party in favor of any Subsidiary that is not a Loan Party;</w:t>
      </w:r>
    </w:p>
    <w:p>
      <w:pPr>
        <w:spacing w:after="0" w:line="132" w:lineRule="exact"/>
        <w:rPr>
          <w:rFonts w:ascii="Times New Roman" w:cs="Times New Roman" w:eastAsia="Times New Roman" w:hAnsi="Times New Roman"/>
          <w:sz w:val="20"/>
          <w:szCs w:val="20"/>
          <w:color w:val="auto"/>
        </w:rPr>
      </w:pPr>
    </w:p>
    <w:p>
      <w:pPr>
        <w:jc w:val="both"/>
        <w:ind w:left="4" w:firstLine="1292"/>
        <w:spacing w:after="0" w:line="261" w:lineRule="auto"/>
        <w:tabs>
          <w:tab w:leader="none" w:pos="1862" w:val="left"/>
        </w:tabs>
        <w:numPr>
          <w:ilvl w:val="0"/>
          <w:numId w:val="2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(i) on not more than $15,000,000 of deposits securing Hedging Agreements entered into for non-speculative purposes and (ii) on cash or Permitted Investments securing Hedging Agreements in the ordinary course of business submitted for clearing in accordance with applicable Requirements of Law;</w:t>
      </w:r>
    </w:p>
    <w:p>
      <w:pPr>
        <w:spacing w:after="0" w:line="167" w:lineRule="exact"/>
        <w:rPr>
          <w:rFonts w:ascii="Times New Roman" w:cs="Times New Roman" w:eastAsia="Times New Roman" w:hAnsi="Times New Roman"/>
          <w:sz w:val="20"/>
          <w:szCs w:val="20"/>
          <w:color w:val="auto"/>
        </w:rPr>
      </w:pPr>
    </w:p>
    <w:p>
      <w:pPr>
        <w:jc w:val="both"/>
        <w:ind w:left="4" w:firstLine="1292"/>
        <w:spacing w:after="0" w:line="254" w:lineRule="auto"/>
        <w:tabs>
          <w:tab w:leader="none" w:pos="1791" w:val="left"/>
        </w:tabs>
        <w:numPr>
          <w:ilvl w:val="0"/>
          <w:numId w:val="2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on goods or inventory the purchase, shipment or storage price of which is financed by a documentary letter of credit, bank guarantee or bankers’ acceptance issued or created for the account of the Borrower or any Subsidiary in the ordinary course of business;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such Lien secures only the obligations of the Borrower or such Subsidiaries in respect of such letter of credit, bank guarantee or banker’s acceptance to the extent permitted under Section 6.01;</w:t>
      </w:r>
    </w:p>
    <w:p>
      <w:pPr>
        <w:spacing w:after="0" w:line="173" w:lineRule="exact"/>
        <w:rPr>
          <w:rFonts w:ascii="Times New Roman" w:cs="Times New Roman" w:eastAsia="Times New Roman" w:hAnsi="Times New Roman"/>
          <w:sz w:val="20"/>
          <w:szCs w:val="20"/>
          <w:color w:val="auto"/>
        </w:rPr>
      </w:pPr>
    </w:p>
    <w:p>
      <w:pPr>
        <w:ind w:left="1824" w:hanging="528"/>
        <w:spacing w:after="0"/>
        <w:tabs>
          <w:tab w:leader="none" w:pos="1824" w:val="left"/>
        </w:tabs>
        <w:numPr>
          <w:ilvl w:val="0"/>
          <w:numId w:val="2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on Collateral that are Junior Liens;</w:t>
      </w:r>
    </w:p>
    <w:p>
      <w:pPr>
        <w:spacing w:after="0" w:line="202" w:lineRule="exact"/>
        <w:rPr>
          <w:rFonts w:ascii="Times New Roman" w:cs="Times New Roman" w:eastAsia="Times New Roman" w:hAnsi="Times New Roman"/>
          <w:sz w:val="20"/>
          <w:szCs w:val="20"/>
          <w:color w:val="auto"/>
        </w:rPr>
      </w:pPr>
    </w:p>
    <w:p>
      <w:pPr>
        <w:jc w:val="both"/>
        <w:ind w:left="4" w:firstLine="1292"/>
        <w:spacing w:after="0" w:line="258" w:lineRule="auto"/>
        <w:tabs>
          <w:tab w:leader="none" w:pos="1907" w:val="left"/>
        </w:tabs>
        <w:numPr>
          <w:ilvl w:val="0"/>
          <w:numId w:val="2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on Collateral that are Other First Liens, so long as immediately after giving effect to the incurrence of the Indebtedness secured by such Other First Liens and the use of proceeds thereof, the Net First Lien Leverage Ratio on a Pro Forma Basis is not greater than 3.10 to 1.00;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Indebtedness for borrowed money in the form of term loans secured by such Liens shall be subject to the last paragraph of this Section 6.02;</w:t>
      </w:r>
    </w:p>
    <w:p>
      <w:pPr>
        <w:spacing w:after="0" w:line="158" w:lineRule="exact"/>
        <w:rPr>
          <w:rFonts w:ascii="Times New Roman" w:cs="Times New Roman" w:eastAsia="Times New Roman" w:hAnsi="Times New Roman"/>
          <w:sz w:val="20"/>
          <w:szCs w:val="20"/>
          <w:color w:val="auto"/>
        </w:rPr>
      </w:pPr>
    </w:p>
    <w:p>
      <w:pPr>
        <w:ind w:left="4" w:right="20" w:firstLine="1292"/>
        <w:spacing w:after="0" w:line="283" w:lineRule="auto"/>
        <w:tabs>
          <w:tab w:leader="none" w:pos="1772" w:val="left"/>
        </w:tabs>
        <w:numPr>
          <w:ilvl w:val="0"/>
          <w:numId w:val="2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Liens on Collateral that are Other First Liens, so long as such Other First Liens secure Indebtedness permitted by Section 6.01(b), 6.01(h)(i)(w), 6.01(q), 6.01(y), 6.01(z) or</w:t>
      </w:r>
    </w:p>
    <w:p>
      <w:pPr>
        <w:sectPr>
          <w:pgSz w:w="11900" w:h="16838" w:orient="portrait"/>
          <w:cols w:equalWidth="0" w:num="1">
            <w:col w:w="11124"/>
          </w:cols>
          <w:pgMar w:left="436" w:top="108" w:right="339" w:bottom="1440" w:gutter="0" w:footer="0" w:header="0"/>
        </w:sectPr>
      </w:pPr>
    </w:p>
    <w:bookmarkStart w:id="324" w:name="page325"/>
    <w:bookmarkEnd w:id="324"/>
    <w:p>
      <w:pPr>
        <w:jc w:val="right"/>
        <w:spacing w:after="0"/>
        <w:rPr>
          <w:sz w:val="20"/>
          <w:szCs w:val="20"/>
          <w:color w:val="auto"/>
        </w:rPr>
      </w:pPr>
      <w:r>
        <w:rPr>
          <w:rFonts w:ascii="Times New Roman" w:cs="Times New Roman" w:eastAsia="Times New Roman" w:hAnsi="Times New Roman"/>
          <w:sz w:val="22"/>
          <w:szCs w:val="22"/>
          <w:color w:val="FF0000"/>
          <w:strike w:val="1"/>
        </w:rPr>
        <w:t>ANNEX</w:t>
      </w:r>
      <w:r>
        <w:rPr>
          <w:rFonts w:ascii="Times New Roman" w:cs="Times New Roman" w:eastAsia="Times New Roman" w:hAnsi="Times New Roman"/>
          <w:sz w:val="22"/>
          <w:szCs w:val="22"/>
          <w:b w:val="1"/>
          <w:bCs w:val="1"/>
          <w:u w:val="single" w:color="auto"/>
          <w:color w:val="0000FF"/>
        </w:rPr>
        <w:t>EXHIBIT</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6.01(ii) (and, in each case, Permitted Refinancing Indebtedness in respect thereof), (ii) Liens on Collateral that are Junior Liens, so long as such Junior Liens secure Indebtedness permitted by Section 6.01(b), 6.01(h)(i)(x), 6.01(i), 6.01(r), 6.01(y), 6.01(z) or 6.01(ii) (and, in each case, Permitted Refinancing Indebtedness in respect thereof) and (iii) Liens to secure Indebtedness permitted by Section 6.01(i) (and, in each case, Permitted Refinancing Indebtedness in respect thereof);</w:t>
      </w:r>
    </w:p>
    <w:p>
      <w:pPr>
        <w:spacing w:after="0" w:line="159" w:lineRule="exact"/>
        <w:rPr>
          <w:sz w:val="20"/>
          <w:szCs w:val="20"/>
          <w:color w:val="auto"/>
        </w:rPr>
      </w:pPr>
    </w:p>
    <w:p>
      <w:pPr>
        <w:ind w:firstLine="1292"/>
        <w:spacing w:after="0" w:line="283" w:lineRule="auto"/>
        <w:tabs>
          <w:tab w:leader="none" w:pos="1785" w:val="left"/>
        </w:tabs>
        <w:numPr>
          <w:ilvl w:val="0"/>
          <w:numId w:val="2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arising out of conditional sale, title retention or similar arrangements for the sale or purchase of goods by the Borrower or any of the Subsidiaries in the ordinary course of business;</w:t>
      </w:r>
    </w:p>
    <w:p>
      <w:pPr>
        <w:spacing w:after="0" w:line="132" w:lineRule="exact"/>
        <w:rPr>
          <w:rFonts w:ascii="Times New Roman" w:cs="Times New Roman" w:eastAsia="Times New Roman" w:hAnsi="Times New Roman"/>
          <w:sz w:val="20"/>
          <w:szCs w:val="20"/>
          <w:color w:val="auto"/>
        </w:rPr>
      </w:pPr>
    </w:p>
    <w:p>
      <w:pPr>
        <w:jc w:val="both"/>
        <w:ind w:firstLine="1292"/>
        <w:spacing w:after="0" w:line="249" w:lineRule="auto"/>
        <w:tabs>
          <w:tab w:leader="none" w:pos="1856" w:val="left"/>
        </w:tabs>
        <w:numPr>
          <w:ilvl w:val="0"/>
          <w:numId w:val="2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to secure any Indebtedness issued or incurred to Refinance (or successive Indebtedness issued or incurred for subsequent Refinancings) as a whole, or in part, any Indebtedness secured by any Lien permitted by this Section 6.02;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(v) with respect to any Liens on the Collateral being incurred under this clause (kk), if Liens on the Collateral securing the Indebtedness being Refinanced (if any) were Junior Liens, then such Liens on such Collateral being incurred under this clause (kk) shall also be Junior Liens, (w) with respect to any Liens on the Collateral being incurred under this clause (kk), if Liens on the Collateral securing the Indebtedness being Refinanced (if any) were Other First Liens, then such Liens on such Collateral being incurred under this clause (kk) may also be Other First Liens or Junior Liens, (x) (other than Liens contemplated by the foregoing clauses (v) and (w)) such new Lien shall be limited to all or part of the same type of property that secured the original Lien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improvements on and accessions to such property, proceeds and products thereof, customary security deposits and any other assets pursuant to after-acquired property clauses to the extent such assets secured (or would have secured) the Indebtedness being Refinanced), (y) the Indebtedness secured by such Lien at such time is not increased to any amount greater than the sum of (A) the outstanding principal amount (or accreted value, if applicable) or, if greater, committed amount of the applicable Indebtedness at the time the original Lien became a Lien permitted hereunder, (B) unpaid accrued interest and premium (including tender premiums) and (C) an amount necessary to pay any associated underwriting discounts, defeasance costs, fees, commissions and expenses, and (z) on the date of the incurrence of the Indebtedness secured by such Liens, the grantors of any such Liens shall be no different from the grantors of the Liens securing the Indebtedness being Refinanced or grantors that would have been obligated to secure such Indebtedness or a Loan Party;</w:t>
      </w:r>
    </w:p>
    <w:p>
      <w:pPr>
        <w:spacing w:after="0" w:line="178" w:lineRule="exact"/>
        <w:rPr>
          <w:rFonts w:ascii="Times New Roman" w:cs="Times New Roman" w:eastAsia="Times New Roman" w:hAnsi="Times New Roman"/>
          <w:sz w:val="20"/>
          <w:szCs w:val="20"/>
          <w:color w:val="auto"/>
        </w:rPr>
      </w:pPr>
    </w:p>
    <w:p>
      <w:pPr>
        <w:jc w:val="both"/>
        <w:ind w:firstLine="1292"/>
        <w:spacing w:after="0" w:line="261" w:lineRule="auto"/>
        <w:tabs>
          <w:tab w:leader="none" w:pos="1765" w:val="left"/>
        </w:tabs>
        <w:numPr>
          <w:ilvl w:val="0"/>
          <w:numId w:val="2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other Liens with respect to property or assets of the Borrower or any Subsidiary securing obligations in an aggregate outstanding principal amount that, immediately after giving effect to the incurrence of such Liens, would not exceed the greater of $425,000,000 and 0.50 </w:t>
      </w:r>
      <w:r>
        <w:rPr>
          <w:rFonts w:ascii="Times New Roman" w:cs="Times New Roman" w:eastAsia="Times New Roman" w:hAnsi="Times New Roman"/>
          <w:sz w:val="20"/>
          <w:szCs w:val="20"/>
          <w:u w:val="single" w:color="auto"/>
          <w:color w:val="auto"/>
        </w:rPr>
        <w:t>times</w:t>
      </w:r>
      <w:r>
        <w:rPr>
          <w:rFonts w:ascii="Times New Roman" w:cs="Times New Roman" w:eastAsia="Times New Roman" w:hAnsi="Times New Roman"/>
          <w:sz w:val="20"/>
          <w:szCs w:val="20"/>
          <w:color w:val="auto"/>
        </w:rPr>
        <w:t xml:space="preserve"> the EBITDA calculated on a Pro Forma Basis for the then most recently ended Test Period;</w:t>
      </w:r>
    </w:p>
    <w:p>
      <w:pPr>
        <w:spacing w:after="0" w:line="154" w:lineRule="exact"/>
        <w:rPr>
          <w:rFonts w:ascii="Times New Roman" w:cs="Times New Roman" w:eastAsia="Times New Roman" w:hAnsi="Times New Roman"/>
          <w:sz w:val="20"/>
          <w:szCs w:val="20"/>
          <w:color w:val="auto"/>
        </w:rPr>
      </w:pPr>
    </w:p>
    <w:p>
      <w:pPr>
        <w:jc w:val="both"/>
        <w:ind w:firstLine="1292"/>
        <w:spacing w:after="0" w:line="257" w:lineRule="auto"/>
        <w:tabs>
          <w:tab w:leader="none" w:pos="2004" w:val="left"/>
        </w:tabs>
        <w:numPr>
          <w:ilvl w:val="0"/>
          <w:numId w:val="2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on property of, or on Equity Interests or Indebtedness of, any person existing at the time (A) such person becomes a Subsidiary of the Borrower or (B) such person or property is acquired by the Borrower or any Subsidiary;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such Liens do not extend to any other assets of the Borrower or any Subsidiary (other than accessions and additions thereto and proceeds or products thereof and other than after-acquired property) and (ii) such Liens secure only those obligations which they secure on the date such person becomes a Subsidiary or the date of such acquisition (and any extensions, renewals, replacements or refinancings thereof);</w:t>
      </w:r>
    </w:p>
    <w:p>
      <w:pPr>
        <w:spacing w:after="0" w:line="159" w:lineRule="exact"/>
        <w:rPr>
          <w:rFonts w:ascii="Times New Roman" w:cs="Times New Roman" w:eastAsia="Times New Roman" w:hAnsi="Times New Roman"/>
          <w:sz w:val="20"/>
          <w:szCs w:val="20"/>
          <w:color w:val="auto"/>
        </w:rPr>
      </w:pPr>
    </w:p>
    <w:p>
      <w:pPr>
        <w:jc w:val="both"/>
        <w:ind w:firstLine="1292"/>
        <w:spacing w:after="0" w:line="261" w:lineRule="auto"/>
        <w:tabs>
          <w:tab w:leader="none" w:pos="1839" w:val="left"/>
        </w:tabs>
        <w:numPr>
          <w:ilvl w:val="0"/>
          <w:numId w:val="2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(i) on inventory held by and granted to a local distribution company in the ordinary course of business and (ii) in accounts purchased and collected by and grated to a local distribution company that has agreed to make payments to the Borrower or any of its Subsidiaries for such amounts in the ordinary course of business; and</w:t>
      </w:r>
    </w:p>
    <w:p>
      <w:pPr>
        <w:sectPr>
          <w:pgSz w:w="11900" w:h="16838" w:orient="portrait"/>
          <w:cols w:equalWidth="0" w:num="1">
            <w:col w:w="11120"/>
          </w:cols>
          <w:pgMar w:left="440" w:top="108" w:right="339" w:bottom="1440" w:gutter="0" w:footer="0" w:header="0"/>
        </w:sectPr>
      </w:pPr>
    </w:p>
    <w:bookmarkStart w:id="325" w:name="page326"/>
    <w:bookmarkEnd w:id="325"/>
    <w:p>
      <w:pPr>
        <w:jc w:val="right"/>
        <w:spacing w:after="0"/>
        <w:rPr>
          <w:sz w:val="20"/>
          <w:szCs w:val="20"/>
          <w:color w:val="auto"/>
        </w:rPr>
      </w:pPr>
      <w:r>
        <w:rPr>
          <w:rFonts w:ascii="Times New Roman" w:cs="Times New Roman" w:eastAsia="Times New Roman" w:hAnsi="Times New Roman"/>
          <w:sz w:val="22"/>
          <w:szCs w:val="22"/>
          <w:color w:val="FF0000"/>
          <w:strike w:val="1"/>
        </w:rPr>
        <w:t>ANNEX</w:t>
      </w:r>
      <w:r>
        <w:rPr>
          <w:rFonts w:ascii="Times New Roman" w:cs="Times New Roman" w:eastAsia="Times New Roman" w:hAnsi="Times New Roman"/>
          <w:sz w:val="22"/>
          <w:szCs w:val="22"/>
          <w:b w:val="1"/>
          <w:bCs w:val="1"/>
          <w:u w:val="single" w:color="auto"/>
          <w:color w:val="0000FF"/>
        </w:rPr>
        <w:t>EXHIBIT</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2080" w:hanging="668"/>
        <w:spacing w:after="0"/>
        <w:tabs>
          <w:tab w:leader="none" w:pos="2080" w:val="left"/>
        </w:tabs>
        <w:numPr>
          <w:ilvl w:val="0"/>
          <w:numId w:val="2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in respect of Indebtedness secured by mortgages on the corporate headquarters of the Borrower and its</w:t>
      </w:r>
    </w:p>
    <w:p>
      <w:pPr>
        <w:spacing w:after="0" w:line="2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Subsidiaries.</w:t>
      </w:r>
    </w:p>
    <w:p>
      <w:pPr>
        <w:spacing w:after="0" w:line="187"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0"/>
          <w:szCs w:val="20"/>
          <w:color w:val="auto"/>
        </w:rPr>
        <w:t>For purposes of determining compliance with this Section 6.02, (A) a Lien securing an item of Indebtedness need not be permitted solely by reference to one category of permitted Liens (or any portion thereof) described in Sections 6.02(a) through (oo) but may be permitted in part under any combination thereof and (B) in the event that a Lien securing an item of Indebtedness (or any portion thereof) meets the criteria of one or more of the categories of permitted Liens (or any portion thereof) described in Sections 6.02(a) through (oo), the Borrower may, in its sole discretion, divide, classify or reclassify, or later divide, classify or reclassify (as if incurred at such later time), such Lien securing such item of Indebtedness (or any portion thereof) in any manner that complies with this Section 6.02 and at the time of incurrence, division, classification or reclassification will be entitled to only include the amount and type of such Lien or such item of Indebtedness secured by such Lien (or any portion thereof) in one of the above clauses (or any portion thereof) and such Lien securing such item of Indebtedness (or any portion thereof) will be treated as being incurred or existing pursuant to only such clause or clauses (or any portion thereof) without giving pro forma effect to such item (or any portion thereof) when calculating the amount of Liens or Indebtedness that may be incurred, divided, classified or reclassified pursuant to any other clause (or any portion thereof) at such time. In addition, with respect to any Indebtedness that is designated to be incurred on any Deemed Date pursuant to clause (C) of the third paragraph of Section 6.01, any Lien that does or that shall secure such Indebtedness may also be designated by the Borrower or any Subsidiary to be incurred on such Deemed Date and, in such event, any related subsequent actual incurrence of such Lien shall be deemed for purposes of Section 6.01 and 6.02 of this Agreement, without duplication, to be incurred on such prior date (and on any subsequent date until such commitment is funded or terminated or such election is rescinded), including for purposes of calculating usage of any Permitted Lien until such time as the related Indebtedness is no longer deemed outstanding pursuant to clause (C) of the third paragraph of Section 6.01. In addition, with respect to any Lien securing Indebtedness that was permitted to secure such Indebtedness at the time of the incurrence of such Indebtedness, such Lien shall also be permitted to secure any Increased Amount of such Indebtedness.</w:t>
      </w:r>
    </w:p>
    <w:p>
      <w:pPr>
        <w:spacing w:after="0" w:line="178"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0"/>
          <w:szCs w:val="20"/>
          <w:color w:val="auto"/>
        </w:rPr>
        <w:t>With respect to (x) Indebtedness for borrowed money incurred prior to the twelve month anniversary of the 2021 Effective Date in the form of term loans that are secured by Liens on the Collateral that are Other First Liens incurred under Section 6.02(hh) or (y) any Indebtedness for borrowed money incurred (but not assumed) in the form of term loans pursuant to Section 6.01(h)(i)(w) or any Indebtedness for borrowed money in the form of term loans incurred pursuant to Section 6.01(q)(i) or Section 6.01(z)(i), in each case, prior to the twelve month anniversary of the 2021 Effective Date that is secured by Liens on the Collateral that are Other First Liens (any such Indebtedness, “</w:t>
      </w:r>
      <w:r>
        <w:rPr>
          <w:rFonts w:ascii="Times New Roman" w:cs="Times New Roman" w:eastAsia="Times New Roman" w:hAnsi="Times New Roman"/>
          <w:sz w:val="20"/>
          <w:szCs w:val="20"/>
          <w:u w:val="single" w:color="auto"/>
          <w:color w:val="auto"/>
        </w:rPr>
        <w:t>Pari Term Loans</w:t>
      </w:r>
      <w:r>
        <w:rPr>
          <w:rFonts w:ascii="Times New Roman" w:cs="Times New Roman" w:eastAsia="Times New Roman" w:hAnsi="Times New Roman"/>
          <w:sz w:val="20"/>
          <w:szCs w:val="20"/>
          <w:color w:val="auto"/>
        </w:rPr>
        <w:t>”), if the All-in Yield in respect of such Pari Term Loans exceeds the All-in Yield in respect of the Term B Loans on the 2021 Effective Date by more than 0.50% (such difference, the “</w:t>
      </w:r>
      <w:r>
        <w:rPr>
          <w:rFonts w:ascii="Times New Roman" w:cs="Times New Roman" w:eastAsia="Times New Roman" w:hAnsi="Times New Roman"/>
          <w:sz w:val="20"/>
          <w:szCs w:val="20"/>
          <w:u w:val="single" w:color="auto"/>
          <w:color w:val="auto"/>
        </w:rPr>
        <w:t>Pari Yield Differential</w:t>
      </w:r>
      <w:r>
        <w:rPr>
          <w:rFonts w:ascii="Times New Roman" w:cs="Times New Roman" w:eastAsia="Times New Roman" w:hAnsi="Times New Roman"/>
          <w:sz w:val="20"/>
          <w:szCs w:val="20"/>
          <w:color w:val="auto"/>
        </w:rPr>
        <w:t xml:space="preserve">”), then the Applicable Margin (or “SOFR floor” as provided in the following proviso) applicable to such Term B Loans on the 2021 Effective Date shall be increased such that after giving effect to such increase, the Pari Yield Differential shall not exceed 0.50%;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to the extent any portion of the Pari Yield Differential is attributable to a higher “SOFR floor” being applicable to such Pari Term Loans, such floor shall only be included in the calculation of the Pari Yield Differential to the extent such floor is greater than the Adjusted Term SOFR Rate in effect for an Interest Period of three months’ duration at such time, and, with respect to such excess, the “SOFR floor” applicable to such outstanding Term B Loans shall be increased to an amount not to exceed the “SOFR floor” applicable to such Pari Term Loans prior to any increase in the Applicable Margin applicable to such Term B Loans.</w:t>
      </w:r>
    </w:p>
    <w:p>
      <w:pPr>
        <w:sectPr>
          <w:pgSz w:w="11900" w:h="16838" w:orient="portrait"/>
          <w:cols w:equalWidth="0" w:num="1">
            <w:col w:w="11240"/>
          </w:cols>
          <w:pgMar w:left="320" w:top="108" w:right="339" w:bottom="1440" w:gutter="0" w:footer="0" w:header="0"/>
        </w:sectPr>
      </w:pPr>
    </w:p>
    <w:bookmarkStart w:id="326" w:name="page327"/>
    <w:bookmarkEnd w:id="326"/>
    <w:p>
      <w:pPr>
        <w:jc w:val="right"/>
        <w:spacing w:after="0"/>
        <w:rPr>
          <w:sz w:val="20"/>
          <w:szCs w:val="20"/>
          <w:color w:val="auto"/>
        </w:rPr>
      </w:pPr>
      <w:r>
        <w:rPr>
          <w:rFonts w:ascii="Times New Roman" w:cs="Times New Roman" w:eastAsia="Times New Roman" w:hAnsi="Times New Roman"/>
          <w:sz w:val="22"/>
          <w:szCs w:val="22"/>
          <w:color w:val="FF0000"/>
          <w:strike w:val="1"/>
        </w:rPr>
        <w:t>ANNEX</w:t>
      </w:r>
      <w:r>
        <w:rPr>
          <w:rFonts w:ascii="Times New Roman" w:cs="Times New Roman" w:eastAsia="Times New Roman" w:hAnsi="Times New Roman"/>
          <w:sz w:val="22"/>
          <w:szCs w:val="22"/>
          <w:b w:val="1"/>
          <w:bCs w:val="1"/>
          <w:u w:val="single" w:color="auto"/>
          <w:color w:val="0000FF"/>
        </w:rPr>
        <w:t>EXHIBIT</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0"/>
          <w:szCs w:val="20"/>
          <w:color w:val="auto"/>
        </w:rPr>
        <w:t>Section 6.03 Sale and Lease-Back Transactions. Enter into any arrangement, directly or indirectly, with any person whereby it shall sell or transfer any property, real or personal, used or useful in its business, whether now owned or hereafter acquired, and thereafter, as part of such transaction, rent or lease such property or other property that it intends to use for substantially the same purpose or purposes as the property being sold or transferred (a “</w:t>
      </w:r>
      <w:r>
        <w:rPr>
          <w:rFonts w:ascii="Times New Roman" w:cs="Times New Roman" w:eastAsia="Times New Roman" w:hAnsi="Times New Roman"/>
          <w:sz w:val="20"/>
          <w:szCs w:val="20"/>
          <w:u w:val="single" w:color="auto"/>
          <w:color w:val="auto"/>
        </w:rPr>
        <w:t>Sale and Lease-Back Transaction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a Sale and Lease-Back Transaction shall be permitted (a) with respect to (i) Excluded Property, (ii) property owned by the Borrower or any Subsidiary Loan Party that is acquired after the Closing Date so long as such Sale and Lease-Back Transaction is consummated within 365 days of the acquisition of such property or (iii) property owned by any Subsidiary that is not a Loan Party regardless of when such property was acquired, and (b) with respect to any other property owned by the Borrower or any Subsidiary Loan Party, (x) if such Sale and Lease-Back Transaction is of property owned by the Borrower or any Subsidiary Loan Party as of the Closing Date, the Net Proceeds therefrom are used to prepay the Term Loans to the extent required by Section 2.11(b) and (y) with respect to any Sale and Lease-Back Transaction pursuant to this clause (b) with Net Proceeds in excess of $5,000,000 individually or $15,000,000 in the aggregate in any fiscal year, the requirements of the last paragraph of Section 6.05 shall apply to such Sale and Lease-Back Transaction to the extent provided therein.</w:t>
      </w:r>
    </w:p>
    <w:p>
      <w:pPr>
        <w:spacing w:after="0" w:line="16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20"/>
          <w:szCs w:val="20"/>
          <w:color w:val="auto"/>
        </w:rPr>
        <w:t>Section 6.04 Investments, Loans and Advances. (i) Purchase or acquire (including pursuant to any merger with a person that is not a Wholly Owned Subsidiary immediately prior to such merger) any Equity Interests, evidences of Indebtedness or other securities of any other person, (ii) make any loans or advances to or Guarantees of the Indebtedness of any other person (other than in respect of</w:t>
      </w:r>
    </w:p>
    <w:p>
      <w:pPr>
        <w:spacing w:after="0" w:line="1" w:lineRule="exact"/>
        <w:rPr>
          <w:sz w:val="20"/>
          <w:szCs w:val="20"/>
          <w:color w:val="auto"/>
        </w:rPr>
      </w:pPr>
    </w:p>
    <w:p>
      <w:pPr>
        <w:jc w:val="both"/>
        <w:ind w:firstLine="8"/>
        <w:spacing w:after="0" w:line="259" w:lineRule="auto"/>
        <w:tabs>
          <w:tab w:leader="none" w:pos="359" w:val="left"/>
        </w:tabs>
        <w:numPr>
          <w:ilvl w:val="0"/>
          <w:numId w:val="2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intercompany liabilities incurred in connection with the cash management, tax and accounting operations of the Borrower and the Subsidiaries and (B) intercompany loans, advances or Indebtedness having a term not exceeding 364 days (inclusive of any roll-overs or extensions of terms) and made in the ordinary course of business or consistent with industry practices), or (iii) purchase or otherwise acquire, in one transaction or a series of related transactions, (x) all or substantially all of the property and assets or business of another person or</w:t>
      </w:r>
    </w:p>
    <w:p>
      <w:pPr>
        <w:spacing w:after="0" w:line="1"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(y) assets constituting a business unit, line of business or division of such person (each of the foregoing, an “</w:t>
      </w:r>
      <w:r>
        <w:rPr>
          <w:rFonts w:ascii="Times New Roman" w:cs="Times New Roman" w:eastAsia="Times New Roman" w:hAnsi="Times New Roman"/>
          <w:sz w:val="20"/>
          <w:szCs w:val="20"/>
          <w:u w:val="single" w:color="auto"/>
          <w:color w:val="auto"/>
        </w:rPr>
        <w:t>Investment</w:t>
      </w:r>
      <w:r>
        <w:rPr>
          <w:rFonts w:ascii="Times New Roman" w:cs="Times New Roman" w:eastAsia="Times New Roman" w:hAnsi="Times New Roman"/>
          <w:sz w:val="20"/>
          <w:szCs w:val="20"/>
          <w:color w:val="auto"/>
        </w:rPr>
        <w:t>”), except:</w:t>
      </w:r>
    </w:p>
    <w:p>
      <w:pPr>
        <w:spacing w:after="0" w:line="186" w:lineRule="exact"/>
        <w:rPr>
          <w:rFonts w:ascii="Times New Roman" w:cs="Times New Roman" w:eastAsia="Times New Roman" w:hAnsi="Times New Roman"/>
          <w:sz w:val="19"/>
          <w:szCs w:val="19"/>
          <w:color w:val="auto"/>
        </w:rPr>
      </w:pPr>
    </w:p>
    <w:p>
      <w:pPr>
        <w:ind w:left="1820" w:hanging="408"/>
        <w:spacing w:after="0"/>
        <w:tabs>
          <w:tab w:leader="none" w:pos="1820" w:val="left"/>
        </w:tabs>
        <w:numPr>
          <w:ilvl w:val="2"/>
          <w:numId w:val="2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Transactions;</w:t>
      </w:r>
    </w:p>
    <w:p>
      <w:pPr>
        <w:spacing w:after="0" w:line="202" w:lineRule="exact"/>
        <w:rPr>
          <w:rFonts w:ascii="Times New Roman" w:cs="Times New Roman" w:eastAsia="Times New Roman" w:hAnsi="Times New Roman"/>
          <w:sz w:val="20"/>
          <w:szCs w:val="20"/>
          <w:color w:val="auto"/>
        </w:rPr>
      </w:pPr>
    </w:p>
    <w:p>
      <w:pPr>
        <w:ind w:left="2060" w:hanging="648"/>
        <w:spacing w:after="0"/>
        <w:tabs>
          <w:tab w:leader="none" w:pos="2060" w:val="left"/>
        </w:tabs>
        <w:numPr>
          <w:ilvl w:val="2"/>
          <w:numId w:val="2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Investments by the Borrower or any Subsidiary in the Equity Interests of the Borrower or any Subsidiary;</w:t>
      </w:r>
    </w:p>
    <w:p>
      <w:pPr>
        <w:spacing w:after="0" w:line="28" w:lineRule="exact"/>
        <w:rPr>
          <w:rFonts w:ascii="Times New Roman" w:cs="Times New Roman" w:eastAsia="Times New Roman" w:hAnsi="Times New Roman"/>
          <w:sz w:val="20"/>
          <w:szCs w:val="20"/>
          <w:color w:val="auto"/>
        </w:rPr>
      </w:pPr>
    </w:p>
    <w:p>
      <w:pPr>
        <w:ind w:left="120" w:hanging="4"/>
        <w:spacing w:after="0" w:line="267" w:lineRule="auto"/>
        <w:tabs>
          <w:tab w:leader="none" w:pos="426" w:val="left"/>
        </w:tabs>
        <w:numPr>
          <w:ilvl w:val="1"/>
          <w:numId w:val="2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intercompany loans from the Borrower or any Subsidiary to the Borrower or any Subsidiary; and (iii) Guarantees by the Borrower or any Subsidiary of Indebtedness otherwise permitted hereunder of the Borrower or any Subsidiary;</w:t>
      </w:r>
    </w:p>
    <w:p>
      <w:pPr>
        <w:spacing w:after="0" w:line="147" w:lineRule="exact"/>
        <w:rPr>
          <w:rFonts w:ascii="Times New Roman" w:cs="Times New Roman" w:eastAsia="Times New Roman" w:hAnsi="Times New Roman"/>
          <w:sz w:val="20"/>
          <w:szCs w:val="20"/>
          <w:color w:val="auto"/>
        </w:rPr>
      </w:pPr>
    </w:p>
    <w:p>
      <w:pPr>
        <w:ind w:left="1820" w:hanging="408"/>
        <w:spacing w:after="0"/>
        <w:tabs>
          <w:tab w:leader="none" w:pos="1820" w:val="left"/>
        </w:tabs>
        <w:numPr>
          <w:ilvl w:val="2"/>
          <w:numId w:val="2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Permitted Investments and Investments that were Permitted Investments when made;</w:t>
      </w:r>
    </w:p>
    <w:p>
      <w:pPr>
        <w:spacing w:after="0" w:line="202" w:lineRule="exact"/>
        <w:rPr>
          <w:rFonts w:ascii="Times New Roman" w:cs="Times New Roman" w:eastAsia="Times New Roman" w:hAnsi="Times New Roman"/>
          <w:sz w:val="20"/>
          <w:szCs w:val="20"/>
          <w:color w:val="auto"/>
        </w:rPr>
      </w:pPr>
    </w:p>
    <w:p>
      <w:pPr>
        <w:ind w:left="120" w:firstLine="1292"/>
        <w:spacing w:after="0" w:line="283" w:lineRule="auto"/>
        <w:tabs>
          <w:tab w:leader="none" w:pos="1852" w:val="left"/>
        </w:tabs>
        <w:numPr>
          <w:ilvl w:val="2"/>
          <w:numId w:val="2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arising out of the receipt by the Borrower or any Subsidiary of non-cash consideration for the Disposition of assets permitted under Section 6.05;</w:t>
      </w:r>
    </w:p>
    <w:p>
      <w:pPr>
        <w:spacing w:after="0" w:line="132" w:lineRule="exact"/>
        <w:rPr>
          <w:rFonts w:ascii="Times New Roman" w:cs="Times New Roman" w:eastAsia="Times New Roman" w:hAnsi="Times New Roman"/>
          <w:sz w:val="20"/>
          <w:szCs w:val="20"/>
          <w:color w:val="auto"/>
        </w:rPr>
      </w:pPr>
    </w:p>
    <w:p>
      <w:pPr>
        <w:jc w:val="both"/>
        <w:ind w:left="120" w:firstLine="1292"/>
        <w:spacing w:after="0" w:line="253" w:lineRule="auto"/>
        <w:tabs>
          <w:tab w:leader="none" w:pos="1957" w:val="left"/>
        </w:tabs>
        <w:numPr>
          <w:ilvl w:val="2"/>
          <w:numId w:val="2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loans and advances to officers, directors, employees or consultants of the Borrower or any Subsidiary (i) in the ordinary course of business in an aggregate outstanding amount (valued at the time of the making thereof, and without giving effect to any subsequent change in value) not to exceed $20,000,000, (ii) in respect of payroll payments and expenses in the ordinary course of business and (iii) in connection with such person’s purchase of Equity Interests of Holdings (or any Parent Entity) solely to the extent that the amount of such loans and advances shall be contributed to the Borrower in cash as common equity;</w:t>
      </w:r>
    </w:p>
    <w:p>
      <w:pPr>
        <w:sectPr>
          <w:pgSz w:w="11900" w:h="16838" w:orient="portrait"/>
          <w:cols w:equalWidth="0" w:num="1">
            <w:col w:w="11240"/>
          </w:cols>
          <w:pgMar w:left="320" w:top="108" w:right="339" w:bottom="1440" w:gutter="0" w:footer="0" w:header="0"/>
        </w:sectPr>
      </w:pPr>
    </w:p>
    <w:bookmarkStart w:id="327" w:name="page328"/>
    <w:bookmarkEnd w:id="327"/>
    <w:p>
      <w:pPr>
        <w:jc w:val="right"/>
        <w:spacing w:after="0"/>
        <w:rPr>
          <w:sz w:val="20"/>
          <w:szCs w:val="20"/>
          <w:color w:val="auto"/>
        </w:rPr>
      </w:pPr>
      <w:r>
        <w:rPr>
          <w:rFonts w:ascii="Times New Roman" w:cs="Times New Roman" w:eastAsia="Times New Roman" w:hAnsi="Times New Roman"/>
          <w:sz w:val="22"/>
          <w:szCs w:val="22"/>
          <w:color w:val="FF0000"/>
          <w:strike w:val="1"/>
        </w:rPr>
        <w:t>ANNEX</w:t>
      </w:r>
      <w:r>
        <w:rPr>
          <w:rFonts w:ascii="Times New Roman" w:cs="Times New Roman" w:eastAsia="Times New Roman" w:hAnsi="Times New Roman"/>
          <w:sz w:val="22"/>
          <w:szCs w:val="22"/>
          <w:b w:val="1"/>
          <w:bCs w:val="1"/>
          <w:u w:val="single" w:color="auto"/>
          <w:color w:val="0000FF"/>
        </w:rPr>
        <w:t>EXHIBIT</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ind w:firstLine="1292"/>
        <w:spacing w:after="0" w:line="258" w:lineRule="auto"/>
        <w:tabs>
          <w:tab w:leader="none" w:pos="1808" w:val="left"/>
        </w:tabs>
        <w:numPr>
          <w:ilvl w:val="0"/>
          <w:numId w:val="2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accounts receivable, security deposits and prepayments arising and trade credit granted in the ordinary course of business and any assets or securities received in satisfaction or partial satisfaction thereof from financially troubled account debtors to the extent reasonably necessary in order to prevent or limit loss and any prepayments and other credits to suppliers made in the ordinary course of business;</w:t>
      </w:r>
    </w:p>
    <w:p>
      <w:pPr>
        <w:spacing w:after="0" w:line="158" w:lineRule="exact"/>
        <w:rPr>
          <w:rFonts w:ascii="Times New Roman" w:cs="Times New Roman" w:eastAsia="Times New Roman" w:hAnsi="Times New Roman"/>
          <w:sz w:val="20"/>
          <w:szCs w:val="20"/>
          <w:color w:val="auto"/>
        </w:rPr>
      </w:pPr>
    </w:p>
    <w:p>
      <w:pPr>
        <w:ind w:left="1720" w:hanging="428"/>
        <w:spacing w:after="0"/>
        <w:tabs>
          <w:tab w:leader="none" w:pos="1720" w:val="left"/>
        </w:tabs>
        <w:numPr>
          <w:ilvl w:val="0"/>
          <w:numId w:val="2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Hedging Agreements entered into for non-speculative purposes;</w:t>
      </w:r>
    </w:p>
    <w:p>
      <w:pPr>
        <w:spacing w:after="0" w:line="202" w:lineRule="exact"/>
        <w:rPr>
          <w:rFonts w:ascii="Times New Roman" w:cs="Times New Roman" w:eastAsia="Times New Roman" w:hAnsi="Times New Roman"/>
          <w:sz w:val="20"/>
          <w:szCs w:val="20"/>
          <w:color w:val="auto"/>
        </w:rPr>
      </w:pPr>
    </w:p>
    <w:p>
      <w:pPr>
        <w:jc w:val="both"/>
        <w:ind w:firstLine="1292"/>
        <w:spacing w:after="0" w:line="257" w:lineRule="auto"/>
        <w:tabs>
          <w:tab w:leader="none" w:pos="1810" w:val="left"/>
        </w:tabs>
        <w:numPr>
          <w:ilvl w:val="0"/>
          <w:numId w:val="2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Investments existing on, or contractually committed as of, the Closing Date and set forth on </w:t>
      </w:r>
      <w:r>
        <w:rPr>
          <w:rFonts w:ascii="Times New Roman" w:cs="Times New Roman" w:eastAsia="Times New Roman" w:hAnsi="Times New Roman"/>
          <w:sz w:val="20"/>
          <w:szCs w:val="20"/>
          <w:u w:val="single" w:color="auto"/>
          <w:color w:val="auto"/>
        </w:rPr>
        <w:t>Schedule 6.04</w:t>
      </w:r>
      <w:r>
        <w:rPr>
          <w:rFonts w:ascii="Times New Roman" w:cs="Times New Roman" w:eastAsia="Times New Roman" w:hAnsi="Times New Roman"/>
          <w:sz w:val="20"/>
          <w:szCs w:val="20"/>
          <w:color w:val="auto"/>
        </w:rPr>
        <w:t xml:space="preserve"> to the Original Credit Agreement and any extensions, renewals, replacements or reinvestments thereof, so long as the aggregate amount of all Investments pursuant to this clause (h) is not increased at any time above the amount of such Investment existing or committed on the Closing Date (other than pursuant to an increase as required by the terms of any such Investment as in existence on the Closing Date or as otherwise permitted by this Section 6.04);</w:t>
      </w:r>
    </w:p>
    <w:p>
      <w:pPr>
        <w:spacing w:after="0" w:line="159" w:lineRule="exact"/>
        <w:rPr>
          <w:rFonts w:ascii="Times New Roman" w:cs="Times New Roman" w:eastAsia="Times New Roman" w:hAnsi="Times New Roman"/>
          <w:sz w:val="20"/>
          <w:szCs w:val="20"/>
          <w:color w:val="auto"/>
        </w:rPr>
      </w:pPr>
    </w:p>
    <w:p>
      <w:pPr>
        <w:ind w:left="1680" w:hanging="388"/>
        <w:spacing w:after="0"/>
        <w:tabs>
          <w:tab w:leader="none" w:pos="1680" w:val="left"/>
        </w:tabs>
        <w:numPr>
          <w:ilvl w:val="0"/>
          <w:numId w:val="2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resulting from pledges and deposits under Sections 6.02(f), (g), (o), (r), (s), (ee) and (ll);</w:t>
      </w:r>
    </w:p>
    <w:p>
      <w:pPr>
        <w:spacing w:after="0" w:line="202" w:lineRule="exact"/>
        <w:rPr>
          <w:rFonts w:ascii="Times New Roman" w:cs="Times New Roman" w:eastAsia="Times New Roman" w:hAnsi="Times New Roman"/>
          <w:sz w:val="20"/>
          <w:szCs w:val="20"/>
          <w:color w:val="auto"/>
        </w:rPr>
      </w:pPr>
    </w:p>
    <w:p>
      <w:pPr>
        <w:jc w:val="both"/>
        <w:ind w:firstLine="1292"/>
        <w:spacing w:after="0" w:line="251" w:lineRule="auto"/>
        <w:tabs>
          <w:tab w:leader="none" w:pos="1740" w:val="left"/>
        </w:tabs>
        <w:numPr>
          <w:ilvl w:val="0"/>
          <w:numId w:val="2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other Investments by the Borrower or any Subsidiary in an aggregate outstanding amount (valued at the time of the making thereof, and without giving effect to any subsequent change in value) not to exceed the sum of (X) the greater of $425,000,000 and 0.50 </w:t>
      </w:r>
      <w:r>
        <w:rPr>
          <w:rFonts w:ascii="Times New Roman" w:cs="Times New Roman" w:eastAsia="Times New Roman" w:hAnsi="Times New Roman"/>
          <w:sz w:val="20"/>
          <w:szCs w:val="20"/>
          <w:u w:val="single" w:color="auto"/>
          <w:color w:val="auto"/>
        </w:rPr>
        <w:t>times</w:t>
      </w:r>
      <w:r>
        <w:rPr>
          <w:rFonts w:ascii="Times New Roman" w:cs="Times New Roman" w:eastAsia="Times New Roman" w:hAnsi="Times New Roman"/>
          <w:sz w:val="20"/>
          <w:szCs w:val="20"/>
          <w:color w:val="auto"/>
        </w:rPr>
        <w:t xml:space="preserve"> the EBITDA calculated on a Pro Forma Basis for the then most recently ended Test Period,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(Y) any portion of the Cumulative Credit on the date of such election that the Borrower elects to apply to this Section 6.04(j)(Y), which such election shall (unless such Investment is made pursuant to clause (a) of the definition of “Cumulative Credit”) be set forth in a written notice of a Responsible Officer thereof, which notice shall set forth calculations in reasonable detail the amount of Cumulative Credit immediately prior to such election and the amount thereof elected to be so applied, and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(Z) an amount equal to any returns (including dividends, interest, distributions, returns of principal, profits on sale, repayments, income and similar amounts) actually received in respect of any such Investment pursuant to clause (X);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if any Investment pursuant to this Section 6.04(j) is made in any person that was not a Subsidiary on the date on which such Investment was made but becomes a Subsidiary thereafter, then such Investment may, at the option of the Borrower, upon such person becoming a Subsidiary and so long as such person remains a Subsidiary, be deemed to have been made pursuant to Section 6.04(b) and not in reliance on this Section 6.04(j);</w:t>
      </w:r>
    </w:p>
    <w:p>
      <w:pPr>
        <w:spacing w:after="0" w:line="164" w:lineRule="exact"/>
        <w:rPr>
          <w:rFonts w:ascii="Times New Roman" w:cs="Times New Roman" w:eastAsia="Times New Roman" w:hAnsi="Times New Roman"/>
          <w:sz w:val="20"/>
          <w:szCs w:val="20"/>
          <w:color w:val="auto"/>
        </w:rPr>
      </w:pPr>
    </w:p>
    <w:p>
      <w:pPr>
        <w:ind w:left="1720" w:hanging="428"/>
        <w:spacing w:after="0"/>
        <w:tabs>
          <w:tab w:leader="none" w:pos="1720" w:val="left"/>
        </w:tabs>
        <w:numPr>
          <w:ilvl w:val="0"/>
          <w:numId w:val="2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constituting Permitted Business Acquisitions;</w:t>
      </w:r>
    </w:p>
    <w:p>
      <w:pPr>
        <w:spacing w:after="0" w:line="202" w:lineRule="exact"/>
        <w:rPr>
          <w:rFonts w:ascii="Times New Roman" w:cs="Times New Roman" w:eastAsia="Times New Roman" w:hAnsi="Times New Roman"/>
          <w:sz w:val="20"/>
          <w:szCs w:val="20"/>
          <w:color w:val="auto"/>
        </w:rPr>
      </w:pPr>
    </w:p>
    <w:p>
      <w:pPr>
        <w:ind w:left="1680" w:hanging="388"/>
        <w:spacing w:after="0"/>
        <w:tabs>
          <w:tab w:leader="none" w:pos="1680" w:val="left"/>
        </w:tabs>
        <w:numPr>
          <w:ilvl w:val="0"/>
          <w:numId w:val="2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intercompany loans and Guarantees permitted by Section 6.01(m);</w:t>
      </w:r>
    </w:p>
    <w:p>
      <w:pPr>
        <w:spacing w:after="0" w:line="202" w:lineRule="exact"/>
        <w:rPr>
          <w:rFonts w:ascii="Times New Roman" w:cs="Times New Roman" w:eastAsia="Times New Roman" w:hAnsi="Times New Roman"/>
          <w:sz w:val="20"/>
          <w:szCs w:val="20"/>
          <w:color w:val="auto"/>
        </w:rPr>
      </w:pPr>
    </w:p>
    <w:p>
      <w:pPr>
        <w:jc w:val="both"/>
        <w:ind w:firstLine="1292"/>
        <w:spacing w:after="0" w:line="258" w:lineRule="auto"/>
        <w:tabs>
          <w:tab w:leader="none" w:pos="1852" w:val="left"/>
        </w:tabs>
        <w:numPr>
          <w:ilvl w:val="0"/>
          <w:numId w:val="2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received in connection with the bankruptcy or reorganization of, or settlement of delinquent accounts and disputes with or judgments against, customers and suppliers, in each case in the ordinary course of business or Investments acquired by the Borrower or a Subsidiary as a result of a foreclosure by the Borrower or any of the Subsidiaries with respect to any secured Investments or other transfer of title with respect to any secured Investment in default;</w:t>
      </w:r>
    </w:p>
    <w:p>
      <w:pPr>
        <w:spacing w:after="0" w:line="158" w:lineRule="exact"/>
        <w:rPr>
          <w:rFonts w:ascii="Times New Roman" w:cs="Times New Roman" w:eastAsia="Times New Roman" w:hAnsi="Times New Roman"/>
          <w:sz w:val="20"/>
          <w:szCs w:val="20"/>
          <w:color w:val="auto"/>
        </w:rPr>
      </w:pPr>
    </w:p>
    <w:p>
      <w:pPr>
        <w:jc w:val="both"/>
        <w:ind w:firstLine="1292"/>
        <w:spacing w:after="0" w:line="258" w:lineRule="auto"/>
        <w:tabs>
          <w:tab w:leader="none" w:pos="1734" w:val="left"/>
        </w:tabs>
        <w:numPr>
          <w:ilvl w:val="0"/>
          <w:numId w:val="2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of a Subsidiary acquired after the Closing Date (including by means of a Delaware LLC Division) or of a person merged into the Borrower or merged into or consolidated with a Subsidiary after the Closing Date, in each case, (i) to the extent such acquisition, merger or consolidation is permitted under this Section 6.04, (ii) in the case of any acquisition, merger or consolidation, in accordance with Section 6.05 and (iii) to the extent that such Investments were not</w:t>
      </w:r>
    </w:p>
    <w:p>
      <w:pPr>
        <w:sectPr>
          <w:pgSz w:w="11900" w:h="16838" w:orient="portrait"/>
          <w:cols w:equalWidth="0" w:num="1">
            <w:col w:w="11120"/>
          </w:cols>
          <w:pgMar w:left="440" w:top="108" w:right="339" w:bottom="1440" w:gutter="0" w:footer="0" w:header="0"/>
        </w:sectPr>
      </w:pPr>
    </w:p>
    <w:bookmarkStart w:id="328" w:name="page329"/>
    <w:bookmarkEnd w:id="328"/>
    <w:p>
      <w:pPr>
        <w:jc w:val="right"/>
        <w:spacing w:after="0"/>
        <w:rPr>
          <w:sz w:val="20"/>
          <w:szCs w:val="20"/>
          <w:color w:val="auto"/>
        </w:rPr>
      </w:pPr>
      <w:r>
        <w:rPr>
          <w:rFonts w:ascii="Times New Roman" w:cs="Times New Roman" w:eastAsia="Times New Roman" w:hAnsi="Times New Roman"/>
          <w:sz w:val="22"/>
          <w:szCs w:val="22"/>
          <w:color w:val="FF0000"/>
          <w:strike w:val="1"/>
        </w:rPr>
        <w:t>ANNEX</w:t>
      </w:r>
      <w:r>
        <w:rPr>
          <w:rFonts w:ascii="Times New Roman" w:cs="Times New Roman" w:eastAsia="Times New Roman" w:hAnsi="Times New Roman"/>
          <w:sz w:val="22"/>
          <w:szCs w:val="22"/>
          <w:b w:val="1"/>
          <w:bCs w:val="1"/>
          <w:u w:val="single" w:color="auto"/>
          <w:color w:val="0000FF"/>
        </w:rPr>
        <w:t>EXHIBIT</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made in contemplation of or in connection with such acquisition, merger or consolidation and were in existence on the date of such acquisition, merger or consolidation;</w:t>
      </w:r>
    </w:p>
    <w:p>
      <w:pPr>
        <w:spacing w:after="0" w:line="133" w:lineRule="exact"/>
        <w:rPr>
          <w:sz w:val="20"/>
          <w:szCs w:val="20"/>
          <w:color w:val="auto"/>
        </w:rPr>
      </w:pPr>
    </w:p>
    <w:p>
      <w:pPr>
        <w:jc w:val="both"/>
        <w:ind w:firstLine="1292"/>
        <w:spacing w:after="0" w:line="258" w:lineRule="auto"/>
        <w:tabs>
          <w:tab w:leader="none" w:pos="1729" w:val="left"/>
        </w:tabs>
        <w:numPr>
          <w:ilvl w:val="0"/>
          <w:numId w:val="2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acquisitions by the Borrower of obligations of one or more officers or other employees of Holdings, any Parent Entity, the Borrower or its Subsidiaries in connection with such officer’s or employee’s acquisition of Equity Interests of Holdings or any Parent Entity, so long as no cash is actually advanced by the Borrower or any of the Subsidiaries to such officers or employees in connection with the acquisition of any such obligations;</w:t>
      </w:r>
    </w:p>
    <w:p>
      <w:pPr>
        <w:spacing w:after="0" w:line="158" w:lineRule="exact"/>
        <w:rPr>
          <w:rFonts w:ascii="Times New Roman" w:cs="Times New Roman" w:eastAsia="Times New Roman" w:hAnsi="Times New Roman"/>
          <w:sz w:val="20"/>
          <w:szCs w:val="20"/>
          <w:color w:val="auto"/>
        </w:rPr>
      </w:pPr>
    </w:p>
    <w:p>
      <w:pPr>
        <w:jc w:val="both"/>
        <w:ind w:firstLine="1292"/>
        <w:spacing w:after="0" w:line="261" w:lineRule="auto"/>
        <w:tabs>
          <w:tab w:leader="none" w:pos="1792" w:val="left"/>
        </w:tabs>
        <w:numPr>
          <w:ilvl w:val="0"/>
          <w:numId w:val="2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Guarantees by the Borrower or any Subsidiary of operating leases (other than Capitalized Lease Obligations) or of other obligations that do not constitute Indebtedness, in each case entered into by the Borrower or any Subsidiary in the ordinary course of business;</w:t>
      </w:r>
    </w:p>
    <w:p>
      <w:pPr>
        <w:spacing w:after="0" w:line="154" w:lineRule="exact"/>
        <w:rPr>
          <w:rFonts w:ascii="Times New Roman" w:cs="Times New Roman" w:eastAsia="Times New Roman" w:hAnsi="Times New Roman"/>
          <w:sz w:val="20"/>
          <w:szCs w:val="20"/>
          <w:color w:val="auto"/>
        </w:rPr>
      </w:pPr>
    </w:p>
    <w:p>
      <w:pPr>
        <w:ind w:firstLine="1292"/>
        <w:spacing w:after="0" w:line="283" w:lineRule="auto"/>
        <w:tabs>
          <w:tab w:leader="none" w:pos="1753" w:val="left"/>
        </w:tabs>
        <w:numPr>
          <w:ilvl w:val="0"/>
          <w:numId w:val="2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Investments to the extent that payment for such Investments is made with Equity Interests of the Borrower, Holdings or any Parent Entity;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the issuance of such Equity Interests are not included in any determination of the Cumulative Credit;</w:t>
      </w:r>
    </w:p>
    <w:p>
      <w:pPr>
        <w:spacing w:after="0" w:line="132" w:lineRule="exact"/>
        <w:rPr>
          <w:rFonts w:ascii="Times New Roman" w:cs="Times New Roman" w:eastAsia="Times New Roman" w:hAnsi="Times New Roman"/>
          <w:sz w:val="20"/>
          <w:szCs w:val="20"/>
          <w:color w:val="auto"/>
        </w:rPr>
      </w:pPr>
    </w:p>
    <w:p>
      <w:pPr>
        <w:jc w:val="both"/>
        <w:ind w:firstLine="1292"/>
        <w:spacing w:after="0" w:line="251" w:lineRule="auto"/>
        <w:tabs>
          <w:tab w:leader="none" w:pos="1777" w:val="left"/>
        </w:tabs>
        <w:numPr>
          <w:ilvl w:val="0"/>
          <w:numId w:val="2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Investments in the Equity Interests of one or more newly formed persons that are received in consideration of the contribution by Holdings, the Borrower or the applicable Subsidiary of assets (including Equity Interests and cash) to such person or persons;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(i) the fair market value of such assets, determined in good faith by the Borrower, so contributed pursuant to this clause (r) shall not in the aggregate exceed $10,000,000 and (ii) in respect of each such contribution, a Responsible Officer of the Borrower shall certify, in a form to be agreed upon by the Borrower and the Administrative Agent (x) immediately after giving effect to such contribution, no Default or Event of Default shall have occurred and be continuing or would result therefrom, (y) the fair market value (as determined in good faith by the Borrower) of the assets so contributed and (z) that the requirements of clause (i) of this proviso remain satisfied;</w:t>
      </w:r>
    </w:p>
    <w:p>
      <w:pPr>
        <w:spacing w:after="0" w:line="181" w:lineRule="exact"/>
        <w:rPr>
          <w:rFonts w:ascii="Times New Roman" w:cs="Times New Roman" w:eastAsia="Times New Roman" w:hAnsi="Times New Roman"/>
          <w:sz w:val="20"/>
          <w:szCs w:val="20"/>
          <w:color w:val="auto"/>
        </w:rPr>
      </w:pPr>
    </w:p>
    <w:p>
      <w:pPr>
        <w:ind w:left="1700" w:hanging="408"/>
        <w:spacing w:after="0"/>
        <w:tabs>
          <w:tab w:leader="none" w:pos="1700" w:val="left"/>
        </w:tabs>
        <w:numPr>
          <w:ilvl w:val="0"/>
          <w:numId w:val="2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consisting of Restricted Payments permitted under Section 6.06;</w:t>
      </w:r>
    </w:p>
    <w:p>
      <w:pPr>
        <w:spacing w:after="0" w:line="202" w:lineRule="exact"/>
        <w:rPr>
          <w:rFonts w:ascii="Times New Roman" w:cs="Times New Roman" w:eastAsia="Times New Roman" w:hAnsi="Times New Roman"/>
          <w:sz w:val="20"/>
          <w:szCs w:val="20"/>
          <w:color w:val="auto"/>
        </w:rPr>
      </w:pPr>
    </w:p>
    <w:p>
      <w:pPr>
        <w:ind w:firstLine="1292"/>
        <w:spacing w:after="0" w:line="269" w:lineRule="auto"/>
        <w:tabs>
          <w:tab w:leader="none" w:pos="1746" w:val="left"/>
        </w:tabs>
        <w:numPr>
          <w:ilvl w:val="0"/>
          <w:numId w:val="2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in the ordinary course of business consisting of Uniform Commercial Code Article 3 endorsements for collection or deposit and Uniform Commercial Code Article 4 customary trade arrangements with customers;</w:t>
      </w:r>
    </w:p>
    <w:p>
      <w:pPr>
        <w:spacing w:after="0" w:line="159" w:lineRule="exact"/>
        <w:rPr>
          <w:rFonts w:ascii="Times New Roman" w:cs="Times New Roman" w:eastAsia="Times New Roman" w:hAnsi="Times New Roman"/>
          <w:sz w:val="20"/>
          <w:szCs w:val="20"/>
          <w:color w:val="auto"/>
        </w:rPr>
      </w:pPr>
    </w:p>
    <w:p>
      <w:pPr>
        <w:ind w:left="1720" w:hanging="428"/>
        <w:spacing w:after="0"/>
        <w:tabs>
          <w:tab w:leader="none" w:pos="1720" w:val="left"/>
        </w:tabs>
        <w:numPr>
          <w:ilvl w:val="0"/>
          <w:numId w:val="2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02" w:lineRule="exact"/>
        <w:rPr>
          <w:rFonts w:ascii="Times New Roman" w:cs="Times New Roman" w:eastAsia="Times New Roman" w:hAnsi="Times New Roman"/>
          <w:sz w:val="20"/>
          <w:szCs w:val="20"/>
          <w:color w:val="auto"/>
        </w:rPr>
      </w:pPr>
    </w:p>
    <w:p>
      <w:pPr>
        <w:ind w:left="1960" w:hanging="668"/>
        <w:spacing w:after="0"/>
        <w:tabs>
          <w:tab w:leader="none" w:pos="1960" w:val="left"/>
        </w:tabs>
        <w:numPr>
          <w:ilvl w:val="0"/>
          <w:numId w:val="2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Guarantees permitted under Section 6.01 (except to the extent such Guarantee is expressly subject to this</w:t>
      </w:r>
    </w:p>
    <w:p>
      <w:pPr>
        <w:spacing w:after="0" w:line="28"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6.04);</w:t>
      </w:r>
    </w:p>
    <w:p>
      <w:pPr>
        <w:spacing w:after="0" w:line="186" w:lineRule="exact"/>
        <w:rPr>
          <w:rFonts w:ascii="Times New Roman" w:cs="Times New Roman" w:eastAsia="Times New Roman" w:hAnsi="Times New Roman"/>
          <w:sz w:val="20"/>
          <w:szCs w:val="20"/>
          <w:color w:val="auto"/>
        </w:rPr>
      </w:pPr>
    </w:p>
    <w:p>
      <w:pPr>
        <w:ind w:firstLine="1292"/>
        <w:spacing w:after="0" w:line="269" w:lineRule="auto"/>
        <w:tabs>
          <w:tab w:leader="none" w:pos="1874" w:val="left"/>
        </w:tabs>
        <w:numPr>
          <w:ilvl w:val="0"/>
          <w:numId w:val="2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advances in the form of a prepayment of expenses, so long as such expenses are being paid in accordance with customary trade terms of the Borrower or such Subsidiary;</w:t>
      </w:r>
    </w:p>
    <w:p>
      <w:pPr>
        <w:spacing w:after="0" w:line="159" w:lineRule="exact"/>
        <w:rPr>
          <w:rFonts w:ascii="Times New Roman" w:cs="Times New Roman" w:eastAsia="Times New Roman" w:hAnsi="Times New Roman"/>
          <w:sz w:val="20"/>
          <w:szCs w:val="20"/>
          <w:color w:val="auto"/>
        </w:rPr>
      </w:pPr>
    </w:p>
    <w:p>
      <w:pPr>
        <w:jc w:val="both"/>
        <w:ind w:firstLine="1292"/>
        <w:spacing w:after="0" w:line="254" w:lineRule="auto"/>
        <w:tabs>
          <w:tab w:leader="none" w:pos="1764" w:val="left"/>
        </w:tabs>
        <w:numPr>
          <w:ilvl w:val="0"/>
          <w:numId w:val="2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by the Borrower and its Subsidiaries, including loans to any direct or indirect parent of the Borrower, if the Borrower or any other Subsidiary would otherwise be permitted to make a Restricted Payment in such amount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the amount of any such Investment shall also be deemed to be a Restricted Payment under the appropriate clause of Section 6.06 for all purposes of this Agreement);</w:t>
      </w:r>
    </w:p>
    <w:p>
      <w:pPr>
        <w:spacing w:after="0" w:line="173" w:lineRule="exact"/>
        <w:rPr>
          <w:rFonts w:ascii="Times New Roman" w:cs="Times New Roman" w:eastAsia="Times New Roman" w:hAnsi="Times New Roman"/>
          <w:sz w:val="20"/>
          <w:szCs w:val="20"/>
          <w:color w:val="auto"/>
        </w:rPr>
      </w:pPr>
    </w:p>
    <w:p>
      <w:pPr>
        <w:ind w:left="1720" w:hanging="428"/>
        <w:spacing w:after="0"/>
        <w:tabs>
          <w:tab w:leader="none" w:pos="1720" w:val="left"/>
        </w:tabs>
        <w:numPr>
          <w:ilvl w:val="0"/>
          <w:numId w:val="2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consisting of Securitization Assets or arising as a result of Permitted Securitization Financings;</w:t>
      </w:r>
    </w:p>
    <w:p>
      <w:pPr>
        <w:sectPr>
          <w:pgSz w:w="11900" w:h="16838" w:orient="portrait"/>
          <w:cols w:equalWidth="0" w:num="1">
            <w:col w:w="11120"/>
          </w:cols>
          <w:pgMar w:left="440" w:top="108" w:right="339" w:bottom="1440" w:gutter="0" w:footer="0" w:header="0"/>
        </w:sectPr>
      </w:pPr>
    </w:p>
    <w:bookmarkStart w:id="329" w:name="page330"/>
    <w:bookmarkEnd w:id="329"/>
    <w:p>
      <w:pPr>
        <w:jc w:val="right"/>
        <w:spacing w:after="0"/>
        <w:rPr>
          <w:sz w:val="20"/>
          <w:szCs w:val="20"/>
          <w:color w:val="auto"/>
        </w:rPr>
      </w:pPr>
      <w:r>
        <w:rPr>
          <w:rFonts w:ascii="Times New Roman" w:cs="Times New Roman" w:eastAsia="Times New Roman" w:hAnsi="Times New Roman"/>
          <w:sz w:val="22"/>
          <w:szCs w:val="22"/>
          <w:color w:val="FF0000"/>
          <w:strike w:val="1"/>
        </w:rPr>
        <w:t>ANNEX</w:t>
      </w:r>
      <w:r>
        <w:rPr>
          <w:rFonts w:ascii="Times New Roman" w:cs="Times New Roman" w:eastAsia="Times New Roman" w:hAnsi="Times New Roman"/>
          <w:sz w:val="22"/>
          <w:szCs w:val="22"/>
          <w:b w:val="1"/>
          <w:bCs w:val="1"/>
          <w:u w:val="single" w:color="auto"/>
          <w:color w:val="0000FF"/>
        </w:rPr>
        <w:t>EXHIBIT</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300"/>
        <w:spacing w:after="0"/>
        <w:tabs>
          <w:tab w:leader="none" w:pos="1680" w:val="left"/>
        </w:tabs>
        <w:rPr>
          <w:sz w:val="20"/>
          <w:szCs w:val="20"/>
          <w:color w:val="auto"/>
        </w:rPr>
      </w:pPr>
      <w:r>
        <w:rPr>
          <w:rFonts w:ascii="Times New Roman" w:cs="Times New Roman" w:eastAsia="Times New Roman" w:hAnsi="Times New Roman"/>
          <w:sz w:val="20"/>
          <w:szCs w:val="20"/>
          <w:color w:val="auto"/>
        </w:rPr>
        <w:t>(z)</w:t>
      </w:r>
      <w:r>
        <w:rPr>
          <w:sz w:val="20"/>
          <w:szCs w:val="20"/>
          <w:color w:val="auto"/>
        </w:rPr>
        <w:tab/>
      </w:r>
      <w:r>
        <w:rPr>
          <w:rFonts w:ascii="Times New Roman" w:cs="Times New Roman" w:eastAsia="Times New Roman" w:hAnsi="Times New Roman"/>
          <w:sz w:val="19"/>
          <w:szCs w:val="19"/>
          <w:color w:val="auto"/>
        </w:rPr>
        <w:t>[reserved];</w:t>
      </w:r>
    </w:p>
    <w:p>
      <w:pPr>
        <w:spacing w:after="0" w:line="202" w:lineRule="exact"/>
        <w:rPr>
          <w:sz w:val="20"/>
          <w:szCs w:val="20"/>
          <w:color w:val="auto"/>
        </w:rPr>
      </w:pPr>
    </w:p>
    <w:p>
      <w:pPr>
        <w:ind w:firstLine="1292"/>
        <w:spacing w:after="0" w:line="283" w:lineRule="auto"/>
        <w:tabs>
          <w:tab w:leader="none" w:pos="1828" w:val="left"/>
        </w:tabs>
        <w:numPr>
          <w:ilvl w:val="0"/>
          <w:numId w:val="2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constituting Investments, purchases and acquisitions of inventory, supplies, materials and equipment or purchases of contract rights or licenses or leases of Intellectual Property in each case in the ordinary course of business;</w:t>
      </w:r>
    </w:p>
    <w:p>
      <w:pPr>
        <w:spacing w:after="0" w:line="132" w:lineRule="exact"/>
        <w:rPr>
          <w:rFonts w:ascii="Times New Roman" w:cs="Times New Roman" w:eastAsia="Times New Roman" w:hAnsi="Times New Roman"/>
          <w:sz w:val="20"/>
          <w:szCs w:val="20"/>
          <w:color w:val="auto"/>
        </w:rPr>
      </w:pPr>
    </w:p>
    <w:p>
      <w:pPr>
        <w:ind w:firstLine="1292"/>
        <w:spacing w:after="0" w:line="283" w:lineRule="auto"/>
        <w:tabs>
          <w:tab w:leader="none" w:pos="1836" w:val="left"/>
        </w:tabs>
        <w:numPr>
          <w:ilvl w:val="0"/>
          <w:numId w:val="2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Investments received substantially contemporaneously in exchange for Equity Interests of the Borrower, Holdings or any Parent Entity;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the issuance of such Equity Interests are not included in any determination of the Cumulative Credit;</w:t>
      </w:r>
    </w:p>
    <w:p>
      <w:pPr>
        <w:spacing w:after="0" w:line="132" w:lineRule="exact"/>
        <w:rPr>
          <w:rFonts w:ascii="Times New Roman" w:cs="Times New Roman" w:eastAsia="Times New Roman" w:hAnsi="Times New Roman"/>
          <w:sz w:val="20"/>
          <w:szCs w:val="20"/>
          <w:color w:val="auto"/>
        </w:rPr>
      </w:pPr>
    </w:p>
    <w:p>
      <w:pPr>
        <w:jc w:val="both"/>
        <w:ind w:firstLine="1292"/>
        <w:spacing w:after="0" w:line="250" w:lineRule="auto"/>
        <w:tabs>
          <w:tab w:leader="none" w:pos="1896" w:val="left"/>
        </w:tabs>
        <w:numPr>
          <w:ilvl w:val="0"/>
          <w:numId w:val="2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Investments in joint ventures;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aggregate outstanding amount (valued at the time of the making thereof and without giving effect to any subsequent changes in value) of Investments made after the Closing Date pursuant to this Section 6.04(cc) (excluding for purposes of the calculation in this proviso any Investment made at a time when, immediately after giving effect thereto, the Net Total Leverage Ratio on a Pro Forma Basis would not exceed 4.00 to 1.00, which Investment shall be permitted under this Section 6.04(cc) without regard to such calculation) shall not exceed the sum of (X) the greater of $300,000,000 and 0.35 </w:t>
      </w:r>
      <w:r>
        <w:rPr>
          <w:rFonts w:ascii="Times New Roman" w:cs="Times New Roman" w:eastAsia="Times New Roman" w:hAnsi="Times New Roman"/>
          <w:sz w:val="20"/>
          <w:szCs w:val="20"/>
          <w:u w:val="single" w:color="auto"/>
          <w:color w:val="auto"/>
        </w:rPr>
        <w:t>times</w:t>
      </w:r>
      <w:r>
        <w:rPr>
          <w:rFonts w:ascii="Times New Roman" w:cs="Times New Roman" w:eastAsia="Times New Roman" w:hAnsi="Times New Roman"/>
          <w:sz w:val="20"/>
          <w:szCs w:val="20"/>
          <w:color w:val="auto"/>
        </w:rPr>
        <w:t xml:space="preserve"> the EBITDA calculated on a Pro Forma Basis for the then most recently ended Test Period,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(Y) an aggregate amount equal to any returns (including dividends, interest, distributions, returns of principal, profits on sale, repayments, income and similar amounts) actually received in respect of any such Investment;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if any Investment pursuant to this Section 6.04(cc) is made in any person that was not a Subsidiary on the date on which such Investment was made but becomes a Subsidiary thereafter, then such Investment may, at the option of the Borrower, upon such person becoming a Subsidiary and so long as such person remains a Subsidiary, be deemed to have been made pursuant to Section 6.04(b) and not in reliance on this Section 6.04(cc);</w:t>
      </w:r>
    </w:p>
    <w:p>
      <w:pPr>
        <w:spacing w:after="0" w:line="172" w:lineRule="exact"/>
        <w:rPr>
          <w:rFonts w:ascii="Times New Roman" w:cs="Times New Roman" w:eastAsia="Times New Roman" w:hAnsi="Times New Roman"/>
          <w:sz w:val="20"/>
          <w:szCs w:val="20"/>
          <w:color w:val="auto"/>
        </w:rPr>
      </w:pPr>
    </w:p>
    <w:p>
      <w:pPr>
        <w:jc w:val="both"/>
        <w:ind w:firstLine="1292"/>
        <w:spacing w:after="0" w:line="251" w:lineRule="auto"/>
        <w:tabs>
          <w:tab w:leader="none" w:pos="1831" w:val="left"/>
        </w:tabs>
        <w:numPr>
          <w:ilvl w:val="0"/>
          <w:numId w:val="2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Investments in Similar Businesses in an aggregate outstanding amount (valued at the time of the making thereof, and without giving effect to any subsequent changes in value) not to exceed the sum of (X) the greater of $300,000,000 and 0.35 </w:t>
      </w:r>
      <w:r>
        <w:rPr>
          <w:rFonts w:ascii="Times New Roman" w:cs="Times New Roman" w:eastAsia="Times New Roman" w:hAnsi="Times New Roman"/>
          <w:sz w:val="20"/>
          <w:szCs w:val="20"/>
          <w:u w:val="single" w:color="auto"/>
          <w:color w:val="auto"/>
        </w:rPr>
        <w:t>times</w:t>
      </w:r>
      <w:r>
        <w:rPr>
          <w:rFonts w:ascii="Times New Roman" w:cs="Times New Roman" w:eastAsia="Times New Roman" w:hAnsi="Times New Roman"/>
          <w:sz w:val="20"/>
          <w:szCs w:val="20"/>
          <w:color w:val="auto"/>
        </w:rPr>
        <w:t xml:space="preserve"> the EBITDA calculated on a Pro Forma Basis for the then most recently ended Test Period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(Y) an amount equal to any returns (including dividends, interest, distributions, returns of principal, profits on sale, repayments, income and similar amounts) actually received in respect of any such Investment;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if any Investment pursuant to this Section 6.04(dd) is made in any person that was not a Subsidiary on the date on which such Investment was made but becomes a Subsidiary thereafter, then such Investment may, at the option of the Borrower, upon such person becoming a Subsidiary and so long as such person remains a Subsidiary, be deemed to have been made pursuant to Section 6.04(b) and not in reliance on this Section 6.04(dd);</w:t>
      </w:r>
    </w:p>
    <w:p>
      <w:pPr>
        <w:spacing w:after="0" w:line="181" w:lineRule="exact"/>
        <w:rPr>
          <w:rFonts w:ascii="Times New Roman" w:cs="Times New Roman" w:eastAsia="Times New Roman" w:hAnsi="Times New Roman"/>
          <w:sz w:val="20"/>
          <w:szCs w:val="20"/>
          <w:color w:val="auto"/>
        </w:rPr>
      </w:pPr>
    </w:p>
    <w:p>
      <w:pPr>
        <w:jc w:val="both"/>
        <w:ind w:firstLine="1292"/>
        <w:spacing w:after="0" w:line="251" w:lineRule="auto"/>
        <w:tabs>
          <w:tab w:leader="none" w:pos="1945" w:val="left"/>
        </w:tabs>
        <w:numPr>
          <w:ilvl w:val="0"/>
          <w:numId w:val="2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Investments in any Unrestricted Subsidiaries after giving effect to the applicable Investments, in an aggregate outstanding amount (valued at the time of the making thereof, and without giving effect to any subsequent change in value) not to exceed the sum of (X) the greater of $215,000,000 and 0.25 </w:t>
      </w:r>
      <w:r>
        <w:rPr>
          <w:rFonts w:ascii="Times New Roman" w:cs="Times New Roman" w:eastAsia="Times New Roman" w:hAnsi="Times New Roman"/>
          <w:sz w:val="20"/>
          <w:szCs w:val="20"/>
          <w:u w:val="single" w:color="auto"/>
          <w:color w:val="auto"/>
        </w:rPr>
        <w:t>times</w:t>
      </w:r>
      <w:r>
        <w:rPr>
          <w:rFonts w:ascii="Times New Roman" w:cs="Times New Roman" w:eastAsia="Times New Roman" w:hAnsi="Times New Roman"/>
          <w:sz w:val="20"/>
          <w:szCs w:val="20"/>
          <w:color w:val="auto"/>
        </w:rPr>
        <w:t xml:space="preserve"> the EBITDA calculated on a Pro Forma Basis for the then most recently ended Test Period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(Y) an amount equal to any returns (including dividends, interest, distributions, returns of principal, profits on sale, repayments, income and similar amounts) actually received in respect of any such Investment;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if any Investment pursuant to this Section 6.04(ee) is made in any person that was not a Subsidiary on the date on which such Investment was made but becomes a Subsidiary thereafter, then such Investment may, at the option of the Borrower, upon such person becoming a Subsidiary and so long as such person remains a Subsidiary, be deemed to have been made pursuant to Section 6.04(b) and not in reliance on this Section 6.04(ee);</w:t>
      </w:r>
    </w:p>
    <w:p>
      <w:pPr>
        <w:sectPr>
          <w:pgSz w:w="11900" w:h="16838" w:orient="portrait"/>
          <w:cols w:equalWidth="0" w:num="1">
            <w:col w:w="11120"/>
          </w:cols>
          <w:pgMar w:left="440" w:top="108" w:right="339" w:bottom="1440" w:gutter="0" w:footer="0" w:header="0"/>
        </w:sectPr>
      </w:pPr>
    </w:p>
    <w:bookmarkStart w:id="330" w:name="page331"/>
    <w:bookmarkEnd w:id="330"/>
    <w:p>
      <w:pPr>
        <w:jc w:val="right"/>
        <w:spacing w:after="0"/>
        <w:rPr>
          <w:sz w:val="20"/>
          <w:szCs w:val="20"/>
          <w:color w:val="auto"/>
        </w:rPr>
      </w:pPr>
      <w:r>
        <w:rPr>
          <w:rFonts w:ascii="Times New Roman" w:cs="Times New Roman" w:eastAsia="Times New Roman" w:hAnsi="Times New Roman"/>
          <w:sz w:val="22"/>
          <w:szCs w:val="22"/>
          <w:color w:val="FF0000"/>
          <w:strike w:val="1"/>
        </w:rPr>
        <w:t>ANNEX</w:t>
      </w:r>
      <w:r>
        <w:rPr>
          <w:rFonts w:ascii="Times New Roman" w:cs="Times New Roman" w:eastAsia="Times New Roman" w:hAnsi="Times New Roman"/>
          <w:sz w:val="22"/>
          <w:szCs w:val="22"/>
          <w:b w:val="1"/>
          <w:bCs w:val="1"/>
          <w:u w:val="single" w:color="auto"/>
          <w:color w:val="0000FF"/>
        </w:rPr>
        <w:t>EXHIBIT</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20" w:firstLine="1292"/>
        <w:spacing w:after="0" w:line="283" w:lineRule="auto"/>
        <w:tabs>
          <w:tab w:leader="none" w:pos="1918" w:val="left"/>
        </w:tabs>
        <w:numPr>
          <w:ilvl w:val="0"/>
          <w:numId w:val="2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Investments so long as, immediately after giving effect to such Investment, the Net Total Leverage Ratio on a Pro Forma Basis would not exceed 4.00 to 1.00; and</w:t>
      </w:r>
    </w:p>
    <w:p>
      <w:pPr>
        <w:spacing w:after="0" w:line="132" w:lineRule="exact"/>
        <w:rPr>
          <w:rFonts w:ascii="Times New Roman" w:cs="Times New Roman" w:eastAsia="Times New Roman" w:hAnsi="Times New Roman"/>
          <w:sz w:val="20"/>
          <w:szCs w:val="20"/>
          <w:color w:val="auto"/>
        </w:rPr>
      </w:pPr>
    </w:p>
    <w:p>
      <w:pPr>
        <w:ind w:left="1940" w:hanging="528"/>
        <w:spacing w:after="0"/>
        <w:tabs>
          <w:tab w:leader="none" w:pos="1940" w:val="left"/>
        </w:tabs>
        <w:numPr>
          <w:ilvl w:val="0"/>
          <w:numId w:val="2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made pursuant to the Merger Agreement.</w:t>
      </w:r>
    </w:p>
    <w:p>
      <w:pPr>
        <w:spacing w:after="0" w:line="202"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color w:val="auto"/>
        </w:rPr>
        <w:t>The amount of Investments that may be made at any time pursuant to Section 6.04(b), 6.04(j) or 6.04(dd) (such Sections, the “</w:t>
      </w:r>
      <w:r>
        <w:rPr>
          <w:rFonts w:ascii="Times New Roman" w:cs="Times New Roman" w:eastAsia="Times New Roman" w:hAnsi="Times New Roman"/>
          <w:sz w:val="20"/>
          <w:szCs w:val="20"/>
          <w:u w:val="single" w:color="auto"/>
          <w:color w:val="auto"/>
        </w:rPr>
        <w:t>Related Sections</w:t>
      </w:r>
      <w:r>
        <w:rPr>
          <w:rFonts w:ascii="Times New Roman" w:cs="Times New Roman" w:eastAsia="Times New Roman" w:hAnsi="Times New Roman"/>
          <w:sz w:val="20"/>
          <w:szCs w:val="20"/>
          <w:color w:val="auto"/>
        </w:rPr>
        <w:t xml:space="preserve">”) may, at the election of the Borrower, be increased by the amount of Investments that could be made at such time under the other Related Section;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the amount of each such increase in respect of one Related Section shall be treated as having been used under the other Related Section.</w:t>
      </w:r>
    </w:p>
    <w:p>
      <w:pPr>
        <w:spacing w:after="0" w:line="159"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0"/>
          <w:szCs w:val="20"/>
          <w:color w:val="auto"/>
        </w:rPr>
        <w:t>Any Investment in any person other than the Borrower or a Subsidiary Loan Party that is otherwise permitted by this Section 6.04 may be made through intermediate Investments in Subsidiaries that are not Loan Parties and such intermediate Investments shall be disregarded for purposes of determining the outstanding amount of Investments pursuant to any clause set forth above. The amount of any Investment made other than in the form of cash or cash equivalents shall be the fair market value thereof (as determined by the Borrower in good faith) valued at the time of the making thereof, and without giving effect to any subsequent change in value.</w:t>
      </w:r>
    </w:p>
    <w:p>
      <w:pPr>
        <w:spacing w:after="0" w:line="159"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0"/>
          <w:szCs w:val="20"/>
          <w:color w:val="auto"/>
        </w:rPr>
        <w:t>For purposes of determining compliance with this covenant, (A) an Investment need not be permitted solely by reference to one category of permitted Investments (or any portion thereof) described in the above clauses but may be permitted in part under any combination thereof and (B) in the event that an Investment (or any portion thereof) meets the criteria of one or more of the categories of permitted Investments (or any portion thereof) described in the above clauses, the Borrower may, in its sole discretion, divide, classify or reclassify, or later divide, classify or reclassify, such permitted Investment (or any portion thereof) in any manner that complies with this covenant and at the time of division, classification or reclassification will be entitled to only include the amount and type of such Investment (or any portion thereof) in one of the categories of permitted Investments (or any portion thereof) described in the above clauses. In the event that an Investment (or any portion thereof) is divided, classified or reclassified under Section 6.04(k), (cc) or (ff) (such clauses and related definitions, the “</w:t>
      </w:r>
      <w:r>
        <w:rPr>
          <w:rFonts w:ascii="Times New Roman" w:cs="Times New Roman" w:eastAsia="Times New Roman" w:hAnsi="Times New Roman"/>
          <w:sz w:val="20"/>
          <w:szCs w:val="20"/>
          <w:u w:val="single" w:color="auto"/>
          <w:color w:val="auto"/>
        </w:rPr>
        <w:t>Investment Incurrence Clauses</w:t>
      </w:r>
      <w:r>
        <w:rPr>
          <w:rFonts w:ascii="Times New Roman" w:cs="Times New Roman" w:eastAsia="Times New Roman" w:hAnsi="Times New Roman"/>
          <w:sz w:val="20"/>
          <w:szCs w:val="20"/>
          <w:color w:val="auto"/>
        </w:rPr>
        <w:t>”), the determination of the amount of such Investment that may be made pursuant to the Investment Incurrence Clauses shall be made without giving pro forma effect to any substantially concurrent Investment (or any portion thereof) divided, classified or reclassified under any of the above clauses other than an Investment Incurrence Clause or the incurrence of Indebtedness to finance any such Investment (or any portion thereof).</w:t>
      </w:r>
    </w:p>
    <w:p>
      <w:pPr>
        <w:spacing w:after="0" w:line="188"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Section 6.05 Mergers, Consolidations, Sales of Assets and Acquisitions. Merge into or consolidate with any other person, or permit any other person to merge into or consolidate with it, or Dispose of (in one transaction or in a series of related transactions) all or any part of its assets (whether now owned or hereafter acquired), effect any Delaware LLC Division or Dispose of any Equity Interests of any Subsidiary, or purchase, lease or otherwise acquire (in one transaction or a series of related transactions) all of the assets of any other person or division or line of business of a person, except that this Section 6.05 shall not prohibit:</w:t>
      </w:r>
    </w:p>
    <w:p>
      <w:pPr>
        <w:spacing w:after="0" w:line="165" w:lineRule="exact"/>
        <w:rPr>
          <w:sz w:val="20"/>
          <w:szCs w:val="20"/>
          <w:color w:val="auto"/>
        </w:rPr>
      </w:pPr>
    </w:p>
    <w:p>
      <w:pPr>
        <w:jc w:val="both"/>
        <w:ind w:left="120" w:firstLine="1292"/>
        <w:spacing w:after="0" w:line="257" w:lineRule="auto"/>
        <w:tabs>
          <w:tab w:leader="none" w:pos="2049" w:val="left"/>
        </w:tabs>
        <w:numPr>
          <w:ilvl w:val="0"/>
          <w:numId w:val="2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the purchase and Disposition of inventory, or the sale of receivables pursuant to non-recourse factoring arrangements, in each case in the ordinary course of business by the Borrower or any Subsidiary, (ii) the acquisition or lease (pursuant to an operating lease) of any other asset in the ordinary course of business by the Borrower or any Subsidiary or, with respect to operating leases, otherwise for fair market value on market terms (as determined in good faith by the Borrower), (iii) the Disposition of surplus, obsolete, damaged or worn out equipment or other property by the Borrower or</w:t>
      </w:r>
    </w:p>
    <w:p>
      <w:pPr>
        <w:sectPr>
          <w:pgSz w:w="11900" w:h="16838" w:orient="portrait"/>
          <w:cols w:equalWidth="0" w:num="1">
            <w:col w:w="11240"/>
          </w:cols>
          <w:pgMar w:left="320" w:top="108" w:right="339" w:bottom="1440" w:gutter="0" w:footer="0" w:header="0"/>
        </w:sectPr>
      </w:pPr>
    </w:p>
    <w:bookmarkStart w:id="331" w:name="page332"/>
    <w:bookmarkEnd w:id="331"/>
    <w:p>
      <w:pPr>
        <w:jc w:val="right"/>
        <w:spacing w:after="0"/>
        <w:rPr>
          <w:sz w:val="20"/>
          <w:szCs w:val="20"/>
          <w:color w:val="auto"/>
        </w:rPr>
      </w:pPr>
      <w:r>
        <w:rPr>
          <w:rFonts w:ascii="Times New Roman" w:cs="Times New Roman" w:eastAsia="Times New Roman" w:hAnsi="Times New Roman"/>
          <w:sz w:val="22"/>
          <w:szCs w:val="22"/>
          <w:color w:val="FF0000"/>
          <w:strike w:val="1"/>
        </w:rPr>
        <w:t>ANNEX</w:t>
      </w:r>
      <w:r>
        <w:rPr>
          <w:rFonts w:ascii="Times New Roman" w:cs="Times New Roman" w:eastAsia="Times New Roman" w:hAnsi="Times New Roman"/>
          <w:sz w:val="22"/>
          <w:szCs w:val="22"/>
          <w:b w:val="1"/>
          <w:bCs w:val="1"/>
          <w:u w:val="single" w:color="auto"/>
          <w:color w:val="0000FF"/>
        </w:rPr>
        <w:t>EXHIBIT</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ind w:left="4"/>
        <w:spacing w:after="0" w:line="253" w:lineRule="auto"/>
        <w:rPr>
          <w:sz w:val="20"/>
          <w:szCs w:val="20"/>
          <w:color w:val="auto"/>
        </w:rPr>
      </w:pPr>
      <w:r>
        <w:rPr>
          <w:rFonts w:ascii="Times New Roman" w:cs="Times New Roman" w:eastAsia="Times New Roman" w:hAnsi="Times New Roman"/>
          <w:sz w:val="20"/>
          <w:szCs w:val="20"/>
          <w:color w:val="auto"/>
        </w:rPr>
        <w:t>any Subsidiary in the ordinary course of business or consistent with past practice or industry norm or determined in good faith by the Borrower to be no longer used or useful or necessary in the operation of the business of the Borrower or any Subsidiary, (iv) assignments by the Borrower and any Subsidiary in connection with insurance arrangements of their rights and remedies under, and with respect to, the Merger Agreement in respect of any breach by the Company of its representations and warranties set forth therein or (v) the Disposition of Permitted Investments in the ordinary course of business;</w:t>
      </w:r>
    </w:p>
    <w:p>
      <w:pPr>
        <w:spacing w:after="0" w:line="178" w:lineRule="exact"/>
        <w:rPr>
          <w:sz w:val="20"/>
          <w:szCs w:val="20"/>
          <w:color w:val="auto"/>
        </w:rPr>
      </w:pPr>
    </w:p>
    <w:p>
      <w:pPr>
        <w:jc w:val="both"/>
        <w:ind w:left="4" w:firstLine="1292"/>
        <w:spacing w:after="0" w:line="249" w:lineRule="auto"/>
        <w:tabs>
          <w:tab w:leader="none" w:pos="1827" w:val="left"/>
        </w:tabs>
        <w:numPr>
          <w:ilvl w:val="1"/>
          <w:numId w:val="2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at the time thereof and immediately after giving effect thereto no Event of Default shall have occurred and be continuing or would result therefrom, (i) the merger or consolidation of any Subsidiary with or into the Borrower in a transaction in which the Borrower is the survivor, (ii) the merger or consolidation of any Subsidiary with or into any Subsidiary in a transaction in which the surviving or resulting entity is or becomes a Subsidiary, (iii) the merger or consolidation of any Subsidiary that is not a Subsidiary Loan Party with or into any other Subsidiary, (iv) the liquidation or dissolution or change in form of entity of any Subsidiary if the Borrower determines in good faith that such liquidation, dissolution or change in form is in the best interests of the Borrower and is not materially disadvantageous to the Lenders, (v) any Subsidiary may merge or consolidate with any other person in order to effect an Investment permitted pursuant to Section 6.04 so long as the continuing or surviving person shall be a Subsidiary (unless otherwise permitted by Section 6.04), and which together with each of its Subsidiaries shall have complied with any applicable requirements of Section 5.10 or</w:t>
      </w:r>
    </w:p>
    <w:p>
      <w:pPr>
        <w:ind w:left="4" w:right="20" w:hanging="4"/>
        <w:spacing w:after="0" w:line="267" w:lineRule="auto"/>
        <w:tabs>
          <w:tab w:leader="none" w:pos="355" w:val="left"/>
        </w:tabs>
        <w:numPr>
          <w:ilvl w:val="0"/>
          <w:numId w:val="2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Subsidiary may merge or consolidate with any other person in order to effect an Asset Sale otherwise permitted pursuant to this Section 6.05;</w:t>
      </w:r>
    </w:p>
    <w:p>
      <w:pPr>
        <w:spacing w:after="0" w:line="147" w:lineRule="exact"/>
        <w:rPr>
          <w:rFonts w:ascii="Times New Roman" w:cs="Times New Roman" w:eastAsia="Times New Roman" w:hAnsi="Times New Roman"/>
          <w:sz w:val="20"/>
          <w:szCs w:val="20"/>
          <w:color w:val="auto"/>
        </w:rPr>
      </w:pPr>
    </w:p>
    <w:p>
      <w:pPr>
        <w:ind w:left="1704" w:hanging="408"/>
        <w:spacing w:after="0"/>
        <w:tabs>
          <w:tab w:leader="none" w:pos="1704" w:val="left"/>
        </w:tabs>
        <w:numPr>
          <w:ilvl w:val="1"/>
          <w:numId w:val="2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Dispositions to the Borrower or a Subsidiary (upon voluntary liquidation or otherwise);</w:t>
      </w:r>
    </w:p>
    <w:p>
      <w:pPr>
        <w:spacing w:after="0" w:line="202" w:lineRule="exact"/>
        <w:rPr>
          <w:rFonts w:ascii="Times New Roman" w:cs="Times New Roman" w:eastAsia="Times New Roman" w:hAnsi="Times New Roman"/>
          <w:sz w:val="20"/>
          <w:szCs w:val="20"/>
          <w:color w:val="auto"/>
        </w:rPr>
      </w:pPr>
    </w:p>
    <w:p>
      <w:pPr>
        <w:ind w:left="1724" w:hanging="428"/>
        <w:spacing w:after="0"/>
        <w:tabs>
          <w:tab w:leader="none" w:pos="1724" w:val="left"/>
        </w:tabs>
        <w:numPr>
          <w:ilvl w:val="1"/>
          <w:numId w:val="2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Sale and Lease-Back Transactions permitted by Section 6.03;</w:t>
      </w:r>
    </w:p>
    <w:p>
      <w:pPr>
        <w:spacing w:after="0" w:line="202" w:lineRule="exact"/>
        <w:rPr>
          <w:rFonts w:ascii="Times New Roman" w:cs="Times New Roman" w:eastAsia="Times New Roman" w:hAnsi="Times New Roman"/>
          <w:sz w:val="20"/>
          <w:szCs w:val="20"/>
          <w:color w:val="auto"/>
        </w:rPr>
      </w:pPr>
    </w:p>
    <w:p>
      <w:pPr>
        <w:ind w:left="1784" w:hanging="488"/>
        <w:spacing w:after="0"/>
        <w:tabs>
          <w:tab w:leader="none" w:pos="1784" w:val="left"/>
        </w:tabs>
        <w:numPr>
          <w:ilvl w:val="1"/>
          <w:numId w:val="2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Investments permitted by Section 6.04, Permitted Liens and Restricted Payments permitted by Section 6.06 and</w:t>
      </w:r>
    </w:p>
    <w:p>
      <w:pPr>
        <w:spacing w:after="0" w:line="28" w:lineRule="exact"/>
        <w:rPr>
          <w:rFonts w:ascii="Times New Roman" w:cs="Times New Roman" w:eastAsia="Times New Roman" w:hAnsi="Times New Roman"/>
          <w:sz w:val="20"/>
          <w:szCs w:val="20"/>
          <w:color w:val="auto"/>
        </w:rPr>
      </w:pPr>
    </w:p>
    <w:p>
      <w:pPr>
        <w:ind w:left="284" w:hanging="284"/>
        <w:spacing w:after="0"/>
        <w:tabs>
          <w:tab w:leader="none" w:pos="284" w:val="left"/>
        </w:tabs>
        <w:numPr>
          <w:ilvl w:val="0"/>
          <w:numId w:val="2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Disposition made pursuant to the Merger Agreement or in connection with the Transactions;</w:t>
      </w:r>
    </w:p>
    <w:p>
      <w:pPr>
        <w:spacing w:after="0" w:line="186" w:lineRule="exact"/>
        <w:rPr>
          <w:rFonts w:ascii="Times New Roman" w:cs="Times New Roman" w:eastAsia="Times New Roman" w:hAnsi="Times New Roman"/>
          <w:sz w:val="20"/>
          <w:szCs w:val="20"/>
          <w:color w:val="auto"/>
        </w:rPr>
      </w:pPr>
    </w:p>
    <w:p>
      <w:pPr>
        <w:ind w:left="1784" w:hanging="488"/>
        <w:spacing w:after="0"/>
        <w:tabs>
          <w:tab w:leader="none" w:pos="1784" w:val="left"/>
        </w:tabs>
        <w:numPr>
          <w:ilvl w:val="1"/>
          <w:numId w:val="2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Dispositions of defaulted receivables in the ordinary course of business and not as part of an accounts receivables</w:t>
      </w:r>
    </w:p>
    <w:p>
      <w:pPr>
        <w:spacing w:after="0" w:line="28" w:lineRule="exact"/>
        <w:rPr>
          <w:rFonts w:ascii="Times New Roman" w:cs="Times New Roman" w:eastAsia="Times New Roman" w:hAnsi="Times New Roman"/>
          <w:sz w:val="20"/>
          <w:szCs w:val="20"/>
          <w:color w:val="auto"/>
        </w:rPr>
      </w:pPr>
    </w:p>
    <w:p>
      <w:pPr>
        <w:ind w:left="4"/>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financing transaction;</w:t>
      </w:r>
    </w:p>
    <w:p>
      <w:pPr>
        <w:spacing w:after="0" w:line="186" w:lineRule="exact"/>
        <w:rPr>
          <w:rFonts w:ascii="Times New Roman" w:cs="Times New Roman" w:eastAsia="Times New Roman" w:hAnsi="Times New Roman"/>
          <w:sz w:val="20"/>
          <w:szCs w:val="20"/>
          <w:color w:val="auto"/>
        </w:rPr>
      </w:pPr>
    </w:p>
    <w:p>
      <w:pPr>
        <w:ind w:left="4" w:firstLine="1292"/>
        <w:spacing w:after="0" w:line="283" w:lineRule="auto"/>
        <w:tabs>
          <w:tab w:leader="none" w:pos="1918" w:val="left"/>
        </w:tabs>
        <w:numPr>
          <w:ilvl w:val="1"/>
          <w:numId w:val="2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other Dispositions of assets;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the Net Proceeds thereof, if any, are applied in accordance with Section 2.11(b) to the extent required thereby;</w:t>
      </w:r>
    </w:p>
    <w:p>
      <w:pPr>
        <w:spacing w:after="0" w:line="132" w:lineRule="exact"/>
        <w:rPr>
          <w:rFonts w:ascii="Times New Roman" w:cs="Times New Roman" w:eastAsia="Times New Roman" w:hAnsi="Times New Roman"/>
          <w:sz w:val="20"/>
          <w:szCs w:val="20"/>
          <w:color w:val="auto"/>
        </w:rPr>
      </w:pPr>
    </w:p>
    <w:p>
      <w:pPr>
        <w:jc w:val="both"/>
        <w:ind w:left="4" w:firstLine="1292"/>
        <w:spacing w:after="0" w:line="261" w:lineRule="auto"/>
        <w:tabs>
          <w:tab w:leader="none" w:pos="1762" w:val="left"/>
        </w:tabs>
        <w:numPr>
          <w:ilvl w:val="1"/>
          <w:numId w:val="2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Permitted Business Acquisitions (including any merger, consolidation or amalgamation in order to effect a Permitted Business Acquisition);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following any such merger, consolidation or amalgamation involving the Borrower, the Borrower is the surviving entity or the requirements of Section 6.05(o) are otherwise complied with;</w:t>
      </w:r>
    </w:p>
    <w:p>
      <w:pPr>
        <w:spacing w:after="0" w:line="154" w:lineRule="exact"/>
        <w:rPr>
          <w:rFonts w:ascii="Times New Roman" w:cs="Times New Roman" w:eastAsia="Times New Roman" w:hAnsi="Times New Roman"/>
          <w:sz w:val="20"/>
          <w:szCs w:val="20"/>
          <w:color w:val="auto"/>
        </w:rPr>
      </w:pPr>
    </w:p>
    <w:p>
      <w:pPr>
        <w:ind w:left="1684" w:hanging="388"/>
        <w:spacing w:after="0"/>
        <w:tabs>
          <w:tab w:leader="none" w:pos="1684" w:val="left"/>
        </w:tabs>
        <w:numPr>
          <w:ilvl w:val="1"/>
          <w:numId w:val="2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leases, licenses or subleases or sublicenses of any real or personal property in the ordinary course of business;</w:t>
      </w:r>
    </w:p>
    <w:p>
      <w:pPr>
        <w:spacing w:after="0" w:line="215" w:lineRule="exact"/>
        <w:rPr>
          <w:rFonts w:ascii="Times New Roman" w:cs="Times New Roman" w:eastAsia="Times New Roman" w:hAnsi="Times New Roman"/>
          <w:sz w:val="20"/>
          <w:szCs w:val="20"/>
          <w:color w:val="auto"/>
        </w:rPr>
      </w:pPr>
    </w:p>
    <w:p>
      <w:pPr>
        <w:jc w:val="both"/>
        <w:ind w:left="4" w:firstLine="1292"/>
        <w:spacing w:after="0" w:line="261" w:lineRule="auto"/>
        <w:tabs>
          <w:tab w:leader="none" w:pos="1696" w:val="left"/>
        </w:tabs>
        <w:numPr>
          <w:ilvl w:val="1"/>
          <w:numId w:val="2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Dispositions of inventory or Dispositions or abandonment of Intellectual Property of the Borrower and its Subsidiaries determined in good faith by the management of the Borrower to be no longer useful or necessary in the operation of the business of the Borrower or any of the Subsidiaries;</w:t>
      </w:r>
    </w:p>
    <w:p>
      <w:pPr>
        <w:sectPr>
          <w:pgSz w:w="11900" w:h="16838" w:orient="portrait"/>
          <w:cols w:equalWidth="0" w:num="1">
            <w:col w:w="11124"/>
          </w:cols>
          <w:pgMar w:left="436" w:top="108" w:right="339" w:bottom="1440" w:gutter="0" w:footer="0" w:header="0"/>
        </w:sectPr>
      </w:pPr>
    </w:p>
    <w:bookmarkStart w:id="332" w:name="page333"/>
    <w:bookmarkEnd w:id="332"/>
    <w:p>
      <w:pPr>
        <w:jc w:val="right"/>
        <w:spacing w:after="0"/>
        <w:rPr>
          <w:sz w:val="20"/>
          <w:szCs w:val="20"/>
          <w:color w:val="auto"/>
        </w:rPr>
      </w:pPr>
      <w:r>
        <w:rPr>
          <w:rFonts w:ascii="Times New Roman" w:cs="Times New Roman" w:eastAsia="Times New Roman" w:hAnsi="Times New Roman"/>
          <w:sz w:val="22"/>
          <w:szCs w:val="22"/>
          <w:color w:val="FF0000"/>
          <w:strike w:val="1"/>
        </w:rPr>
        <w:t>ANNEX</w:t>
      </w:r>
      <w:r>
        <w:rPr>
          <w:rFonts w:ascii="Times New Roman" w:cs="Times New Roman" w:eastAsia="Times New Roman" w:hAnsi="Times New Roman"/>
          <w:sz w:val="22"/>
          <w:szCs w:val="22"/>
          <w:b w:val="1"/>
          <w:bCs w:val="1"/>
          <w:u w:val="single" w:color="auto"/>
          <w:color w:val="0000FF"/>
        </w:rPr>
        <w:t>EXHIBIT</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firstLine="1292"/>
        <w:spacing w:after="0" w:line="283" w:lineRule="auto"/>
        <w:tabs>
          <w:tab w:leader="none" w:pos="1752" w:val="left"/>
        </w:tabs>
        <w:numPr>
          <w:ilvl w:val="0"/>
          <w:numId w:val="2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acquisitions and purchases made with the proceeds of any Asset Sale pursuant to the first proviso of clause (a) of the definition of “Net Proceeds”;</w:t>
      </w:r>
    </w:p>
    <w:p>
      <w:pPr>
        <w:spacing w:after="0" w:line="132" w:lineRule="exact"/>
        <w:rPr>
          <w:rFonts w:ascii="Times New Roman" w:cs="Times New Roman" w:eastAsia="Times New Roman" w:hAnsi="Times New Roman"/>
          <w:sz w:val="20"/>
          <w:szCs w:val="20"/>
          <w:color w:val="auto"/>
        </w:rPr>
      </w:pPr>
    </w:p>
    <w:p>
      <w:pPr>
        <w:ind w:firstLine="1292"/>
        <w:spacing w:after="0" w:line="269" w:lineRule="auto"/>
        <w:tabs>
          <w:tab w:leader="none" w:pos="1789" w:val="left"/>
        </w:tabs>
        <w:numPr>
          <w:ilvl w:val="0"/>
          <w:numId w:val="2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purchase and Disposition (including by capital contribution) of (i) Securitization Assets including pursuant to Permitted Securitization Financings and (ii) any other Securitization Assets subject to Liens securing Permitted Securitization Financing;</w:t>
      </w:r>
    </w:p>
    <w:p>
      <w:pPr>
        <w:spacing w:after="0" w:line="159" w:lineRule="exact"/>
        <w:rPr>
          <w:rFonts w:ascii="Times New Roman" w:cs="Times New Roman" w:eastAsia="Times New Roman" w:hAnsi="Times New Roman"/>
          <w:sz w:val="20"/>
          <w:szCs w:val="20"/>
          <w:color w:val="auto"/>
        </w:rPr>
      </w:pPr>
    </w:p>
    <w:p>
      <w:pPr>
        <w:ind w:firstLine="1292"/>
        <w:spacing w:after="0" w:line="269" w:lineRule="auto"/>
        <w:tabs>
          <w:tab w:leader="none" w:pos="1797" w:val="left"/>
        </w:tabs>
        <w:numPr>
          <w:ilvl w:val="0"/>
          <w:numId w:val="2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constituting a Disposition, any termination, settlement or extinguishment or unwinding of obligations in respect of any Hedging Agreement;</w:t>
      </w:r>
    </w:p>
    <w:p>
      <w:pPr>
        <w:spacing w:after="0" w:line="159" w:lineRule="exact"/>
        <w:rPr>
          <w:rFonts w:ascii="Times New Roman" w:cs="Times New Roman" w:eastAsia="Times New Roman" w:hAnsi="Times New Roman"/>
          <w:sz w:val="20"/>
          <w:szCs w:val="20"/>
          <w:color w:val="auto"/>
        </w:rPr>
      </w:pPr>
    </w:p>
    <w:p>
      <w:pPr>
        <w:jc w:val="both"/>
        <w:ind w:firstLine="1292"/>
        <w:spacing w:after="0" w:line="264" w:lineRule="auto"/>
        <w:tabs>
          <w:tab w:leader="none" w:pos="1762" w:val="left"/>
        </w:tabs>
        <w:numPr>
          <w:ilvl w:val="0"/>
          <w:numId w:val="2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any exchange of assets for services and/or other assets used or useful in a Similar Business of comparable or greater value;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 to the extent the consideration received consists of assets, at least 90% of the consideration received by the transferor consists of assets that will be used in a business or business activity permitted hereunder, (ii) in the event of a swap with a fair market value (as determined in good faith by the Borrower) in excess of $10,000,000, the Administrative Agent shall have received a certificate from a Responsible Officer of the Borrower with respect to such fair market value and (iii) in the event of a swap with a fair market value (as determined in good faith by the Borrower) in excess of $15,000,000, such exchange shall have been approved by at least a majority of the Board of Directors of Holdings or the Borrower;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further</w:t>
      </w:r>
      <w:r>
        <w:rPr>
          <w:rFonts w:ascii="Times New Roman" w:cs="Times New Roman" w:eastAsia="Times New Roman" w:hAnsi="Times New Roman"/>
          <w:sz w:val="19"/>
          <w:szCs w:val="19"/>
          <w:color w:val="auto"/>
        </w:rPr>
        <w:t>, that (A) no Default or Event of Default exists or would result therefrom, (B) the Net Proceeds, if any, thereof are applied in accordance with Section 2.11(b) to the extent required thereby and (C) with respect to any exchange of assets for services, immediately after giving effect thereto, the Borrower shall be in Pro Forma Compliance;</w:t>
      </w:r>
    </w:p>
    <w:p>
      <w:pPr>
        <w:spacing w:after="0" w:line="172" w:lineRule="exact"/>
        <w:rPr>
          <w:rFonts w:ascii="Times New Roman" w:cs="Times New Roman" w:eastAsia="Times New Roman" w:hAnsi="Times New Roman"/>
          <w:sz w:val="19"/>
          <w:szCs w:val="19"/>
          <w:color w:val="auto"/>
        </w:rPr>
      </w:pPr>
    </w:p>
    <w:p>
      <w:pPr>
        <w:jc w:val="both"/>
        <w:ind w:firstLine="1292"/>
        <w:spacing w:after="0" w:line="249" w:lineRule="auto"/>
        <w:tabs>
          <w:tab w:leader="none" w:pos="1823" w:val="left"/>
        </w:tabs>
        <w:numPr>
          <w:ilvl w:val="0"/>
          <w:numId w:val="2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at the time thereof and immediately after giving effect thereto no Event of Default shall have occurred and be continuing or would result therefrom, any Subsidiary or any other person may be merged, amalgamated or consolidated with or into the Borrower,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the Borrower shall be the surviving entity or (B) if the surviving entity is not the Borrower (such other person, the “</w:t>
      </w:r>
      <w:r>
        <w:rPr>
          <w:rFonts w:ascii="Times New Roman" w:cs="Times New Roman" w:eastAsia="Times New Roman" w:hAnsi="Times New Roman"/>
          <w:sz w:val="20"/>
          <w:szCs w:val="20"/>
          <w:u w:val="single" w:color="auto"/>
          <w:color w:val="auto"/>
        </w:rPr>
        <w:t>Successor Borrower</w:t>
      </w:r>
      <w:r>
        <w:rPr>
          <w:rFonts w:ascii="Times New Roman" w:cs="Times New Roman" w:eastAsia="Times New Roman" w:hAnsi="Times New Roman"/>
          <w:sz w:val="20"/>
          <w:szCs w:val="20"/>
          <w:color w:val="auto"/>
        </w:rPr>
        <w:t xml:space="preserve">”), (1) the Successor Borrower shall be an entity organized or existing under the laws of the United States, any state thereof, the District of Columbia or any territory thereof, (2) the Successor Borrower shall expressly assume all the obligations of the Borrower under this Agreement and the other Loan Documents pursuant to a supplement hereto or thereto in form reasonably satisfactory to the Administrative Agent, (3) each Guarantor, unless it is the other party to such merger or consolidation, shall have by a supplement to the Holdings Guarantee and Pledge Agreement or the Subsidiary Guarantee Agreement, as applicable, confirmed that its guarantee thereunder shall apply to any Successor Borrower’s obligations under this Agreement, (4) each Subsidiary Loan Party, unless it is the other party to such merger or consolidation, shall have by a supplement to any applicable Security Document affirmed that its obligations thereunder shall apply to its guarantee as reaffirmed pursuant to </w:t>
      </w:r>
      <w:r>
        <w:rPr>
          <w:rFonts w:ascii="Times New Roman" w:cs="Times New Roman" w:eastAsia="Times New Roman" w:hAnsi="Times New Roman"/>
          <w:sz w:val="20"/>
          <w:szCs w:val="20"/>
          <w:u w:val="single" w:color="auto"/>
          <w:color w:val="auto"/>
        </w:rPr>
        <w:t>clause (3)</w:t>
      </w:r>
      <w:r>
        <w:rPr>
          <w:rFonts w:ascii="Times New Roman" w:cs="Times New Roman" w:eastAsia="Times New Roman" w:hAnsi="Times New Roman"/>
          <w:sz w:val="20"/>
          <w:szCs w:val="20"/>
          <w:color w:val="auto"/>
        </w:rPr>
        <w:t xml:space="preserve">, (5) each mortgagor of a Mortgaged Property, unless it is the other party to such merger or consolidation, shall have affirmed that its obligations under the applicable Mortgage shall apply to its guarantee as reaffirmed pursuant to </w:t>
      </w:r>
      <w:r>
        <w:rPr>
          <w:rFonts w:ascii="Times New Roman" w:cs="Times New Roman" w:eastAsia="Times New Roman" w:hAnsi="Times New Roman"/>
          <w:sz w:val="20"/>
          <w:szCs w:val="20"/>
          <w:u w:val="single" w:color="auto"/>
          <w:color w:val="auto"/>
        </w:rPr>
        <w:t>clause (3)</w:t>
      </w:r>
      <w:r>
        <w:rPr>
          <w:rFonts w:ascii="Times New Roman" w:cs="Times New Roman" w:eastAsia="Times New Roman" w:hAnsi="Times New Roman"/>
          <w:sz w:val="20"/>
          <w:szCs w:val="20"/>
          <w:color w:val="auto"/>
        </w:rPr>
        <w:t xml:space="preserve"> and (6) the Successor Borrower shall have delivered to the Administrative Agent (x) an officer’s certificate stating that such merger or consolidation does not violate this Agreement or any other Loan Document and (y) if requested by the Administrative Agent, an opinion of counsel to the effect that such merger or consolidation does not violate this Agreement or any other Loan Document and covering such other matters as are contemplated by the Collateral and Guarantee Requirement to be covered in opinions of counsel (it being understood that if the foregoing are satisfied, the Successor Borrower will succeed to, and be substituted for, the Borrower under this Agreement); and</w:t>
      </w:r>
    </w:p>
    <w:p>
      <w:pPr>
        <w:sectPr>
          <w:pgSz w:w="11900" w:h="16838" w:orient="portrait"/>
          <w:cols w:equalWidth="0" w:num="1">
            <w:col w:w="11120"/>
          </w:cols>
          <w:pgMar w:left="440" w:top="108" w:right="339" w:bottom="1440" w:gutter="0" w:footer="0" w:header="0"/>
        </w:sectPr>
      </w:pPr>
    </w:p>
    <w:bookmarkStart w:id="333" w:name="page334"/>
    <w:bookmarkEnd w:id="333"/>
    <w:p>
      <w:pPr>
        <w:ind w:left="9360"/>
        <w:spacing w:after="0"/>
        <w:rPr>
          <w:sz w:val="20"/>
          <w:szCs w:val="20"/>
          <w:color w:val="auto"/>
        </w:rPr>
      </w:pPr>
      <w:r>
        <w:rPr>
          <w:rFonts w:ascii="Times New Roman" w:cs="Times New Roman" w:eastAsia="Times New Roman" w:hAnsi="Times New Roman"/>
          <w:sz w:val="21"/>
          <w:szCs w:val="21"/>
          <w:color w:val="FF0000"/>
          <w:strike w:val="1"/>
        </w:rPr>
        <w:t>ANNEX</w:t>
      </w:r>
      <w:r>
        <w:rPr>
          <w:rFonts w:ascii="Times New Roman" w:cs="Times New Roman" w:eastAsia="Times New Roman" w:hAnsi="Times New Roman"/>
          <w:sz w:val="21"/>
          <w:szCs w:val="21"/>
          <w:b w:val="1"/>
          <w:bCs w:val="1"/>
          <w:u w:val="single" w:color="auto"/>
          <w:color w:val="0000FF"/>
        </w:rPr>
        <w:t>EXHIBIT</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000000"/>
        </w:rPr>
        <w: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ind w:left="120" w:firstLine="1292"/>
        <w:spacing w:after="0" w:line="261" w:lineRule="auto"/>
        <w:tabs>
          <w:tab w:leader="none" w:pos="1856" w:val="left"/>
        </w:tabs>
        <w:numPr>
          <w:ilvl w:val="0"/>
          <w:numId w:val="2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Disposition to effect the formation of any Subsidiary that is a Delaware Divided LLC and would otherwise not be prohibited hereunder;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disposition or other allocation of any assets (including any Equity Interests of such Delaware Divided LLC) in connection therewith is otherwise permitted hereunder.</w:t>
      </w:r>
    </w:p>
    <w:p>
      <w:pPr>
        <w:spacing w:after="0" w:line="154"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19"/>
          <w:szCs w:val="19"/>
          <w:color w:val="auto"/>
        </w:rPr>
        <w:t xml:space="preserve">Notwithstanding anything to the contrary contained in Section 6.05 above, no Disposition of assets under Section 6.05(g) or, solely with respect to Sale and Lease-Back Transactions referred to in clause (b)(y) of Section 6.03, under Section 6.05(d), shall be permitted unless (i) such Disposition is for fair market value (as determined in good faith by the Borrower), or if not for fair market value, the shortfall is permitted as an Investment under Section 6.04, and (ii) at least 75% of the proceeds of such Disposition (except to the Borrower or a Subsidiary) consist of cash or Permitted Investments;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provisions of this clause (ii) shall not apply to any individual transaction or series of related transactions involving assets with a fair market value (as determined in good faith by the Borrower) of less than $25,000,000 or to other transactions involving assets with a fair market value (as determined in good faith by the Borrower) of not more than the greater of $75,000,000 and 0.075 </w:t>
      </w:r>
      <w:r>
        <w:rPr>
          <w:rFonts w:ascii="Times New Roman" w:cs="Times New Roman" w:eastAsia="Times New Roman" w:hAnsi="Times New Roman"/>
          <w:sz w:val="19"/>
          <w:szCs w:val="19"/>
          <w:u w:val="single" w:color="auto"/>
          <w:color w:val="auto"/>
        </w:rPr>
        <w:t>times</w:t>
      </w:r>
      <w:r>
        <w:rPr>
          <w:rFonts w:ascii="Times New Roman" w:cs="Times New Roman" w:eastAsia="Times New Roman" w:hAnsi="Times New Roman"/>
          <w:sz w:val="19"/>
          <w:szCs w:val="19"/>
          <w:color w:val="auto"/>
        </w:rPr>
        <w:t xml:space="preserve"> the EBITDA calculated on a Pro Forma Basis for the then most recently ended Test Period in the aggregate for all such transactions during the term of this Agreement;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further</w:t>
      </w:r>
      <w:r>
        <w:rPr>
          <w:rFonts w:ascii="Times New Roman" w:cs="Times New Roman" w:eastAsia="Times New Roman" w:hAnsi="Times New Roman"/>
          <w:sz w:val="19"/>
          <w:szCs w:val="19"/>
          <w:color w:val="auto"/>
        </w:rPr>
        <w:t>, that for purposes of this clause (ii), each of the following shall be deemed to be cash: (a) the amount of any liabilities (as shown on the Borrower’s or such Subsidiary’s most recent balance sheet or in the notes thereto) that are assumed by the transferee of any such assets or are otherwise cancelled in connection with such transaction, (b) any notes or other obligations or other securities or assets received by the Borrower or such Subsidiary from the transferee that are converted by the Borrower or such Subsidiary into cash within 180 days after receipt thereof (to the extent of the cash received),</w:t>
      </w:r>
    </w:p>
    <w:p>
      <w:pPr>
        <w:spacing w:after="0" w:line="1" w:lineRule="exact"/>
        <w:rPr>
          <w:sz w:val="20"/>
          <w:szCs w:val="20"/>
          <w:color w:val="auto"/>
        </w:rPr>
      </w:pPr>
    </w:p>
    <w:p>
      <w:pPr>
        <w:jc w:val="both"/>
        <w:ind w:firstLine="8"/>
        <w:spacing w:after="0" w:line="249" w:lineRule="auto"/>
        <w:tabs>
          <w:tab w:leader="none" w:pos="274" w:val="left"/>
        </w:tabs>
        <w:numPr>
          <w:ilvl w:val="0"/>
          <w:numId w:val="2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Designated Non-Cash Consideration received by the Borrower or any of its Subsidiaries in such Disposition having an aggregate fair market value (as determined in good faith by the Borrower), taken together with all other Designated Non-Cash Consideration received pursuant to this clause (c) that is at that time outstanding, not to exceed the greater of $215,000,000 and 0.25 </w:t>
      </w:r>
      <w:r>
        <w:rPr>
          <w:rFonts w:ascii="Times New Roman" w:cs="Times New Roman" w:eastAsia="Times New Roman" w:hAnsi="Times New Roman"/>
          <w:sz w:val="20"/>
          <w:szCs w:val="20"/>
          <w:u w:val="single" w:color="auto"/>
          <w:color w:val="auto"/>
        </w:rPr>
        <w:t>times</w:t>
      </w:r>
      <w:r>
        <w:rPr>
          <w:rFonts w:ascii="Times New Roman" w:cs="Times New Roman" w:eastAsia="Times New Roman" w:hAnsi="Times New Roman"/>
          <w:sz w:val="20"/>
          <w:szCs w:val="20"/>
          <w:color w:val="auto"/>
        </w:rPr>
        <w:t xml:space="preserve"> the EBITDA calculated on a Pro Forma Basis for the Test Period ended immediately prior to the receipt of such Designated Non-Cash Consideration (with the fair market value of each item of Designated Non-Cash Consideration being measured at the time received and without giving effect to subsequent changes in value), (d) the amount of Indebtedness of any Subsidiary that is no longer a Subsidiary as a result of such Asset Sale, to the extent that Holdings, the Borrower and each other Subsidiary are released from any guarantee of payment of such Indebtedness in connection with the Asset Sale and (e) consideration consisting of Indebtedness of the Borrower or a Subsidiary (other than Indebtedness that is subordinated in right of payment to the Loan Obligations) received from persons who are not Holdings, the Borrower or a Subsidiary in connection with the Asset Sale and that is cancelled. For purposes of this Section 6.05, the fair market value of any assets Disposed of by the Borrower or any Subsidiary shall be determined in good faith by the Borrower and may be determined either, at the option of the Borrower, at the time of such Disposition or as of the date of the definitive agreement with respect to such Disposition.</w:t>
      </w:r>
    </w:p>
    <w:p>
      <w:pPr>
        <w:spacing w:after="0" w:line="166"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Section 6.06 Dividends and Distributions. Declare or pay any dividend or make any other distribution (by reduction of capital or otherwise), whether in cash, property, securities or a combination thereof, with respect to any of its Equity Interests (other than dividends and distributions on Equity Interests payable solely by the issuance of additional Equity Interests (other than Disqualified Stock) of the person paying such dividends or distributions) or directly or indirectly redeem, purchase, retire or otherwise acquire for value (or permit any Subsidiary to purchase or acquire) any of the Borrower’s Equity Interests or set aside any amount for any such purpose (other than through the issuance of additional Equity Interests (other than Disqualified Stock) of the person redeeming, purchasing, retiring or acquiring such shares) (all of the foregoing, “</w:t>
      </w:r>
      <w:r>
        <w:rPr>
          <w:rFonts w:ascii="Times New Roman" w:cs="Times New Roman" w:eastAsia="Times New Roman" w:hAnsi="Times New Roman"/>
          <w:sz w:val="20"/>
          <w:szCs w:val="20"/>
          <w:u w:val="single" w:color="auto"/>
          <w:color w:val="auto"/>
        </w:rPr>
        <w:t>Restricted Payments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w:t>
      </w:r>
    </w:p>
    <w:p>
      <w:pPr>
        <w:sectPr>
          <w:pgSz w:w="11900" w:h="16838" w:orient="portrait"/>
          <w:cols w:equalWidth="0" w:num="1">
            <w:col w:w="11240"/>
          </w:cols>
          <w:pgMar w:left="320" w:top="108" w:right="339" w:bottom="1440" w:gutter="0" w:footer="0" w:header="0"/>
        </w:sectPr>
      </w:pPr>
    </w:p>
    <w:bookmarkStart w:id="334" w:name="page335"/>
    <w:bookmarkEnd w:id="334"/>
    <w:p>
      <w:pPr>
        <w:jc w:val="right"/>
        <w:spacing w:after="0"/>
        <w:rPr>
          <w:sz w:val="20"/>
          <w:szCs w:val="20"/>
          <w:color w:val="auto"/>
        </w:rPr>
      </w:pPr>
      <w:r>
        <w:rPr>
          <w:rFonts w:ascii="Times New Roman" w:cs="Times New Roman" w:eastAsia="Times New Roman" w:hAnsi="Times New Roman"/>
          <w:sz w:val="22"/>
          <w:szCs w:val="22"/>
          <w:color w:val="FF0000"/>
          <w:strike w:val="1"/>
        </w:rPr>
        <w:t>ANNEX</w:t>
      </w:r>
      <w:r>
        <w:rPr>
          <w:rFonts w:ascii="Times New Roman" w:cs="Times New Roman" w:eastAsia="Times New Roman" w:hAnsi="Times New Roman"/>
          <w:sz w:val="22"/>
          <w:szCs w:val="22"/>
          <w:b w:val="1"/>
          <w:bCs w:val="1"/>
          <w:u w:val="single" w:color="auto"/>
          <w:color w:val="0000FF"/>
        </w:rPr>
        <w:t>EXHIBIT</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ind w:firstLine="1292"/>
        <w:spacing w:after="0" w:line="258" w:lineRule="auto"/>
        <w:tabs>
          <w:tab w:leader="none" w:pos="1739" w:val="left"/>
        </w:tabs>
        <w:numPr>
          <w:ilvl w:val="0"/>
          <w:numId w:val="2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Restricted Payments may be made to the Borrower or any Wholly Owned Subsidiary of the Borrower (or, in the case of non-Wholly Owned Subsidiaries, to the Borrower or any Subsidiary that is a direct or indirect parent of such Subsidiary and to each other owner of Equity Interests of such Subsidiary on a pro rata basis (or more favorable basis from the perspective of the Borrower or such Subsidiary) based on their relative ownership interests);</w:t>
      </w:r>
    </w:p>
    <w:p>
      <w:pPr>
        <w:spacing w:after="0" w:line="158" w:lineRule="exact"/>
        <w:rPr>
          <w:rFonts w:ascii="Times New Roman" w:cs="Times New Roman" w:eastAsia="Times New Roman" w:hAnsi="Times New Roman"/>
          <w:sz w:val="20"/>
          <w:szCs w:val="20"/>
          <w:color w:val="auto"/>
        </w:rPr>
      </w:pPr>
    </w:p>
    <w:p>
      <w:pPr>
        <w:jc w:val="both"/>
        <w:ind w:firstLine="1292"/>
        <w:spacing w:after="0" w:line="249" w:lineRule="auto"/>
        <w:tabs>
          <w:tab w:leader="none" w:pos="1781" w:val="left"/>
        </w:tabs>
        <w:numPr>
          <w:ilvl w:val="0"/>
          <w:numId w:val="2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Restricted Payments may be made in respect of (i) general corporate operating and overhead, legal, accounting and other professional fees and expenses of Holdings or any Parent Entity, (ii) fees and expenses related to any public offering or private placement of Equity Interests or Indebtedness of Holdings or any Parent Entity whether or not consummated, (iii) franchise and similar taxes and other fees and expenses in connection with the maintenance of its (or any Parent Entity’s) existence and its (or any Parent Entity’s indirect) ownership of the Borrower, (iv) payments permitted by Section 6.07(b) (other than Section 6.07(b)(vii)), (v) in respect of any taxable period for which the Borrower and/or any of its Subsidiaries are members of a consolidated, combined, affiliated, unitary or similar tax group for U.S. federal and/or applicable state, local or foreign tax purposes of which a direct or indirect parent of the Borrower is the common parent, or for which the Borrower is a disregarded entity for U.S. federal income tax purposes that is wholly owned (directly or indirectly) by a C corporation for U.S. federal and/or applicable state, local or foreign tax purposes, Restricted Payments to any direct or indirect parent of the Borrower in an amount not to exceed the amount of any U.S. federal, state, local and/or foreign income taxes that the Borrower and/or its Subsidiaries, as applicable, would have paid for such taxable period had the Borrower and/or its Subsidiaries, as applicable, been a stand-alone corporate taxpayer or a stand-alone corporate group and (vi) customary salary, bonus and other benefits payable to, and indemnities provided on behalf of, officers, directors, employees and consultants of Holdings or any Parent Entity, in each case in order to permit Holdings or any Parent Entity to make such payments;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in the case of subclauses (i) and (iii), the amount of such Restricted Payments shall not exceed the portion of any amounts referred to in such subclauses (i) and (iii) that are allocable to the Borrower and its Subsidiaries (which (x) shall be 100% at any time that, as the case may be, (1) Holdings owns no material assets other than the Equity Interests of the Borrower and assets incidental to such equity ownership or (2) any Parent Entity owns directly or indirectly no material assets other than Equity Interests of Holdings and any other Parent Entity and assets incidental to such equity ownership and (y) in all other cases shall be as determined in good faith by the Borrower);</w:t>
      </w:r>
    </w:p>
    <w:p>
      <w:pPr>
        <w:spacing w:after="0" w:line="178" w:lineRule="exact"/>
        <w:rPr>
          <w:rFonts w:ascii="Times New Roman" w:cs="Times New Roman" w:eastAsia="Times New Roman" w:hAnsi="Times New Roman"/>
          <w:sz w:val="20"/>
          <w:szCs w:val="20"/>
          <w:color w:val="auto"/>
        </w:rPr>
      </w:pPr>
    </w:p>
    <w:p>
      <w:pPr>
        <w:jc w:val="both"/>
        <w:ind w:firstLine="1292"/>
        <w:spacing w:after="0" w:line="250" w:lineRule="auto"/>
        <w:tabs>
          <w:tab w:leader="none" w:pos="1802" w:val="left"/>
        </w:tabs>
        <w:numPr>
          <w:ilvl w:val="0"/>
          <w:numId w:val="2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Restricted Payments may be made to Holdings, the proceeds of which are used to purchase or redeem the Equity Interests of Holdings or any Parent Entity (including related stock appreciation rights or similar securities) held by then present or former directors, consultants, officers or employees of any Parent Entity, Holdings, the Borrower or any of the Subsidiaries or by any Plan or any shareholders’ agreement then in effect upon such person’s death, disability, retirement or termination of employment or under the terms of any such Plan or any other agreement under which such shares of stock or related rights were issued;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the aggregate amount of such purchases or redemptions under this clause (c) shall not exceed in any fiscal year $40,000,000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(x) the amount of net proceeds contributed to the Borrower that were (x) received by Holdings or any Parent Entity during such calendar year from sales of Equity Interests of Holdings or any Parent Entity to directors, consultants, officers or employees of Holdings, any Parent Entity, the Borrower or any Subsidiary in connection with permitted employee compensation and incentive arrangements;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such proceeds are not included in any determination of the Cumulative Credit, (y) the amount of net proceeds of any key-man life insurance policies received during such calendar year, and (z) the amount of any cash bonuses otherwise payable to members of management, directors or consultants of Holdings, any Parent Entity, the Borrower or the Subsidiaries in connection with the Transactions that are foregone in return for the receipt of Equity Interests), which, if not used in any year, may be carried forward to any</w:t>
      </w:r>
    </w:p>
    <w:p>
      <w:pPr>
        <w:sectPr>
          <w:pgSz w:w="11900" w:h="16838" w:orient="portrait"/>
          <w:cols w:equalWidth="0" w:num="1">
            <w:col w:w="11120"/>
          </w:cols>
          <w:pgMar w:left="440" w:top="108" w:right="339" w:bottom="1440" w:gutter="0" w:footer="0" w:header="0"/>
        </w:sectPr>
      </w:pPr>
    </w:p>
    <w:bookmarkStart w:id="335" w:name="page336"/>
    <w:bookmarkEnd w:id="335"/>
    <w:p>
      <w:pPr>
        <w:jc w:val="right"/>
        <w:spacing w:after="0"/>
        <w:rPr>
          <w:sz w:val="20"/>
          <w:szCs w:val="20"/>
          <w:color w:val="auto"/>
        </w:rPr>
      </w:pPr>
      <w:r>
        <w:rPr>
          <w:rFonts w:ascii="Times New Roman" w:cs="Times New Roman" w:eastAsia="Times New Roman" w:hAnsi="Times New Roman"/>
          <w:sz w:val="22"/>
          <w:szCs w:val="22"/>
          <w:color w:val="FF0000"/>
          <w:strike w:val="1"/>
        </w:rPr>
        <w:t>ANNEX</w:t>
      </w:r>
      <w:r>
        <w:rPr>
          <w:rFonts w:ascii="Times New Roman" w:cs="Times New Roman" w:eastAsia="Times New Roman" w:hAnsi="Times New Roman"/>
          <w:sz w:val="22"/>
          <w:szCs w:val="22"/>
          <w:b w:val="1"/>
          <w:bCs w:val="1"/>
          <w:u w:val="single" w:color="auto"/>
          <w:color w:val="0000FF"/>
        </w:rPr>
        <w:t>EXHIBIT</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 xml:space="preserve">subsequent calendar year; and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cancellation of Indebtedness owing to the Borrower or any Subsidiary from members of management of Holdings, any Parent Entity, the Borrower or its Subsidiaries in connection with a repurchase of Equity Interests of Holdings or any Parent Entity will not be deemed to constitute a Restricted Payment for purposes of this Section 6.06;</w:t>
      </w:r>
    </w:p>
    <w:p>
      <w:pPr>
        <w:spacing w:after="0" w:line="154" w:lineRule="exact"/>
        <w:rPr>
          <w:sz w:val="20"/>
          <w:szCs w:val="20"/>
          <w:color w:val="auto"/>
        </w:rPr>
      </w:pPr>
    </w:p>
    <w:p>
      <w:pPr>
        <w:ind w:firstLine="1292"/>
        <w:spacing w:after="0" w:line="283" w:lineRule="auto"/>
        <w:tabs>
          <w:tab w:leader="none" w:pos="1727" w:val="left"/>
        </w:tabs>
        <w:numPr>
          <w:ilvl w:val="0"/>
          <w:numId w:val="2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person may make non-cash repurchases of Equity Interests deemed to occur upon exercise of stock options if such Equity Interests represent a portion of the exercise price of such options;</w:t>
      </w:r>
    </w:p>
    <w:p>
      <w:pPr>
        <w:spacing w:after="0" w:line="132" w:lineRule="exact"/>
        <w:rPr>
          <w:rFonts w:ascii="Times New Roman" w:cs="Times New Roman" w:eastAsia="Times New Roman" w:hAnsi="Times New Roman"/>
          <w:sz w:val="20"/>
          <w:szCs w:val="20"/>
          <w:color w:val="auto"/>
        </w:rPr>
      </w:pPr>
    </w:p>
    <w:p>
      <w:pPr>
        <w:jc w:val="both"/>
        <w:ind w:firstLine="1292"/>
        <w:spacing w:after="0" w:line="257" w:lineRule="auto"/>
        <w:tabs>
          <w:tab w:leader="none" w:pos="1745" w:val="left"/>
        </w:tabs>
        <w:numPr>
          <w:ilvl w:val="0"/>
          <w:numId w:val="2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Restricted Payments may be made in an aggregate amount equal to a portion of the Cumulative Credit on the date of such election that the Borrower elects to apply to this Section 6.06(e), which such election shall (unless such Restricted Payment is made pursuant to clause (a) of the definition of “Cumulative Credit”) be set forth in a written notice of a Responsible Officer of the Borrower, which notice shall set forth calculations in reasonable detail the amount of Cumulative Credit immediately prior to such election and the amount thereof elected to be so applied;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no Event of Default would result therefrom;</w:t>
      </w:r>
    </w:p>
    <w:p>
      <w:pPr>
        <w:spacing w:after="0" w:line="159" w:lineRule="exact"/>
        <w:rPr>
          <w:rFonts w:ascii="Times New Roman" w:cs="Times New Roman" w:eastAsia="Times New Roman" w:hAnsi="Times New Roman"/>
          <w:sz w:val="20"/>
          <w:szCs w:val="20"/>
          <w:color w:val="auto"/>
        </w:rPr>
      </w:pPr>
    </w:p>
    <w:p>
      <w:pPr>
        <w:ind w:firstLine="1292"/>
        <w:spacing w:after="0" w:line="283" w:lineRule="auto"/>
        <w:tabs>
          <w:tab w:leader="none" w:pos="1717" w:val="left"/>
        </w:tabs>
        <w:numPr>
          <w:ilvl w:val="0"/>
          <w:numId w:val="2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Restricted Payments may be made in connection with the consummation of the Transactions, including payments and distributions to dissenting stockholders or stockholders exercising appraisal rights pursuant to applicable law;</w:t>
      </w:r>
    </w:p>
    <w:p>
      <w:pPr>
        <w:spacing w:after="0" w:line="132" w:lineRule="exact"/>
        <w:rPr>
          <w:rFonts w:ascii="Times New Roman" w:cs="Times New Roman" w:eastAsia="Times New Roman" w:hAnsi="Times New Roman"/>
          <w:sz w:val="20"/>
          <w:szCs w:val="20"/>
          <w:color w:val="auto"/>
        </w:rPr>
      </w:pPr>
    </w:p>
    <w:p>
      <w:pPr>
        <w:jc w:val="both"/>
        <w:ind w:firstLine="1292"/>
        <w:spacing w:after="0" w:line="261" w:lineRule="auto"/>
        <w:tabs>
          <w:tab w:leader="none" w:pos="1729" w:val="left"/>
        </w:tabs>
        <w:numPr>
          <w:ilvl w:val="0"/>
          <w:numId w:val="2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Restricted Payments may be made to pay, or to allow Holdings or any Parent Entity to make payments, in cash, in lieu of the issuance of fractional shares, upon the exercise of warrants or upon the conversion or exchange of Equity Interests of any such person;</w:t>
      </w:r>
    </w:p>
    <w:p>
      <w:pPr>
        <w:spacing w:after="0" w:line="154" w:lineRule="exact"/>
        <w:rPr>
          <w:rFonts w:ascii="Times New Roman" w:cs="Times New Roman" w:eastAsia="Times New Roman" w:hAnsi="Times New Roman"/>
          <w:sz w:val="20"/>
          <w:szCs w:val="20"/>
          <w:color w:val="auto"/>
        </w:rPr>
      </w:pPr>
    </w:p>
    <w:p>
      <w:pPr>
        <w:jc w:val="both"/>
        <w:ind w:firstLine="1292"/>
        <w:spacing w:after="0" w:line="261" w:lineRule="auto"/>
        <w:tabs>
          <w:tab w:leader="none" w:pos="1837" w:val="left"/>
        </w:tabs>
        <w:numPr>
          <w:ilvl w:val="0"/>
          <w:numId w:val="2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Restricted Payments may be made to pay, or to allow Holding or any Parent Entity to pay, dividends and make distributions to, or repurchase or redeem shares from, its equity holders in an amount per annum no greater than 6.0% of the Market Capitalization;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no Event of Default would result therefrom;</w:t>
      </w:r>
    </w:p>
    <w:p>
      <w:pPr>
        <w:spacing w:after="0" w:line="167" w:lineRule="exact"/>
        <w:rPr>
          <w:rFonts w:ascii="Times New Roman" w:cs="Times New Roman" w:eastAsia="Times New Roman" w:hAnsi="Times New Roman"/>
          <w:sz w:val="20"/>
          <w:szCs w:val="20"/>
          <w:color w:val="auto"/>
        </w:rPr>
      </w:pPr>
    </w:p>
    <w:p>
      <w:pPr>
        <w:jc w:val="both"/>
        <w:ind w:firstLine="1292"/>
        <w:spacing w:after="0" w:line="251" w:lineRule="auto"/>
        <w:tabs>
          <w:tab w:leader="none" w:pos="1760" w:val="left"/>
        </w:tabs>
        <w:numPr>
          <w:ilvl w:val="0"/>
          <w:numId w:val="2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Restricted Payments may be made to Holdings or any Parent Entity to finance any Investment that if made by the Borrower or any Subsidiary directly would be permitted to be made pursuant to Section 6.04;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(A) such Restricted Payment shall be made substantially concurrently with the closing of such Investment and (B) such parent shall, immediately following the closing thereof, cause (1) all property acquired (whether assets or Equity Interests) to be contributed to the Borrower or a Subsidiary or (2) the merger, consolidation or amalgamation (to the extent permitted in Section 6.05) of the person formed or acquired into the Borrower or a Subsidiary in order to consummate such Permitted Business Acquisition or Investment, in each case, in accordance with the requirements of Section 5.10;</w:t>
      </w:r>
    </w:p>
    <w:p>
      <w:pPr>
        <w:spacing w:after="0" w:line="165" w:lineRule="exact"/>
        <w:rPr>
          <w:rFonts w:ascii="Times New Roman" w:cs="Times New Roman" w:eastAsia="Times New Roman" w:hAnsi="Times New Roman"/>
          <w:sz w:val="20"/>
          <w:szCs w:val="20"/>
          <w:color w:val="auto"/>
        </w:rPr>
      </w:pPr>
    </w:p>
    <w:p>
      <w:pPr>
        <w:jc w:val="both"/>
        <w:ind w:firstLine="1292"/>
        <w:spacing w:after="0" w:line="268" w:lineRule="auto"/>
        <w:tabs>
          <w:tab w:leader="none" w:pos="1732" w:val="left"/>
        </w:tabs>
        <w:numPr>
          <w:ilvl w:val="0"/>
          <w:numId w:val="2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other Restricted Payments may be made in an aggregate amount not to exceed the greater of $300,000,000 and 0.35 </w:t>
      </w:r>
      <w:r>
        <w:rPr>
          <w:rFonts w:ascii="Times New Roman" w:cs="Times New Roman" w:eastAsia="Times New Roman" w:hAnsi="Times New Roman"/>
          <w:sz w:val="20"/>
          <w:szCs w:val="20"/>
          <w:u w:val="single" w:color="auto"/>
          <w:color w:val="auto"/>
        </w:rPr>
        <w:t>times</w:t>
      </w:r>
      <w:r>
        <w:rPr>
          <w:rFonts w:ascii="Times New Roman" w:cs="Times New Roman" w:eastAsia="Times New Roman" w:hAnsi="Times New Roman"/>
          <w:sz w:val="20"/>
          <w:szCs w:val="20"/>
          <w:color w:val="auto"/>
        </w:rPr>
        <w:t xml:space="preserve"> the EBITDA calculated on a Pro Forma Basis for the Test Period ended immediately prior to the date of such Restricted Payment;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no Event of Default would result therefrom;</w:t>
      </w:r>
    </w:p>
    <w:p>
      <w:pPr>
        <w:spacing w:after="0" w:line="147" w:lineRule="exact"/>
        <w:rPr>
          <w:rFonts w:ascii="Times New Roman" w:cs="Times New Roman" w:eastAsia="Times New Roman" w:hAnsi="Times New Roman"/>
          <w:sz w:val="20"/>
          <w:szCs w:val="20"/>
          <w:color w:val="auto"/>
        </w:rPr>
      </w:pPr>
    </w:p>
    <w:p>
      <w:pPr>
        <w:ind w:left="1720" w:hanging="428"/>
        <w:spacing w:after="0"/>
        <w:tabs>
          <w:tab w:leader="none" w:pos="1720" w:val="left"/>
        </w:tabs>
        <w:numPr>
          <w:ilvl w:val="0"/>
          <w:numId w:val="2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Restricted Payments may be made under the Merger Agreement;</w:t>
      </w:r>
    </w:p>
    <w:p>
      <w:pPr>
        <w:spacing w:after="0" w:line="202" w:lineRule="exact"/>
        <w:rPr>
          <w:rFonts w:ascii="Times New Roman" w:cs="Times New Roman" w:eastAsia="Times New Roman" w:hAnsi="Times New Roman"/>
          <w:sz w:val="20"/>
          <w:szCs w:val="20"/>
          <w:color w:val="auto"/>
        </w:rPr>
      </w:pPr>
    </w:p>
    <w:p>
      <w:pPr>
        <w:ind w:left="1680" w:hanging="388"/>
        <w:spacing w:after="0"/>
        <w:tabs>
          <w:tab w:leader="none" w:pos="1680" w:val="left"/>
        </w:tabs>
        <w:numPr>
          <w:ilvl w:val="0"/>
          <w:numId w:val="2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Restricted Payments may be made in an amount equal to Excluded Contributions;</w:t>
      </w:r>
    </w:p>
    <w:p>
      <w:pPr>
        <w:sectPr>
          <w:pgSz w:w="11900" w:h="16838" w:orient="portrait"/>
          <w:cols w:equalWidth="0" w:num="1">
            <w:col w:w="11120"/>
          </w:cols>
          <w:pgMar w:left="440" w:top="108" w:right="339" w:bottom="1440" w:gutter="0" w:footer="0" w:header="0"/>
        </w:sectPr>
      </w:pPr>
    </w:p>
    <w:bookmarkStart w:id="336" w:name="page337"/>
    <w:bookmarkEnd w:id="336"/>
    <w:p>
      <w:pPr>
        <w:ind w:left="9360"/>
        <w:spacing w:after="0"/>
        <w:rPr>
          <w:sz w:val="20"/>
          <w:szCs w:val="20"/>
          <w:color w:val="auto"/>
        </w:rPr>
      </w:pPr>
      <w:r>
        <w:rPr>
          <w:rFonts w:ascii="Times New Roman" w:cs="Times New Roman" w:eastAsia="Times New Roman" w:hAnsi="Times New Roman"/>
          <w:sz w:val="21"/>
          <w:szCs w:val="21"/>
          <w:color w:val="FF0000"/>
          <w:strike w:val="1"/>
        </w:rPr>
        <w:t>ANNEX</w:t>
      </w:r>
      <w:r>
        <w:rPr>
          <w:rFonts w:ascii="Times New Roman" w:cs="Times New Roman" w:eastAsia="Times New Roman" w:hAnsi="Times New Roman"/>
          <w:sz w:val="21"/>
          <w:szCs w:val="21"/>
          <w:b w:val="1"/>
          <w:bCs w:val="1"/>
          <w:u w:val="single" w:color="auto"/>
          <w:color w:val="0000FF"/>
        </w:rPr>
        <w:t>EXHIBIT</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000000"/>
        </w:rPr>
        <w: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20" w:firstLine="1287"/>
        <w:spacing w:after="0" w:line="283" w:lineRule="auto"/>
        <w:tabs>
          <w:tab w:leader="none" w:pos="1932" w:val="left"/>
        </w:tabs>
        <w:numPr>
          <w:ilvl w:val="0"/>
          <w:numId w:val="2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other Restricted Payments may be made;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Event of Default would result therefrom and after giving effect to such Restricted Payment, the Net Total Leverage Ratio on a Pro Forma Basis would not exceed 3.75 to 1.00; and</w:t>
      </w:r>
    </w:p>
    <w:p>
      <w:pPr>
        <w:spacing w:after="0" w:line="132" w:lineRule="exact"/>
        <w:rPr>
          <w:rFonts w:ascii="Times New Roman" w:cs="Times New Roman" w:eastAsia="Times New Roman" w:hAnsi="Times New Roman"/>
          <w:sz w:val="20"/>
          <w:szCs w:val="20"/>
          <w:color w:val="auto"/>
        </w:rPr>
      </w:pPr>
    </w:p>
    <w:p>
      <w:pPr>
        <w:ind w:left="1940" w:hanging="528"/>
        <w:spacing w:after="0"/>
        <w:tabs>
          <w:tab w:leader="none" w:pos="1940" w:val="left"/>
        </w:tabs>
        <w:numPr>
          <w:ilvl w:val="0"/>
          <w:numId w:val="2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consideration, payment, dividend, distribution or other transfer in connection with a Permitted Securitization</w:t>
      </w:r>
    </w:p>
    <w:p>
      <w:pPr>
        <w:spacing w:after="0" w:line="21" w:lineRule="exact"/>
        <w:rPr>
          <w:rFonts w:ascii="Times New Roman" w:cs="Times New Roman" w:eastAsia="Times New Roman" w:hAnsi="Times New Roman"/>
          <w:sz w:val="20"/>
          <w:szCs w:val="20"/>
          <w:color w:val="auto"/>
        </w:rPr>
      </w:pPr>
    </w:p>
    <w:p>
      <w:pPr>
        <w:ind w:left="12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Financing.</w:t>
      </w:r>
    </w:p>
    <w:p>
      <w:pPr>
        <w:spacing w:after="0" w:line="207"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Notwithstanding anything herein to the contrary, (i) the foregoing provisions of Section 6.06 will not prohibit the payment of any Restricted Payment or the consummation of any redemption, purchase, defeasance or other payment within 60 days after the date of declaration thereof or the giving of notice, as applicable, if at the date of declaration or the giving of such notice such payment would have complied with the provisions of this Agreement and (ii) solely for purposes of this Agreement and the other Loan Documents, any equity contribution or purchase of Equity Interests to fund shares that have selected appraisal rights (including any settlement in respect thereof) shall be deemed to have been made on the Closing Date, and any payment to the holders of such shares shall be deemed to have been made on the Closing Date, in each case, as part of the Transactions.</w:t>
      </w:r>
    </w:p>
    <w:p>
      <w:pPr>
        <w:spacing w:after="0" w:line="166"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0"/>
          <w:szCs w:val="20"/>
          <w:color w:val="auto"/>
        </w:rPr>
        <w:t>For purposes of determining compliance with this covenant, (A) a Restricted Payment need not be permitted solely by reference to one category of permitted Restricted Payments (or any portion thereof) described in the above clauses but may be permitted in part under any combination thereof and (B) in the event that a Restricted Payment (or any portion thereof) meets the criteria of one or more of the categories of permitted Restricted Payments (or any portion thereof) described in the above clauses, the Borrower may, in its sole discretion, divide, classify or reclassify, or later divide, classify or reclassify, such permitted Restricted Payment (or any portion thereof) in any manner that complies with this covenant and at the time of division, classification or reclassification will be entitled to only include the amount and type of such Restricted Payment (or any portion thereof) in one of the categories of permitted Restricted Payments (or any portion thereof) described in the above clauses. In the event that a Restricted Payment (or any portion thereof) is divided, classified or reclassified under Section 6.06(m) (such clause, the “</w:t>
      </w:r>
      <w:r>
        <w:rPr>
          <w:rFonts w:ascii="Times New Roman" w:cs="Times New Roman" w:eastAsia="Times New Roman" w:hAnsi="Times New Roman"/>
          <w:sz w:val="20"/>
          <w:szCs w:val="20"/>
          <w:u w:val="single" w:color="auto"/>
          <w:color w:val="auto"/>
        </w:rPr>
        <w:t>Restricted Payments Incurrence Clause</w:t>
      </w:r>
      <w:r>
        <w:rPr>
          <w:rFonts w:ascii="Times New Roman" w:cs="Times New Roman" w:eastAsia="Times New Roman" w:hAnsi="Times New Roman"/>
          <w:sz w:val="20"/>
          <w:szCs w:val="20"/>
          <w:color w:val="auto"/>
        </w:rPr>
        <w:t>”), the determination of the amount of such Restricted Payment that may be made pursuant to the Restricted Payments Incurrence Clause shall be made without giving pro forma effect to any substantially concurrent Restricted Payment (or any portion thereof) divided, classified or reclassified under any of the above clauses other than the Restricted Payments Incurrence Clause or the incurrence of Indebtedness to finance any such Restricted Payment (or any portion thereof).</w:t>
      </w:r>
    </w:p>
    <w:p>
      <w:pPr>
        <w:spacing w:after="0" w:line="166"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Section 6.07 Transactions with Affiliates. (a) Sell or transfer any property or assets to, or purchase or acquire any property or assets from, or otherwise engage in any other transaction with, any of its Affiliates (other than the Borrower, Holdings, and the Subsidiaries or any person that becomes a Subsidiary as a result of such transaction) in a transaction (or series of related transactions) involving aggregate consideration in excess of $25,000,000, unless such transaction is (i) otherwise permitted (or required) under this Agreement or (ii) upon terms that are substantially no less favorable to the Borrower or such Subsidiary, as applicable, than would be obtained in a comparable arm’s-length transaction with a person that is not an Affiliate, as determined by the Board of Directors of the Borrower or such Subsidiary in good faith.</w:t>
      </w:r>
    </w:p>
    <w:p>
      <w:pPr>
        <w:spacing w:after="0" w:line="166" w:lineRule="exact"/>
        <w:rPr>
          <w:sz w:val="20"/>
          <w:szCs w:val="20"/>
          <w:color w:val="auto"/>
        </w:rPr>
      </w:pPr>
    </w:p>
    <w:p>
      <w:pPr>
        <w:ind w:left="1840" w:hanging="428"/>
        <w:spacing w:after="0"/>
        <w:tabs>
          <w:tab w:leader="none" w:pos="1840" w:val="left"/>
        </w:tabs>
        <w:numPr>
          <w:ilvl w:val="0"/>
          <w:numId w:val="2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foregoing clause (a) shall not prohibit, to the extent otherwise permitted under this Agreement,</w:t>
      </w:r>
    </w:p>
    <w:p>
      <w:pPr>
        <w:spacing w:after="0" w:line="202" w:lineRule="exact"/>
        <w:rPr>
          <w:rFonts w:ascii="Times New Roman" w:cs="Times New Roman" w:eastAsia="Times New Roman" w:hAnsi="Times New Roman"/>
          <w:sz w:val="20"/>
          <w:szCs w:val="20"/>
          <w:color w:val="auto"/>
        </w:rPr>
      </w:pPr>
    </w:p>
    <w:p>
      <w:pPr>
        <w:ind w:left="660" w:firstLine="1292"/>
        <w:spacing w:after="0" w:line="283" w:lineRule="auto"/>
        <w:tabs>
          <w:tab w:leader="none" w:pos="2392" w:val="left"/>
        </w:tabs>
        <w:numPr>
          <w:ilvl w:val="1"/>
          <w:numId w:val="2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issuance of securities, or other payments, awards or grants in cash, securities or otherwise pursuant to, or the funding of, employment arrangements, equity purchase</w:t>
      </w:r>
    </w:p>
    <w:p>
      <w:pPr>
        <w:sectPr>
          <w:pgSz w:w="11900" w:h="16838" w:orient="portrait"/>
          <w:cols w:equalWidth="0" w:num="1">
            <w:col w:w="11240"/>
          </w:cols>
          <w:pgMar w:left="320" w:top="108" w:right="339" w:bottom="1440" w:gutter="0" w:footer="0" w:header="0"/>
        </w:sectPr>
      </w:pPr>
    </w:p>
    <w:bookmarkStart w:id="337" w:name="page338"/>
    <w:bookmarkEnd w:id="337"/>
    <w:p>
      <w:pPr>
        <w:jc w:val="right"/>
        <w:spacing w:after="0"/>
        <w:rPr>
          <w:sz w:val="20"/>
          <w:szCs w:val="20"/>
          <w:color w:val="auto"/>
        </w:rPr>
      </w:pPr>
      <w:r>
        <w:rPr>
          <w:rFonts w:ascii="Times New Roman" w:cs="Times New Roman" w:eastAsia="Times New Roman" w:hAnsi="Times New Roman"/>
          <w:sz w:val="22"/>
          <w:szCs w:val="22"/>
          <w:color w:val="FF0000"/>
          <w:strike w:val="1"/>
        </w:rPr>
        <w:t>ANNEX</w:t>
      </w:r>
      <w:r>
        <w:rPr>
          <w:rFonts w:ascii="Times New Roman" w:cs="Times New Roman" w:eastAsia="Times New Roman" w:hAnsi="Times New Roman"/>
          <w:sz w:val="22"/>
          <w:szCs w:val="22"/>
          <w:b w:val="1"/>
          <w:bCs w:val="1"/>
          <w:u w:val="single" w:color="auto"/>
          <w:color w:val="0000FF"/>
        </w:rPr>
        <w:t>EXHIBIT</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agreements, stock options and stock ownership plans approved by the Board of Directors of Holdings (or any Parent Entity) or of the Borrower,</w:t>
      </w:r>
    </w:p>
    <w:p>
      <w:pPr>
        <w:spacing w:after="0" w:line="133" w:lineRule="exact"/>
        <w:rPr>
          <w:sz w:val="20"/>
          <w:szCs w:val="20"/>
          <w:color w:val="auto"/>
        </w:rPr>
      </w:pPr>
    </w:p>
    <w:p>
      <w:pPr>
        <w:ind w:right="20" w:firstLine="1292"/>
        <w:spacing w:after="0" w:line="269" w:lineRule="auto"/>
        <w:tabs>
          <w:tab w:leader="none" w:pos="1775" w:val="left"/>
        </w:tabs>
        <w:numPr>
          <w:ilvl w:val="0"/>
          <w:numId w:val="2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loans or advances to employees or consultants of Holdings (or any Parent Entity), the Borrower or any of the Subsidiaries in accordance with Section 6.04(e),</w:t>
      </w:r>
    </w:p>
    <w:p>
      <w:pPr>
        <w:spacing w:after="0" w:line="159" w:lineRule="exact"/>
        <w:rPr>
          <w:rFonts w:ascii="Times New Roman" w:cs="Times New Roman" w:eastAsia="Times New Roman" w:hAnsi="Times New Roman"/>
          <w:sz w:val="20"/>
          <w:szCs w:val="20"/>
          <w:color w:val="auto"/>
        </w:rPr>
      </w:pPr>
    </w:p>
    <w:p>
      <w:pPr>
        <w:ind w:right="20" w:firstLine="1292"/>
        <w:spacing w:after="0" w:line="295" w:lineRule="auto"/>
        <w:tabs>
          <w:tab w:leader="none" w:pos="1803" w:val="left"/>
        </w:tabs>
        <w:numPr>
          <w:ilvl w:val="0"/>
          <w:numId w:val="28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transactions among the Borrower or any Subsidiary or any entity that becomes a Subsidiary as a result of such transaction (including via merger, consolidation or amalgamation in which the Borrower or a Subsidiary is the surviving entity),</w:t>
      </w:r>
    </w:p>
    <w:p>
      <w:pPr>
        <w:spacing w:after="0" w:line="137" w:lineRule="exact"/>
        <w:rPr>
          <w:rFonts w:ascii="Times New Roman" w:cs="Times New Roman" w:eastAsia="Times New Roman" w:hAnsi="Times New Roman"/>
          <w:sz w:val="19"/>
          <w:szCs w:val="19"/>
          <w:color w:val="auto"/>
        </w:rPr>
      </w:pPr>
    </w:p>
    <w:p>
      <w:pPr>
        <w:jc w:val="both"/>
        <w:ind w:firstLine="1292"/>
        <w:spacing w:after="0" w:line="253" w:lineRule="auto"/>
        <w:tabs>
          <w:tab w:leader="none" w:pos="1884" w:val="left"/>
        </w:tabs>
        <w:numPr>
          <w:ilvl w:val="0"/>
          <w:numId w:val="2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payment of fees, reasonable out-of-pocket costs and indemnities to directors, officers, consultants and employees of Holdings, any Parent Entity, the Borrower and the Subsidiaries in the ordinary course of business (limited, in the case of any Parent Entity, to the portion of such fees and expenses that are allocable to the Borrower and its Subsidiaries (which (x) shall be 100% for so long as Holdings or such Parent Entity, as the case may be, owns no assets other than the Equity Interests of the Borrower, Holdings or any Parent Entity and assets incidental to the ownership of the Borrower and its Subsidiaries and (y) in all other cases shall be as determined in good faith by management of the Borrower)),</w:t>
      </w:r>
    </w:p>
    <w:p>
      <w:pPr>
        <w:spacing w:after="0" w:line="165" w:lineRule="exact"/>
        <w:rPr>
          <w:rFonts w:ascii="Times New Roman" w:cs="Times New Roman" w:eastAsia="Times New Roman" w:hAnsi="Times New Roman"/>
          <w:sz w:val="20"/>
          <w:szCs w:val="20"/>
          <w:color w:val="auto"/>
        </w:rPr>
      </w:pPr>
    </w:p>
    <w:p>
      <w:pPr>
        <w:jc w:val="both"/>
        <w:ind w:firstLine="1292"/>
        <w:spacing w:after="0" w:line="253" w:lineRule="auto"/>
        <w:tabs>
          <w:tab w:leader="none" w:pos="1965" w:val="left"/>
        </w:tabs>
        <w:numPr>
          <w:ilvl w:val="0"/>
          <w:numId w:val="2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the limitations set forth in Section 6.07(b)(xiv), if applicable, the Transactions, the 2021 Transactions, the Prior Amendments and any transactions pursuant to the Transaction Documents and permitted transactions, agreements and arrangements in existence on the Closing Date and, to the extent involving aggregate consideration in excess of $5,000,000, set forth on </w:t>
      </w:r>
      <w:r>
        <w:rPr>
          <w:rFonts w:ascii="Times New Roman" w:cs="Times New Roman" w:eastAsia="Times New Roman" w:hAnsi="Times New Roman"/>
          <w:sz w:val="20"/>
          <w:szCs w:val="20"/>
          <w:u w:val="single" w:color="auto"/>
          <w:color w:val="auto"/>
        </w:rPr>
        <w:t>Schedule 6.07</w:t>
      </w:r>
      <w:r>
        <w:rPr>
          <w:rFonts w:ascii="Times New Roman" w:cs="Times New Roman" w:eastAsia="Times New Roman" w:hAnsi="Times New Roman"/>
          <w:sz w:val="20"/>
          <w:szCs w:val="20"/>
          <w:color w:val="auto"/>
        </w:rPr>
        <w:t xml:space="preserve"> to the Original Credit Agreement or any amendment thereto or replacement thereof or similar arrangement to the extent such amendment, replacement or arrangement is not adverse to the Lenders when taken as a whole in any material respect (as determined by the Borrower in good faith),</w:t>
      </w:r>
    </w:p>
    <w:p>
      <w:pPr>
        <w:spacing w:after="0" w:line="165" w:lineRule="exact"/>
        <w:rPr>
          <w:rFonts w:ascii="Times New Roman" w:cs="Times New Roman" w:eastAsia="Times New Roman" w:hAnsi="Times New Roman"/>
          <w:sz w:val="20"/>
          <w:szCs w:val="20"/>
          <w:color w:val="auto"/>
        </w:rPr>
      </w:pPr>
    </w:p>
    <w:p>
      <w:pPr>
        <w:jc w:val="both"/>
        <w:ind w:firstLine="1292"/>
        <w:spacing w:after="0" w:line="253" w:lineRule="auto"/>
        <w:tabs>
          <w:tab w:leader="none" w:pos="1782" w:val="left"/>
        </w:tabs>
        <w:numPr>
          <w:ilvl w:val="0"/>
          <w:numId w:val="2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any employment agreements entered into by the Borrower or any of the Subsidiaries in the ordinary course of business, (B) any subscription agreement or similar agreement pertaining to the repurchase of Equity Interests pursuant to put/call rights or similar rights with employees, officers or directors, and (C) any employee compensation, benefit plan or arrangement, any health, disability or similar insurance plan which covers employees, and any reasonable employment contract and transactions pursuant thereto,</w:t>
      </w:r>
    </w:p>
    <w:p>
      <w:pPr>
        <w:spacing w:after="0" w:line="178" w:lineRule="exact"/>
        <w:rPr>
          <w:rFonts w:ascii="Times New Roman" w:cs="Times New Roman" w:eastAsia="Times New Roman" w:hAnsi="Times New Roman"/>
          <w:sz w:val="20"/>
          <w:szCs w:val="20"/>
          <w:color w:val="auto"/>
        </w:rPr>
      </w:pPr>
    </w:p>
    <w:p>
      <w:pPr>
        <w:ind w:firstLine="1292"/>
        <w:spacing w:after="0" w:line="269" w:lineRule="auto"/>
        <w:tabs>
          <w:tab w:leader="none" w:pos="1882" w:val="left"/>
        </w:tabs>
        <w:numPr>
          <w:ilvl w:val="0"/>
          <w:numId w:val="2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Restricted Payments permitted under Section 6.06, including payments to Holdings (and any Parent Entity), and Investments permitted under Section 6.04,</w:t>
      </w:r>
    </w:p>
    <w:p>
      <w:pPr>
        <w:spacing w:after="0" w:line="145" w:lineRule="exact"/>
        <w:rPr>
          <w:rFonts w:ascii="Times New Roman" w:cs="Times New Roman" w:eastAsia="Times New Roman" w:hAnsi="Times New Roman"/>
          <w:sz w:val="20"/>
          <w:szCs w:val="20"/>
          <w:color w:val="auto"/>
        </w:rPr>
      </w:pPr>
    </w:p>
    <w:p>
      <w:pPr>
        <w:jc w:val="both"/>
        <w:ind w:firstLine="1292"/>
        <w:spacing w:after="0" w:line="258" w:lineRule="auto"/>
        <w:tabs>
          <w:tab w:leader="none" w:pos="1922" w:val="left"/>
        </w:tabs>
        <w:numPr>
          <w:ilvl w:val="0"/>
          <w:numId w:val="2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purchase by Holdings of the Equity Interests of the Borrower;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any Equity Interests of the Borrower purchased by Holdings (prior to a Qualified IPO of the Borrower) shall be pledged to the Collateral Agent (and deliver the relevant certificates or other instruments (if any) representing such Equity Interests to the Collateral Agent) on behalf of the Lenders to the extent required by the Holdings Guarantee and Pledge Agreement,</w:t>
      </w:r>
    </w:p>
    <w:p>
      <w:pPr>
        <w:spacing w:after="0" w:line="158" w:lineRule="exact"/>
        <w:rPr>
          <w:rFonts w:ascii="Times New Roman" w:cs="Times New Roman" w:eastAsia="Times New Roman" w:hAnsi="Times New Roman"/>
          <w:sz w:val="20"/>
          <w:szCs w:val="20"/>
          <w:color w:val="auto"/>
        </w:rPr>
      </w:pPr>
    </w:p>
    <w:p>
      <w:pPr>
        <w:jc w:val="both"/>
        <w:ind w:firstLine="1292"/>
        <w:spacing w:after="0" w:line="268" w:lineRule="auto"/>
        <w:tabs>
          <w:tab w:leader="none" w:pos="1877" w:val="left"/>
        </w:tabs>
        <w:numPr>
          <w:ilvl w:val="0"/>
          <w:numId w:val="2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payments by the Borrower or any of the Subsidiaries to any Co-Investor made for any financial advisory, financing, underwriting or placement services or in respect of other investment banking activities, including in connection with acquisitions or divestitures, which payments are approved by the majority of the Board of Directors of the Borrower in good faith,</w:t>
      </w:r>
    </w:p>
    <w:p>
      <w:pPr>
        <w:sectPr>
          <w:pgSz w:w="11900" w:h="16838" w:orient="portrait"/>
          <w:cols w:equalWidth="0" w:num="1">
            <w:col w:w="10580"/>
          </w:cols>
          <w:pgMar w:left="980" w:top="108" w:right="339" w:bottom="1440" w:gutter="0" w:footer="0" w:header="0"/>
        </w:sectPr>
      </w:pPr>
    </w:p>
    <w:bookmarkStart w:id="338" w:name="page339"/>
    <w:bookmarkEnd w:id="338"/>
    <w:p>
      <w:pPr>
        <w:jc w:val="right"/>
        <w:spacing w:after="0"/>
        <w:rPr>
          <w:sz w:val="20"/>
          <w:szCs w:val="20"/>
          <w:color w:val="auto"/>
        </w:rPr>
      </w:pPr>
      <w:r>
        <w:rPr>
          <w:rFonts w:ascii="Times New Roman" w:cs="Times New Roman" w:eastAsia="Times New Roman" w:hAnsi="Times New Roman"/>
          <w:sz w:val="22"/>
          <w:szCs w:val="22"/>
          <w:color w:val="FF0000"/>
          <w:strike w:val="1"/>
        </w:rPr>
        <w:t>ANNEX</w:t>
      </w:r>
      <w:r>
        <w:rPr>
          <w:rFonts w:ascii="Times New Roman" w:cs="Times New Roman" w:eastAsia="Times New Roman" w:hAnsi="Times New Roman"/>
          <w:sz w:val="22"/>
          <w:szCs w:val="22"/>
          <w:b w:val="1"/>
          <w:bCs w:val="1"/>
          <w:u w:val="single" w:color="auto"/>
          <w:color w:val="0000FF"/>
        </w:rPr>
        <w:t>EXHIBIT</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20" w:firstLine="1292"/>
        <w:spacing w:after="0" w:line="283" w:lineRule="auto"/>
        <w:tabs>
          <w:tab w:leader="none" w:pos="1838" w:val="left"/>
        </w:tabs>
        <w:numPr>
          <w:ilvl w:val="0"/>
          <w:numId w:val="2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transactions for the purchase or sale of goods, equipment, products, parts and services entered into in the ordinary course of business,</w:t>
      </w:r>
    </w:p>
    <w:p>
      <w:pPr>
        <w:spacing w:after="0" w:line="132" w:lineRule="exact"/>
        <w:rPr>
          <w:rFonts w:ascii="Times New Roman" w:cs="Times New Roman" w:eastAsia="Times New Roman" w:hAnsi="Times New Roman"/>
          <w:sz w:val="20"/>
          <w:szCs w:val="20"/>
          <w:color w:val="auto"/>
        </w:rPr>
      </w:pPr>
    </w:p>
    <w:p>
      <w:pPr>
        <w:jc w:val="both"/>
        <w:ind w:firstLine="1292"/>
        <w:spacing w:after="0" w:line="253" w:lineRule="auto"/>
        <w:tabs>
          <w:tab w:leader="none" w:pos="1795" w:val="left"/>
        </w:tabs>
        <w:numPr>
          <w:ilvl w:val="0"/>
          <w:numId w:val="2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transaction in respect of which the Borrower delivers to the Administrative Agent a letter addressed to the Board of Directors of the Borrower from an accounting, appraisal or investment banking firm, in each case of nationally recognized standing that is in the good faith determination of the Borrower qualified to render such letter, which letter states that (i) such transaction is on terms that are substantially no less favorable to the Borrower or such Subsidiary, as applicable, than would be obtained in a comparable arm’s-length transaction with a person that is not an Affiliate or (ii) such transaction is fair to the Borrower or such Subsidiary, as applicable, from a financial point of view,</w:t>
      </w:r>
    </w:p>
    <w:p>
      <w:pPr>
        <w:spacing w:after="0" w:line="165" w:lineRule="exact"/>
        <w:rPr>
          <w:rFonts w:ascii="Times New Roman" w:cs="Times New Roman" w:eastAsia="Times New Roman" w:hAnsi="Times New Roman"/>
          <w:sz w:val="20"/>
          <w:szCs w:val="20"/>
          <w:color w:val="auto"/>
        </w:rPr>
      </w:pPr>
    </w:p>
    <w:p>
      <w:pPr>
        <w:ind w:right="20" w:firstLine="1292"/>
        <w:spacing w:after="0" w:line="283" w:lineRule="auto"/>
        <w:tabs>
          <w:tab w:leader="none" w:pos="1862" w:val="left"/>
        </w:tabs>
        <w:numPr>
          <w:ilvl w:val="0"/>
          <w:numId w:val="2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subclause (xiv) below, if applicable, the payment of all fees, expenses, bonuses and awards related to the Transactions, including fees to any Co-Investor,</w:t>
      </w:r>
    </w:p>
    <w:p>
      <w:pPr>
        <w:spacing w:after="0" w:line="132" w:lineRule="exact"/>
        <w:rPr>
          <w:rFonts w:ascii="Times New Roman" w:cs="Times New Roman" w:eastAsia="Times New Roman" w:hAnsi="Times New Roman"/>
          <w:sz w:val="20"/>
          <w:szCs w:val="20"/>
          <w:color w:val="auto"/>
        </w:rPr>
      </w:pPr>
    </w:p>
    <w:p>
      <w:pPr>
        <w:ind w:firstLine="1292"/>
        <w:spacing w:after="0" w:line="283" w:lineRule="auto"/>
        <w:tabs>
          <w:tab w:leader="none" w:pos="1966" w:val="left"/>
        </w:tabs>
        <w:numPr>
          <w:ilvl w:val="0"/>
          <w:numId w:val="2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transactions with joint ventures for the purchase or sale of goods, equipment, products, parts and services entered into in the ordinary course of business or consistent with past practice or industry norm,</w:t>
      </w:r>
    </w:p>
    <w:p>
      <w:pPr>
        <w:spacing w:after="0" w:line="132" w:lineRule="exact"/>
        <w:rPr>
          <w:rFonts w:ascii="Times New Roman" w:cs="Times New Roman" w:eastAsia="Times New Roman" w:hAnsi="Times New Roman"/>
          <w:sz w:val="20"/>
          <w:szCs w:val="20"/>
          <w:color w:val="auto"/>
        </w:rPr>
      </w:pPr>
    </w:p>
    <w:p>
      <w:pPr>
        <w:jc w:val="both"/>
        <w:ind w:firstLine="1292"/>
        <w:spacing w:after="0" w:line="249" w:lineRule="auto"/>
        <w:tabs>
          <w:tab w:leader="none" w:pos="1977" w:val="left"/>
        </w:tabs>
        <w:numPr>
          <w:ilvl w:val="0"/>
          <w:numId w:val="2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agreement to pay, and the payment of, monitoring, consulting, management, transaction, advisory or similar fees payable to any Co-Investor (A) in an aggregate amount in any fiscal year not to exceed the sum of (1) the greater of $10,000,000 and 2.00% of EBITDA for any such fiscal year,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reasonable out of pocket costs and expenses in connection therewith in any fiscal year and unpaid amounts for any prior periods from and including the fiscal year in which the Closing Date occurs;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(2) any deferred, accrued or other fees in respect of any fiscal years from and including the fiscal year in which the Closing Date occurs (to the extent such fees in the aggregate do not exceed the amounts described in clause (A)(1) above in respect of such fiscal years),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(B) 1.00% of the value of transactions with respect to any Co-Investor provides any transaction, advisory or other services (including in connection with the Transactions),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(C) so long as no Event of Default has occurred and is continuing, the present value of all future amounts payable pursuant to any agreement referred to in clause (A)(1) above in connection with the termination of such agreement with a Co-Investor;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if any such payment pursuant to clause (C) is not permitted to be paid as a result of an Event of Default, such payment shall accrue and may be payable when no Events of Default are continuing to the extent that no further Event of Default would result therefrom,</w:t>
      </w:r>
    </w:p>
    <w:p>
      <w:pPr>
        <w:spacing w:after="0" w:line="187" w:lineRule="exact"/>
        <w:rPr>
          <w:rFonts w:ascii="Times New Roman" w:cs="Times New Roman" w:eastAsia="Times New Roman" w:hAnsi="Times New Roman"/>
          <w:sz w:val="20"/>
          <w:szCs w:val="20"/>
          <w:color w:val="auto"/>
        </w:rPr>
      </w:pPr>
    </w:p>
    <w:p>
      <w:pPr>
        <w:ind w:right="20" w:firstLine="1292"/>
        <w:spacing w:after="0" w:line="269" w:lineRule="auto"/>
        <w:tabs>
          <w:tab w:leader="none" w:pos="1841" w:val="left"/>
        </w:tabs>
        <w:numPr>
          <w:ilvl w:val="0"/>
          <w:numId w:val="2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issuance, sale or transfer of Equity Interests of the Borrower or any Subsidiary to Holdings (or any Parent Entity) and capital contributions by Holdings (or any Parent Entity) to the Borrower or any Subsidiary,</w:t>
      </w:r>
    </w:p>
    <w:p>
      <w:pPr>
        <w:spacing w:after="0" w:line="145" w:lineRule="exact"/>
        <w:rPr>
          <w:rFonts w:ascii="Times New Roman" w:cs="Times New Roman" w:eastAsia="Times New Roman" w:hAnsi="Times New Roman"/>
          <w:sz w:val="20"/>
          <w:szCs w:val="20"/>
          <w:color w:val="auto"/>
        </w:rPr>
      </w:pPr>
    </w:p>
    <w:p>
      <w:pPr>
        <w:ind w:firstLine="1292"/>
        <w:spacing w:after="0" w:line="283" w:lineRule="auto"/>
        <w:tabs>
          <w:tab w:leader="none" w:pos="1984" w:val="left"/>
        </w:tabs>
        <w:numPr>
          <w:ilvl w:val="0"/>
          <w:numId w:val="2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issuance of Equity Interests to the management of Holdings, any Parent Entity, the Borrower or any Subsidiary in connection with the Transactions,</w:t>
      </w:r>
    </w:p>
    <w:p>
      <w:pPr>
        <w:spacing w:after="0" w:line="132" w:lineRule="exact"/>
        <w:rPr>
          <w:rFonts w:ascii="Times New Roman" w:cs="Times New Roman" w:eastAsia="Times New Roman" w:hAnsi="Times New Roman"/>
          <w:sz w:val="20"/>
          <w:szCs w:val="20"/>
          <w:color w:val="auto"/>
        </w:rPr>
      </w:pPr>
    </w:p>
    <w:p>
      <w:pPr>
        <w:ind w:firstLine="1292"/>
        <w:spacing w:after="0" w:line="283" w:lineRule="auto"/>
        <w:tabs>
          <w:tab w:leader="none" w:pos="1996" w:val="left"/>
        </w:tabs>
        <w:numPr>
          <w:ilvl w:val="0"/>
          <w:numId w:val="2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payments by Holdings (or any Parent Entity), the Borrower and the Subsidiaries pursuant to a tax sharing agreement or arrangement (whether written or as a matter of practice) that complies with clause (v) of Section 6.06(b),</w:t>
      </w:r>
    </w:p>
    <w:p>
      <w:pPr>
        <w:spacing w:after="0" w:line="132" w:lineRule="exact"/>
        <w:rPr>
          <w:rFonts w:ascii="Times New Roman" w:cs="Times New Roman" w:eastAsia="Times New Roman" w:hAnsi="Times New Roman"/>
          <w:sz w:val="20"/>
          <w:szCs w:val="20"/>
          <w:color w:val="auto"/>
        </w:rPr>
      </w:pPr>
    </w:p>
    <w:p>
      <w:pPr>
        <w:ind w:left="1980" w:hanging="688"/>
        <w:spacing w:after="0"/>
        <w:tabs>
          <w:tab w:leader="none" w:pos="1980" w:val="left"/>
        </w:tabs>
        <w:numPr>
          <w:ilvl w:val="0"/>
          <w:numId w:val="2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transactions pursuant to any Permitted Securitization Financing,</w:t>
      </w:r>
    </w:p>
    <w:p>
      <w:pPr>
        <w:sectPr>
          <w:pgSz w:w="11900" w:h="16838" w:orient="portrait"/>
          <w:cols w:equalWidth="0" w:num="1">
            <w:col w:w="10580"/>
          </w:cols>
          <w:pgMar w:left="980" w:top="108" w:right="339" w:bottom="1440" w:gutter="0" w:footer="0" w:header="0"/>
        </w:sectPr>
      </w:pPr>
    </w:p>
    <w:bookmarkStart w:id="339" w:name="page340"/>
    <w:bookmarkEnd w:id="339"/>
    <w:p>
      <w:pPr>
        <w:jc w:val="right"/>
        <w:spacing w:after="0"/>
        <w:rPr>
          <w:sz w:val="20"/>
          <w:szCs w:val="20"/>
          <w:color w:val="auto"/>
        </w:rPr>
      </w:pPr>
      <w:r>
        <w:rPr>
          <w:rFonts w:ascii="Times New Roman" w:cs="Times New Roman" w:eastAsia="Times New Roman" w:hAnsi="Times New Roman"/>
          <w:sz w:val="22"/>
          <w:szCs w:val="22"/>
          <w:color w:val="FF0000"/>
          <w:strike w:val="1"/>
        </w:rPr>
        <w:t>ANNEX</w:t>
      </w:r>
      <w:r>
        <w:rPr>
          <w:rFonts w:ascii="Times New Roman" w:cs="Times New Roman" w:eastAsia="Times New Roman" w:hAnsi="Times New Roman"/>
          <w:sz w:val="22"/>
          <w:szCs w:val="22"/>
          <w:b w:val="1"/>
          <w:bCs w:val="1"/>
          <w:u w:val="single" w:color="auto"/>
          <w:color w:val="0000FF"/>
        </w:rPr>
        <w:t>EXHIBIT</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ind w:left="660" w:firstLine="1292"/>
        <w:spacing w:after="0" w:line="261" w:lineRule="auto"/>
        <w:tabs>
          <w:tab w:leader="none" w:pos="2559" w:val="left"/>
        </w:tabs>
        <w:numPr>
          <w:ilvl w:val="0"/>
          <w:numId w:val="2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payments, loans (or cancellation of loans) or advances to employees or consultants that are (i) approved by a majority of the Disinterested Directors of Holdings (or any Parent Entity) or the Borrower in good faith, (ii) made in compliance with applicable law and (iii) otherwise permitted under this Agreement,</w:t>
      </w:r>
    </w:p>
    <w:p>
      <w:pPr>
        <w:spacing w:after="0" w:line="154" w:lineRule="exact"/>
        <w:rPr>
          <w:rFonts w:ascii="Times New Roman" w:cs="Times New Roman" w:eastAsia="Times New Roman" w:hAnsi="Times New Roman"/>
          <w:sz w:val="20"/>
          <w:szCs w:val="20"/>
          <w:color w:val="auto"/>
        </w:rPr>
      </w:pPr>
    </w:p>
    <w:p>
      <w:pPr>
        <w:jc w:val="both"/>
        <w:ind w:left="660" w:firstLine="1292"/>
        <w:spacing w:after="0" w:line="268" w:lineRule="auto"/>
        <w:tabs>
          <w:tab w:leader="none" w:pos="2509" w:val="left"/>
        </w:tabs>
        <w:numPr>
          <w:ilvl w:val="0"/>
          <w:numId w:val="2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transactions with customers, clients or suppliers, or purchasers or sellers of goods or services, in each case in the ordinary course of business or consistent with past practice or industry norm otherwise in compliance with the terms of this Agreement that are fair to the Borrower or the Subsidiaries (in the good faith determination of the Borrower),</w:t>
      </w:r>
    </w:p>
    <w:p>
      <w:pPr>
        <w:spacing w:after="0" w:line="147" w:lineRule="exact"/>
        <w:rPr>
          <w:rFonts w:ascii="Times New Roman" w:cs="Times New Roman" w:eastAsia="Times New Roman" w:hAnsi="Times New Roman"/>
          <w:sz w:val="20"/>
          <w:szCs w:val="20"/>
          <w:color w:val="auto"/>
        </w:rPr>
      </w:pPr>
    </w:p>
    <w:p>
      <w:pPr>
        <w:jc w:val="both"/>
        <w:ind w:left="660" w:firstLine="1292"/>
        <w:spacing w:after="0" w:line="276" w:lineRule="auto"/>
        <w:tabs>
          <w:tab w:leader="none" w:pos="2600" w:val="left"/>
        </w:tabs>
        <w:numPr>
          <w:ilvl w:val="0"/>
          <w:numId w:val="28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transactions between the Borrower or any of the Subsidiaries and any person, a director of which is also a director of the Borrower or any direct or indirect parent company of the Borrower;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that (A) such director abstains from voting as a director of the Borrower or such direct or indirect parent company, as the case may be, on any matter involving such other person and (B) such person is not an Affiliate of the Borrower for any reason other than such director’s acting in such capacity,</w:t>
      </w:r>
    </w:p>
    <w:p>
      <w:pPr>
        <w:spacing w:after="0" w:line="142" w:lineRule="exact"/>
        <w:rPr>
          <w:rFonts w:ascii="Times New Roman" w:cs="Times New Roman" w:eastAsia="Times New Roman" w:hAnsi="Times New Roman"/>
          <w:sz w:val="19"/>
          <w:szCs w:val="19"/>
          <w:color w:val="auto"/>
        </w:rPr>
      </w:pPr>
    </w:p>
    <w:p>
      <w:pPr>
        <w:ind w:left="2580" w:hanging="628"/>
        <w:spacing w:after="0"/>
        <w:tabs>
          <w:tab w:leader="none" w:pos="2580" w:val="left"/>
        </w:tabs>
        <w:numPr>
          <w:ilvl w:val="0"/>
          <w:numId w:val="2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transactions permitted by, and complying with, the provisions of Section 6.05,</w:t>
      </w:r>
    </w:p>
    <w:p>
      <w:pPr>
        <w:spacing w:after="0" w:line="202" w:lineRule="exact"/>
        <w:rPr>
          <w:rFonts w:ascii="Times New Roman" w:cs="Times New Roman" w:eastAsia="Times New Roman" w:hAnsi="Times New Roman"/>
          <w:sz w:val="20"/>
          <w:szCs w:val="20"/>
          <w:color w:val="auto"/>
        </w:rPr>
      </w:pPr>
    </w:p>
    <w:p>
      <w:pPr>
        <w:jc w:val="both"/>
        <w:ind w:left="660" w:firstLine="1292"/>
        <w:spacing w:after="0" w:line="261" w:lineRule="auto"/>
        <w:tabs>
          <w:tab w:leader="none" w:pos="2678" w:val="left"/>
        </w:tabs>
        <w:numPr>
          <w:ilvl w:val="0"/>
          <w:numId w:val="2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intercompany transactions undertaken in good faith (as certified by a Responsible Officer of the Borrower) for the purpose of improving the consolidated tax efficiency of the Borrower and the Subsidiaries and not for the purpose of circumventing any covenant set forth herein, and</w:t>
      </w:r>
    </w:p>
    <w:p>
      <w:pPr>
        <w:spacing w:after="0" w:line="167" w:lineRule="exact"/>
        <w:rPr>
          <w:rFonts w:ascii="Times New Roman" w:cs="Times New Roman" w:eastAsia="Times New Roman" w:hAnsi="Times New Roman"/>
          <w:sz w:val="20"/>
          <w:szCs w:val="20"/>
          <w:color w:val="auto"/>
        </w:rPr>
      </w:pPr>
    </w:p>
    <w:p>
      <w:pPr>
        <w:jc w:val="both"/>
        <w:ind w:left="660" w:firstLine="1292"/>
        <w:spacing w:after="0" w:line="261" w:lineRule="auto"/>
        <w:tabs>
          <w:tab w:leader="none" w:pos="2679" w:val="left"/>
        </w:tabs>
        <w:numPr>
          <w:ilvl w:val="0"/>
          <w:numId w:val="2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by any Co-Investor in securities of the Borrower or any of the Subsidiaries so long as (A) the Investment is being offered generally to other investors on the same or more favorable terms and (B) the Investment constitutes less than 5.0% of the outstanding issue amount of such class of securities.</w:t>
      </w:r>
    </w:p>
    <w:p>
      <w:pPr>
        <w:spacing w:after="0" w:line="154" w:lineRule="exact"/>
        <w:rPr>
          <w:sz w:val="20"/>
          <w:szCs w:val="20"/>
          <w:color w:val="auto"/>
        </w:rPr>
      </w:pPr>
    </w:p>
    <w:p>
      <w:pPr>
        <w:jc w:val="both"/>
        <w:ind w:firstLine="608"/>
        <w:spacing w:after="0" w:line="261" w:lineRule="auto"/>
        <w:rPr>
          <w:sz w:val="20"/>
          <w:szCs w:val="20"/>
          <w:color w:val="auto"/>
        </w:rPr>
      </w:pPr>
      <w:r>
        <w:rPr>
          <w:rFonts w:ascii="Times New Roman" w:cs="Times New Roman" w:eastAsia="Times New Roman" w:hAnsi="Times New Roman"/>
          <w:sz w:val="20"/>
          <w:szCs w:val="20"/>
          <w:color w:val="auto"/>
        </w:rPr>
        <w:t>Notwithstanding the foregoing, the Fund, any portfolio company that is an Affiliate of the Fund or a Fund Affiliate shall not be considered an Affiliate of the Borrower or its Subsidiaries with respect to any transaction, so long as such transaction is in the ordinary course of business.</w:t>
      </w:r>
    </w:p>
    <w:p>
      <w:pPr>
        <w:spacing w:after="0" w:line="154"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color w:val="auto"/>
        </w:rPr>
        <w:t>Section 6.08 Business of the Borrower and the Subsidiaries. Notwithstanding any other provisions hereof, engage at any time to any material respect in any business or business activity substantially different from any business or business activity conducted by any of them on the Closing Date or any Similar Business, and in the case of a Special Purpose Securitization Subsidiary, Permitted Securitization Financings.</w:t>
      </w:r>
    </w:p>
    <w:p>
      <w:pPr>
        <w:spacing w:after="0" w:line="172"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20"/>
          <w:szCs w:val="20"/>
          <w:color w:val="auto"/>
        </w:rPr>
        <w:t>Section 6.09 Limitation on Payments and Modifications of Indebtedness; Modifications of Certificate of Incorporation, By-Laws and Certain Other Agreements; etc.</w:t>
      </w:r>
    </w:p>
    <w:p>
      <w:pPr>
        <w:spacing w:after="0" w:line="1" w:lineRule="exact"/>
        <w:rPr>
          <w:sz w:val="20"/>
          <w:szCs w:val="20"/>
          <w:color w:val="auto"/>
        </w:rPr>
      </w:pPr>
    </w:p>
    <w:p>
      <w:pPr>
        <w:jc w:val="both"/>
        <w:ind w:firstLine="8"/>
        <w:spacing w:after="0" w:line="249" w:lineRule="auto"/>
        <w:tabs>
          <w:tab w:leader="none" w:pos="273" w:val="left"/>
        </w:tabs>
        <w:numPr>
          <w:ilvl w:val="0"/>
          <w:numId w:val="2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Amend or modify in any manner materially adverse to the Lenders when taken as a whole (as determined in good faith by the Borrower), or grant any waiver or release under or terminate in any manner (if such granting or termination shall be materially adverse to the Lenders when taken as a whole (as determined in good faith by the Borrower)), the articles or certificate of incorporation, by-laws, limited liability company operating agreement, partnership agreement or other organizational documents of the Borrower or any of the Subsidiary Loan Parties.</w:t>
      </w:r>
    </w:p>
    <w:p>
      <w:pPr>
        <w:sectPr>
          <w:pgSz w:w="11900" w:h="16838" w:orient="portrait"/>
          <w:cols w:equalWidth="0" w:num="1">
            <w:col w:w="11240"/>
          </w:cols>
          <w:pgMar w:left="320" w:top="108" w:right="339" w:bottom="1440" w:gutter="0" w:footer="0" w:header="0"/>
        </w:sectPr>
      </w:pPr>
    </w:p>
    <w:bookmarkStart w:id="340" w:name="page341"/>
    <w:bookmarkEnd w:id="340"/>
    <w:p>
      <w:pPr>
        <w:jc w:val="right"/>
        <w:spacing w:after="0"/>
        <w:rPr>
          <w:sz w:val="20"/>
          <w:szCs w:val="20"/>
          <w:color w:val="auto"/>
        </w:rPr>
      </w:pPr>
      <w:r>
        <w:rPr>
          <w:rFonts w:ascii="Times New Roman" w:cs="Times New Roman" w:eastAsia="Times New Roman" w:hAnsi="Times New Roman"/>
          <w:sz w:val="22"/>
          <w:szCs w:val="22"/>
          <w:color w:val="FF0000"/>
          <w:strike w:val="1"/>
        </w:rPr>
        <w:t>ANNEX</w:t>
      </w:r>
      <w:r>
        <w:rPr>
          <w:rFonts w:ascii="Times New Roman" w:cs="Times New Roman" w:eastAsia="Times New Roman" w:hAnsi="Times New Roman"/>
          <w:sz w:val="22"/>
          <w:szCs w:val="22"/>
          <w:b w:val="1"/>
          <w:bCs w:val="1"/>
          <w:u w:val="single" w:color="auto"/>
          <w:color w:val="0000FF"/>
        </w:rPr>
        <w:t>EXHIBIT</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ind w:firstLine="1292"/>
        <w:spacing w:after="0" w:line="258" w:lineRule="auto"/>
        <w:tabs>
          <w:tab w:leader="none" w:pos="1744" w:val="left"/>
        </w:tabs>
        <w:numPr>
          <w:ilvl w:val="0"/>
          <w:numId w:val="2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Make, directly or indirectly, any payment or other distribution (whether in cash, securities or other property) of, or in respect of, principal of or interest on any Junior Financing, or any payment or other distribution (whether in cash, securities or other property), including any sinking fund or similar deposit, on account of the purchase, redemption, retirement, acquisition, cancellation or termination in respect of any Junior Financing, except for:</w:t>
      </w:r>
    </w:p>
    <w:p>
      <w:pPr>
        <w:spacing w:after="0" w:line="158" w:lineRule="exact"/>
        <w:rPr>
          <w:rFonts w:ascii="Times New Roman" w:cs="Times New Roman" w:eastAsia="Times New Roman" w:hAnsi="Times New Roman"/>
          <w:sz w:val="20"/>
          <w:szCs w:val="20"/>
          <w:color w:val="auto"/>
        </w:rPr>
      </w:pPr>
    </w:p>
    <w:p>
      <w:pPr>
        <w:ind w:left="2960" w:hanging="480"/>
        <w:spacing w:after="0"/>
        <w:tabs>
          <w:tab w:leader="none" w:pos="2960" w:val="left"/>
        </w:tabs>
        <w:numPr>
          <w:ilvl w:val="2"/>
          <w:numId w:val="2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Refinancings with any Indebtedness permitted to be incurred under Section 6.01;</w:t>
      </w:r>
    </w:p>
    <w:p>
      <w:pPr>
        <w:spacing w:after="0" w:line="202" w:lineRule="exact"/>
        <w:rPr>
          <w:rFonts w:ascii="Times New Roman" w:cs="Times New Roman" w:eastAsia="Times New Roman" w:hAnsi="Times New Roman"/>
          <w:sz w:val="20"/>
          <w:szCs w:val="20"/>
          <w:color w:val="auto"/>
        </w:rPr>
      </w:pPr>
    </w:p>
    <w:p>
      <w:pPr>
        <w:jc w:val="both"/>
        <w:ind w:left="540" w:firstLine="1940"/>
        <w:spacing w:after="0" w:line="257" w:lineRule="auto"/>
        <w:tabs>
          <w:tab w:leader="none" w:pos="3115" w:val="left"/>
        </w:tabs>
        <w:numPr>
          <w:ilvl w:val="2"/>
          <w:numId w:val="2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payments of regularly-scheduled interest and fees due thereunder, other non-principal payments thereunder, any mandatory prepayments of principal, interest and fees thereunder, scheduled payments thereon necessary to avoid the Junior Financing from constituting “applicable high yield discount obligations” within the meaning of Section 163(i)(l) of the Code, and, to the extent this Agreement is then in effect, principal on the scheduled maturity date of any Junior Financing (or within twelve months thereof);</w:t>
      </w:r>
    </w:p>
    <w:p>
      <w:pPr>
        <w:spacing w:after="0" w:line="159" w:lineRule="exact"/>
        <w:rPr>
          <w:rFonts w:ascii="Times New Roman" w:cs="Times New Roman" w:eastAsia="Times New Roman" w:hAnsi="Times New Roman"/>
          <w:sz w:val="20"/>
          <w:szCs w:val="20"/>
          <w:color w:val="auto"/>
        </w:rPr>
      </w:pPr>
    </w:p>
    <w:p>
      <w:pPr>
        <w:jc w:val="both"/>
        <w:ind w:left="540" w:firstLine="1940"/>
        <w:spacing w:after="0" w:line="258" w:lineRule="auto"/>
        <w:tabs>
          <w:tab w:leader="none" w:pos="3021" w:val="left"/>
        </w:tabs>
        <w:numPr>
          <w:ilvl w:val="2"/>
          <w:numId w:val="2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payments or distributions in respect of all or any portion of the Junior Financing with the proceeds contributed to the Borrower by Holdings from the issuance, sale or exchange by Holdings (or any Parent Entity) of Equity Interests that are not Disqualified Stock made within eighteen months prior thereto;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such proceeds are not included in any determination of the Cumulative Credit;</w:t>
      </w:r>
    </w:p>
    <w:p>
      <w:pPr>
        <w:spacing w:after="0" w:line="158" w:lineRule="exact"/>
        <w:rPr>
          <w:rFonts w:ascii="Times New Roman" w:cs="Times New Roman" w:eastAsia="Times New Roman" w:hAnsi="Times New Roman"/>
          <w:sz w:val="20"/>
          <w:szCs w:val="20"/>
          <w:color w:val="auto"/>
        </w:rPr>
      </w:pPr>
    </w:p>
    <w:p>
      <w:pPr>
        <w:ind w:left="3020" w:hanging="540"/>
        <w:spacing w:after="0"/>
        <w:tabs>
          <w:tab w:leader="none" w:pos="3020" w:val="left"/>
        </w:tabs>
        <w:numPr>
          <w:ilvl w:val="2"/>
          <w:numId w:val="2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conversion of any Junior Financing to Equity Interests of the Borrower, Holdings or any Parent</w:t>
      </w:r>
    </w:p>
    <w:p>
      <w:pPr>
        <w:spacing w:after="0" w:line="28" w:lineRule="exact"/>
        <w:rPr>
          <w:rFonts w:ascii="Times New Roman" w:cs="Times New Roman" w:eastAsia="Times New Roman" w:hAnsi="Times New Roman"/>
          <w:sz w:val="20"/>
          <w:szCs w:val="20"/>
          <w:color w:val="auto"/>
        </w:rPr>
      </w:pPr>
    </w:p>
    <w:p>
      <w:pPr>
        <w:ind w:left="54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Entity;</w:t>
      </w:r>
    </w:p>
    <w:p>
      <w:pPr>
        <w:spacing w:after="0" w:line="186" w:lineRule="exact"/>
        <w:rPr>
          <w:rFonts w:ascii="Times New Roman" w:cs="Times New Roman" w:eastAsia="Times New Roman" w:hAnsi="Times New Roman"/>
          <w:sz w:val="20"/>
          <w:szCs w:val="20"/>
          <w:color w:val="auto"/>
        </w:rPr>
      </w:pPr>
    </w:p>
    <w:p>
      <w:pPr>
        <w:jc w:val="both"/>
        <w:ind w:left="540" w:firstLine="1940"/>
        <w:spacing w:after="0" w:line="253" w:lineRule="auto"/>
        <w:tabs>
          <w:tab w:leader="none" w:pos="2980" w:val="left"/>
        </w:tabs>
        <w:numPr>
          <w:ilvl w:val="2"/>
          <w:numId w:val="2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 long as no Event of Default would result therefrom, payments or distributions in respect of Junior Financings prior to any scheduled maturity made, in an aggregate amount, not to exceed a portion of the Cumulative Credit on the date of such election that the Borrower elects to apply to this Section 6.09(b)(i)(E), which such election shall (unless such payment or distribution is made pursuant to clause (a) of the definition of “Cumulative Credit”) be set forth in a written notice of a Responsible Officer thereof, which notice shall set forth calculations in reasonable detail of the amount of Cumulative Credit immediately prior to such election and the amount thereof elected to be so applied;</w:t>
      </w:r>
    </w:p>
    <w:p>
      <w:pPr>
        <w:spacing w:after="0" w:line="165" w:lineRule="exact"/>
        <w:rPr>
          <w:rFonts w:ascii="Times New Roman" w:cs="Times New Roman" w:eastAsia="Times New Roman" w:hAnsi="Times New Roman"/>
          <w:sz w:val="20"/>
          <w:szCs w:val="20"/>
          <w:color w:val="auto"/>
        </w:rPr>
      </w:pPr>
    </w:p>
    <w:p>
      <w:pPr>
        <w:jc w:val="both"/>
        <w:ind w:left="540" w:firstLine="1940"/>
        <w:spacing w:after="0" w:line="258" w:lineRule="auto"/>
        <w:tabs>
          <w:tab w:leader="none" w:pos="2940" w:val="left"/>
        </w:tabs>
        <w:numPr>
          <w:ilvl w:val="2"/>
          <w:numId w:val="2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other payments and distributions in an aggregate amount (valued at the time of the making thereof and without giving effect to any subsequent change in value) not to exceed the greater of $300,000,000 and 0.35 </w:t>
      </w:r>
      <w:r>
        <w:rPr>
          <w:rFonts w:ascii="Times New Roman" w:cs="Times New Roman" w:eastAsia="Times New Roman" w:hAnsi="Times New Roman"/>
          <w:sz w:val="20"/>
          <w:szCs w:val="20"/>
          <w:u w:val="single" w:color="auto"/>
          <w:color w:val="auto"/>
        </w:rPr>
        <w:t>times</w:t>
      </w:r>
      <w:r>
        <w:rPr>
          <w:rFonts w:ascii="Times New Roman" w:cs="Times New Roman" w:eastAsia="Times New Roman" w:hAnsi="Times New Roman"/>
          <w:sz w:val="20"/>
          <w:szCs w:val="20"/>
          <w:color w:val="auto"/>
        </w:rPr>
        <w:t xml:space="preserve"> the EBITDA calculated on a Pro Forma Basis for the then most recently ended Test Period;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no Event of Default would result therefrom; and</w:t>
      </w:r>
    </w:p>
    <w:p>
      <w:pPr>
        <w:spacing w:after="0" w:line="158" w:lineRule="exact"/>
        <w:rPr>
          <w:rFonts w:ascii="Times New Roman" w:cs="Times New Roman" w:eastAsia="Times New Roman" w:hAnsi="Times New Roman"/>
          <w:sz w:val="20"/>
          <w:szCs w:val="20"/>
          <w:color w:val="auto"/>
        </w:rPr>
      </w:pPr>
    </w:p>
    <w:p>
      <w:pPr>
        <w:jc w:val="both"/>
        <w:ind w:left="540" w:firstLine="1940"/>
        <w:spacing w:after="0" w:line="261" w:lineRule="auto"/>
        <w:tabs>
          <w:tab w:leader="none" w:pos="3044" w:val="left"/>
        </w:tabs>
        <w:numPr>
          <w:ilvl w:val="2"/>
          <w:numId w:val="2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other payments and distributions in respect of Junior Financing;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Event of Default would result therefrom and, after giving effect to such payment or distribution, the Net Total Leverage Ratio on a Pro Forma Basis would not exceed 3.75 to 1.00; or</w:t>
      </w:r>
    </w:p>
    <w:p>
      <w:pPr>
        <w:spacing w:after="0" w:line="154" w:lineRule="exact"/>
        <w:rPr>
          <w:rFonts w:ascii="Times New Roman" w:cs="Times New Roman" w:eastAsia="Times New Roman" w:hAnsi="Times New Roman"/>
          <w:sz w:val="20"/>
          <w:szCs w:val="20"/>
          <w:color w:val="auto"/>
        </w:rPr>
      </w:pPr>
    </w:p>
    <w:p>
      <w:pPr>
        <w:jc w:val="both"/>
        <w:ind w:left="540" w:firstLine="1292"/>
        <w:spacing w:after="0" w:line="258" w:lineRule="auto"/>
        <w:tabs>
          <w:tab w:leader="none" w:pos="2346" w:val="left"/>
        </w:tabs>
        <w:numPr>
          <w:ilvl w:val="1"/>
          <w:numId w:val="2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Amend or modify, or permit the amendment or modification of, any provision of any Junior Financing that constitutes Material Indebtedness, or any agreement, document or instrument evidencing or relating thereto, other than amendments or modifications that (A) are not materially adverse to Lenders when taken as a whole (as determined in good faith by the Borrower) and that do not affect the subordination or payment provisions thereof (if any)</w:t>
      </w:r>
    </w:p>
    <w:p>
      <w:pPr>
        <w:sectPr>
          <w:pgSz w:w="11900" w:h="16838" w:orient="portrait"/>
          <w:cols w:equalWidth="0" w:num="1">
            <w:col w:w="11120"/>
          </w:cols>
          <w:pgMar w:left="440" w:top="108" w:right="339" w:bottom="1440" w:gutter="0" w:footer="0" w:header="0"/>
        </w:sectPr>
      </w:pPr>
    </w:p>
    <w:bookmarkStart w:id="341" w:name="page342"/>
    <w:bookmarkEnd w:id="341"/>
    <w:p>
      <w:pPr>
        <w:ind w:left="8700"/>
        <w:spacing w:after="0"/>
        <w:rPr>
          <w:sz w:val="20"/>
          <w:szCs w:val="20"/>
          <w:color w:val="auto"/>
        </w:rPr>
      </w:pPr>
      <w:r>
        <w:rPr>
          <w:rFonts w:ascii="Times New Roman" w:cs="Times New Roman" w:eastAsia="Times New Roman" w:hAnsi="Times New Roman"/>
          <w:sz w:val="21"/>
          <w:szCs w:val="21"/>
          <w:color w:val="FF0000"/>
          <w:strike w:val="1"/>
        </w:rPr>
        <w:t>ANNEX</w:t>
      </w:r>
      <w:r>
        <w:rPr>
          <w:rFonts w:ascii="Times New Roman" w:cs="Times New Roman" w:eastAsia="Times New Roman" w:hAnsi="Times New Roman"/>
          <w:sz w:val="21"/>
          <w:szCs w:val="21"/>
          <w:b w:val="1"/>
          <w:bCs w:val="1"/>
          <w:u w:val="single" w:color="auto"/>
          <w:color w:val="0000FF"/>
        </w:rPr>
        <w:t>EXHIBIT</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000000"/>
        </w:rPr>
        <w: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in a manner adverse to the Lenders when taken as a whole (as determined in good faith by the Borrower) or (B) otherwise comply with the definition of “Permitted Refinancing Indebtedness.”</w:t>
      </w:r>
    </w:p>
    <w:p>
      <w:pPr>
        <w:spacing w:after="0" w:line="133" w:lineRule="exact"/>
        <w:rPr>
          <w:sz w:val="20"/>
          <w:szCs w:val="20"/>
          <w:color w:val="auto"/>
        </w:rPr>
      </w:pPr>
    </w:p>
    <w:p>
      <w:pPr>
        <w:jc w:val="both"/>
        <w:ind w:left="-540" w:firstLine="1292"/>
        <w:spacing w:after="0" w:line="258" w:lineRule="auto"/>
        <w:tabs>
          <w:tab w:leader="none" w:pos="1197" w:val="left"/>
        </w:tabs>
        <w:numPr>
          <w:ilvl w:val="0"/>
          <w:numId w:val="2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Permit any Material Subsidiary to enter into any agreement or instrument that by its terms restricts (i) the payment of dividends or distributions or the making of cash advances to the Borrower or any Subsidiary that is a direct or indirect parent of such Subsidiary or (ii) the granting of Liens by the Borrower or such Material Subsidiary that is a Loan Party pursuant to the Security Documents, in each case other than those arising under any Loan Document, except, in each case, restrictions existing by reason of:</w:t>
      </w:r>
    </w:p>
    <w:p>
      <w:pPr>
        <w:spacing w:after="0" w:line="158" w:lineRule="exact"/>
        <w:rPr>
          <w:rFonts w:ascii="Times New Roman" w:cs="Times New Roman" w:eastAsia="Times New Roman" w:hAnsi="Times New Roman"/>
          <w:sz w:val="20"/>
          <w:szCs w:val="20"/>
          <w:color w:val="auto"/>
        </w:rPr>
      </w:pPr>
    </w:p>
    <w:p>
      <w:pPr>
        <w:ind w:left="1760" w:hanging="468"/>
        <w:spacing w:after="0"/>
        <w:tabs>
          <w:tab w:leader="none" w:pos="1760" w:val="left"/>
        </w:tabs>
        <w:numPr>
          <w:ilvl w:val="1"/>
          <w:numId w:val="2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restrictions imposed by applicable law;</w:t>
      </w:r>
    </w:p>
    <w:p>
      <w:pPr>
        <w:spacing w:after="0" w:line="202" w:lineRule="exact"/>
        <w:rPr>
          <w:rFonts w:ascii="Times New Roman" w:cs="Times New Roman" w:eastAsia="Times New Roman" w:hAnsi="Times New Roman"/>
          <w:sz w:val="20"/>
          <w:szCs w:val="20"/>
          <w:color w:val="auto"/>
        </w:rPr>
      </w:pPr>
    </w:p>
    <w:p>
      <w:pPr>
        <w:jc w:val="both"/>
        <w:ind w:left="-660" w:firstLine="1952"/>
        <w:spacing w:after="0" w:line="253" w:lineRule="auto"/>
        <w:tabs>
          <w:tab w:leader="none" w:pos="1790" w:val="left"/>
        </w:tabs>
        <w:numPr>
          <w:ilvl w:val="1"/>
          <w:numId w:val="2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contractual encumbrances or restrictions in effect on the Closing Date, including under Indebtedness existing on the Closing Date and set forth on </w:t>
      </w:r>
      <w:r>
        <w:rPr>
          <w:rFonts w:ascii="Times New Roman" w:cs="Times New Roman" w:eastAsia="Times New Roman" w:hAnsi="Times New Roman"/>
          <w:sz w:val="20"/>
          <w:szCs w:val="20"/>
          <w:u w:val="single" w:color="auto"/>
          <w:color w:val="auto"/>
        </w:rPr>
        <w:t>Schedule 6.01</w:t>
      </w:r>
      <w:r>
        <w:rPr>
          <w:rFonts w:ascii="Times New Roman" w:cs="Times New Roman" w:eastAsia="Times New Roman" w:hAnsi="Times New Roman"/>
          <w:sz w:val="20"/>
          <w:szCs w:val="20"/>
          <w:color w:val="auto"/>
        </w:rPr>
        <w:t xml:space="preserve"> to the Original Credit Agreement, the Senior Unsecured Note Documents, the Senior Secured Note Documents, any Refinancing Notes or any agreements related to any Permitted Refinancing Indebtedness in respect of any such Indebtedness and, in each case, any similar contractual encumbrances or restrictions and any amendment, modification, supplement, replacement or refinancing of such agreements or instruments that does not materially expand the scope of any such encumbrance or restriction (as determined in good faith by the Borrower);</w:t>
      </w:r>
    </w:p>
    <w:p>
      <w:pPr>
        <w:spacing w:after="0" w:line="165" w:lineRule="exact"/>
        <w:rPr>
          <w:rFonts w:ascii="Times New Roman" w:cs="Times New Roman" w:eastAsia="Times New Roman" w:hAnsi="Times New Roman"/>
          <w:sz w:val="20"/>
          <w:szCs w:val="20"/>
          <w:color w:val="auto"/>
        </w:rPr>
      </w:pPr>
    </w:p>
    <w:p>
      <w:pPr>
        <w:ind w:left="-660" w:firstLine="1952"/>
        <w:spacing w:after="0" w:line="283" w:lineRule="auto"/>
        <w:tabs>
          <w:tab w:leader="none" w:pos="1760" w:val="left"/>
        </w:tabs>
        <w:numPr>
          <w:ilvl w:val="1"/>
          <w:numId w:val="2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restriction on a Subsidiary imposed pursuant to an agreement entered into for the sale or disposition of the Equity Interests or assets of a Subsidiary pending the closing of such sale or disposition;</w:t>
      </w:r>
    </w:p>
    <w:p>
      <w:pPr>
        <w:spacing w:after="0" w:line="132" w:lineRule="exact"/>
        <w:rPr>
          <w:rFonts w:ascii="Times New Roman" w:cs="Times New Roman" w:eastAsia="Times New Roman" w:hAnsi="Times New Roman"/>
          <w:sz w:val="20"/>
          <w:szCs w:val="20"/>
          <w:color w:val="auto"/>
        </w:rPr>
      </w:pPr>
    </w:p>
    <w:p>
      <w:pPr>
        <w:ind w:left="-660" w:firstLine="1952"/>
        <w:spacing w:after="0" w:line="283" w:lineRule="auto"/>
        <w:tabs>
          <w:tab w:leader="none" w:pos="1842" w:val="left"/>
        </w:tabs>
        <w:numPr>
          <w:ilvl w:val="1"/>
          <w:numId w:val="2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customary provisions in joint venture agreements and other similar agreements applicable to joint ventures entered into in the ordinary course of business;</w:t>
      </w:r>
    </w:p>
    <w:p>
      <w:pPr>
        <w:spacing w:after="0" w:line="132" w:lineRule="exact"/>
        <w:rPr>
          <w:rFonts w:ascii="Times New Roman" w:cs="Times New Roman" w:eastAsia="Times New Roman" w:hAnsi="Times New Roman"/>
          <w:sz w:val="20"/>
          <w:szCs w:val="20"/>
          <w:color w:val="auto"/>
        </w:rPr>
      </w:pPr>
    </w:p>
    <w:p>
      <w:pPr>
        <w:ind w:left="-660" w:firstLine="1952"/>
        <w:spacing w:after="0" w:line="283" w:lineRule="auto"/>
        <w:tabs>
          <w:tab w:leader="none" w:pos="1743" w:val="left"/>
        </w:tabs>
        <w:numPr>
          <w:ilvl w:val="1"/>
          <w:numId w:val="2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restrictions imposed by any agreement relating to secured Indebtedness permitted by this Agreement to the extent that such restrictions apply only to the property or assets securing such Indebtedness;</w:t>
      </w:r>
    </w:p>
    <w:p>
      <w:pPr>
        <w:spacing w:after="0" w:line="132" w:lineRule="exact"/>
        <w:rPr>
          <w:rFonts w:ascii="Times New Roman" w:cs="Times New Roman" w:eastAsia="Times New Roman" w:hAnsi="Times New Roman"/>
          <w:sz w:val="20"/>
          <w:szCs w:val="20"/>
          <w:color w:val="auto"/>
        </w:rPr>
      </w:pPr>
    </w:p>
    <w:p>
      <w:pPr>
        <w:jc w:val="both"/>
        <w:ind w:left="-660" w:firstLine="1952"/>
        <w:spacing w:after="0" w:line="258" w:lineRule="auto"/>
        <w:tabs>
          <w:tab w:leader="none" w:pos="1862" w:val="left"/>
        </w:tabs>
        <w:numPr>
          <w:ilvl w:val="1"/>
          <w:numId w:val="2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restrictions imposed by any agreement relating to Indebtedness incurred pursuant to Section 6.01 or Permitted Refinancing Indebtedness in respect thereof, to the extent such restrictions are not materially more restrictive, taken as a whole, than the restrictions contained in this Agreement or are market terms at the time of issuance (in each case as determined in good faith by the Borrower);</w:t>
      </w:r>
    </w:p>
    <w:p>
      <w:pPr>
        <w:spacing w:after="0" w:line="158" w:lineRule="exact"/>
        <w:rPr>
          <w:rFonts w:ascii="Times New Roman" w:cs="Times New Roman" w:eastAsia="Times New Roman" w:hAnsi="Times New Roman"/>
          <w:sz w:val="20"/>
          <w:szCs w:val="20"/>
          <w:color w:val="auto"/>
        </w:rPr>
      </w:pPr>
    </w:p>
    <w:p>
      <w:pPr>
        <w:ind w:left="-660" w:right="20" w:firstLine="1952"/>
        <w:spacing w:after="0" w:line="283" w:lineRule="auto"/>
        <w:tabs>
          <w:tab w:leader="none" w:pos="1861" w:val="left"/>
        </w:tabs>
        <w:numPr>
          <w:ilvl w:val="1"/>
          <w:numId w:val="2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customary provisions contained in leases or licenses of Intellectual Property and other similar agreements entered into in the ordinary course of business;</w:t>
      </w:r>
    </w:p>
    <w:p>
      <w:pPr>
        <w:spacing w:after="0" w:line="132" w:lineRule="exact"/>
        <w:rPr>
          <w:rFonts w:ascii="Times New Roman" w:cs="Times New Roman" w:eastAsia="Times New Roman" w:hAnsi="Times New Roman"/>
          <w:sz w:val="20"/>
          <w:szCs w:val="20"/>
          <w:color w:val="auto"/>
        </w:rPr>
      </w:pPr>
    </w:p>
    <w:p>
      <w:pPr>
        <w:ind w:left="1760" w:hanging="468"/>
        <w:spacing w:after="0"/>
        <w:tabs>
          <w:tab w:leader="none" w:pos="1760" w:val="left"/>
        </w:tabs>
        <w:numPr>
          <w:ilvl w:val="1"/>
          <w:numId w:val="2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customary provisions restricting subletting or assignment of any lease governing a leasehold interest;</w:t>
      </w:r>
    </w:p>
    <w:p>
      <w:pPr>
        <w:spacing w:after="0" w:line="202" w:lineRule="exact"/>
        <w:rPr>
          <w:rFonts w:ascii="Times New Roman" w:cs="Times New Roman" w:eastAsia="Times New Roman" w:hAnsi="Times New Roman"/>
          <w:sz w:val="20"/>
          <w:szCs w:val="20"/>
          <w:color w:val="auto"/>
        </w:rPr>
      </w:pPr>
    </w:p>
    <w:p>
      <w:pPr>
        <w:ind w:left="1680" w:hanging="388"/>
        <w:spacing w:after="0"/>
        <w:tabs>
          <w:tab w:leader="none" w:pos="1680" w:val="left"/>
        </w:tabs>
        <w:numPr>
          <w:ilvl w:val="1"/>
          <w:numId w:val="2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customary provisions restricting assignment of any agreement entered into in the ordinary course of business;</w:t>
      </w:r>
    </w:p>
    <w:p>
      <w:pPr>
        <w:spacing w:after="0" w:line="202" w:lineRule="exact"/>
        <w:rPr>
          <w:rFonts w:ascii="Times New Roman" w:cs="Times New Roman" w:eastAsia="Times New Roman" w:hAnsi="Times New Roman"/>
          <w:sz w:val="20"/>
          <w:szCs w:val="20"/>
          <w:color w:val="auto"/>
        </w:rPr>
      </w:pPr>
    </w:p>
    <w:p>
      <w:pPr>
        <w:ind w:left="-660" w:firstLine="1952"/>
        <w:spacing w:after="0" w:line="283" w:lineRule="auto"/>
        <w:tabs>
          <w:tab w:leader="none" w:pos="1759" w:val="left"/>
        </w:tabs>
        <w:numPr>
          <w:ilvl w:val="1"/>
          <w:numId w:val="2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customary restrictions and conditions contained in any agreement relating to the sale, transfer, lease or other disposition of any asset permitted under Section 6.05 pending the consummation of such sale, transfer, lease or other disposition;</w:t>
      </w:r>
    </w:p>
    <w:p>
      <w:pPr>
        <w:sectPr>
          <w:pgSz w:w="11900" w:h="16838" w:orient="portrait"/>
          <w:cols w:equalWidth="0" w:num="1">
            <w:col w:w="10580"/>
          </w:cols>
          <w:pgMar w:left="980" w:top="108" w:right="339" w:bottom="1440" w:gutter="0" w:footer="0" w:header="0"/>
        </w:sectPr>
      </w:pPr>
    </w:p>
    <w:bookmarkStart w:id="342" w:name="page343"/>
    <w:bookmarkEnd w:id="342"/>
    <w:p>
      <w:pPr>
        <w:ind w:left="9360"/>
        <w:spacing w:after="0"/>
        <w:rPr>
          <w:sz w:val="20"/>
          <w:szCs w:val="20"/>
          <w:color w:val="auto"/>
        </w:rPr>
      </w:pPr>
      <w:r>
        <w:rPr>
          <w:rFonts w:ascii="Times New Roman" w:cs="Times New Roman" w:eastAsia="Times New Roman" w:hAnsi="Times New Roman"/>
          <w:sz w:val="21"/>
          <w:szCs w:val="21"/>
          <w:color w:val="FF0000"/>
          <w:strike w:val="1"/>
        </w:rPr>
        <w:t>ANNEX</w:t>
      </w:r>
      <w:r>
        <w:rPr>
          <w:rFonts w:ascii="Times New Roman" w:cs="Times New Roman" w:eastAsia="Times New Roman" w:hAnsi="Times New Roman"/>
          <w:sz w:val="21"/>
          <w:szCs w:val="21"/>
          <w:b w:val="1"/>
          <w:bCs w:val="1"/>
          <w:u w:val="single" w:color="auto"/>
          <w:color w:val="0000FF"/>
        </w:rPr>
        <w:t>EXHIBIT</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000000"/>
        </w:rPr>
        <w: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ind w:firstLine="1952"/>
        <w:spacing w:after="0" w:line="261" w:lineRule="auto"/>
        <w:tabs>
          <w:tab w:leader="none" w:pos="2437" w:val="left"/>
        </w:tabs>
        <w:numPr>
          <w:ilvl w:val="0"/>
          <w:numId w:val="2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customary restrictions and conditions contained in the document relating to any Lien, so long as (1) such Lien is a Permitted Lien and such restrictions or conditions relate only to the specific asset subject to such Lien, and (2) such restrictions and conditions are not created for the purpose of avoiding the restrictions imposed by this Section 6.09;</w:t>
      </w:r>
    </w:p>
    <w:p>
      <w:pPr>
        <w:spacing w:after="0" w:line="154" w:lineRule="exact"/>
        <w:rPr>
          <w:rFonts w:ascii="Times New Roman" w:cs="Times New Roman" w:eastAsia="Times New Roman" w:hAnsi="Times New Roman"/>
          <w:sz w:val="20"/>
          <w:szCs w:val="20"/>
          <w:color w:val="auto"/>
        </w:rPr>
      </w:pPr>
    </w:p>
    <w:p>
      <w:pPr>
        <w:jc w:val="both"/>
        <w:ind w:firstLine="1952"/>
        <w:spacing w:after="0" w:line="268" w:lineRule="auto"/>
        <w:tabs>
          <w:tab w:leader="none" w:pos="2438" w:val="left"/>
        </w:tabs>
        <w:numPr>
          <w:ilvl w:val="0"/>
          <w:numId w:val="2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customary net worth provisions contained in Real Property leases entered into by Subsidiaries, so long as the Borrower has determined in good faith that such net worth provisions would not reasonably be expected to impair the ability of the Borrower and its Subsidiaries to meet their ongoing obligations;</w:t>
      </w:r>
    </w:p>
    <w:p>
      <w:pPr>
        <w:spacing w:after="0" w:line="147" w:lineRule="exact"/>
        <w:rPr>
          <w:rFonts w:ascii="Times New Roman" w:cs="Times New Roman" w:eastAsia="Times New Roman" w:hAnsi="Times New Roman"/>
          <w:sz w:val="20"/>
          <w:szCs w:val="20"/>
          <w:color w:val="auto"/>
        </w:rPr>
      </w:pPr>
    </w:p>
    <w:p>
      <w:pPr>
        <w:ind w:firstLine="1952"/>
        <w:spacing w:after="0" w:line="269" w:lineRule="auto"/>
        <w:tabs>
          <w:tab w:leader="none" w:pos="2479" w:val="left"/>
        </w:tabs>
        <w:numPr>
          <w:ilvl w:val="0"/>
          <w:numId w:val="2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agreement in effect at the time such subsidiary becomes a Subsidiary, so long as such agreement was not entered into in contemplation of such person becoming a Subsidiary;</w:t>
      </w:r>
    </w:p>
    <w:p>
      <w:pPr>
        <w:spacing w:after="0" w:line="159" w:lineRule="exact"/>
        <w:rPr>
          <w:rFonts w:ascii="Times New Roman" w:cs="Times New Roman" w:eastAsia="Times New Roman" w:hAnsi="Times New Roman"/>
          <w:sz w:val="20"/>
          <w:szCs w:val="20"/>
          <w:color w:val="auto"/>
        </w:rPr>
      </w:pPr>
    </w:p>
    <w:p>
      <w:pPr>
        <w:ind w:firstLine="1952"/>
        <w:spacing w:after="0" w:line="269" w:lineRule="auto"/>
        <w:tabs>
          <w:tab w:leader="none" w:pos="2550" w:val="left"/>
        </w:tabs>
        <w:numPr>
          <w:ilvl w:val="0"/>
          <w:numId w:val="2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restrictions in agreements representing Indebtedness permitted under Section 6.01 of a Subsidiary of the Borrower that is not a Subsidiary Loan Party;</w:t>
      </w:r>
    </w:p>
    <w:p>
      <w:pPr>
        <w:spacing w:after="0" w:line="159" w:lineRule="exact"/>
        <w:rPr>
          <w:rFonts w:ascii="Times New Roman" w:cs="Times New Roman" w:eastAsia="Times New Roman" w:hAnsi="Times New Roman"/>
          <w:sz w:val="20"/>
          <w:szCs w:val="20"/>
          <w:color w:val="auto"/>
        </w:rPr>
      </w:pPr>
    </w:p>
    <w:p>
      <w:pPr>
        <w:ind w:firstLine="1952"/>
        <w:spacing w:after="0" w:line="269" w:lineRule="auto"/>
        <w:tabs>
          <w:tab w:leader="none" w:pos="2528" w:val="left"/>
        </w:tabs>
        <w:numPr>
          <w:ilvl w:val="0"/>
          <w:numId w:val="2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customary restrictions contained in leases, subleases, licenses or Equity Interests or asset sale agreements otherwise permitted hereby as long as such restrictions relate to the Equity Interests and assets subject thereto;</w:t>
      </w:r>
    </w:p>
    <w:p>
      <w:pPr>
        <w:spacing w:after="0" w:line="145" w:lineRule="exact"/>
        <w:rPr>
          <w:rFonts w:ascii="Times New Roman" w:cs="Times New Roman" w:eastAsia="Times New Roman" w:hAnsi="Times New Roman"/>
          <w:sz w:val="20"/>
          <w:szCs w:val="20"/>
          <w:color w:val="auto"/>
        </w:rPr>
      </w:pPr>
    </w:p>
    <w:p>
      <w:pPr>
        <w:ind w:left="2420" w:hanging="468"/>
        <w:spacing w:after="0"/>
        <w:tabs>
          <w:tab w:leader="none" w:pos="2420" w:val="left"/>
        </w:tabs>
        <w:numPr>
          <w:ilvl w:val="0"/>
          <w:numId w:val="28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restrictions on cash or other deposits imposed by customers under contracts entered into in the ordinary course</w:t>
      </w:r>
    </w:p>
    <w:p>
      <w:pPr>
        <w:spacing w:after="0" w:line="39"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of business;</w:t>
      </w:r>
    </w:p>
    <w:p>
      <w:pPr>
        <w:spacing w:after="0" w:line="186" w:lineRule="exact"/>
        <w:rPr>
          <w:rFonts w:ascii="Times New Roman" w:cs="Times New Roman" w:eastAsia="Times New Roman" w:hAnsi="Times New Roman"/>
          <w:sz w:val="19"/>
          <w:szCs w:val="19"/>
          <w:color w:val="auto"/>
        </w:rPr>
      </w:pPr>
    </w:p>
    <w:p>
      <w:pPr>
        <w:ind w:left="2640" w:hanging="688"/>
        <w:spacing w:after="0"/>
        <w:tabs>
          <w:tab w:leader="none" w:pos="2640" w:val="left"/>
        </w:tabs>
        <w:numPr>
          <w:ilvl w:val="0"/>
          <w:numId w:val="2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restrictions contained in any Permitted Securitization Document with respect to any Special Purpose</w:t>
      </w:r>
    </w:p>
    <w:p>
      <w:pPr>
        <w:spacing w:after="0" w:line="28"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Securitization Subsidiary; and</w:t>
      </w:r>
    </w:p>
    <w:p>
      <w:pPr>
        <w:spacing w:after="0" w:line="186" w:lineRule="exact"/>
        <w:rPr>
          <w:rFonts w:ascii="Times New Roman" w:cs="Times New Roman" w:eastAsia="Times New Roman" w:hAnsi="Times New Roman"/>
          <w:sz w:val="20"/>
          <w:szCs w:val="20"/>
          <w:color w:val="auto"/>
        </w:rPr>
      </w:pPr>
    </w:p>
    <w:p>
      <w:pPr>
        <w:jc w:val="both"/>
        <w:ind w:firstLine="1952"/>
        <w:spacing w:after="0" w:line="253" w:lineRule="auto"/>
        <w:tabs>
          <w:tab w:leader="none" w:pos="2427" w:val="left"/>
        </w:tabs>
        <w:numPr>
          <w:ilvl w:val="0"/>
          <w:numId w:val="2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encumbrances or restrictions of the type referred to in Section 6.09(c)(i) and 6.09(c)(ii) above imposed by any amendments, modifications, restatements, renewals, increases, supplements, refundings, replacements or refinancings of or similar arrangements to the contracts, instruments or obligations referred to in clauses (A) through (Q) above;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such amendments, modifications, restatements, renewals, increases, supplements, refundings, replacements, refinancings or similar arrangements are, in the good faith judgment of the Borrower, not materially more restrictive with respect to such dividend and other payment restrictions than those contained in the dividend or other payment restrictions as contemplated by such provisions prior to such amendment, modification, restatement, renewal, increase, supplement, refunding, replacement, refinancing or similar arrangement.</w:t>
      </w:r>
    </w:p>
    <w:p>
      <w:pPr>
        <w:spacing w:after="0" w:line="16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Section 6.10 Fiscal Year. In the case of the Borrower, permit any change to its fiscal year without prior notice to the Administrative Agent, in which case, the Borrower and the Administrative Agent will, and are hereby authorized by the Lenders to, make any adjustments to this Agreement that are necessary to reflect such change in fiscal year.</w:t>
      </w:r>
    </w:p>
    <w:p>
      <w:pPr>
        <w:spacing w:after="0" w:line="154"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20"/>
          <w:szCs w:val="20"/>
          <w:color w:val="auto"/>
        </w:rPr>
        <w:t>Section 6.11 Financial Covenant. With respect to the Revolving Facility only, permit the Net First Lien Leverage Ratio as of the last day of any fiscal quarter (beginning with the end of the first full fiscal quarter ending after the 2020 Effective Date), solely to the extent that on such date the Testing Condition is satisfied, to exceed 5.00 to 1.00.</w:t>
      </w:r>
    </w:p>
    <w:p>
      <w:pPr>
        <w:sectPr>
          <w:pgSz w:w="11900" w:h="16838" w:orient="portrait"/>
          <w:cols w:equalWidth="0" w:num="1">
            <w:col w:w="11240"/>
          </w:cols>
          <w:pgMar w:left="320" w:top="108" w:right="339" w:bottom="1440" w:gutter="0" w:footer="0" w:header="0"/>
        </w:sectPr>
      </w:pPr>
    </w:p>
    <w:bookmarkStart w:id="343" w:name="page344"/>
    <w:bookmarkEnd w:id="343"/>
    <w:p>
      <w:pPr>
        <w:jc w:val="right"/>
        <w:spacing w:after="0"/>
        <w:rPr>
          <w:sz w:val="20"/>
          <w:szCs w:val="20"/>
          <w:color w:val="auto"/>
        </w:rPr>
      </w:pPr>
      <w:r>
        <w:rPr>
          <w:rFonts w:ascii="Times New Roman" w:cs="Times New Roman" w:eastAsia="Times New Roman" w:hAnsi="Times New Roman"/>
          <w:sz w:val="22"/>
          <w:szCs w:val="22"/>
          <w:color w:val="FF0000"/>
          <w:strike w:val="1"/>
        </w:rPr>
        <w:t>ANNEX</w:t>
      </w:r>
      <w:r>
        <w:rPr>
          <w:rFonts w:ascii="Times New Roman" w:cs="Times New Roman" w:eastAsia="Times New Roman" w:hAnsi="Times New Roman"/>
          <w:sz w:val="22"/>
          <w:szCs w:val="22"/>
          <w:b w:val="1"/>
          <w:bCs w:val="1"/>
          <w:u w:val="single" w:color="auto"/>
          <w:color w:val="0000FF"/>
        </w:rPr>
        <w:t>EXHIBIT</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ARTICLE VIA</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Holdings Negative Covenants</w:t>
      </w:r>
    </w:p>
    <w:p>
      <w:pPr>
        <w:spacing w:after="0" w:line="206"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0"/>
          <w:szCs w:val="20"/>
          <w:color w:val="auto"/>
        </w:rPr>
        <w:t xml:space="preserve">Holdings (prior to a Qualified IPO) hereby covenants and agrees with each Lender that, from and after the Closing Date and until the Termination Date, unless the Required Lenders shall otherwise consent in writing, (a) Holdings will not create, incur, assume or permit to exist any Lien other than (i) Liens created under the Loan Documents and (ii) Liens not prohibited by Section 6.02 on any of the Equity Interests issued by the Borrower held by Holdings and (b) Holdings shall do or cause to be done all things necessary to preserve, renew and keep in full force and effect its legal existence;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so long as no Default has occurred and is continuing or would result therefrom, Holdings may merge with any other person (and if it is not the survivor of such merger, the survivor shall assume Holdings’ obligations, as applicable, under the Loan Documents).</w:t>
      </w:r>
    </w:p>
    <w:p>
      <w:pPr>
        <w:spacing w:after="0" w:line="188"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2"/>
          <w:szCs w:val="22"/>
          <w:color w:val="auto"/>
        </w:rPr>
        <w:t>ARTICLE VII</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Events of Default</w:t>
      </w:r>
    </w:p>
    <w:p>
      <w:pPr>
        <w:spacing w:after="0" w:line="220" w:lineRule="exact"/>
        <w:rPr>
          <w:sz w:val="20"/>
          <w:szCs w:val="20"/>
          <w:color w:val="auto"/>
        </w:rPr>
      </w:pPr>
    </w:p>
    <w:p>
      <w:pPr>
        <w:ind w:left="1300"/>
        <w:spacing w:after="0"/>
        <w:tabs>
          <w:tab w:leader="none" w:pos="2480" w:val="left"/>
        </w:tabs>
        <w:rPr>
          <w:sz w:val="20"/>
          <w:szCs w:val="20"/>
          <w:color w:val="auto"/>
        </w:rPr>
      </w:pPr>
      <w:r>
        <w:rPr>
          <w:rFonts w:ascii="Times New Roman" w:cs="Times New Roman" w:eastAsia="Times New Roman" w:hAnsi="Times New Roman"/>
          <w:sz w:val="20"/>
          <w:szCs w:val="20"/>
          <w:color w:val="auto"/>
        </w:rPr>
        <w:t>Section 7.01</w:t>
      </w:r>
      <w:r>
        <w:rPr>
          <w:sz w:val="20"/>
          <w:szCs w:val="20"/>
          <w:color w:val="auto"/>
        </w:rPr>
        <w:tab/>
      </w:r>
      <w:r>
        <w:rPr>
          <w:rFonts w:ascii="Times New Roman" w:cs="Times New Roman" w:eastAsia="Times New Roman" w:hAnsi="Times New Roman"/>
          <w:sz w:val="19"/>
          <w:szCs w:val="19"/>
          <w:color w:val="auto"/>
        </w:rPr>
        <w:t>Events of Default. In case of the happening of any of the following events (each, an “</w:t>
      </w:r>
      <w:r>
        <w:rPr>
          <w:rFonts w:ascii="Times New Roman" w:cs="Times New Roman" w:eastAsia="Times New Roman" w:hAnsi="Times New Roman"/>
          <w:sz w:val="19"/>
          <w:szCs w:val="19"/>
          <w:u w:val="single" w:color="auto"/>
          <w:color w:val="auto"/>
        </w:rPr>
        <w:t>Event of Default</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ind w:left="120" w:firstLine="1292"/>
        <w:spacing w:after="0" w:line="251" w:lineRule="auto"/>
        <w:tabs>
          <w:tab w:leader="none" w:pos="1857" w:val="left"/>
        </w:tabs>
        <w:numPr>
          <w:ilvl w:val="0"/>
          <w:numId w:val="2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representation or warranty made or deemed made by the Borrower or any Subsidiary Loan Party herein or in any other Loan Document or any certificate or document delivered pursuant hereto or thereto shall prove to have been false or misleading in any material respect when so made or deemed made and such false or misleading representation or warranty (if curable) shall remain false or misleading for a period of 30 days after notice thereof from the Administrative Agent to the Borrower;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the failure of any representation or warranty made or deemed made by any Loan Party (other than the representations and warranties referred to in clause (i) of Section 4.01(b)) to be true and correct in any material respect on the Closing Date will not constitute an Event of Default hereunder;</w:t>
      </w:r>
    </w:p>
    <w:p>
      <w:pPr>
        <w:spacing w:after="0" w:line="200" w:lineRule="exact"/>
        <w:rPr>
          <w:rFonts w:ascii="Times New Roman" w:cs="Times New Roman" w:eastAsia="Times New Roman" w:hAnsi="Times New Roman"/>
          <w:sz w:val="20"/>
          <w:szCs w:val="20"/>
          <w:color w:val="auto"/>
        </w:rPr>
      </w:pPr>
    </w:p>
    <w:p>
      <w:pPr>
        <w:spacing w:after="0" w:line="219" w:lineRule="exact"/>
        <w:rPr>
          <w:rFonts w:ascii="Times New Roman" w:cs="Times New Roman" w:eastAsia="Times New Roman" w:hAnsi="Times New Roman"/>
          <w:sz w:val="20"/>
          <w:szCs w:val="20"/>
          <w:color w:val="auto"/>
        </w:rPr>
      </w:pPr>
    </w:p>
    <w:p>
      <w:pPr>
        <w:ind w:left="120" w:right="20" w:firstLine="1292"/>
        <w:spacing w:after="0" w:line="269" w:lineRule="auto"/>
        <w:tabs>
          <w:tab w:leader="none" w:pos="1946" w:val="left"/>
        </w:tabs>
        <w:numPr>
          <w:ilvl w:val="0"/>
          <w:numId w:val="2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default shall be made in the payment of any principal of any Loan when and as the same shall become due and payable, whether at the due date thereof or at a date fixed for prepayment thereof or by acceleration thereof or otherwise;</w:t>
      </w:r>
    </w:p>
    <w:p>
      <w:pPr>
        <w:spacing w:after="0" w:line="145" w:lineRule="exact"/>
        <w:rPr>
          <w:rFonts w:ascii="Times New Roman" w:cs="Times New Roman" w:eastAsia="Times New Roman" w:hAnsi="Times New Roman"/>
          <w:sz w:val="20"/>
          <w:szCs w:val="20"/>
          <w:color w:val="auto"/>
        </w:rPr>
      </w:pPr>
    </w:p>
    <w:p>
      <w:pPr>
        <w:jc w:val="both"/>
        <w:ind w:left="120" w:firstLine="1292"/>
        <w:spacing w:after="0" w:line="258" w:lineRule="auto"/>
        <w:tabs>
          <w:tab w:leader="none" w:pos="1937" w:val="left"/>
        </w:tabs>
        <w:numPr>
          <w:ilvl w:val="0"/>
          <w:numId w:val="2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default shall be made in the payment of any interest on any Loan or the reimbursement with respect to any L/C Disbursement or in the payment of any Fee or any other amount (other than an amount referred to in clause (b) above) due under any Loan Document, when and as the same shall become due and payable, and such default shall continue unremedied for a period of five Business Days;</w:t>
      </w:r>
    </w:p>
    <w:p>
      <w:pPr>
        <w:spacing w:after="0" w:line="158" w:lineRule="exact"/>
        <w:rPr>
          <w:rFonts w:ascii="Times New Roman" w:cs="Times New Roman" w:eastAsia="Times New Roman" w:hAnsi="Times New Roman"/>
          <w:sz w:val="20"/>
          <w:szCs w:val="20"/>
          <w:color w:val="auto"/>
        </w:rPr>
      </w:pPr>
    </w:p>
    <w:p>
      <w:pPr>
        <w:jc w:val="both"/>
        <w:ind w:left="120" w:firstLine="1292"/>
        <w:spacing w:after="0" w:line="257" w:lineRule="auto"/>
        <w:tabs>
          <w:tab w:leader="none" w:pos="1859" w:val="left"/>
        </w:tabs>
        <w:numPr>
          <w:ilvl w:val="0"/>
          <w:numId w:val="2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default shall be made in the due observance or performance by the Borrower of any covenant, condition or agreement contained in, Section 5.01(a), 5.05(a) or 5.08 or in Article VI;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any breach of the Financial Covenant shall not, by itself, constitute an Event of Default under any Term Facility and the Term Loans may not be accelerated as a result thereof unless there are Revolving Facility Loans outstanding that have been accelerated by the Required Revolving Facility Lenders pursuant to the penultimate sentence of this Section 7.01 as a result of such breach of the Financial Covenant;</w:t>
      </w:r>
    </w:p>
    <w:p>
      <w:pPr>
        <w:sectPr>
          <w:pgSz w:w="11900" w:h="16838" w:orient="portrait"/>
          <w:cols w:equalWidth="0" w:num="1">
            <w:col w:w="11240"/>
          </w:cols>
          <w:pgMar w:left="320" w:top="108" w:right="339" w:bottom="1440" w:gutter="0" w:footer="0" w:header="0"/>
        </w:sectPr>
      </w:pPr>
    </w:p>
    <w:bookmarkStart w:id="344" w:name="page345"/>
    <w:bookmarkEnd w:id="344"/>
    <w:p>
      <w:pPr>
        <w:jc w:val="right"/>
        <w:spacing w:after="0"/>
        <w:rPr>
          <w:sz w:val="20"/>
          <w:szCs w:val="20"/>
          <w:color w:val="auto"/>
        </w:rPr>
      </w:pPr>
      <w:r>
        <w:rPr>
          <w:rFonts w:ascii="Times New Roman" w:cs="Times New Roman" w:eastAsia="Times New Roman" w:hAnsi="Times New Roman"/>
          <w:sz w:val="22"/>
          <w:szCs w:val="22"/>
          <w:color w:val="FF0000"/>
          <w:strike w:val="1"/>
        </w:rPr>
        <w:t>ANNEX</w:t>
      </w:r>
      <w:r>
        <w:rPr>
          <w:rFonts w:ascii="Times New Roman" w:cs="Times New Roman" w:eastAsia="Times New Roman" w:hAnsi="Times New Roman"/>
          <w:sz w:val="22"/>
          <w:szCs w:val="22"/>
          <w:b w:val="1"/>
          <w:bCs w:val="1"/>
          <w:u w:val="single" w:color="auto"/>
          <w:color w:val="0000FF"/>
        </w:rPr>
        <w:t>EXHIBIT</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ind w:firstLine="1292"/>
        <w:spacing w:after="0" w:line="253" w:lineRule="auto"/>
        <w:tabs>
          <w:tab w:leader="none" w:pos="1740" w:val="left"/>
        </w:tabs>
        <w:numPr>
          <w:ilvl w:val="0"/>
          <w:numId w:val="2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default shall be made in the due observance or performance by Holdings (prior to a Qualified IPO) of Article VIA or by the Borrower or any of the Subsidiary Loan Parties of any covenant, condition or agreement contained in any Loan Document (other than those specified in clauses (b), (c) and (d) above) and such default shall continue unremedied for a period of 30 days (or 60 days if such default results solely from the failure of a Subsidiary that is not a Loan Party to duly observe or perform any such covenant, condition or agreement) after notice thereof from the Administrative Agent to the Borrower;</w:t>
      </w:r>
    </w:p>
    <w:p>
      <w:pPr>
        <w:spacing w:after="0" w:line="178" w:lineRule="exact"/>
        <w:rPr>
          <w:rFonts w:ascii="Times New Roman" w:cs="Times New Roman" w:eastAsia="Times New Roman" w:hAnsi="Times New Roman"/>
          <w:sz w:val="20"/>
          <w:szCs w:val="20"/>
          <w:color w:val="auto"/>
        </w:rPr>
      </w:pPr>
    </w:p>
    <w:p>
      <w:pPr>
        <w:jc w:val="both"/>
        <w:ind w:firstLine="1292"/>
        <w:spacing w:after="0" w:line="251" w:lineRule="auto"/>
        <w:tabs>
          <w:tab w:leader="none" w:pos="1763" w:val="left"/>
        </w:tabs>
        <w:numPr>
          <w:ilvl w:val="0"/>
          <w:numId w:val="2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 any event or condition occurs that (A) results in any Material Indebtedness becoming due prior to its scheduled maturity (other than, for the avoidance of doubt, Material Indebtedness with respect to Permitted Securitization Financings) or (B) enables or permits (with all applicable grace periods having expired) the holder or holders of any Material Indebtedness or any trustee or agent on its or their behalf to cause any Material Indebtedness to become due, or to require the prepayment, repurchase, redemption or defeasance thereof, prior to its scheduled maturity; or (ii) the Borrower or any of the Subsidiaries shall fail to pay the principal of any Material Indebtedness at the stated final maturity thereof;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this clause (f) shall not apply to any secured Indebtedness that becomes due as a result of the voluntary sale or transfer of the property or assets securing such Indebtedness if such sale or transfer is permitted hereunder and under the documents providing for such Indebtedness;</w:t>
      </w:r>
    </w:p>
    <w:p>
      <w:pPr>
        <w:spacing w:after="0" w:line="168" w:lineRule="exact"/>
        <w:rPr>
          <w:rFonts w:ascii="Times New Roman" w:cs="Times New Roman" w:eastAsia="Times New Roman" w:hAnsi="Times New Roman"/>
          <w:sz w:val="20"/>
          <w:szCs w:val="20"/>
          <w:color w:val="auto"/>
        </w:rPr>
      </w:pPr>
    </w:p>
    <w:p>
      <w:pPr>
        <w:ind w:left="1720" w:hanging="428"/>
        <w:spacing w:after="0"/>
        <w:tabs>
          <w:tab w:leader="none" w:pos="1720" w:val="left"/>
        </w:tabs>
        <w:numPr>
          <w:ilvl w:val="0"/>
          <w:numId w:val="2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shall have occurred a Change in Control;</w:t>
      </w:r>
    </w:p>
    <w:p>
      <w:pPr>
        <w:spacing w:after="0" w:line="202" w:lineRule="exact"/>
        <w:rPr>
          <w:rFonts w:ascii="Times New Roman" w:cs="Times New Roman" w:eastAsia="Times New Roman" w:hAnsi="Times New Roman"/>
          <w:sz w:val="20"/>
          <w:szCs w:val="20"/>
          <w:color w:val="auto"/>
        </w:rPr>
      </w:pPr>
    </w:p>
    <w:p>
      <w:pPr>
        <w:jc w:val="both"/>
        <w:ind w:firstLine="1292"/>
        <w:spacing w:after="0" w:line="251" w:lineRule="auto"/>
        <w:tabs>
          <w:tab w:leader="none" w:pos="1845" w:val="left"/>
        </w:tabs>
        <w:numPr>
          <w:ilvl w:val="0"/>
          <w:numId w:val="2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involuntary proceeding shall be commenced or an involuntary petition shall be filed in a court of competent jurisdiction seeking (i) relief in respect of the Borrower or any of the Material Subsidiaries, or of a substantial part of the property or assets of the Borrower or any Material Subsidiary, under Title 11 of the United States Code, as now constituted or hereafter amended, or any other federal, state or foreign bankruptcy, insolvency, receivership or similar law, (ii) the appointment of a receiver, trustee, custodian, sequestrator, conservator or similar official for the Borrower or any of the Material Subsidiaries or for a substantial part of the property or assets of the Borrower or any of the Material Subsidiaries or (iii) the winding-up or liquidation of the Borrower or any Material Subsidiary (except in a transaction permitted hereunder); and such proceeding or petition shall continue undismissed for 60 days or an order or decree approving or ordering any of the foregoing shall be entered;</w:t>
      </w:r>
    </w:p>
    <w:p>
      <w:pPr>
        <w:spacing w:after="0" w:line="181" w:lineRule="exact"/>
        <w:rPr>
          <w:rFonts w:ascii="Times New Roman" w:cs="Times New Roman" w:eastAsia="Times New Roman" w:hAnsi="Times New Roman"/>
          <w:sz w:val="20"/>
          <w:szCs w:val="20"/>
          <w:color w:val="auto"/>
        </w:rPr>
      </w:pPr>
    </w:p>
    <w:p>
      <w:pPr>
        <w:jc w:val="both"/>
        <w:ind w:firstLine="1292"/>
        <w:spacing w:after="0" w:line="251" w:lineRule="auto"/>
        <w:tabs>
          <w:tab w:leader="none" w:pos="1743" w:val="left"/>
        </w:tabs>
        <w:numPr>
          <w:ilvl w:val="0"/>
          <w:numId w:val="2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or any Material Subsidiary shall (i) voluntarily commence any proceeding or file any petition seeking relief under Title 11 of the United States Code, as now constituted or hereafter amended, or any other federal, state or foreign bankruptcy, insolvency, receivership or similar law, (ii) consent to the institution of, or fail to contest in a timely and appropriate manner, any proceeding or the filing of any petition described in clause (h) above, (iii) apply for or consent to the appointment of a receiver, trustee, custodian, sequestrator, conservator or similar official for the Borrower or any of the Material Subsidiaries or for a substantial part of the property or assets of the Borrower or any Material Subsidiary, (iv) file an answer admitting the material allegations of a petition filed against it in any such proceeding, (v) make a general assignment for the benefit of creditors or (vi) become unable or admit in writing its inability or fail generally to pay its debts as they become due;</w:t>
      </w:r>
    </w:p>
    <w:p>
      <w:pPr>
        <w:spacing w:after="0" w:line="168" w:lineRule="exact"/>
        <w:rPr>
          <w:rFonts w:ascii="Times New Roman" w:cs="Times New Roman" w:eastAsia="Times New Roman" w:hAnsi="Times New Roman"/>
          <w:sz w:val="20"/>
          <w:szCs w:val="20"/>
          <w:color w:val="auto"/>
        </w:rPr>
      </w:pPr>
    </w:p>
    <w:p>
      <w:pPr>
        <w:jc w:val="both"/>
        <w:ind w:firstLine="1292"/>
        <w:spacing w:after="0" w:line="261" w:lineRule="auto"/>
        <w:tabs>
          <w:tab w:leader="none" w:pos="1737" w:val="left"/>
        </w:tabs>
        <w:numPr>
          <w:ilvl w:val="0"/>
          <w:numId w:val="2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failure by the Borrower or any Material Subsidiary to pay one or more final judgments aggregating in excess of $100,000,000 (to the extent not covered by insurance), which judgments are not discharged or effectively waived or stayed for a period of 45 consecutive days, or any</w:t>
      </w:r>
    </w:p>
    <w:p>
      <w:pPr>
        <w:sectPr>
          <w:pgSz w:w="11900" w:h="16838" w:orient="portrait"/>
          <w:cols w:equalWidth="0" w:num="1">
            <w:col w:w="11120"/>
          </w:cols>
          <w:pgMar w:left="440" w:top="108" w:right="339" w:bottom="1440" w:gutter="0" w:footer="0" w:header="0"/>
        </w:sectPr>
      </w:pPr>
    </w:p>
    <w:bookmarkStart w:id="345" w:name="page346"/>
    <w:bookmarkEnd w:id="345"/>
    <w:p>
      <w:pPr>
        <w:jc w:val="right"/>
        <w:spacing w:after="0"/>
        <w:rPr>
          <w:sz w:val="20"/>
          <w:szCs w:val="20"/>
          <w:color w:val="auto"/>
        </w:rPr>
      </w:pPr>
      <w:r>
        <w:rPr>
          <w:rFonts w:ascii="Times New Roman" w:cs="Times New Roman" w:eastAsia="Times New Roman" w:hAnsi="Times New Roman"/>
          <w:sz w:val="22"/>
          <w:szCs w:val="22"/>
          <w:color w:val="FF0000"/>
          <w:strike w:val="1"/>
        </w:rPr>
        <w:t>ANNEX</w:t>
      </w:r>
      <w:r>
        <w:rPr>
          <w:rFonts w:ascii="Times New Roman" w:cs="Times New Roman" w:eastAsia="Times New Roman" w:hAnsi="Times New Roman"/>
          <w:sz w:val="22"/>
          <w:szCs w:val="22"/>
          <w:b w:val="1"/>
          <w:bCs w:val="1"/>
          <w:u w:val="single" w:color="auto"/>
          <w:color w:val="0000FF"/>
        </w:rPr>
        <w:t>EXHIBIT</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ind w:left="120"/>
        <w:spacing w:after="0" w:line="283" w:lineRule="auto"/>
        <w:rPr>
          <w:sz w:val="20"/>
          <w:szCs w:val="20"/>
          <w:color w:val="auto"/>
        </w:rPr>
      </w:pPr>
      <w:r>
        <w:rPr>
          <w:rFonts w:ascii="Times New Roman" w:cs="Times New Roman" w:eastAsia="Times New Roman" w:hAnsi="Times New Roman"/>
          <w:sz w:val="20"/>
          <w:szCs w:val="20"/>
          <w:color w:val="auto"/>
        </w:rPr>
        <w:t>action shall be legally taken by a judgment creditor to levy upon assets or properties of the Borrower or any Material Subsidiary to enforce any such judgment;</w:t>
      </w:r>
    </w:p>
    <w:p>
      <w:pPr>
        <w:spacing w:after="0" w:line="133" w:lineRule="exact"/>
        <w:rPr>
          <w:sz w:val="20"/>
          <w:szCs w:val="20"/>
          <w:color w:val="auto"/>
        </w:rPr>
      </w:pPr>
    </w:p>
    <w:p>
      <w:pPr>
        <w:jc w:val="both"/>
        <w:ind w:left="120" w:firstLine="1292"/>
        <w:spacing w:after="0" w:line="253" w:lineRule="auto"/>
        <w:tabs>
          <w:tab w:leader="none" w:pos="1896" w:val="left"/>
        </w:tabs>
        <w:numPr>
          <w:ilvl w:val="0"/>
          <w:numId w:val="2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an ERISA Event shall have occurred, (ii) the PBGC shall institute proceedings (including giving notice of intent thereof) to terminate any Plan or Plans, (iii) the Borrower or any Subsidiary or any ERISA Affiliate shall have been notified by the sponsor of a Multiemployer Plan that such Multiemployer Plan is being terminated, within the meaning of Title IV of ERISA, or (iv) the Borrower or any Subsidiary shall engage in any “prohibited transaction” (as defined in Section 406 of ERISA or Section 4975 of the Code) involving any Plan; and in each case in clauses (i) through (iv) above, such event or condition, together with all other such events or conditions, if any, would reasonably be expected to have a Material Adverse Effect; or</w:t>
      </w:r>
    </w:p>
    <w:p>
      <w:pPr>
        <w:spacing w:after="0" w:line="165" w:lineRule="exact"/>
        <w:rPr>
          <w:rFonts w:ascii="Times New Roman" w:cs="Times New Roman" w:eastAsia="Times New Roman" w:hAnsi="Times New Roman"/>
          <w:sz w:val="20"/>
          <w:szCs w:val="20"/>
          <w:color w:val="auto"/>
        </w:rPr>
      </w:pPr>
    </w:p>
    <w:p>
      <w:pPr>
        <w:jc w:val="both"/>
        <w:ind w:left="120" w:firstLine="1292"/>
        <w:spacing w:after="0" w:line="249" w:lineRule="auto"/>
        <w:tabs>
          <w:tab w:leader="none" w:pos="1918" w:val="left"/>
        </w:tabs>
        <w:numPr>
          <w:ilvl w:val="0"/>
          <w:numId w:val="2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 any Loan Document shall for any reason be asserted in writing by Holdings (prior to a Qualified IPO of the Borrower), the Borrower or any Subsidiary Loan Party not to be a legal, valid and binding obligation of any party thereto (other than in accordance with its terms), (ii) any security interest purported to be created by any Security Document and to extend to assets that constitute a material portion of the Collateral shall cease to be, or shall be asserted in writing by the Borrower or any other Loan Party not to be (other than, in each case, in accordance with its terms), a valid and perfected security interest (perfected as or having the priority required by this Agreement or the relevant Security Document and subject to such limitations and restrictions as are set forth herein and therein) in the securities, assets or properties covered thereby, except to the extent that any such loss of perfection or priority results from the limitations of foreign laws, rules and regulations as they apply to pledges of Equity Interests of Foreign Subsidiaries or the application thereof, or from the failure of the Collateral Agent to maintain possession of certificates actually delivered to it representing securities pledged under the Collateral Agreement or from a failure of Uniform Commercial Code continuation statements to be filed and except to the extent that such loss is covered by a lender’s title insurance policy and the Administrative Agent </w:t>
      </w:r>
      <w:r>
        <w:rPr>
          <w:rFonts w:ascii="Times New Roman" w:cs="Times New Roman" w:eastAsia="Times New Roman" w:hAnsi="Times New Roman"/>
          <w:sz w:val="20"/>
          <w:szCs w:val="20"/>
          <w:b w:val="1"/>
          <w:bCs w:val="1"/>
          <w:u w:val="single" w:color="auto"/>
          <w:color w:val="0000FF"/>
        </w:rPr>
        <w:t>(acting at the direction of the Required Lenders)</w:t>
      </w:r>
      <w:r>
        <w:rPr>
          <w:rFonts w:ascii="Times New Roman" w:cs="Times New Roman" w:eastAsia="Times New Roman" w:hAnsi="Times New Roman"/>
          <w:sz w:val="20"/>
          <w:szCs w:val="20"/>
          <w:color w:val="auto"/>
        </w:rPr>
        <w:t xml:space="preserve"> shall be reasonably satisfied with the credit of such insurer, or (iii) a material portion of the Guarantees pursuant to the Security Documents by Holdings (prior to a Qualified IPO of the Borrower) or the Subsidiary Loan Parties guaranteeing the Obligations shall cease to be in full force and effect (other than in accordance with the terms thereof), or shall be asserted in writing by Holdings (prior to a Qualified IPO of the Borrower) or any Subsidiary Loan Party not to be in effect or not to be legal, valid and binding obligations (other than in accordance with the terms thereof);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no Event of Default shall occur under this Section 7.01(l) if the Loan Parties cooperate with the Collateral Agent (acting upon the written instruction of the Administrative Agent) to replace or perfect such security interest and Lien, such security interest and Lien is replaced and the rights, powers and privileges of the Secured Parties are not materially adversely affected by such replacement;</w:t>
      </w:r>
    </w:p>
    <w:p>
      <w:pPr>
        <w:spacing w:after="0" w:line="17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then, and in every such event (other than (x) an event with respect to the Borrower described in clause (h) or (i) above and (y) an event described in clause (d) above arising with respect to a failure to comply with the Financial Covenant, unless the conditions of the first proviso contained in clause (d) above have been satisfied), and at any time thereafter during the continuance of such event, the Administrative Agent, at the request of the Required Lenders, shall, by notice to the Borrower, take any or all of the following actions, at the same or different times: (i) terminate forthwith the Commitments, (ii) declare the Loans then outstanding to be forthwith due and payable in whole or in part, whereupon the principal of the Loans so declared to be due and payable, together with accrued interest thereon and any unpaid accrued Fees and all other liabilities of the Borrower accrued hereunder and under any other Loan Document, shall become forthwith due and payable, without presentment, demand, protest or any other notice of any kind, all of which are hereby expressly waived by the Borrower, anything contained herein or in any other</w:t>
      </w:r>
    </w:p>
    <w:p>
      <w:pPr>
        <w:sectPr>
          <w:pgSz w:w="11900" w:h="16838" w:orient="portrait"/>
          <w:cols w:equalWidth="0" w:num="1">
            <w:col w:w="11240"/>
          </w:cols>
          <w:pgMar w:left="320" w:top="108" w:right="339" w:bottom="1440" w:gutter="0" w:footer="0" w:header="0"/>
        </w:sectPr>
      </w:pPr>
    </w:p>
    <w:bookmarkStart w:id="346" w:name="page347"/>
    <w:bookmarkEnd w:id="346"/>
    <w:p>
      <w:pPr>
        <w:jc w:val="right"/>
        <w:spacing w:after="0"/>
        <w:rPr>
          <w:sz w:val="20"/>
          <w:szCs w:val="20"/>
          <w:color w:val="auto"/>
        </w:rPr>
      </w:pPr>
      <w:r>
        <w:rPr>
          <w:rFonts w:ascii="Times New Roman" w:cs="Times New Roman" w:eastAsia="Times New Roman" w:hAnsi="Times New Roman"/>
          <w:sz w:val="22"/>
          <w:szCs w:val="22"/>
          <w:color w:val="FF0000"/>
          <w:strike w:val="1"/>
        </w:rPr>
        <w:t>ANNEX</w:t>
      </w:r>
      <w:r>
        <w:rPr>
          <w:rFonts w:ascii="Times New Roman" w:cs="Times New Roman" w:eastAsia="Times New Roman" w:hAnsi="Times New Roman"/>
          <w:sz w:val="22"/>
          <w:szCs w:val="22"/>
          <w:b w:val="1"/>
          <w:bCs w:val="1"/>
          <w:u w:val="single" w:color="auto"/>
          <w:color w:val="0000FF"/>
        </w:rPr>
        <w:t>EXHIBIT</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Loan Document to the contrary notwithstanding and (iii) if the Loans have been declared due and payable pursuant to clause (ii) above, demand Cash Collateral pursuant to Section 2.05(j); and in any event with respect to the Borrower described in clause (h) or (i) above, the Commitments shall automatically terminate and the principal of the Loans then outstanding, together with accrued interest thereon and any unpaid accrued Fees and all other liabilities of the Borrower accrued hereunder and under any other Loan Document, shall automatically become due and payable and the Administrative Agent shall be deemed to have made a demand for Cash Collateral to the full extent permitted under Section 2.05(j), without presentment, demand, protest or any other notice of any kind, all of which are hereby expressly waived by the Borrower, anything contained herein or in any other Loan Document to the contrary notwithstanding. In the case of an Event of Default under clause (d) above arising with respect to a failure to comply with the Financial Covenant, unless the conditions of the first proviso contained in clause (d) above have been satisfied, and at any time thereafter during the continuance of such event, subject to Section 7.03, the Administrative Agent, at the request of the Required Revolving Facility Lenders, shall, by notice to the Borrower, take either or both of the following actions, at the same or different times: (i) terminate forthwith the Revolving Facility Commitments and (ii) declare the Revolving Facility Loans then outstanding to be forthwith due and payable in whole or in part, whereupon the principal of the Revolving Facility Loans so declared to be due and payable, together with accrued interest thereon and any unpaid accrued Fees and all other liabilities of the Borrower accrued hereunder with respect to such Revolving Facility Loans, shall become forthwith due and payable, without presentment, demand, protest or any other notice of any kind, all of which are hereby expressly waived by the Borrower, anything contained herein or in any other Loan Document to the contrary notwithstanding</w:t>
      </w:r>
    </w:p>
    <w:p>
      <w:pPr>
        <w:spacing w:after="0" w:line="178" w:lineRule="exact"/>
        <w:rPr>
          <w:sz w:val="20"/>
          <w:szCs w:val="20"/>
          <w:color w:val="auto"/>
        </w:rPr>
      </w:pPr>
    </w:p>
    <w:p>
      <w:pPr>
        <w:jc w:val="both"/>
        <w:ind w:firstLine="477"/>
        <w:spacing w:after="0" w:line="283" w:lineRule="auto"/>
        <w:rPr>
          <w:sz w:val="20"/>
          <w:szCs w:val="20"/>
          <w:color w:val="auto"/>
        </w:rPr>
      </w:pPr>
      <w:r>
        <w:rPr>
          <w:rFonts w:ascii="Times New Roman" w:cs="Times New Roman" w:eastAsia="Times New Roman" w:hAnsi="Times New Roman"/>
          <w:sz w:val="20"/>
          <w:szCs w:val="20"/>
          <w:color w:val="auto"/>
        </w:rPr>
        <w:t>For purposes of clauses (h), (i) and (j) of this Section 7.01, “</w:t>
      </w:r>
      <w:r>
        <w:rPr>
          <w:rFonts w:ascii="Times New Roman" w:cs="Times New Roman" w:eastAsia="Times New Roman" w:hAnsi="Times New Roman"/>
          <w:sz w:val="20"/>
          <w:szCs w:val="20"/>
          <w:u w:val="single" w:color="auto"/>
          <w:color w:val="auto"/>
        </w:rPr>
        <w:t>Material Subsidiary</w:t>
      </w:r>
      <w:r>
        <w:rPr>
          <w:rFonts w:ascii="Times New Roman" w:cs="Times New Roman" w:eastAsia="Times New Roman" w:hAnsi="Times New Roman"/>
          <w:sz w:val="20"/>
          <w:szCs w:val="20"/>
          <w:color w:val="auto"/>
        </w:rPr>
        <w:t>” (1) shall mean any Subsidiary that would not be an Immaterial Subsidiary under clause (a) of the definition thereof and (2) shall exclude any Special Purpose Securitization Subsidiary.</w:t>
      </w:r>
    </w:p>
    <w:p>
      <w:pPr>
        <w:spacing w:after="0" w:line="133"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0"/>
          <w:szCs w:val="20"/>
          <w:color w:val="auto"/>
        </w:rPr>
        <w:t>Section 7.02 Treatment of Certain Payments. Subject to the terms of any applicable Intercreditor Agreement, any amount received by the Administrative Agent or the Collateral Agent from any Loan Party (or from proceeds of any Collateral) following any acceleration of the Obligations under this Agreement or any Event of Default with respect to the Borrower under Section 7.01(h) or (i), in each case that is continuing, shall be applied: (i) first, ratably, to pay any fees, indemnities or expense reimbursements then due to the Administrative Agent or the Collateral Agent from the Borrower (other than in connection with any Secured Cash Management Agreement or Secured Hedge Agreement), (ii) second, towards payment of interest and fees then due from the Borrower hereunder, ratably among the parties entitled thereto in accordance with the amounts of interest and fees then due to such parties, (iii) third, towards payment of principal of Swingline Loans and unreimbursed L/C Disbursements then due from the Borrower hereunder, ratably among the parties entitled thereto in accordance with the amounts of principal and unreimbursed L/C Disbursements then due to such parties, (iv) fourth, towards payment of other Obligations (including Obligations of the Loan Parties owing under or in respect of any Secured Cash Management Agreement or Secured Hedge Agreement) then due from the Borrower hereunder, ratably among the parties entitled thereto in accordance with the amounts of such Obligations then due to such parties and (v) last, the balance, if any, after all of the Obligations have been paid in full, to the Borrower or as otherwise required by Requirements of Law.</w:t>
      </w:r>
    </w:p>
    <w:p>
      <w:pPr>
        <w:spacing w:after="0" w:line="16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color w:val="auto"/>
        </w:rPr>
        <w:t>Section 7.03 Right to Cure. Notwithstanding anything to the contrary contained in Section 7.01, in the event that the Borrower fails (or, but for the operation of this Section 7.03, would fail) to comply with the requirements of the Financial Covenant, from the last day of the applicable fiscal quarter until the expiration of the 10th Business Day subsequent to the date the certificate calculating such Financial Covenant is required to be delivered pursuant to Section 5.04(c), Holdings, the Borrower and</w:t>
      </w:r>
    </w:p>
    <w:p>
      <w:pPr>
        <w:sectPr>
          <w:pgSz w:w="11900" w:h="16838" w:orient="portrait"/>
          <w:cols w:equalWidth="0" w:num="1">
            <w:col w:w="11240"/>
          </w:cols>
          <w:pgMar w:left="320" w:top="108" w:right="339" w:bottom="1440" w:gutter="0" w:footer="0" w:header="0"/>
        </w:sectPr>
      </w:pPr>
    </w:p>
    <w:bookmarkStart w:id="347" w:name="page348"/>
    <w:bookmarkEnd w:id="347"/>
    <w:p>
      <w:pPr>
        <w:jc w:val="right"/>
        <w:spacing w:after="0"/>
        <w:rPr>
          <w:sz w:val="20"/>
          <w:szCs w:val="20"/>
          <w:color w:val="auto"/>
        </w:rPr>
      </w:pPr>
      <w:r>
        <w:rPr>
          <w:rFonts w:ascii="Times New Roman" w:cs="Times New Roman" w:eastAsia="Times New Roman" w:hAnsi="Times New Roman"/>
          <w:sz w:val="22"/>
          <w:szCs w:val="22"/>
          <w:color w:val="FF0000"/>
          <w:strike w:val="1"/>
        </w:rPr>
        <w:t>ANNEX</w:t>
      </w:r>
      <w:r>
        <w:rPr>
          <w:rFonts w:ascii="Times New Roman" w:cs="Times New Roman" w:eastAsia="Times New Roman" w:hAnsi="Times New Roman"/>
          <w:sz w:val="22"/>
          <w:szCs w:val="22"/>
          <w:b w:val="1"/>
          <w:bCs w:val="1"/>
          <w:u w:val="single" w:color="auto"/>
          <w:color w:val="0000FF"/>
        </w:rPr>
        <w:t>EXHIBIT</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any Parent Entity shall have the right to issue Permitted Cure Securities for cash or otherwise receive cash contributions to the capital of such entities, and in each case, to contribute any such cash to the capital of the Borrower (collectively, the “</w:t>
      </w:r>
      <w:r>
        <w:rPr>
          <w:rFonts w:ascii="Times New Roman" w:cs="Times New Roman" w:eastAsia="Times New Roman" w:hAnsi="Times New Roman"/>
          <w:sz w:val="20"/>
          <w:szCs w:val="20"/>
          <w:u w:val="single" w:color="auto"/>
          <w:color w:val="auto"/>
        </w:rPr>
        <w:t>Cure Right</w:t>
      </w:r>
      <w:r>
        <w:rPr>
          <w:rFonts w:ascii="Times New Roman" w:cs="Times New Roman" w:eastAsia="Times New Roman" w:hAnsi="Times New Roman"/>
          <w:sz w:val="20"/>
          <w:szCs w:val="20"/>
          <w:color w:val="auto"/>
        </w:rPr>
        <w:t>”), and upon the receipt by the Borrower of such cash (the “</w:t>
      </w:r>
      <w:r>
        <w:rPr>
          <w:rFonts w:ascii="Times New Roman" w:cs="Times New Roman" w:eastAsia="Times New Roman" w:hAnsi="Times New Roman"/>
          <w:sz w:val="20"/>
          <w:szCs w:val="20"/>
          <w:u w:val="single" w:color="auto"/>
          <w:color w:val="auto"/>
        </w:rPr>
        <w:t>Cure Amount</w:t>
      </w:r>
      <w:r>
        <w:rPr>
          <w:rFonts w:ascii="Times New Roman" w:cs="Times New Roman" w:eastAsia="Times New Roman" w:hAnsi="Times New Roman"/>
          <w:sz w:val="20"/>
          <w:szCs w:val="20"/>
          <w:color w:val="auto"/>
        </w:rPr>
        <w:t xml:space="preserve">”), pursuant to the exercise of the Cure Right, the Financial Covenant shall be recalculated giving effect to a pro forma adjustment by which EBITDA shall be increased with respect to such applicable quarter and any four-quarter period that contains such quarter, solely for the purpose of measuring the Financial Covenant and not for any other purpose under this Agreement, by an amount equal to the Cure Amount;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(i) in each four consecutive fiscal quarter period there shall be at least two fiscal quarters in which a Cure Right is not exercised, (ii) a Cure Right shall not be exercised more than five times during the term of the Revolving Facility, (iii) for purposes of this Section 7.03, the Cure Amount shall be no greater than the amount required for purposes of complying with the Financial Covenant and (iv) there shall be no pro forma reduction in Indebtedness with the proceeds of the exercise of the Cure Right for determining compliance with the Financial Covenant for the fiscal quarter in respect of which such Cure Right is exercised (either directly through prepayment or indirectly as a result of the netting of unrestricted cash). If, after giving effect to the adjustments in this Section 7.03, the Borrower shall then be in compliance with the requirements of the Financial Covenant, the Borrower shall be deemed to have satisfied the requirements of the Financial Covenant as of the relevant date of determination with the same effect as though there had been no failure to comply therewith at such date, and the applicable breach or default of the Financial Covenant that had occurred shall be deemed cured for the purposes of this Agreement.</w:t>
      </w:r>
    </w:p>
    <w:p>
      <w:pPr>
        <w:spacing w:after="0" w:line="196"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22"/>
          <w:szCs w:val="22"/>
          <w:color w:val="auto"/>
        </w:rPr>
        <w:t>ARTICLE VIII</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The Agents</w:t>
      </w:r>
    </w:p>
    <w:p>
      <w:pPr>
        <w:spacing w:after="0" w:line="206"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0"/>
          <w:szCs w:val="20"/>
          <w:color w:val="auto"/>
        </w:rPr>
        <w:t xml:space="preserve">Section 8.01 Appointment. (a) Each Lender (in its capacities as a Lender and the Swingline Lender (if applicable) and on behalf of itself and its Affiliates as potential counterparties to Secured Cash Management Agreements and Secured Hedge Agreements) and each Issuing Bank (in such capacities and on behalf of itself and its Affiliates as potential counterparties to Secured Cash Management Agreements and Secured Hedge Agreements) hereby irrevocably designates and appoints (i) </w:t>
      </w:r>
      <w:r>
        <w:rPr>
          <w:rFonts w:ascii="Times New Roman" w:cs="Times New Roman" w:eastAsia="Times New Roman" w:hAnsi="Times New Roman"/>
          <w:sz w:val="20"/>
          <w:szCs w:val="20"/>
          <w:color w:val="FF0000"/>
          <w:strike w:val="1"/>
        </w:rPr>
        <w:t>Citibank, N.A.</w:t>
      </w:r>
      <w:r>
        <w:rPr>
          <w:rFonts w:ascii="Times New Roman" w:cs="Times New Roman" w:eastAsia="Times New Roman" w:hAnsi="Times New Roman"/>
          <w:sz w:val="20"/>
          <w:szCs w:val="20"/>
          <w:b w:val="1"/>
          <w:bCs w:val="1"/>
          <w:u w:val="single" w:color="auto"/>
          <w:color w:val="0000FF"/>
        </w:rPr>
        <w:t>Wilmington Trust, National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u w:val="single" w:color="auto"/>
          <w:color w:val="0000FF"/>
        </w:rPr>
        <w:t>Association</w:t>
      </w:r>
      <w:r>
        <w:rPr>
          <w:rFonts w:ascii="Times New Roman" w:cs="Times New Roman" w:eastAsia="Times New Roman" w:hAnsi="Times New Roman"/>
          <w:sz w:val="20"/>
          <w:szCs w:val="20"/>
          <w:color w:val="000000"/>
        </w:rPr>
        <w:t>, as the administrative agent of such Lender under this Agreement and the other Loan Documents, and (ii)</w:t>
      </w:r>
      <w:r>
        <w:rPr>
          <w:rFonts w:ascii="Times New Roman" w:cs="Times New Roman" w:eastAsia="Times New Roman" w:hAnsi="Times New Roman"/>
          <w:sz w:val="20"/>
          <w:szCs w:val="20"/>
          <w:b w:val="1"/>
          <w:bCs w:val="1"/>
          <w:color w:val="0000FF"/>
        </w:rPr>
        <w:t xml:space="preserve"> </w:t>
      </w:r>
      <w:r>
        <w:rPr>
          <w:rFonts w:ascii="Times New Roman" w:cs="Times New Roman" w:eastAsia="Times New Roman" w:hAnsi="Times New Roman"/>
          <w:sz w:val="20"/>
          <w:szCs w:val="20"/>
          <w:color w:val="FF0000"/>
          <w:strike w:val="1"/>
        </w:rPr>
        <w:t>Citibank, N.A., acting</w:t>
      </w:r>
      <w:r>
        <w:rPr>
          <w:rFonts w:ascii="Times New Roman" w:cs="Times New Roman" w:eastAsia="Times New Roman" w:hAnsi="Times New Roman"/>
          <w:sz w:val="20"/>
          <w:szCs w:val="20"/>
          <w:b w:val="1"/>
          <w:bCs w:val="1"/>
          <w:color w:val="0000FF"/>
        </w:rPr>
        <w:t xml:space="preserve"> </w:t>
      </w:r>
      <w:r>
        <w:rPr>
          <w:rFonts w:ascii="Times New Roman" w:cs="Times New Roman" w:eastAsia="Times New Roman" w:hAnsi="Times New Roman"/>
          <w:sz w:val="20"/>
          <w:szCs w:val="20"/>
          <w:color w:val="FF0000"/>
          <w:strike w:val="1"/>
        </w:rPr>
        <w:t>through its agency and trust division</w:t>
      </w:r>
      <w:r>
        <w:rPr>
          <w:rFonts w:ascii="Times New Roman" w:cs="Times New Roman" w:eastAsia="Times New Roman" w:hAnsi="Times New Roman"/>
          <w:sz w:val="20"/>
          <w:szCs w:val="20"/>
          <w:b w:val="1"/>
          <w:bCs w:val="1"/>
          <w:u w:val="single" w:color="auto"/>
          <w:color w:val="0000FF"/>
        </w:rPr>
        <w:t>Wilmington Trust, National Association</w:t>
      </w:r>
      <w:r>
        <w:rPr>
          <w:rFonts w:ascii="Times New Roman" w:cs="Times New Roman" w:eastAsia="Times New Roman" w:hAnsi="Times New Roman"/>
          <w:sz w:val="20"/>
          <w:szCs w:val="20"/>
          <w:color w:val="000000"/>
        </w:rPr>
        <w:t>, as the collateral agent for such Lender and the other Secured</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Parties under the Security Documents, and each such Lender irrevocably authorizes the Administrative Agent and the Collateral Agent, in their respective capacities, to take such action on its behalf under the provisions of this Agreement and the other Loan Documents and to exercise such rights, powers, authorities, privileges and perform such duties as are expressly delegated to the Administrative Agent or the Collateral Agent (as applicable) by the terms of this Agreement and the other Loan Documents. In addition, to the extent required under the laws of any jurisdiction other than the United States of America, each of the Lenders and the Issuing Banks hereby grants to the Administrative Agent and the Collateral Agent (as applicable) any required powers of attorney to execute any Security Document governed by the laws of such jurisdiction on such Lender’s or Issuing Bank’s behalf. Notwithstanding any provision to the contrary elsewhere in this Agreement, the Agents shall not have any duties or responsibilities, except those expressly set forth herein, or any fiduciary relationship with any Lender, and no implied covenants, functions, responsibilities, duties, obligations or liabilities shall be read into this Agreement or any other Loan Document or otherwise exist against such Agents.</w:t>
      </w:r>
    </w:p>
    <w:p>
      <w:pPr>
        <w:spacing w:after="0" w:line="178" w:lineRule="exact"/>
        <w:rPr>
          <w:sz w:val="20"/>
          <w:szCs w:val="20"/>
          <w:color w:val="auto"/>
        </w:rPr>
      </w:pPr>
    </w:p>
    <w:p>
      <w:pPr>
        <w:ind w:left="120" w:firstLine="1292"/>
        <w:spacing w:after="0" w:line="283" w:lineRule="auto"/>
        <w:tabs>
          <w:tab w:leader="none" w:pos="1845" w:val="left"/>
        </w:tabs>
        <w:numPr>
          <w:ilvl w:val="0"/>
          <w:numId w:val="2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furtherance of the foregoing, each Lender (in its capacities as a Lender and the Swingline Lender (if applicable) and on behalf of itself and its Affiliates as potential counterparties</w:t>
      </w:r>
    </w:p>
    <w:p>
      <w:pPr>
        <w:sectPr>
          <w:pgSz w:w="11900" w:h="16838" w:orient="portrait"/>
          <w:cols w:equalWidth="0" w:num="1">
            <w:col w:w="11240"/>
          </w:cols>
          <w:pgMar w:left="320" w:top="108" w:right="339" w:bottom="1440" w:gutter="0" w:footer="0" w:header="0"/>
        </w:sectPr>
      </w:pPr>
    </w:p>
    <w:bookmarkStart w:id="348" w:name="page349"/>
    <w:bookmarkEnd w:id="348"/>
    <w:p>
      <w:pPr>
        <w:jc w:val="right"/>
        <w:spacing w:after="0"/>
        <w:rPr>
          <w:sz w:val="20"/>
          <w:szCs w:val="20"/>
          <w:color w:val="auto"/>
        </w:rPr>
      </w:pPr>
      <w:r>
        <w:rPr>
          <w:rFonts w:ascii="Times New Roman" w:cs="Times New Roman" w:eastAsia="Times New Roman" w:hAnsi="Times New Roman"/>
          <w:sz w:val="22"/>
          <w:szCs w:val="22"/>
          <w:color w:val="FF0000"/>
          <w:strike w:val="1"/>
        </w:rPr>
        <w:t>ANNEX</w:t>
      </w:r>
      <w:r>
        <w:rPr>
          <w:rFonts w:ascii="Times New Roman" w:cs="Times New Roman" w:eastAsia="Times New Roman" w:hAnsi="Times New Roman"/>
          <w:sz w:val="22"/>
          <w:szCs w:val="22"/>
          <w:b w:val="1"/>
          <w:bCs w:val="1"/>
          <w:u w:val="single" w:color="auto"/>
          <w:color w:val="0000FF"/>
        </w:rPr>
        <w:t>EXHIBIT</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ind w:left="120"/>
        <w:spacing w:after="0" w:line="249" w:lineRule="auto"/>
        <w:rPr>
          <w:sz w:val="20"/>
          <w:szCs w:val="20"/>
          <w:color w:val="auto"/>
        </w:rPr>
      </w:pPr>
      <w:r>
        <w:rPr>
          <w:rFonts w:ascii="Times New Roman" w:cs="Times New Roman" w:eastAsia="Times New Roman" w:hAnsi="Times New Roman"/>
          <w:sz w:val="20"/>
          <w:szCs w:val="20"/>
          <w:color w:val="auto"/>
        </w:rPr>
        <w:t>to Secured Cash Management Agreements or Secured Hedge Agreements) and each Issuing Bank (in such capacities and on behalf of itself and its Affiliates as potential counterparties to Secured Cash Management Agreements and Secured Hedge Agreements) hereby appoints and authorizes the Collateral Agent to act as the collateral agent of such Lender for purposes of acquiring, holding and enforcing any and all Liens on Collateral granted by any of the Loan Parties to secure any of the Obligations. Each Lender (in its capacities as a Lender, Issuing Bank (if applicable) and the Swingline Lender (if applicable) and on behalf of itself and its Affiliates as potential counterparties to Secured Cash Management Agreements or Secured Hedge Agreements) hereby (a) accepts the authorizations, appointments, acknowledgments and other actions taken by the Collateral Agent, on behalf of the Lenders, in accordance with this Agreement and the other Loan Documents, and (b) acknowledges the terms of each of the Loan Documents, and authorizes and instructs the Collateral Agent to execute and deliver, for the benefit of the Lenders, each of the other Loan Documents to which the Collateral Agent is or intended to be a party (including any amendments, supplements, reaffirmations and modifications to the Loan Documents in connection with the transactions contemplated by this Agreement). In this connection, the Collateral Agent (and any Subagents appointed by the Collateral Agent pursuant to Section 8.02 for purposes of holding or enforcing any Lien on the Collateral (or any portion thereof) granted under the Security Documents, or for exercising any rights or remedies thereunder at the direction of the Collateral Agent) shall be entitled to the benefits of this Article VIII (including, without limitation, Section 8.07) as though the Collateral Agent (and any such Subagents) were an “Agent” under the Loan Documents, as if set forth in full herein with respect thereto.</w:t>
      </w:r>
    </w:p>
    <w:p>
      <w:pPr>
        <w:spacing w:after="0" w:line="187"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0"/>
          <w:szCs w:val="20"/>
          <w:color w:val="auto"/>
        </w:rPr>
        <w:t>Section 8.02 Delegation of Duties. The Administrative Agent and the Collateral Agent may execute any of their respective duties under this Agreement and the other Loan Documents (including for purposes of holding or enforcing any Lien on the Collateral (or any portion thereof)) by or through agents, employees or attorneys-in-fact and shall be entitled to advice of counsel and other consultants or experts concerning all matters pertaining to such duties. No Agent shall be responsible for the negligence or misconduct of any agents or attorneys-in-fact selected by it with due care. Each Agent may also from time to time, when it deems it to be necessary or desirable, appoint one or more trustees, co-trustees, collateral co-agents, collateral subagents or attorneys-in-fact (each, a “</w:t>
      </w:r>
      <w:r>
        <w:rPr>
          <w:rFonts w:ascii="Times New Roman" w:cs="Times New Roman" w:eastAsia="Times New Roman" w:hAnsi="Times New Roman"/>
          <w:sz w:val="20"/>
          <w:szCs w:val="20"/>
          <w:u w:val="single" w:color="auto"/>
          <w:color w:val="auto"/>
        </w:rPr>
        <w:t>Subagent</w:t>
      </w:r>
      <w:r>
        <w:rPr>
          <w:rFonts w:ascii="Times New Roman" w:cs="Times New Roman" w:eastAsia="Times New Roman" w:hAnsi="Times New Roman"/>
          <w:sz w:val="20"/>
          <w:szCs w:val="20"/>
          <w:color w:val="auto"/>
        </w:rPr>
        <w:t xml:space="preserve">”) with respect to all or any part of the Collateral;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no such Subagent shall be authorized to take any action with respect to any Collateral unless and except to the extent expressly authorized in writing by the Administrative Agent or the Collateral Agent. Should any instrument in writing from the Borrower or any other Loan Party be required by any Subagent so appointed by an Agent to more fully or certainly vest in and confirm to such Subagent such rights, powers, privileges and duties, the Borrower shall, or shall cause such Loan Party to, execute, acknowledge and deliver any and all such instruments promptly upon request by such Agent. If any Subagent, or successor thereto, shall become incapable of acting, resign or be removed, all rights, powers, privileges and duties of such Subagent, to the extent permitted by law, shall automatically vest in and be exercised by the Administrative Agent or the Collateral Agent until the appointment of a new Subagent. No Agent shall be responsible for the negligence or misconduct of any agent, attorney-in-fact or Subagent that it selects with due care.</w:t>
      </w:r>
    </w:p>
    <w:p>
      <w:pPr>
        <w:spacing w:after="0" w:line="183"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Section 8.03 Exculpatory Provisions. None of the Agents, or their respective Affiliates or any of their respective officers, directors, employees, agents, attorneys-in-fact or affiliates shall be (a) liable for any action lawfully taken or omitted to be taken by it or such person under or in connection with this Agreement or any other Loan Document (except to the extent that any of the foregoing are found by a final and nonappealable decision of a court of competent jurisdiction to have resulted from its or such person’s own gross negligence or willful misconduct) or (b) responsible in any manner to any of the Lenders for any recitals, statements, representations or warranties made by any Loan Party or any officer thereof contained in this Agreement or any other Loan Document or in any certificate,</w:t>
      </w:r>
    </w:p>
    <w:p>
      <w:pPr>
        <w:sectPr>
          <w:pgSz w:w="11900" w:h="16838" w:orient="portrait"/>
          <w:cols w:equalWidth="0" w:num="1">
            <w:col w:w="11240"/>
          </w:cols>
          <w:pgMar w:left="320" w:top="108" w:right="339" w:bottom="1440" w:gutter="0" w:footer="0" w:header="0"/>
        </w:sectPr>
      </w:pPr>
    </w:p>
    <w:bookmarkStart w:id="349" w:name="page350"/>
    <w:bookmarkEnd w:id="349"/>
    <w:p>
      <w:pPr>
        <w:ind w:left="9360"/>
        <w:spacing w:after="0"/>
        <w:rPr>
          <w:sz w:val="20"/>
          <w:szCs w:val="20"/>
          <w:color w:val="auto"/>
        </w:rPr>
      </w:pPr>
      <w:r>
        <w:rPr>
          <w:rFonts w:ascii="Times New Roman" w:cs="Times New Roman" w:eastAsia="Times New Roman" w:hAnsi="Times New Roman"/>
          <w:sz w:val="21"/>
          <w:szCs w:val="21"/>
          <w:color w:val="FF0000"/>
          <w:strike w:val="1"/>
        </w:rPr>
        <w:t>ANNEX</w:t>
      </w:r>
      <w:r>
        <w:rPr>
          <w:rFonts w:ascii="Times New Roman" w:cs="Times New Roman" w:eastAsia="Times New Roman" w:hAnsi="Times New Roman"/>
          <w:sz w:val="21"/>
          <w:szCs w:val="21"/>
          <w:b w:val="1"/>
          <w:bCs w:val="1"/>
          <w:u w:val="single" w:color="auto"/>
          <w:color w:val="0000FF"/>
        </w:rPr>
        <w:t>EXHIBIT</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000000"/>
        </w:rPr>
        <w: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9"/>
          <w:szCs w:val="19"/>
          <w:color w:val="auto"/>
        </w:rPr>
        <w:t>report, statement or other document referred to or provided for in, or received by any Agent under or in connection with, this Agreement or any other Loan Document or for the value, validity, effectiveness, genuineness, enforceability or sufficiency of this Agreement or any other Loan Document or for any failure of any Loan Party a party thereto to perform its obligations hereunder or thereunder. No Agent shall be under any obligation to any Lender to ascertain or to inquire as to the observance or performance of any of the agreements contained in, or conditions of, this Agreement or any other Loan Document, or to inspect the properties, books or records of any Loan Party. No Agent shall have any duties or obligations except those expressly set forth herein and in the other Loan Documents. Without limiting the generality of the foregoing, (a) no Agent shall be subject to any fiduciary or other implied duties, regardless of whether a Default or Event of Default has occurred and is continuing, and (b) no Agent shall, except as expressly set forth herein and in the other Loan Documents, have any duty to disclose, and shall be liable for the failure to disclose, any information relating to the Borrower or any of its Affiliates that is communicated to or obtained by such Agent or any of its Affiliates in any capacity. The Agents shall be deemed not to have knowledge of any Default or Event of Default unless and until written notice describing such Default or Event of Default is given to the Administrative Agent and the Collateral Agent by the Borrower, a Lender or an Issuing Bank. No Agent shall be responsible for or have any duty to ascertain or inquire into (i) any statement, warranty or representation made in or in connection with this Agreement or any other Loan Document, (ii) the contents or accuracy of any certificate, report or other document delivered hereunder or thereunder or in connection herewith or therewith (including recalculating or determining, confirming or verifying any calculation or information set forth therein), (iii) the performance or observance of any of the covenants, agreements or other terms or conditions set forth herein or therein or the occurrence of any Default or Event of Default,</w:t>
      </w:r>
    </w:p>
    <w:p>
      <w:pPr>
        <w:spacing w:after="0" w:line="6" w:lineRule="exact"/>
        <w:rPr>
          <w:sz w:val="20"/>
          <w:szCs w:val="20"/>
          <w:color w:val="auto"/>
        </w:rPr>
      </w:pPr>
    </w:p>
    <w:p>
      <w:pPr>
        <w:jc w:val="both"/>
        <w:ind w:firstLine="8"/>
        <w:spacing w:after="0" w:line="247" w:lineRule="auto"/>
        <w:tabs>
          <w:tab w:leader="none" w:pos="346" w:val="left"/>
        </w:tabs>
        <w:numPr>
          <w:ilvl w:val="0"/>
          <w:numId w:val="2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legality, validity, enforceability, effectiveness or genuineness of this Agreement, any other Loan Document or any other agreement, instrument or document, or the creation, perfection or priority of any Lien purported to be created by the Security Documents, (v) the properties, books or records of the Borrower or any Subsidiary, (vi) the value or the sufficiency of any Collateral, or (vii) the satisfaction of any condition set forth in Article IV or elsewhere herein, other than to confirm receipt of items expressly required to be delivered to the Administrative Agent or the Collateral Agent, as applicable. No </w:t>
      </w:r>
      <w:r>
        <w:rPr>
          <w:rFonts w:ascii="Times New Roman" w:cs="Times New Roman" w:eastAsia="Times New Roman" w:hAnsi="Times New Roman"/>
          <w:sz w:val="20"/>
          <w:szCs w:val="20"/>
          <w:b w:val="1"/>
          <w:bCs w:val="1"/>
          <w:u w:val="single" w:color="auto"/>
          <w:color w:val="0000FF"/>
        </w:rPr>
        <w:t>Agent shall be liable for any action taken in good faith and reasonably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u w:val="single" w:color="auto"/>
          <w:color w:val="0000FF"/>
        </w:rPr>
        <w:t>believed by it to be within the powers conferred upon it, or omitted to be taken by it by reason of the lack of direction or instruction required hereby for such action. The permissive rights of the Agents to do things enumerated in this Agreement shall not be construed as a duty and, with respect to such permissive rights, no Agent shall be answerable for other than its gross negligence or willful misconduct. No</w:t>
      </w:r>
      <w:r>
        <w:rPr>
          <w:rFonts w:ascii="Times New Roman" w:cs="Times New Roman" w:eastAsia="Times New Roman" w:hAnsi="Times New Roman"/>
          <w:sz w:val="20"/>
          <w:szCs w:val="20"/>
          <w:b w:val="1"/>
          <w:bCs w:val="1"/>
          <w:color w:val="0000FF"/>
        </w:rPr>
        <w:t xml:space="preserve"> </w:t>
      </w:r>
      <w:r>
        <w:rPr>
          <w:rFonts w:ascii="Times New Roman" w:cs="Times New Roman" w:eastAsia="Times New Roman" w:hAnsi="Times New Roman"/>
          <w:sz w:val="20"/>
          <w:szCs w:val="20"/>
          <w:color w:val="000000"/>
        </w:rPr>
        <w:t>Cash Management Bank or Hedge Bank that obtains the benefits of Section 7.02, any Guarantee or any Collateral by</w:t>
      </w:r>
      <w:r>
        <w:rPr>
          <w:rFonts w:ascii="Times New Roman" w:cs="Times New Roman" w:eastAsia="Times New Roman" w:hAnsi="Times New Roman"/>
          <w:sz w:val="20"/>
          <w:szCs w:val="20"/>
          <w:b w:val="1"/>
          <w:bCs w:val="1"/>
          <w:color w:val="0000FF"/>
        </w:rPr>
        <w:t xml:space="preserve"> </w:t>
      </w:r>
      <w:r>
        <w:rPr>
          <w:rFonts w:ascii="Times New Roman" w:cs="Times New Roman" w:eastAsia="Times New Roman" w:hAnsi="Times New Roman"/>
          <w:sz w:val="20"/>
          <w:szCs w:val="20"/>
          <w:color w:val="000000"/>
        </w:rPr>
        <w:t>virtue of the provisions hereof or of any Guarantee or any Security Document shall have any right to notice of any action or to consent to, direct or object to any action hereunder or under any other Loan Document or otherwise in respect of the Collateral (including the release or impairment of any Collateral) other than in its capacity as a Lender and, in such case, only to the extent expressly provided in the Loan Documents. Without limiting the generality of the foregoing, the Administrative Agent shall not be required to verify the payment of, or that other satisfactory arrangements have been made with respect to, Obligations arising under Secured Cash Management Agreements and Secured Hedge Agreements unless the Administrative Agent has received written notice of such Obligations, together with such supporting documentation as the Administrative Agent may request, from the applicable Cash Management Bank or Hedge Bank, as the case may be. No Agent shall be required to expend or risk any of its own funds or otherwise incur any liability, financial or otherwise, in the performance of any of its duties hereunder or under any Loan Document to which it is a party, or be required to take any action that is contrary to this Agreement or applicable Law. No Agent shall incur any liability for not performing any act or fulfilling any duty, obligation or responsibility hereunder by reason of any occurrence beyond the control of an Agent (including but not limited to any act or provision of any present or future law or regulation or</w:t>
      </w:r>
    </w:p>
    <w:p>
      <w:pPr>
        <w:sectPr>
          <w:pgSz w:w="11900" w:h="16838" w:orient="portrait"/>
          <w:cols w:equalWidth="0" w:num="1">
            <w:col w:w="11240"/>
          </w:cols>
          <w:pgMar w:left="320" w:top="108" w:right="339" w:bottom="1440" w:gutter="0" w:footer="0" w:header="0"/>
        </w:sectPr>
      </w:pPr>
    </w:p>
    <w:bookmarkStart w:id="350" w:name="page351"/>
    <w:bookmarkEnd w:id="350"/>
    <w:p>
      <w:pPr>
        <w:jc w:val="right"/>
        <w:spacing w:after="0"/>
        <w:rPr>
          <w:sz w:val="20"/>
          <w:szCs w:val="20"/>
          <w:color w:val="auto"/>
        </w:rPr>
      </w:pPr>
      <w:r>
        <w:rPr>
          <w:rFonts w:ascii="Times New Roman" w:cs="Times New Roman" w:eastAsia="Times New Roman" w:hAnsi="Times New Roman"/>
          <w:sz w:val="22"/>
          <w:szCs w:val="22"/>
          <w:color w:val="FF0000"/>
          <w:strike w:val="1"/>
        </w:rPr>
        <w:t>ANNEX</w:t>
      </w:r>
      <w:r>
        <w:rPr>
          <w:rFonts w:ascii="Times New Roman" w:cs="Times New Roman" w:eastAsia="Times New Roman" w:hAnsi="Times New Roman"/>
          <w:sz w:val="22"/>
          <w:szCs w:val="22"/>
          <w:b w:val="1"/>
          <w:bCs w:val="1"/>
          <w:u w:val="single" w:color="auto"/>
          <w:color w:val="0000FF"/>
        </w:rPr>
        <w:t>EXHIBIT</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 xml:space="preserve">governmental authority, any act of God or war, </w:t>
      </w:r>
      <w:r>
        <w:rPr>
          <w:rFonts w:ascii="Times New Roman" w:cs="Times New Roman" w:eastAsia="Times New Roman" w:hAnsi="Times New Roman"/>
          <w:sz w:val="20"/>
          <w:szCs w:val="20"/>
          <w:b w:val="1"/>
          <w:bCs w:val="1"/>
          <w:u w:val="single" w:color="auto"/>
          <w:color w:val="0000FF"/>
        </w:rPr>
        <w:t>epidemic, pandemic,</w:t>
      </w:r>
      <w:r>
        <w:rPr>
          <w:rFonts w:ascii="Times New Roman" w:cs="Times New Roman" w:eastAsia="Times New Roman" w:hAnsi="Times New Roman"/>
          <w:sz w:val="20"/>
          <w:szCs w:val="20"/>
          <w:color w:val="auto"/>
        </w:rPr>
        <w:t xml:space="preserve"> civil unrest, local or national disturbance or disaster, any act of terrorism, or the unavailability of the Federal Reserve Bank wire or facsimile or other wire or communication facility). The authorizations, rights, privileges, protections and benefits given to an Agent are extended to, and shall be enforceable by, each Agent, under any Loan Document to which it is a party. In the event any claim of inconsistency between this Agreement and the terms of any other Loan Document arises with respect to the duties, liabilities and rights of the Agents, the terms of this Agreement shall control. The </w:t>
      </w:r>
      <w:r>
        <w:rPr>
          <w:rFonts w:ascii="Times New Roman" w:cs="Times New Roman" w:eastAsia="Times New Roman" w:hAnsi="Times New Roman"/>
          <w:sz w:val="20"/>
          <w:szCs w:val="20"/>
          <w:color w:val="FF0000"/>
          <w:strike w:val="1"/>
        </w:rPr>
        <w:t>Collateral Agent</w:t>
      </w:r>
      <w:r>
        <w:rPr>
          <w:rFonts w:ascii="Times New Roman" w:cs="Times New Roman" w:eastAsia="Times New Roman" w:hAnsi="Times New Roman"/>
          <w:sz w:val="20"/>
          <w:szCs w:val="20"/>
          <w:b w:val="1"/>
          <w:bCs w:val="1"/>
          <w:u w:val="single" w:color="auto"/>
          <w:color w:val="0000FF"/>
        </w:rPr>
        <w:t>Agents</w:t>
      </w:r>
      <w:r>
        <w:rPr>
          <w:rFonts w:ascii="Times New Roman" w:cs="Times New Roman" w:eastAsia="Times New Roman" w:hAnsi="Times New Roman"/>
          <w:sz w:val="20"/>
          <w:szCs w:val="20"/>
          <w:color w:val="auto"/>
        </w:rPr>
        <w:t xml:space="preserve"> shall not be responsible for the existence, genuineness or value of any of the Collateral or for the validity, perfection, priority or enforceability of the Liens in any of the Collateral, whether impaired by operation of law or by reason of any action or omission to act on its part hereunder for the validity or sufficiency of the Collateral or any agreement or assignment contained therein, for insuring the Collateral or for the payment of Taxes, charges, assessments or Liens upon the Collateral or otherwise as to the maintenance of the Collateral. The </w:t>
      </w:r>
      <w:r>
        <w:rPr>
          <w:rFonts w:ascii="Times New Roman" w:cs="Times New Roman" w:eastAsia="Times New Roman" w:hAnsi="Times New Roman"/>
          <w:sz w:val="20"/>
          <w:szCs w:val="20"/>
          <w:color w:val="FF0000"/>
          <w:strike w:val="1"/>
        </w:rPr>
        <w:t>Collateral Agent</w:t>
      </w:r>
      <w:r>
        <w:rPr>
          <w:rFonts w:ascii="Times New Roman" w:cs="Times New Roman" w:eastAsia="Times New Roman" w:hAnsi="Times New Roman"/>
          <w:sz w:val="20"/>
          <w:szCs w:val="20"/>
          <w:b w:val="1"/>
          <w:bCs w:val="1"/>
          <w:u w:val="single" w:color="auto"/>
          <w:color w:val="0000FF"/>
        </w:rPr>
        <w:t>Agents</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shall have the right (but not the duty or obligation) to see to any recording, filing or depositing of any financing</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 xml:space="preserve">statement, financing statement amendment or continuation statement evidencing a security interest, or to see to the maintenance of any such recordings or filing or depositing or to any rerecording, refiling or redepositing of any thereof. The </w:t>
      </w:r>
      <w:r>
        <w:rPr>
          <w:rFonts w:ascii="Times New Roman" w:cs="Times New Roman" w:eastAsia="Times New Roman" w:hAnsi="Times New Roman"/>
          <w:sz w:val="20"/>
          <w:szCs w:val="20"/>
          <w:color w:val="FF0000"/>
          <w:strike w:val="1"/>
        </w:rPr>
        <w:t>Collateral Agent</w:t>
      </w:r>
      <w:r>
        <w:rPr>
          <w:rFonts w:ascii="Times New Roman" w:cs="Times New Roman" w:eastAsia="Times New Roman" w:hAnsi="Times New Roman"/>
          <w:sz w:val="20"/>
          <w:szCs w:val="20"/>
          <w:b w:val="1"/>
          <w:bCs w:val="1"/>
          <w:u w:val="single" w:color="auto"/>
          <w:color w:val="0000FF"/>
        </w:rPr>
        <w:t>Agents</w:t>
      </w:r>
      <w:r>
        <w:rPr>
          <w:rFonts w:ascii="Times New Roman" w:cs="Times New Roman" w:eastAsia="Times New Roman" w:hAnsi="Times New Roman"/>
          <w:sz w:val="20"/>
          <w:szCs w:val="20"/>
          <w:color w:val="000000"/>
        </w:rPr>
        <w:t xml:space="preserve"> shall not have any duty to see to the payment or discharge of any tax, assessment or other governmental charge or any lien or encumbrance of any kind.</w:t>
      </w:r>
    </w:p>
    <w:p>
      <w:pPr>
        <w:spacing w:after="0" w:line="170"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0"/>
          <w:szCs w:val="20"/>
          <w:color w:val="auto"/>
        </w:rPr>
        <w:t xml:space="preserve">Section 8.04 Reliance by Agents. Each Agent shall be entitled to rely upon, and shall not incur any liability for relying upon, any notice, request, certificate, consent, </w:t>
      </w:r>
      <w:r>
        <w:rPr>
          <w:rFonts w:ascii="Times New Roman" w:cs="Times New Roman" w:eastAsia="Times New Roman" w:hAnsi="Times New Roman"/>
          <w:sz w:val="20"/>
          <w:szCs w:val="20"/>
          <w:b w:val="1"/>
          <w:bCs w:val="1"/>
          <w:u w:val="single" w:color="auto"/>
          <w:color w:val="0000FF"/>
        </w:rPr>
        <w:t>judgment, order,</w:t>
      </w:r>
      <w:r>
        <w:rPr>
          <w:rFonts w:ascii="Times New Roman" w:cs="Times New Roman" w:eastAsia="Times New Roman" w:hAnsi="Times New Roman"/>
          <w:sz w:val="20"/>
          <w:szCs w:val="20"/>
          <w:color w:val="auto"/>
        </w:rPr>
        <w:t xml:space="preserve"> statement, instrument, document or other writing (including any electronic message, Internet or intranet website posting or other distribution) or conversation believed by it to be genuine and to have been signed, sent or otherwise authenticated by the proper person. Each Agent also may rely upon any statement made to it orally or by telephone and believed by it to have been made by the proper person, and shall not incur any liability for relying thereon. In determining compliance with any condition hereunder to any Credit Event, that by its terms must be fulfilled to the satisfaction of a Lender or any Issuing Bank, each Agent may presume that such condition is satisfactory to such Lender or Issuing Bank unless such Agent shall have received notice to the contrary from such Lender or Issuing Bank prior to such Credit Event. Each Agent may consult with legal counsel (including counsel to Holdings or the Borrower), independent accountants and other experts selected by it, and shall not be liable for any action taken or not taken by it in accordance with the advice of any such counsel, accountants or experts. Each Agent may deem and treat the Lender specified in the Register with respect to any amount owing hereunder as the owner thereof for all purposes unless a written notice of assignment, negotiation or transfer thereof shall have been filed with such Agent. Each Agent shall be fully justified in failing or refusing to take any action under this Agreement or any other Loan Document unless it shall first receive such advice or concurrence of (i) in the case of the Administrative Agent, the Required Lenders (or, if so specified by this Agreement, all or other Lenders), or (ii) in the case of the Collateral Agent, the Administrative Agent, as it deems appropriate or it shall first be indemnified to its satisfaction by the Lenders against any and all liability and expense that may be incurred by it by reason of taking or continuing to take any such action. Each Agent shall in all cases be fully protected in acting, or in refraining from acting, under this Agreement and the other Loan Documents in accordance with a request of the Required Lenders (or, if so specified by this Agreement, all or other Lenders), and such request and any action taken or failure to act pursuant thereto shall be binding upon all the Lenders and all future holders of the Loans. Whenever reference is made in this Agreement or any other Loan Document to any discretionary action by consent, designation, specification, requirement or approval of, notice, request or other communication from, or other direction given or action to be undertaken or to be (or not to be) suffered or omitted by </w:t>
      </w:r>
      <w:r>
        <w:rPr>
          <w:rFonts w:ascii="Times New Roman" w:cs="Times New Roman" w:eastAsia="Times New Roman" w:hAnsi="Times New Roman"/>
          <w:sz w:val="20"/>
          <w:szCs w:val="20"/>
          <w:color w:val="FF0000"/>
          <w:strike w:val="1"/>
        </w:rPr>
        <w:t>the Collateral</w:t>
      </w:r>
      <w:r>
        <w:rPr>
          <w:rFonts w:ascii="Times New Roman" w:cs="Times New Roman" w:eastAsia="Times New Roman" w:hAnsi="Times New Roman"/>
          <w:sz w:val="20"/>
          <w:szCs w:val="20"/>
          <w:b w:val="1"/>
          <w:bCs w:val="1"/>
          <w:u w:val="single" w:color="auto"/>
          <w:color w:val="0000FF"/>
        </w:rPr>
        <w:t>an</w:t>
      </w:r>
      <w:r>
        <w:rPr>
          <w:rFonts w:ascii="Times New Roman" w:cs="Times New Roman" w:eastAsia="Times New Roman" w:hAnsi="Times New Roman"/>
          <w:sz w:val="20"/>
          <w:szCs w:val="20"/>
          <w:color w:val="auto"/>
        </w:rPr>
        <w:t xml:space="preserve"> Agent or to any election, decision, opinion, acceptance, use of judgment, expression of satisfaction or other exercise of discretion, rights or remedies to be made (or not</w:t>
      </w:r>
    </w:p>
    <w:p>
      <w:pPr>
        <w:sectPr>
          <w:pgSz w:w="11900" w:h="16838" w:orient="portrait"/>
          <w:cols w:equalWidth="0" w:num="1">
            <w:col w:w="11240"/>
          </w:cols>
          <w:pgMar w:left="320" w:top="108" w:right="339" w:bottom="1440" w:gutter="0" w:footer="0" w:header="0"/>
        </w:sectPr>
      </w:pPr>
    </w:p>
    <w:bookmarkStart w:id="351" w:name="page352"/>
    <w:bookmarkEnd w:id="351"/>
    <w:p>
      <w:pPr>
        <w:jc w:val="right"/>
        <w:spacing w:after="0"/>
        <w:rPr>
          <w:sz w:val="20"/>
          <w:szCs w:val="20"/>
          <w:color w:val="auto"/>
        </w:rPr>
      </w:pPr>
      <w:r>
        <w:rPr>
          <w:rFonts w:ascii="Times New Roman" w:cs="Times New Roman" w:eastAsia="Times New Roman" w:hAnsi="Times New Roman"/>
          <w:sz w:val="22"/>
          <w:szCs w:val="22"/>
          <w:color w:val="FF0000"/>
          <w:strike w:val="1"/>
        </w:rPr>
        <w:t>ANNEX</w:t>
      </w:r>
      <w:r>
        <w:rPr>
          <w:rFonts w:ascii="Times New Roman" w:cs="Times New Roman" w:eastAsia="Times New Roman" w:hAnsi="Times New Roman"/>
          <w:sz w:val="22"/>
          <w:szCs w:val="22"/>
          <w:b w:val="1"/>
          <w:bCs w:val="1"/>
          <w:u w:val="single" w:color="auto"/>
          <w:color w:val="0000FF"/>
        </w:rPr>
        <w:t>EXHIBIT</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 xml:space="preserve">to be made) by </w:t>
      </w:r>
      <w:r>
        <w:rPr>
          <w:rFonts w:ascii="Times New Roman" w:cs="Times New Roman" w:eastAsia="Times New Roman" w:hAnsi="Times New Roman"/>
          <w:sz w:val="20"/>
          <w:szCs w:val="20"/>
          <w:color w:val="FF0000"/>
          <w:strike w:val="1"/>
        </w:rPr>
        <w:t>the Collateral</w:t>
      </w:r>
      <w:r>
        <w:rPr>
          <w:rFonts w:ascii="Times New Roman" w:cs="Times New Roman" w:eastAsia="Times New Roman" w:hAnsi="Times New Roman"/>
          <w:sz w:val="20"/>
          <w:szCs w:val="20"/>
          <w:b w:val="1"/>
          <w:bCs w:val="1"/>
          <w:u w:val="single" w:color="auto"/>
          <w:color w:val="0000FF"/>
        </w:rPr>
        <w:t>an</w:t>
      </w:r>
      <w:r>
        <w:rPr>
          <w:rFonts w:ascii="Times New Roman" w:cs="Times New Roman" w:eastAsia="Times New Roman" w:hAnsi="Times New Roman"/>
          <w:sz w:val="20"/>
          <w:szCs w:val="20"/>
          <w:color w:val="auto"/>
        </w:rPr>
        <w:t xml:space="preserve"> Agent, it is understood that in all cases that </w:t>
      </w:r>
      <w:r>
        <w:rPr>
          <w:rFonts w:ascii="Times New Roman" w:cs="Times New Roman" w:eastAsia="Times New Roman" w:hAnsi="Times New Roman"/>
          <w:sz w:val="20"/>
          <w:szCs w:val="20"/>
          <w:color w:val="FF0000"/>
          <w:strike w:val="1"/>
        </w:rPr>
        <w:t>the Collateral</w:t>
      </w:r>
      <w:r>
        <w:rPr>
          <w:rFonts w:ascii="Times New Roman" w:cs="Times New Roman" w:eastAsia="Times New Roman" w:hAnsi="Times New Roman"/>
          <w:sz w:val="20"/>
          <w:szCs w:val="20"/>
          <w:b w:val="1"/>
          <w:bCs w:val="1"/>
          <w:u w:val="single" w:color="auto"/>
          <w:color w:val="0000FF"/>
        </w:rPr>
        <w:t>such</w:t>
      </w:r>
      <w:r>
        <w:rPr>
          <w:rFonts w:ascii="Times New Roman" w:cs="Times New Roman" w:eastAsia="Times New Roman" w:hAnsi="Times New Roman"/>
          <w:sz w:val="20"/>
          <w:szCs w:val="20"/>
          <w:color w:val="auto"/>
        </w:rPr>
        <w:t xml:space="preserve"> Agent shall be fully justified in failing or refusing to take any action under this Agreement or any other Loan Document unless it shall first receive such written instruction, advice or concurrence from </w:t>
      </w:r>
      <w:r>
        <w:rPr>
          <w:rFonts w:ascii="Times New Roman" w:cs="Times New Roman" w:eastAsia="Times New Roman" w:hAnsi="Times New Roman"/>
          <w:sz w:val="20"/>
          <w:szCs w:val="20"/>
          <w:b w:val="1"/>
          <w:bCs w:val="1"/>
          <w:u w:val="single" w:color="auto"/>
          <w:color w:val="0000FF"/>
        </w:rPr>
        <w:t>(i) in the case of</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u w:val="single" w:color="auto"/>
          <w:color w:val="008000"/>
        </w:rPr>
        <w:t>the Collateral Agent</w:t>
      </w:r>
      <w:r>
        <w:rPr>
          <w:rFonts w:ascii="Times New Roman" w:cs="Times New Roman" w:eastAsia="Times New Roman" w:hAnsi="Times New Roman"/>
          <w:sz w:val="20"/>
          <w:szCs w:val="20"/>
          <w:b w:val="1"/>
          <w:bCs w:val="1"/>
          <w:u w:val="single" w:color="auto"/>
          <w:color w:val="0000FF"/>
        </w:rPr>
        <w:t>,</w:t>
      </w:r>
      <w:r>
        <w:rPr>
          <w:rFonts w:ascii="Times New Roman" w:cs="Times New Roman" w:eastAsia="Times New Roman" w:hAnsi="Times New Roman"/>
          <w:sz w:val="20"/>
          <w:szCs w:val="20"/>
          <w:color w:val="auto"/>
        </w:rPr>
        <w:t xml:space="preserve"> the Administrative Agent</w:t>
      </w:r>
      <w:r>
        <w:rPr>
          <w:rFonts w:ascii="Times New Roman" w:cs="Times New Roman" w:eastAsia="Times New Roman" w:hAnsi="Times New Roman"/>
          <w:sz w:val="20"/>
          <w:szCs w:val="20"/>
          <w:b w:val="1"/>
          <w:bCs w:val="1"/>
          <w:u w:val="single" w:color="auto"/>
          <w:color w:val="0000FF"/>
        </w:rPr>
        <w:t>, and (ii) in the case of</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u w:val="single" w:color="auto"/>
          <w:color w:val="008000"/>
        </w:rPr>
        <w:t>the Administrative Agent,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u w:val="single" w:color="auto"/>
          <w:color w:val="0000FF"/>
        </w:rPr>
        <w:t>the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u w:val="single" w:color="auto"/>
          <w:color w:val="0000FF"/>
        </w:rPr>
        <w:t>Required Lenders</w:t>
      </w:r>
      <w:r>
        <w:rPr>
          <w:rFonts w:ascii="Times New Roman" w:cs="Times New Roman" w:eastAsia="Times New Roman" w:hAnsi="Times New Roman"/>
          <w:sz w:val="20"/>
          <w:szCs w:val="20"/>
          <w:color w:val="000000"/>
        </w:rPr>
        <w:t>. Notwithstanding anything else to the contrary herein, each Agent may refrain from acting in accordance with any</w:t>
      </w:r>
      <w:r>
        <w:rPr>
          <w:rFonts w:ascii="Times New Roman" w:cs="Times New Roman" w:eastAsia="Times New Roman" w:hAnsi="Times New Roman"/>
          <w:sz w:val="20"/>
          <w:szCs w:val="20"/>
          <w:b w:val="1"/>
          <w:bCs w:val="1"/>
          <w:color w:val="0000FF"/>
        </w:rPr>
        <w:t xml:space="preserve"> </w:t>
      </w:r>
      <w:r>
        <w:rPr>
          <w:rFonts w:ascii="Times New Roman" w:cs="Times New Roman" w:eastAsia="Times New Roman" w:hAnsi="Times New Roman"/>
          <w:sz w:val="20"/>
          <w:szCs w:val="20"/>
          <w:color w:val="000000"/>
        </w:rPr>
        <w:t>instructions or requests given by the Lenders (or, in the case of the Collateral Agent, given by the Administrative Agent at the direction of the Lenders) unless it shall first be indemnified to its satisfaction by the Lenders against any and all liability, cost and expense that may be incurred by it by reason of taking or continuing to take any such action in compliance with the instruction or request. The Collateral Agent shall in all cases be fully protected in acting, or in refraining from acting, under this Agreement and the other Loan Documents in accordance with a request of the Administrative Agent, and such request and any action taken or failure to act pursuant thereto shall be binding upon the Administrative Agent or all the Lenders and all future Lenders, as the case may be.</w:t>
      </w:r>
    </w:p>
    <w:p>
      <w:pPr>
        <w:spacing w:after="0" w:line="177"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0"/>
          <w:szCs w:val="20"/>
          <w:color w:val="auto"/>
        </w:rPr>
        <w:t xml:space="preserve">Section 8.05 Notice of Default. Neither Agent shall be deemed to have knowledge or notice of the occurrence of any Default or Event of Default unless such Agent has received written notice from a Lender, Holdings or the Borrower referring to this Agreement, describing such Default or Event of Default and stating that such notice is a “notice of default.” In the event that the Administrative Agent receives such a notice, the Administrative Agent shall give notice thereof to the Lenders. The Administrative Agent shall take such action with respect to such Default or Event of Default as shall be reasonably directed by the Required Lenders (or, if so specified by this Agreement, all or other Lenders);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unless and until the Administrative Agent shall have received such directions, the Administrative Agent may (but shall not be obligated to) take such action, or refrain from taking such action, with respect to such Default or Event of Default as it shall deem advisable in the best interests of the Lenders. The Collateral Agent shall take such action with respect to such Default or Event of Default only as shall be directed by the Administrative Agent.</w:t>
      </w:r>
    </w:p>
    <w:p>
      <w:pPr>
        <w:spacing w:after="0" w:line="179"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0"/>
          <w:szCs w:val="20"/>
          <w:color w:val="auto"/>
        </w:rPr>
        <w:t>Section 8.06 Non-Reliance on Agents and Other Lenders. Each Lender and Issuing Bank expressly acknowledges that neither the Agents nor any of their respective officers, directors, employees, agents, attorneys-in-fact or affiliates have made any representations or warranties to it and that no act by any Agent hereafter taken, including any review of the affairs of a Loan Party or any affiliate of a Loan Party, shall be deemed to constitute any representation or warranty by any Agent to any Lender. Each Lender and Issuing Bank represents to the Agents that it has, independently and without reliance upon any Agent or any other Lender, and based on such documents and information as it has deemed appropriate, made its own appraisal of, and investigation into the business, operations, property, financial and other condition and creditworthiness of, the Loan Parties and their affiliates and made its own decision to make its Loans hereunder and enter into this Agreement. Each Lender also represents that it will, independently and without reliance upon any Agent or any other Lender, and based on such documents and information as it shall deem appropriate at the time, continue to make its own appraisals of, and investigation into, the business, prospects, operations, property, financial and other condition and creditworthiness of the Borrower, the value of and title to any Collateral, and all applicable laws relating to the transactions contemplated hereby, and made its own decisions in entering into this Agreement and extending credit to the Borrower, taking or not taking action under this Agreement and the other Loan Documents, and to make such investigation as it deems necessary to inform itself as to the business, operations, property, financial and other condition and creditworthiness of the Loan Parties and their affiliates. Except for notices, reports and other documents expressly required to be furnished to the Lenders by the Administrative Agent hereunder, the Administrative Agent shall not have any duty or responsibility to provide any Lender with any credit or other information concerning the business, operations, property, condition (financial or otherwise), prospects or creditworthiness of any Loan Party</w:t>
      </w:r>
    </w:p>
    <w:p>
      <w:pPr>
        <w:sectPr>
          <w:pgSz w:w="11900" w:h="16838" w:orient="portrait"/>
          <w:cols w:equalWidth="0" w:num="1">
            <w:col w:w="11240"/>
          </w:cols>
          <w:pgMar w:left="320" w:top="108" w:right="339" w:bottom="1440" w:gutter="0" w:footer="0" w:header="0"/>
        </w:sectPr>
      </w:pPr>
    </w:p>
    <w:bookmarkStart w:id="352" w:name="page353"/>
    <w:bookmarkEnd w:id="352"/>
    <w:p>
      <w:pPr>
        <w:jc w:val="right"/>
        <w:spacing w:after="0"/>
        <w:rPr>
          <w:sz w:val="20"/>
          <w:szCs w:val="20"/>
          <w:color w:val="auto"/>
        </w:rPr>
      </w:pPr>
      <w:r>
        <w:rPr>
          <w:rFonts w:ascii="Times New Roman" w:cs="Times New Roman" w:eastAsia="Times New Roman" w:hAnsi="Times New Roman"/>
          <w:sz w:val="22"/>
          <w:szCs w:val="22"/>
          <w:color w:val="FF0000"/>
          <w:strike w:val="1"/>
        </w:rPr>
        <w:t>ANNEX</w:t>
      </w:r>
      <w:r>
        <w:rPr>
          <w:rFonts w:ascii="Times New Roman" w:cs="Times New Roman" w:eastAsia="Times New Roman" w:hAnsi="Times New Roman"/>
          <w:sz w:val="22"/>
          <w:szCs w:val="22"/>
          <w:b w:val="1"/>
          <w:bCs w:val="1"/>
          <w:u w:val="single" w:color="auto"/>
          <w:color w:val="0000FF"/>
        </w:rPr>
        <w:t>EXHIBIT</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or any affiliate of a Loan Party that may come into the possession of the Administrative Agent or any of its officers, directors, employees, agents, attorneys-in-fact or affiliates.</w:t>
      </w:r>
    </w:p>
    <w:p>
      <w:pPr>
        <w:spacing w:after="0" w:line="133"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0"/>
          <w:szCs w:val="20"/>
          <w:color w:val="auto"/>
        </w:rPr>
        <w:t xml:space="preserve">Section 8.07 Indemnification. The Lenders agree to indemnify each Agent and the Revolving Facility Lenders agree to indemnify each Issuing Bank and Swingline Lender, in each case, in its capacity as such (to the extent not reimbursed by Holdings or the Borrower and without limiting the obligation of Holdings or the Borrower to do so), in the amount of its pro rata share (based on its aggregate Revolving Facility Credit Exposure and, in the case of the indemnification of each Agent, outstanding Term Loans and unused Commitments hereunder;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aggregate principal amount of Swingline Loans owing to the Swingline Lender and of L/C Disbursements owing to any Issuing Bank shall be considered to be owed to the Revolving Facility Lenders ratably in accordance with their respective Revolving Facility Credit Exposure) (determined at the time such indemnity is sought), from and against any and all liabilities, obligations, losses, damages, penalties, actions, judgments, suits, costs, expenses or disbursements of any kind whatsoever that may at any time (whether before or after the payment of the Loans) be imposed on, incurred by or asserted against such Agent or such Issuing Bank or Swingline Lender in any way relating to or arising out of the Commitments, this Agreement, any of the other Loan Documents or any documents contemplated by or referred to herein or therein or the transactions contemplated hereby or thereby or any action taken or omitted by such Agent, Issuing Bank or Swingline Lender under or in connection with any of the foregoing;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no Lender shall be liable for the payment of any portion of such liabilities, obligations, losses, damages, penalties, actions, judgments, suits, costs, expenses or disbursements that are found by a final and nonappealable decision of a court of competent jurisdiction to have resulted from such Agent’s, Issuing Bank’s or Swingline Lender’s gross negligence or willful misconduct. The failure of any Lender to reimburse any Agent, Issuing Bank or Swingline Lender, as the case may be, promptly upon demand for its ratable share of any amount required to be paid by the Lenders to such Agent, Issuing Bank or Swingline Lender, as the case may be, as provided herein shall not relieve any other Lender of its obligation hereunder to reimburse such Agent, Issuing Bank or Swingline Lender, as the case may be, for its ratable share of such amount, but no Lender shall be responsible for the failure of any other Lender to reimburse such Agent, Issuing Bank or Swingline Lender, as the case may be, for such other Lender’s ratable share of such amount. The agreements in this Section shall survive the resignation or removal of an Agent and the payment of the Loans and all other amounts payable hereunder.</w:t>
      </w:r>
    </w:p>
    <w:p>
      <w:pPr>
        <w:spacing w:after="0" w:line="173"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Section 8.08 Agent in Its Individual Capacity. The Administrative Agent and its affiliates may make loans to, accept deposits from, and generally engage in any kind of business with any Loan Party as though the Administrative Agent were not an Agent. With respect to its Loans made or renewed by it and with respect to any Letter of Credit issued, or Letter of Credit or Swingline Loan participated in, by it, the Administrative Agent shall have the same rights and powers under this Agreement and the other Loan Documents as any Lender and may exercise the same as though it were not an Agent, and the terms “Lender” and “Lenders” shall include the Administrative Agent in its individual capacity.</w:t>
      </w:r>
    </w:p>
    <w:p>
      <w:pPr>
        <w:spacing w:after="0" w:line="16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Section 8.09 Successor Agent. (a) The Administrative Agent may resign as Administrative Agent upon 10 days’ notice to the Lenders and the Borrower. If the Administrative Agent shall resign as Administrative Agent under this Agreement and the other Loan Documents, then the Borrower shall have the right, subject to the reasonable consent of the Required Lenders (so long as no Event of Default under Section 7.01(b), (c), (h) or (i) shall have occurred and be continuing, in which case the Required Lenders shall have the right), to appoint a successor which shall be a bank with an office in the United States, or an Affiliate of any such bank with an office in the United States, whereupon such successor agent shall succeed to the rights, powers and duties of the Administrative Agent, and the term</w:t>
      </w:r>
    </w:p>
    <w:p>
      <w:pPr>
        <w:sectPr>
          <w:pgSz w:w="11900" w:h="16838" w:orient="portrait"/>
          <w:cols w:equalWidth="0" w:num="1">
            <w:col w:w="11240"/>
          </w:cols>
          <w:pgMar w:left="320" w:top="108" w:right="339" w:bottom="1440" w:gutter="0" w:footer="0" w:header="0"/>
        </w:sectPr>
      </w:pPr>
    </w:p>
    <w:bookmarkStart w:id="353" w:name="page354"/>
    <w:bookmarkEnd w:id="353"/>
    <w:p>
      <w:pPr>
        <w:jc w:val="right"/>
        <w:spacing w:after="0"/>
        <w:rPr>
          <w:sz w:val="20"/>
          <w:szCs w:val="20"/>
          <w:color w:val="auto"/>
        </w:rPr>
      </w:pPr>
      <w:r>
        <w:rPr>
          <w:rFonts w:ascii="Times New Roman" w:cs="Times New Roman" w:eastAsia="Times New Roman" w:hAnsi="Times New Roman"/>
          <w:sz w:val="22"/>
          <w:szCs w:val="22"/>
          <w:color w:val="FF0000"/>
          <w:strike w:val="1"/>
        </w:rPr>
        <w:t>ANNEX</w:t>
      </w:r>
      <w:r>
        <w:rPr>
          <w:rFonts w:ascii="Times New Roman" w:cs="Times New Roman" w:eastAsia="Times New Roman" w:hAnsi="Times New Roman"/>
          <w:sz w:val="22"/>
          <w:szCs w:val="22"/>
          <w:b w:val="1"/>
          <w:bCs w:val="1"/>
          <w:u w:val="single" w:color="auto"/>
          <w:color w:val="0000FF"/>
        </w:rPr>
        <w:t>EXHIBIT</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“Administrative Agent” shall mean such successor agent effective upon such appointment and approval, and the former Administrative Agent’s rights, powers and duties as Administrative Agent shall be terminated, without any other or further act or deed on the part of such former Administrative Agent or any of the parties to this Agreement or any holders of the Loans. If no successor agent has accepted appointment as Administrative Agent by the date that is 10 days following a retiring Administrative Agent’s notice of resignation, the retiring Administrative Agent’s resignation shall nevertheless thereupon become effective, and the Lenders shall assume and perform all of the duties of the Administrative Agent hereunder until such time, if any, as the Borrower (or the Required Lenders) appoint a successor agent as provided for above. After any retiring Administrative Agent’s resignation as Administrative Agent, the provisions of this Section 8.09 shall inure to its benefit as to any actions taken or omitted to be taken by it while it was Administrative Agent under this Agreement and the other</w:t>
      </w:r>
    </w:p>
    <w:p>
      <w:pPr>
        <w:spacing w:after="0" w:line="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 xml:space="preserve">Loan Documents. </w:t>
      </w:r>
      <w:r>
        <w:rPr>
          <w:rFonts w:ascii="Times New Roman" w:cs="Times New Roman" w:eastAsia="Times New Roman" w:hAnsi="Times New Roman"/>
          <w:sz w:val="20"/>
          <w:szCs w:val="20"/>
          <w:b w:val="1"/>
          <w:bCs w:val="1"/>
          <w:color w:val="0000FF"/>
        </w:rPr>
        <w:t>Any corporation or association into which an Agent may be converted or merged, or with which it may be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u w:val="single" w:color="auto"/>
          <w:color w:val="0000FF"/>
        </w:rPr>
        <w:t>consolidated, or to which it may sell or transfer all or substantially all of its corporate trust business and assets as a whole or substantially as a whole, or any corporation or association resulting from any such conversion, sale, merger, consolidation or transfer to which such Agent is a party, will become the successor Administrative Agent or Collateral Agent, as applicable, under this Agreement and the other Loan Documents and will have and accede to the rights, powers, duties, benefits, privileges, protections, indemnities and immunities of its predecessor, without the execution or filing of any instrument or paper or the performance of any further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923925</wp:posOffset>
            </wp:positionH>
            <wp:positionV relativeFrom="paragraph">
              <wp:posOffset>-930910</wp:posOffset>
            </wp:positionV>
            <wp:extent cx="620966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27">
                      <a:extLst>
                        <a:ext uri="{28A0092B-C50C-407E-A947-70E740481C1C}"/>
                      </a:extLst>
                    </a:blip>
                    <a:srcRect/>
                    <a:stretch>
                      <a:fillRect/>
                    </a:stretch>
                  </pic:blipFill>
                  <pic:spPr bwMode="auto">
                    <a:xfrm>
                      <a:off x="0" y="0"/>
                      <a:ext cx="6209665" cy="8890"/>
                    </a:xfrm>
                    <a:prstGeom prst="rect">
                      <a:avLst/>
                    </a:prstGeom>
                    <a:noFill/>
                  </pic:spPr>
                </pic:pic>
              </a:graphicData>
            </a:graphic>
          </wp:anchor>
        </w:drawing>
      </w:r>
    </w:p>
    <w:p>
      <w:pPr>
        <w:spacing w:after="0" w:line="164" w:lineRule="exact"/>
        <w:rPr>
          <w:sz w:val="20"/>
          <w:szCs w:val="20"/>
          <w:color w:val="auto"/>
        </w:rPr>
      </w:pPr>
    </w:p>
    <w:p>
      <w:pPr>
        <w:jc w:val="both"/>
        <w:ind w:left="120" w:firstLine="1292"/>
        <w:spacing w:after="0" w:line="254" w:lineRule="auto"/>
        <w:tabs>
          <w:tab w:leader="none" w:pos="1910" w:val="left"/>
        </w:tabs>
        <w:numPr>
          <w:ilvl w:val="0"/>
          <w:numId w:val="2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Collateral Agent may resign as Collateral Agent under this Agreement pursuant to and in accordance with the terms of Section 4.06 of the Intercreditor Agreement. After any retiring Collateral Agent’s resignation as Collateral Agent, the provisions of this Section 8.09 shall inure to its benefit as to any actions taken or omitted to be taken by it while it was Collateral Agent under this Agreement and the other Loan Documents.</w:t>
      </w:r>
    </w:p>
    <w:p>
      <w:pPr>
        <w:spacing w:after="0" w:line="174"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Section 8.10 Arrangers, Syndication Agents, Documentation Agents and Co-Manager. Notwithstanding any other provision of this Agreement or any provision of any other Loan Document, each of the persons named on the cover page hereof as Joint Bookrunner, Joint Lead Arranger, Syndication Agents, Documentation Agents or Co-Manager is named as such for recognition purposes only, and in its capacity as such shall have no rights, duties, responsibilities or liabilities with respect to this Agreement or any other Loan Document, except that each such person and its Affiliates shall be entitled to the rights expressly stated to be applicable to them in Sections 9.05 and 9.17 (subject to the applicable obligations and limitations as set forth therein).</w:t>
      </w:r>
    </w:p>
    <w:p>
      <w:pPr>
        <w:spacing w:after="0" w:line="16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Section 8.11 Security Documents and Collateral Agent . The Lenders and the other Secured Parties authorize the Administrative Agent to authorize the Collateral Agent to release any Collateral or Guarantors in accordance with Section 9.18 or if approved, authorized or ratified in accordance with Section 9.08.</w:t>
      </w:r>
    </w:p>
    <w:p>
      <w:pPr>
        <w:spacing w:after="0" w:line="154"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0"/>
          <w:szCs w:val="20"/>
          <w:color w:val="auto"/>
        </w:rPr>
        <w:t>The Lenders and the other Secured Parties hereby irrevocably authorize and instruct the Collateral Agent to, without any further consent of any Lender or any other Secured Party, enter into (or acknowledge and consent to) or amend, renew, extend, supplement, restate, replace, waive or otherwise modify the First Lien/First Lien Intercreditor Agreement, any First Lien/Second Lien Intercreditor Agreement, any other Permitted Junior Intercreditor Agreement, any other Permitted Pari Passu Intercreditor Agreement or any other intercreditor agreement with the collateral agent or other representatives of the holders of Indebtedness that is to be secured by a Lien on the Collateral that is not prohibited (including with respect to priority) under this Agreement and to subject the Liens on the Collateral securing the Obligations to the provisions thereof (any of the foregoing, an “</w:t>
      </w:r>
      <w:r>
        <w:rPr>
          <w:rFonts w:ascii="Times New Roman" w:cs="Times New Roman" w:eastAsia="Times New Roman" w:hAnsi="Times New Roman"/>
          <w:sz w:val="20"/>
          <w:szCs w:val="20"/>
          <w:u w:val="single" w:color="auto"/>
          <w:color w:val="auto"/>
        </w:rPr>
        <w:t>Intercreditor Agreement</w:t>
      </w:r>
      <w:r>
        <w:rPr>
          <w:rFonts w:ascii="Times New Roman" w:cs="Times New Roman" w:eastAsia="Times New Roman" w:hAnsi="Times New Roman"/>
          <w:sz w:val="20"/>
          <w:szCs w:val="20"/>
          <w:color w:val="auto"/>
        </w:rPr>
        <w:t>”). The Lenders and the other Secured Parties irrevocably agree that (x) the Collateral Agent</w:t>
      </w:r>
    </w:p>
    <w:p>
      <w:pPr>
        <w:sectPr>
          <w:pgSz w:w="11900" w:h="16838" w:orient="portrait"/>
          <w:cols w:equalWidth="0" w:num="1">
            <w:col w:w="11240"/>
          </w:cols>
          <w:pgMar w:left="320" w:top="108" w:right="339" w:bottom="1440" w:gutter="0" w:footer="0" w:header="0"/>
        </w:sectPr>
      </w:pPr>
    </w:p>
    <w:bookmarkStart w:id="354" w:name="page355"/>
    <w:bookmarkEnd w:id="354"/>
    <w:p>
      <w:pPr>
        <w:jc w:val="right"/>
        <w:spacing w:after="0"/>
        <w:rPr>
          <w:sz w:val="20"/>
          <w:szCs w:val="20"/>
          <w:color w:val="auto"/>
        </w:rPr>
      </w:pPr>
      <w:r>
        <w:rPr>
          <w:rFonts w:ascii="Times New Roman" w:cs="Times New Roman" w:eastAsia="Times New Roman" w:hAnsi="Times New Roman"/>
          <w:sz w:val="22"/>
          <w:szCs w:val="22"/>
          <w:color w:val="FF0000"/>
          <w:strike w:val="1"/>
        </w:rPr>
        <w:t>ANNEX</w:t>
      </w:r>
      <w:r>
        <w:rPr>
          <w:rFonts w:ascii="Times New Roman" w:cs="Times New Roman" w:eastAsia="Times New Roman" w:hAnsi="Times New Roman"/>
          <w:sz w:val="22"/>
          <w:szCs w:val="22"/>
          <w:b w:val="1"/>
          <w:bCs w:val="1"/>
          <w:u w:val="single" w:color="auto"/>
          <w:color w:val="0000FF"/>
        </w:rPr>
        <w:t>EXHIBIT</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may rely exclusively on a certificate of a Responsible Officer of the Borrower as to whether any such other Liens are not prohibited and</w:t>
      </w:r>
    </w:p>
    <w:p>
      <w:pPr>
        <w:spacing w:after="0" w:line="28" w:lineRule="exact"/>
        <w:rPr>
          <w:sz w:val="20"/>
          <w:szCs w:val="20"/>
          <w:color w:val="auto"/>
        </w:rPr>
      </w:pPr>
    </w:p>
    <w:p>
      <w:pPr>
        <w:jc w:val="both"/>
        <w:ind w:firstLine="8"/>
        <w:spacing w:after="0" w:line="248" w:lineRule="auto"/>
        <w:tabs>
          <w:tab w:leader="none" w:pos="289" w:val="left"/>
        </w:tabs>
        <w:numPr>
          <w:ilvl w:val="0"/>
          <w:numId w:val="2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Intercreditor Agreement entered into by the Collateral Agent shall be binding on the Secured Parties, and each Lender and the other Secured Parties hereby agrees that it will take no actions contrary to the provisions of, if entered into and if applicable, any Intercreditor Agreement. The foregoing provisions are intended as an inducement to any provider of any Indebtedness not prohibited by Section 6.01 hereof to extend credit to the Loan Parties and such persons are intended third-party beneficiaries of such provisions. Furthermore, the Lenders and the other Secured Parties hereby authorize the Administrative Agent and the Collateral Agent to release any Lien on any property granted to or held by the Administrative Agent or the Collateral Agent under any Loan Document (i) to the holder of any Lien on such property that is permitted by clauses (c), (i), (j), (aa) or (mm) of Section 6.02 or Section 6.02(a) (if the Liens thereunder are of a type that is contemplated by any of the foregoing clauses) in each case to the extent the contract or agreement pursuant to which such Lien is granted prohibits any other Liens on such property or (ii) that is or becomes Excluded Property; and the Administrative Agent and the Collateral Agent shall do so upon request of the Borrower;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prior to any such request, the Borrower shall have in each case delivered to the Administrative Agent and the Collateral Agent a certificate of a Responsible Officer of the Borrower certifying (x) that such Lien is permitted under this Agreement, (y) in the case of a request pursuant to clause (i) of this sentence, that the contract or agreement pursuant to which such Lien is granted prohibits any other Lien on such property and (z) in the case of a request pursuant to clause (ii) of this sentence, that (A) such property is or has become Excluded Property and (B) if such property has become Excluded Property as a result of a contractual restriction, such restriction does not violate Section 6.09(c).</w:t>
      </w:r>
    </w:p>
    <w:p>
      <w:pPr>
        <w:spacing w:after="0" w:line="173"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19"/>
          <w:szCs w:val="19"/>
          <w:color w:val="auto"/>
        </w:rPr>
        <w:t>Section 8.12 Right to Realize on Collateral and Enforce Guarantees. In case of the pendency of any receivership, insolvency, liquidation, bankruptcy, reorganization, arrangement, adjustment, composition or other judicial proceeding relative to any Loan Party, (i) the Administrative Agent (irrespective of whether the principal of any Obligation shall then be due and payable as herein expressed or by declaration or otherwise and irrespective of whether the Administrative Agent shall have made any demand on the Borrower) or the Collateral Agent (acting upon the written direction of the Administrative Agent) shall be entitled and empowered, by intervention in such proceeding or otherwise (A) to file and prove a claim for the whole amount of the principal and interest owing and unpaid in respect of any or all of the Obligations that are owing and unpaid and to file such other documents as may be necessary or advisable in order to have the claims of the Lenders, the Issuing Banks and the Administrative Agent and any Subagents allowed in such judicial proceeding, and (B) to collect and receive any monies or other property payable or deliverable on any such claims and to distribute the same, and (ii) any custodian, receiver, assignee, trustee, liquidator, sequestrator or other similar official in any such judicial proceeding is hereby authorized by each Lender and Issuing Bank to make such payments to the Administrative Agent or the Collateral Agent and, if the Administrative Agent shall consent to the making of such payments directly to the Lenders and the Issuing Banks, to pay to the Administrative Agent any amount due for the reasonable compensation, expenses, disbursements and advances of the Administrative Agent and its agents and counsel, and any other amounts due the Administrative Agent under the Loan Documents and to pay to the Collateral Agent any amount due for the reasonable compensation, expenses, disbursements and advances of the Collateral Agent and its agents and counsel, and any other amounts due the Collateral Agent under the Loan Documents. Nothing contained herein shall be deemed to authorize the Administrative Agent or the Collateral Agent to authorize or consent to or accept or adopt on behalf of any Lender or Issuing Bank any plan of reorganization, arrangement, adjustment or composition affecting the Obligations or the rights of any Lender or Issuing Bank or to authorize the Administrative Agent or the Collateral Agent to vote in respect of the claim of any Lender or Issuing Bank in any such proceeding.</w:t>
      </w:r>
    </w:p>
    <w:p>
      <w:pPr>
        <w:sectPr>
          <w:pgSz w:w="11900" w:h="16838" w:orient="portrait"/>
          <w:cols w:equalWidth="0" w:num="1">
            <w:col w:w="11240"/>
          </w:cols>
          <w:pgMar w:left="320" w:top="108" w:right="339" w:bottom="1440" w:gutter="0" w:footer="0" w:header="0"/>
        </w:sectPr>
      </w:pPr>
    </w:p>
    <w:bookmarkStart w:id="355" w:name="page356"/>
    <w:bookmarkEnd w:id="355"/>
    <w:p>
      <w:pPr>
        <w:ind w:left="9360"/>
        <w:spacing w:after="0"/>
        <w:rPr>
          <w:sz w:val="20"/>
          <w:szCs w:val="20"/>
          <w:color w:val="auto"/>
        </w:rPr>
      </w:pPr>
      <w:r>
        <w:rPr>
          <w:rFonts w:ascii="Times New Roman" w:cs="Times New Roman" w:eastAsia="Times New Roman" w:hAnsi="Times New Roman"/>
          <w:sz w:val="21"/>
          <w:szCs w:val="21"/>
          <w:color w:val="FF0000"/>
          <w:strike w:val="1"/>
        </w:rPr>
        <w:t>ANNEX</w:t>
      </w:r>
      <w:r>
        <w:rPr>
          <w:rFonts w:ascii="Times New Roman" w:cs="Times New Roman" w:eastAsia="Times New Roman" w:hAnsi="Times New Roman"/>
          <w:sz w:val="21"/>
          <w:szCs w:val="21"/>
          <w:b w:val="1"/>
          <w:bCs w:val="1"/>
          <w:u w:val="single" w:color="auto"/>
          <w:color w:val="0000FF"/>
        </w:rPr>
        <w:t>EXHIBIT</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000000"/>
        </w:rPr>
        <w: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19"/>
          <w:szCs w:val="19"/>
          <w:color w:val="auto"/>
        </w:rPr>
        <w:t xml:space="preserve">Anything contained in any of the Loan Documents to the contrary notwithstanding, the Borrower, the Administrative Agent, the Collateral Agent and each Secured Party hereby agree that (a) no Secured Party shall have any right individually to realize upon any of the Collateral or to enforce the Guarantee, it being understood and agreed that all powers, rights and remedies hereunder may be exercised solely by the Administrative Agent or the Collateral Agent, as applicable, on behalf of the Secured Parties in accordance with the terms hereof and all powers, rights and remedies under the Security Documents may be exercised solely by the Collateral Agent for the benefit of the Secured Parties in accordance with the terms thereof, and (b) in the event of a foreclosure by the Collateral Agent on any of the Collateral pursuant to a public or private sale or other disposition, the Collateral Agent or any Lender may be the purchaser or licensor of any or all of such Collateral at any such sale or other disposition and the Collateral Agent </w:t>
      </w:r>
      <w:r>
        <w:rPr>
          <w:rFonts w:ascii="Times New Roman" w:cs="Times New Roman" w:eastAsia="Times New Roman" w:hAnsi="Times New Roman"/>
          <w:sz w:val="19"/>
          <w:szCs w:val="19"/>
          <w:b w:val="1"/>
          <w:bCs w:val="1"/>
          <w:color w:val="0000FF"/>
        </w:rPr>
        <w:t>(or its designee)</w:t>
      </w:r>
      <w:r>
        <w:rPr>
          <w:rFonts w:ascii="Times New Roman" w:cs="Times New Roman" w:eastAsia="Times New Roman" w:hAnsi="Times New Roman"/>
          <w:sz w:val="19"/>
          <w:szCs w:val="19"/>
          <w:color w:val="auto"/>
        </w:rPr>
        <w:t>, as agent for and representative of the Secured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3882390</wp:posOffset>
            </wp:positionH>
            <wp:positionV relativeFrom="paragraph">
              <wp:posOffset>-26670</wp:posOffset>
            </wp:positionV>
            <wp:extent cx="87566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28">
                      <a:extLst>
                        <a:ext uri="{28A0092B-C50C-407E-A947-70E740481C1C}"/>
                      </a:extLst>
                    </a:blip>
                    <a:srcRect/>
                    <a:stretch>
                      <a:fillRect/>
                    </a:stretch>
                  </pic:blipFill>
                  <pic:spPr bwMode="auto">
                    <a:xfrm>
                      <a:off x="0" y="0"/>
                      <a:ext cx="875665" cy="8255"/>
                    </a:xfrm>
                    <a:prstGeom prst="rect">
                      <a:avLst/>
                    </a:prstGeom>
                    <a:noFill/>
                  </pic:spPr>
                </pic:pic>
              </a:graphicData>
            </a:graphic>
          </wp:anchor>
        </w:drawing>
      </w:r>
    </w:p>
    <w:p>
      <w:pPr>
        <w:jc w:val="both"/>
        <w:spacing w:after="0" w:line="248" w:lineRule="auto"/>
        <w:rPr>
          <w:sz w:val="20"/>
          <w:szCs w:val="20"/>
          <w:color w:val="auto"/>
        </w:rPr>
      </w:pPr>
      <w:r>
        <w:rPr>
          <w:rFonts w:ascii="Times New Roman" w:cs="Times New Roman" w:eastAsia="Times New Roman" w:hAnsi="Times New Roman"/>
          <w:sz w:val="20"/>
          <w:szCs w:val="20"/>
          <w:color w:val="auto"/>
        </w:rPr>
        <w:t>Parties (but not any Lender or Lenders in its or their respective individual capacities unless the Required Lenders shall otherwise agree in writing) shall be entitled, for the purpose of bidding and making settlement or payment of the purchase price for all or any portion of the Collateral sold at any such public sale, to use and apply any of the Obligations as a credit on account of the purchase price for any collateral</w:t>
      </w:r>
    </w:p>
    <w:p>
      <w:pPr>
        <w:spacing w:after="0" w:line="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payable by the Collateral Agent at such sale or other Disposition </w:t>
      </w:r>
      <w:r>
        <w:rPr>
          <w:rFonts w:ascii="Times New Roman" w:cs="Times New Roman" w:eastAsia="Times New Roman" w:hAnsi="Times New Roman"/>
          <w:sz w:val="20"/>
          <w:szCs w:val="20"/>
          <w:b w:val="1"/>
          <w:bCs w:val="1"/>
          <w:u w:val="single" w:color="auto"/>
          <w:color w:val="0000FF"/>
        </w:rPr>
        <w:t>(acting at the direction of the Required Lenders through one or more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u w:val="single" w:color="auto"/>
          <w:color w:val="0000FF"/>
        </w:rPr>
        <w:t>acquisition vehicles)</w:t>
      </w:r>
      <w:r>
        <w:rPr>
          <w:rFonts w:ascii="Times New Roman" w:cs="Times New Roman" w:eastAsia="Times New Roman" w:hAnsi="Times New Roman"/>
          <w:sz w:val="20"/>
          <w:szCs w:val="20"/>
          <w:color w:val="000000"/>
        </w:rPr>
        <w:t>.</w:t>
      </w:r>
    </w:p>
    <w:p>
      <w:pPr>
        <w:spacing w:after="0" w:line="161"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0"/>
          <w:szCs w:val="20"/>
          <w:color w:val="auto"/>
        </w:rPr>
        <w:t>Section 8.13 Withholding Tax. To the extent required by any applicable Requirement of Law, the Administrative Agent may withhold from any payment to any Lender an amount equivalent to any applicable withholding Tax. If the IRS or any authority of the United States or other jurisdiction asserts a claim that the Administrative Agent did not properly withhold Tax from amounts paid to or for the account of any Lender for any reason (including because the appropriate form was not delivered, was not properly executed, or because such Lender failed to notify the Administrative Agent of a change in circumstances that rendered the exemption from, or reduction of, withholding Tax ineffective), such Lender shall indemnify the Administrative Agent (to the extent that the Administrative Agent has not already been reimbursed by any applicable Loan Party and without limiting the obligation of any applicable Loan Party to do so) fully for all amounts paid, directly or indirectly, by the Administrative Agent as Tax or otherwise, including penalties, fines, additions to Tax and interest, together with all expenses incurred, including legal expenses, allocated staff costs and any out of pocket expenses. Each Lender hereby authorizes the Administrative Agent to set off and apply any and all amounts at any time owing to such Lender under this Agreement or any other Loan Document against any amount due to the Administrative Agent under this Section 8.13.</w:t>
      </w:r>
    </w:p>
    <w:p>
      <w:pPr>
        <w:spacing w:after="0" w:line="182" w:lineRule="exact"/>
        <w:rPr>
          <w:sz w:val="20"/>
          <w:szCs w:val="20"/>
          <w:color w:val="auto"/>
        </w:rPr>
      </w:pPr>
    </w:p>
    <w:p>
      <w:pPr>
        <w:ind w:left="1300"/>
        <w:spacing w:after="0"/>
        <w:tabs>
          <w:tab w:leader="none" w:pos="2500" w:val="left"/>
        </w:tabs>
        <w:rPr>
          <w:sz w:val="20"/>
          <w:szCs w:val="20"/>
          <w:color w:val="auto"/>
        </w:rPr>
      </w:pPr>
      <w:r>
        <w:rPr>
          <w:rFonts w:ascii="Times New Roman" w:cs="Times New Roman" w:eastAsia="Times New Roman" w:hAnsi="Times New Roman"/>
          <w:sz w:val="20"/>
          <w:szCs w:val="20"/>
          <w:b w:val="1"/>
          <w:bCs w:val="1"/>
          <w:color w:val="0000FF"/>
        </w:rPr>
        <w:t>Section 8.14</w:t>
      </w:r>
      <w:r>
        <w:rPr>
          <w:sz w:val="20"/>
          <w:szCs w:val="20"/>
          <w:color w:val="auto"/>
        </w:rPr>
        <w:tab/>
      </w:r>
      <w:r>
        <w:rPr>
          <w:rFonts w:ascii="Times New Roman" w:cs="Times New Roman" w:eastAsia="Times New Roman" w:hAnsi="Times New Roman"/>
          <w:sz w:val="19"/>
          <w:szCs w:val="19"/>
          <w:b w:val="1"/>
          <w:bCs w:val="1"/>
          <w:color w:val="0000FF"/>
        </w:rPr>
        <w:t>Erroneous Payments</w:t>
      </w:r>
      <w:r>
        <w:rPr>
          <w:rFonts w:ascii="Times New Roman" w:cs="Times New Roman" w:eastAsia="Times New Roman" w:hAnsi="Times New Roman"/>
          <w:sz w:val="19"/>
          <w:szCs w:val="19"/>
          <w:b w:val="1"/>
          <w:bCs w:val="1"/>
          <w:u w:val="single" w:color="auto"/>
          <w:color w:val="0000FF"/>
        </w:rPr>
        <w:t>. Each Lender hereby agrees that:</w:t>
      </w:r>
    </w:p>
    <w:p>
      <w:pPr>
        <w:spacing w:after="0" w:line="202" w:lineRule="exact"/>
        <w:rPr>
          <w:sz w:val="20"/>
          <w:szCs w:val="20"/>
          <w:color w:val="auto"/>
        </w:rPr>
      </w:pPr>
    </w:p>
    <w:p>
      <w:pPr>
        <w:jc w:val="both"/>
        <w:ind w:firstLine="1304"/>
        <w:spacing w:after="0" w:line="251" w:lineRule="auto"/>
        <w:tabs>
          <w:tab w:leader="none" w:pos="1762" w:val="left"/>
        </w:tabs>
        <w:numPr>
          <w:ilvl w:val="0"/>
          <w:numId w:val="297"/>
        </w:numPr>
        <w:rPr>
          <w:rFonts w:ascii="Times New Roman" w:cs="Times New Roman" w:eastAsia="Times New Roman" w:hAnsi="Times New Roman"/>
          <w:sz w:val="20"/>
          <w:szCs w:val="20"/>
          <w:b w:val="1"/>
          <w:bCs w:val="1"/>
          <w:u w:val="single" w:color="auto"/>
          <w:color w:val="0000FF"/>
        </w:rPr>
      </w:pPr>
      <w:r>
        <w:rPr>
          <w:rFonts w:ascii="Times New Roman" w:cs="Times New Roman" w:eastAsia="Times New Roman" w:hAnsi="Times New Roman"/>
          <w:sz w:val="20"/>
          <w:szCs w:val="20"/>
          <w:b w:val="1"/>
          <w:bCs w:val="1"/>
          <w:u w:val="single" w:color="auto"/>
          <w:color w:val="0000FF"/>
        </w:rPr>
        <w:t xml:space="preserve">If the Administrative Agent (x) notifies a Lender or Secured Party, or any person who has received funds on behalf of a Lender or Secured Party (any such Lender, Secured Party or other recipient, a “Payment Recipient”) that the Administrative Agent has determined in its sole discretion that any funds received by such Payment Recipient from the Administrative Agent or any of its Affiliates were erroneously transmitted to, or otherwise erroneously or mistakenly received by, such Payment Recipient (whether or not known to such Lender, Secured Party or other Payment Recipient on its behalf) (any such funds, whether received as a payment, prepayment or repayment of principal, interest, fees, distribution or otherwise, individually and collectively, an “Erroneous Payment”) and (y) demands the return of such Erroneous Payment (or a portion thereof), such Erroneous Payment shall at all times remain the property of the Administrative Agent pending its return or repayment as contemplated below in this Section 8.14 and shall be held in trust </w:t>
      </w:r>
      <w:r>
        <w:rPr>
          <w:rFonts w:ascii="Times New Roman" w:cs="Times New Roman" w:eastAsia="Times New Roman" w:hAnsi="Times New Roman"/>
          <w:sz w:val="20"/>
          <w:szCs w:val="20"/>
          <w:b w:val="1"/>
          <w:bCs w:val="1"/>
          <w:u w:val="single" w:color="auto"/>
          <w:color w:val="008000"/>
        </w:rPr>
        <w:t>for the benefit of the</w:t>
      </w:r>
      <w:r>
        <w:rPr>
          <w:rFonts w:ascii="Times New Roman" w:cs="Times New Roman" w:eastAsia="Times New Roman" w:hAnsi="Times New Roman"/>
          <w:sz w:val="20"/>
          <w:szCs w:val="20"/>
          <w:b w:val="1"/>
          <w:bCs w:val="1"/>
          <w:u w:val="single" w:color="auto"/>
          <w:color w:val="0000FF"/>
        </w:rPr>
        <w:t xml:space="preserve"> Administrative Agent, and such Lender or Secured Party shall (or, with respect to any Payment Recipient who received such funds on its behalf, shall</w:t>
      </w:r>
    </w:p>
    <w:p>
      <w:pPr>
        <w:sectPr>
          <w:pgSz w:w="11900" w:h="16838" w:orient="portrait"/>
          <w:cols w:equalWidth="0" w:num="1">
            <w:col w:w="11240"/>
          </w:cols>
          <w:pgMar w:left="320" w:top="108" w:right="339" w:bottom="1440" w:gutter="0" w:footer="0" w:header="0"/>
        </w:sectPr>
      </w:pPr>
    </w:p>
    <w:bookmarkStart w:id="356" w:name="page357"/>
    <w:bookmarkEnd w:id="356"/>
    <w:p>
      <w:pPr>
        <w:jc w:val="right"/>
        <w:spacing w:after="0"/>
        <w:rPr>
          <w:sz w:val="20"/>
          <w:szCs w:val="20"/>
          <w:color w:val="auto"/>
        </w:rPr>
      </w:pPr>
      <w:r>
        <w:rPr>
          <w:rFonts w:ascii="Times New Roman" w:cs="Times New Roman" w:eastAsia="Times New Roman" w:hAnsi="Times New Roman"/>
          <w:sz w:val="22"/>
          <w:szCs w:val="22"/>
          <w:color w:val="FF0000"/>
          <w:strike w:val="1"/>
        </w:rPr>
        <w:t>ANNEX</w:t>
      </w:r>
      <w:r>
        <w:rPr>
          <w:rFonts w:ascii="Times New Roman" w:cs="Times New Roman" w:eastAsia="Times New Roman" w:hAnsi="Times New Roman"/>
          <w:sz w:val="22"/>
          <w:szCs w:val="22"/>
          <w:b w:val="1"/>
          <w:bCs w:val="1"/>
          <w:u w:val="single" w:color="auto"/>
          <w:color w:val="0000FF"/>
        </w:rPr>
        <w:t>EXHIBIT</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b w:val="1"/>
          <w:bCs w:val="1"/>
          <w:u w:val="single" w:color="auto"/>
          <w:color w:val="0000FF"/>
        </w:rPr>
        <w:t xml:space="preserve">cause such Payment Recipient to) promptly, but in no event later than two Business Days thereafter, return to the Administrative Agent the amount of any such Erroneous Payment (or portion thereof) as to which such a demand was made, in same day funds (in the currency so received), together with interest thereon (except to the extent waived in writing by the Administrative Agent) in respect of each day from and including the date such Erroneous Payment (or portion thereof) was received by such Payment Recipient to the date such amount is repaid to the Administrative Agent in same day funds at the greater of the Overnight Rate/Federal Funds Rate and a rate determined by the Administrative Agent in accordance with banking industry rules on interbank compensation </w:t>
      </w:r>
      <w:r>
        <w:rPr>
          <w:rFonts w:ascii="Times New Roman" w:cs="Times New Roman" w:eastAsia="Times New Roman" w:hAnsi="Times New Roman"/>
          <w:sz w:val="19"/>
          <w:szCs w:val="19"/>
          <w:b w:val="1"/>
          <w:bCs w:val="1"/>
          <w:u w:val="single" w:color="auto"/>
          <w:color w:val="008000"/>
        </w:rPr>
        <w:t>from time to time</w:t>
      </w:r>
      <w:r>
        <w:rPr>
          <w:rFonts w:ascii="Times New Roman" w:cs="Times New Roman" w:eastAsia="Times New Roman" w:hAnsi="Times New Roman"/>
          <w:sz w:val="19"/>
          <w:szCs w:val="19"/>
          <w:b w:val="1"/>
          <w:bCs w:val="1"/>
          <w:u w:val="single" w:color="auto"/>
          <w:color w:val="0000FF"/>
        </w:rPr>
        <w:t xml:space="preserve"> in effect. A notice of the Administrative Agent to any Payment Recipient under this clause</w:t>
      </w:r>
    </w:p>
    <w:p>
      <w:pPr>
        <w:spacing w:after="0" w:line="4" w:lineRule="exact"/>
        <w:rPr>
          <w:sz w:val="20"/>
          <w:szCs w:val="20"/>
          <w:color w:val="auto"/>
        </w:rPr>
      </w:pPr>
    </w:p>
    <w:p>
      <w:pPr>
        <w:jc w:val="both"/>
        <w:ind w:firstLine="8"/>
        <w:spacing w:after="0" w:line="251" w:lineRule="auto"/>
        <w:tabs>
          <w:tab w:leader="none" w:pos="249" w:val="left"/>
        </w:tabs>
        <w:numPr>
          <w:ilvl w:val="0"/>
          <w:numId w:val="298"/>
        </w:numPr>
        <w:rPr>
          <w:rFonts w:ascii="Times New Roman" w:cs="Times New Roman" w:eastAsia="Times New Roman" w:hAnsi="Times New Roman"/>
          <w:sz w:val="20"/>
          <w:szCs w:val="20"/>
          <w:b w:val="1"/>
          <w:bCs w:val="1"/>
          <w:u w:val="single" w:color="auto"/>
          <w:color w:val="0000FF"/>
        </w:rPr>
      </w:pPr>
      <w:r>
        <w:rPr>
          <w:rFonts w:ascii="Times New Roman" w:cs="Times New Roman" w:eastAsia="Times New Roman" w:hAnsi="Times New Roman"/>
          <w:sz w:val="20"/>
          <w:szCs w:val="20"/>
          <w:b w:val="1"/>
          <w:bCs w:val="1"/>
          <w:u w:val="single" w:color="auto"/>
          <w:color w:val="0000FF"/>
        </w:rPr>
        <w:t>shall be conclusive, absent manifest error. If a Payment Recipient receives any payment, prepayment or repayment of principal, interest, fees, distribution or otherwise and does not receive a corresponding payment notice or payment advice, such payment, prepayment or repayment shall be presumed to be in error absent written confirmation from the Administrative Agent to the contrary.</w:t>
      </w:r>
    </w:p>
    <w:p>
      <w:pPr>
        <w:spacing w:after="0" w:line="186" w:lineRule="exact"/>
        <w:rPr>
          <w:rFonts w:ascii="Times New Roman" w:cs="Times New Roman" w:eastAsia="Times New Roman" w:hAnsi="Times New Roman"/>
          <w:sz w:val="20"/>
          <w:szCs w:val="20"/>
          <w:b w:val="1"/>
          <w:bCs w:val="1"/>
          <w:u w:val="single" w:color="auto"/>
          <w:color w:val="0000FF"/>
        </w:rPr>
      </w:pPr>
    </w:p>
    <w:p>
      <w:pPr>
        <w:jc w:val="both"/>
        <w:ind w:firstLine="1304"/>
        <w:spacing w:after="0" w:line="255" w:lineRule="auto"/>
        <w:tabs>
          <w:tab w:leader="none" w:pos="1762" w:val="left"/>
        </w:tabs>
        <w:numPr>
          <w:ilvl w:val="1"/>
          <w:numId w:val="298"/>
        </w:numPr>
        <w:rPr>
          <w:rFonts w:ascii="Times New Roman" w:cs="Times New Roman" w:eastAsia="Times New Roman" w:hAnsi="Times New Roman"/>
          <w:sz w:val="20"/>
          <w:szCs w:val="20"/>
          <w:b w:val="1"/>
          <w:bCs w:val="1"/>
          <w:u w:val="single" w:color="auto"/>
          <w:color w:val="0000FF"/>
        </w:rPr>
      </w:pPr>
      <w:r>
        <w:rPr>
          <w:rFonts w:ascii="Times New Roman" w:cs="Times New Roman" w:eastAsia="Times New Roman" w:hAnsi="Times New Roman"/>
          <w:sz w:val="20"/>
          <w:szCs w:val="20"/>
          <w:b w:val="1"/>
          <w:bCs w:val="1"/>
          <w:u w:val="single" w:color="auto"/>
          <w:color w:val="0000FF"/>
        </w:rPr>
        <w:t>Each Lender or Secured Party hereby authorizes the Administrative Agent to set off, net and apply any and all amounts at any time owing to such Lender or Secured Party under any Loan Document, or otherwise payable or distributable by the Administrative Agent to such Lender or Secured Party from any source, against any amount due to the Administrative Agent under immediately preceding clause (i) or under the indemnification provisions of this Agreement.</w:t>
      </w:r>
    </w:p>
    <w:p>
      <w:pPr>
        <w:spacing w:after="0" w:line="183" w:lineRule="exact"/>
        <w:rPr>
          <w:rFonts w:ascii="Times New Roman" w:cs="Times New Roman" w:eastAsia="Times New Roman" w:hAnsi="Times New Roman"/>
          <w:sz w:val="20"/>
          <w:szCs w:val="20"/>
          <w:b w:val="1"/>
          <w:bCs w:val="1"/>
          <w:u w:val="single" w:color="auto"/>
          <w:color w:val="0000FF"/>
        </w:rPr>
      </w:pPr>
    </w:p>
    <w:p>
      <w:pPr>
        <w:jc w:val="both"/>
        <w:ind w:firstLine="1304"/>
        <w:spacing w:after="0" w:line="249" w:lineRule="auto"/>
        <w:tabs>
          <w:tab w:leader="none" w:pos="1790" w:val="left"/>
        </w:tabs>
        <w:numPr>
          <w:ilvl w:val="1"/>
          <w:numId w:val="298"/>
        </w:numPr>
        <w:rPr>
          <w:rFonts w:ascii="Times New Roman" w:cs="Times New Roman" w:eastAsia="Times New Roman" w:hAnsi="Times New Roman"/>
          <w:sz w:val="20"/>
          <w:szCs w:val="20"/>
          <w:b w:val="1"/>
          <w:bCs w:val="1"/>
          <w:u w:val="single" w:color="auto"/>
          <w:color w:val="0000FF"/>
        </w:rPr>
      </w:pPr>
      <w:r>
        <w:rPr>
          <w:rFonts w:ascii="Times New Roman" w:cs="Times New Roman" w:eastAsia="Times New Roman" w:hAnsi="Times New Roman"/>
          <w:sz w:val="20"/>
          <w:szCs w:val="20"/>
          <w:b w:val="1"/>
          <w:bCs w:val="1"/>
          <w:u w:val="single" w:color="auto"/>
          <w:color w:val="0000FF"/>
        </w:rPr>
        <w:t>For so long as an Erroneous Payment (or portion thereof) has not been returned by any Payment Recipient who received such Erroneous Payment (or portion thereof) (such unrecovered amount, an “Erroneous Payment Return Deficiency”) to the Administrative Agent after demand therefor in accordance with immediately preceding clause (i), (x) the Administrative Agent may elect, in its sole discretion on written notice to such Lender or Secured Party, that all rights and claims of such Lender or Secured Party with respect to the Loans or other Obligations owed to such person up to the amount of the corresponding Erroneous Payment Return Deficiency in respect of such Erroneous Payment (the “Corresponding Loan Amount”) shall immediately vest in the Administrative Agent upon such election; after such election</w:t>
      </w:r>
      <w:r>
        <w:rPr>
          <w:rFonts w:ascii="Times New Roman" w:cs="Times New Roman" w:eastAsia="Times New Roman" w:hAnsi="Times New Roman"/>
          <w:sz w:val="20"/>
          <w:szCs w:val="20"/>
          <w:b w:val="1"/>
          <w:bCs w:val="1"/>
          <w:u w:val="single" w:color="auto"/>
          <w:color w:val="008000"/>
        </w:rPr>
        <w:t>, the Administrative Agent</w:t>
      </w:r>
      <w:r>
        <w:rPr>
          <w:rFonts w:ascii="Times New Roman" w:cs="Times New Roman" w:eastAsia="Times New Roman" w:hAnsi="Times New Roman"/>
          <w:sz w:val="20"/>
          <w:szCs w:val="20"/>
          <w:b w:val="1"/>
          <w:bCs w:val="1"/>
          <w:u w:val="single" w:color="auto"/>
          <w:color w:val="0000FF"/>
        </w:rPr>
        <w:t xml:space="preserve"> (1) may reflect its ownership interest in Loans in a principal amount equal to the Corresponding Loan Amount in the Register, and (2) upon five business days’ written notice to such Lender or Secured Party, may sell such Loan (or portion thereof) in respect of the Corresponding Loan Amount, and upon receipt of the proceeds of such sale, the Erroneous Payment Return Deficiency owing by such Lender or Secured Party shall be reduced by the net proceeds of the sale of such Loan (or portion thereof), and the Administrative Agent shall retain all other rights, remedies and claims against such Lender or Secured Party (and/or against any Payment Recipient that receives funds on its behalf), and (y) each party hereto agrees that, except to the extent that the Administrative Agent has sold such Loan, and irrespective of whether the Administrative Agent may be equitably subrogated, the Administrative Agent shall be contractually subrogated to all the rights and interests of such Lender or Secured Party with respect to the Erroneous Payment Return Deficiency, provided that, notwithstanding anything to the contrary herein, </w:t>
      </w:r>
      <w:r>
        <w:rPr>
          <w:rFonts w:ascii="Times New Roman" w:cs="Times New Roman" w:eastAsia="Times New Roman" w:hAnsi="Times New Roman"/>
          <w:sz w:val="20"/>
          <w:szCs w:val="20"/>
          <w:b w:val="1"/>
          <w:bCs w:val="1"/>
          <w:u w:val="single" w:color="auto"/>
          <w:color w:val="008000"/>
        </w:rPr>
        <w:t>the Administrative Agent agrees</w:t>
      </w:r>
      <w:r>
        <w:rPr>
          <w:rFonts w:ascii="Times New Roman" w:cs="Times New Roman" w:eastAsia="Times New Roman" w:hAnsi="Times New Roman"/>
          <w:sz w:val="20"/>
          <w:szCs w:val="20"/>
          <w:b w:val="1"/>
          <w:bCs w:val="1"/>
          <w:u w:val="single" w:color="auto"/>
          <w:color w:val="0000FF"/>
        </w:rPr>
        <w:t xml:space="preserve"> that any such assignment or sale of such Corresponding Loan Amount must be made in accordance with the terms of Section 9.04 hereof. For the avoidance of doubt, no vesting or sale pursuant to the foregoing clause (x) will reduce the Commitments of any Lender and such Commitments shall remain available in accordance with the terms of this Agreement.</w:t>
      </w:r>
    </w:p>
    <w:p>
      <w:pPr>
        <w:sectPr>
          <w:pgSz w:w="11900" w:h="16838" w:orient="portrait"/>
          <w:cols w:equalWidth="0" w:num="1">
            <w:col w:w="11240"/>
          </w:cols>
          <w:pgMar w:left="320" w:top="108" w:right="339" w:bottom="1440" w:gutter="0" w:footer="0" w:header="0"/>
        </w:sectPr>
      </w:pPr>
    </w:p>
    <w:bookmarkStart w:id="357" w:name="page358"/>
    <w:bookmarkEnd w:id="357"/>
    <w:p>
      <w:pPr>
        <w:jc w:val="right"/>
        <w:spacing w:after="0"/>
        <w:rPr>
          <w:sz w:val="20"/>
          <w:szCs w:val="20"/>
          <w:color w:val="auto"/>
        </w:rPr>
      </w:pPr>
      <w:r>
        <w:rPr>
          <w:rFonts w:ascii="Times New Roman" w:cs="Times New Roman" w:eastAsia="Times New Roman" w:hAnsi="Times New Roman"/>
          <w:sz w:val="22"/>
          <w:szCs w:val="22"/>
          <w:color w:val="FF0000"/>
          <w:strike w:val="1"/>
        </w:rPr>
        <w:t>ANNEX</w:t>
      </w:r>
      <w:r>
        <w:rPr>
          <w:rFonts w:ascii="Times New Roman" w:cs="Times New Roman" w:eastAsia="Times New Roman" w:hAnsi="Times New Roman"/>
          <w:sz w:val="22"/>
          <w:szCs w:val="22"/>
          <w:b w:val="1"/>
          <w:bCs w:val="1"/>
          <w:u w:val="single" w:color="auto"/>
          <w:color w:val="0000FF"/>
        </w:rPr>
        <w:t>EXHIBIT</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ind w:firstLine="1304"/>
        <w:spacing w:after="0" w:line="260" w:lineRule="auto"/>
        <w:tabs>
          <w:tab w:leader="none" w:pos="1779" w:val="left"/>
        </w:tabs>
        <w:numPr>
          <w:ilvl w:val="0"/>
          <w:numId w:val="299"/>
        </w:numPr>
        <w:rPr>
          <w:rFonts w:ascii="Times New Roman" w:cs="Times New Roman" w:eastAsia="Times New Roman" w:hAnsi="Times New Roman"/>
          <w:sz w:val="20"/>
          <w:szCs w:val="20"/>
          <w:b w:val="1"/>
          <w:bCs w:val="1"/>
          <w:u w:val="single" w:color="auto"/>
          <w:color w:val="0000FF"/>
        </w:rPr>
      </w:pPr>
      <w:r>
        <w:rPr>
          <w:rFonts w:ascii="Times New Roman" w:cs="Times New Roman" w:eastAsia="Times New Roman" w:hAnsi="Times New Roman"/>
          <w:sz w:val="20"/>
          <w:szCs w:val="20"/>
          <w:b w:val="1"/>
          <w:bCs w:val="1"/>
          <w:u w:val="single" w:color="auto"/>
          <w:color w:val="0000FF"/>
        </w:rPr>
        <w:t>The parties hereto agree that an Erroneous Payment shall not pay, prepay, repay, discharge or otherwise satisfy any Obligations owed by the Borrower or any other Loan Party, except, in each case, to the extent such Erroneous Payment is, and solely with respect to the amount of such Erroneous Payment that is, comprised of funds received by the Administrative Agent from the Borrower or any other Loan Party for the purpose of making such Erroneous Payment.</w:t>
      </w:r>
    </w:p>
    <w:p>
      <w:pPr>
        <w:spacing w:after="0" w:line="164" w:lineRule="exact"/>
        <w:rPr>
          <w:rFonts w:ascii="Times New Roman" w:cs="Times New Roman" w:eastAsia="Times New Roman" w:hAnsi="Times New Roman"/>
          <w:sz w:val="20"/>
          <w:szCs w:val="20"/>
          <w:b w:val="1"/>
          <w:bCs w:val="1"/>
          <w:u w:val="single" w:color="auto"/>
          <w:color w:val="0000FF"/>
        </w:rPr>
      </w:pPr>
    </w:p>
    <w:p>
      <w:pPr>
        <w:jc w:val="both"/>
        <w:ind w:firstLine="1304"/>
        <w:spacing w:after="0" w:line="260" w:lineRule="auto"/>
        <w:tabs>
          <w:tab w:leader="none" w:pos="1724" w:val="left"/>
        </w:tabs>
        <w:numPr>
          <w:ilvl w:val="0"/>
          <w:numId w:val="299"/>
        </w:numPr>
        <w:rPr>
          <w:rFonts w:ascii="Times New Roman" w:cs="Times New Roman" w:eastAsia="Times New Roman" w:hAnsi="Times New Roman"/>
          <w:sz w:val="20"/>
          <w:szCs w:val="20"/>
          <w:b w:val="1"/>
          <w:bCs w:val="1"/>
          <w:u w:val="single" w:color="auto"/>
          <w:color w:val="0000FF"/>
        </w:rPr>
      </w:pPr>
      <w:r>
        <w:rPr>
          <w:rFonts w:ascii="Times New Roman" w:cs="Times New Roman" w:eastAsia="Times New Roman" w:hAnsi="Times New Roman"/>
          <w:sz w:val="20"/>
          <w:szCs w:val="20"/>
          <w:b w:val="1"/>
          <w:bCs w:val="1"/>
          <w:u w:val="single" w:color="auto"/>
          <w:color w:val="0000FF"/>
        </w:rPr>
        <w:t>To the extent permitted by applicable Law, no Payment Recipient shall assert any right or claim to an Erroneous Payment, and hereby waives, and is deemed to waive, any claim, counterclaim, defense or right of set-off or recoupment with respect to any demand, claim or counterclaim by the Administrative Agent for the return of any Erroneous Payment received, including without limitation waiver of any defense based on “discharge for value” or any similar doctrine.</w:t>
      </w:r>
    </w:p>
    <w:p>
      <w:pPr>
        <w:spacing w:after="0" w:line="178"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19"/>
          <w:szCs w:val="19"/>
          <w:b w:val="1"/>
          <w:bCs w:val="1"/>
          <w:u w:val="single" w:color="auto"/>
          <w:color w:val="0000FF"/>
        </w:rPr>
        <w:t>Each party’s obligations, agreements and waivers under this Section 8.14 shall survive the resignation or replacement of the Administrative Agent, any transfer of rights or obligations by, or the replacement of, a Lender, the termination of the Commitments and/or the repayment, satisfaction or discharge of all Obligations (or any portion thereof) under any Loan Document.</w:t>
      </w:r>
    </w:p>
    <w:p>
      <w:pPr>
        <w:spacing w:after="0" w:line="159"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20"/>
          <w:szCs w:val="20"/>
          <w:b w:val="1"/>
          <w:bCs w:val="1"/>
          <w:u w:val="single" w:color="auto"/>
          <w:color w:val="0000FF"/>
        </w:rPr>
        <w:t>Notwithstanding anything to the contrary herein or in any other Loan Document, neither any Loan Party nor any of its respective Affiliates (other than any Affiliated Lender or Affiliated Debt Fund who is a Payment Recipient) shall have any obligations or liabilities (including the payment of any assignment or processing fee payable to the Administrative Agent in connection therewith) directly or indirectly arising out of this Section 8.14 in respect of any Erroneous Payment.</w:t>
      </w:r>
    </w:p>
    <w:p>
      <w:pPr>
        <w:spacing w:after="0" w:line="196"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22"/>
          <w:szCs w:val="22"/>
          <w:color w:val="auto"/>
        </w:rPr>
        <w:t>ARTICLE IX</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Miscellaneous</w:t>
      </w:r>
    </w:p>
    <w:p>
      <w:pPr>
        <w:spacing w:after="0" w:line="206"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Section 9.01 Notices; Communications. (a) Except in the case of notices and other communications expressly permitted to be given by telephone (and except as provided in Section 9.01(b) below), all notices and other communications provided for herein shall be in writing and shall be delivered by hand or overnight courier service, mailed by certified or registered mail or sent by telecopier or other electronic means as follows, and all notices and other communications expressly permitted hereunder to be given by telephone shall be made to the applicable telephone number, as follows:</w:t>
      </w:r>
    </w:p>
    <w:p>
      <w:pPr>
        <w:spacing w:after="0" w:line="165" w:lineRule="exact"/>
        <w:rPr>
          <w:sz w:val="20"/>
          <w:szCs w:val="20"/>
          <w:color w:val="auto"/>
        </w:rPr>
      </w:pPr>
    </w:p>
    <w:p>
      <w:pPr>
        <w:jc w:val="both"/>
        <w:ind w:left="660" w:firstLine="1292"/>
        <w:spacing w:after="0" w:line="268" w:lineRule="auto"/>
        <w:tabs>
          <w:tab w:leader="none" w:pos="2401" w:val="left"/>
        </w:tabs>
        <w:numPr>
          <w:ilvl w:val="0"/>
          <w:numId w:val="3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to any Loan Party</w:t>
      </w:r>
      <w:r>
        <w:rPr>
          <w:rFonts w:ascii="Times New Roman" w:cs="Times New Roman" w:eastAsia="Times New Roman" w:hAnsi="Times New Roman"/>
          <w:sz w:val="20"/>
          <w:szCs w:val="20"/>
          <w:color w:val="008000"/>
          <w:strike w:val="1"/>
        </w:rPr>
        <w:t>, the Administrative Agent</w:t>
      </w:r>
      <w:r>
        <w:rPr>
          <w:rFonts w:ascii="Times New Roman" w:cs="Times New Roman" w:eastAsia="Times New Roman" w:hAnsi="Times New Roman"/>
          <w:sz w:val="20"/>
          <w:szCs w:val="20"/>
          <w:color w:val="auto"/>
        </w:rPr>
        <w:t xml:space="preserve"> or the Issuing Banks as of the Closing Date or the Swingline Lender to the address, telecopier number, electronic mail address or telephone number specified for such person on </w:t>
      </w:r>
      <w:r>
        <w:rPr>
          <w:rFonts w:ascii="Times New Roman" w:cs="Times New Roman" w:eastAsia="Times New Roman" w:hAnsi="Times New Roman"/>
          <w:sz w:val="20"/>
          <w:szCs w:val="20"/>
          <w:u w:val="single" w:color="auto"/>
          <w:color w:val="auto"/>
        </w:rPr>
        <w:t>Schedule 9.01</w:t>
      </w:r>
      <w:r>
        <w:rPr>
          <w:rFonts w:ascii="Times New Roman" w:cs="Times New Roman" w:eastAsia="Times New Roman" w:hAnsi="Times New Roman"/>
          <w:sz w:val="20"/>
          <w:szCs w:val="20"/>
          <w:color w:val="auto"/>
        </w:rPr>
        <w:t xml:space="preserve"> to the Original Credit Agreement;</w:t>
      </w:r>
    </w:p>
    <w:p>
      <w:pPr>
        <w:spacing w:after="0" w:line="147" w:lineRule="exact"/>
        <w:rPr>
          <w:rFonts w:ascii="Times New Roman" w:cs="Times New Roman" w:eastAsia="Times New Roman" w:hAnsi="Times New Roman"/>
          <w:sz w:val="20"/>
          <w:szCs w:val="20"/>
          <w:color w:val="auto"/>
        </w:rPr>
      </w:pPr>
    </w:p>
    <w:p>
      <w:pPr>
        <w:ind w:left="660" w:firstLine="1292"/>
        <w:spacing w:after="0" w:line="269" w:lineRule="auto"/>
        <w:tabs>
          <w:tab w:leader="none" w:pos="2427" w:val="left"/>
        </w:tabs>
        <w:numPr>
          <w:ilvl w:val="0"/>
          <w:numId w:val="3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to any other Lender or any other Issuing Bank, to the address, telecopier number, electronic mail address or telephone number specified in its Administrative Questionnaire; and</w:t>
      </w:r>
    </w:p>
    <w:p>
      <w:pPr>
        <w:spacing w:after="0" w:line="155" w:lineRule="exact"/>
        <w:rPr>
          <w:rFonts w:ascii="Times New Roman" w:cs="Times New Roman" w:eastAsia="Times New Roman" w:hAnsi="Times New Roman"/>
          <w:sz w:val="20"/>
          <w:szCs w:val="20"/>
          <w:color w:val="auto"/>
        </w:rPr>
      </w:pPr>
    </w:p>
    <w:p>
      <w:pPr>
        <w:ind w:left="2600" w:hanging="648"/>
        <w:spacing w:after="0"/>
        <w:tabs>
          <w:tab w:leader="none" w:pos="2600" w:val="left"/>
        </w:tabs>
        <w:numPr>
          <w:ilvl w:val="0"/>
          <w:numId w:val="3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to the </w:t>
      </w:r>
      <w:r>
        <w:rPr>
          <w:rFonts w:ascii="Times New Roman" w:cs="Times New Roman" w:eastAsia="Times New Roman" w:hAnsi="Times New Roman"/>
          <w:sz w:val="20"/>
          <w:szCs w:val="20"/>
          <w:b w:val="1"/>
          <w:bCs w:val="1"/>
          <w:u w:val="single" w:color="auto"/>
          <w:color w:val="008000"/>
        </w:rPr>
        <w:t>Administrative Agent or the</w:t>
      </w:r>
      <w:r>
        <w:rPr>
          <w:rFonts w:ascii="Times New Roman" w:cs="Times New Roman" w:eastAsia="Times New Roman" w:hAnsi="Times New Roman"/>
          <w:sz w:val="20"/>
          <w:szCs w:val="20"/>
          <w:color w:val="auto"/>
        </w:rPr>
        <w:t xml:space="preserve"> Collateral Agent, to it at </w:t>
      </w:r>
      <w:r>
        <w:rPr>
          <w:rFonts w:ascii="Times New Roman" w:cs="Times New Roman" w:eastAsia="Times New Roman" w:hAnsi="Times New Roman"/>
          <w:sz w:val="20"/>
          <w:szCs w:val="20"/>
          <w:color w:val="FF0000"/>
          <w:strike w:val="1"/>
        </w:rPr>
        <w:t>Citibank, N.A., Agency &amp; Trust, 388</w:t>
      </w:r>
    </w:p>
    <w:p>
      <w:pPr>
        <w:spacing w:after="0" w:line="20" w:lineRule="exact"/>
        <w:rPr>
          <w:sz w:val="20"/>
          <w:szCs w:val="20"/>
          <w:color w:val="auto"/>
        </w:rPr>
      </w:pPr>
    </w:p>
    <w:p>
      <w:pPr>
        <w:ind w:left="660"/>
        <w:spacing w:after="0" w:line="225" w:lineRule="auto"/>
        <w:rPr>
          <w:sz w:val="20"/>
          <w:szCs w:val="20"/>
          <w:color w:val="auto"/>
        </w:rPr>
      </w:pPr>
      <w:r>
        <w:rPr>
          <w:rFonts w:ascii="Times New Roman" w:cs="Times New Roman" w:eastAsia="Times New Roman" w:hAnsi="Times New Roman"/>
          <w:sz w:val="20"/>
          <w:szCs w:val="20"/>
          <w:color w:val="FF0000"/>
          <w:strike w:val="1"/>
        </w:rPr>
        <w:t>Greenwich Street, 6</w:t>
      </w:r>
      <w:r>
        <w:rPr>
          <w:rFonts w:ascii="Times New Roman" w:cs="Times New Roman" w:eastAsia="Times New Roman" w:hAnsi="Times New Roman"/>
          <w:sz w:val="25"/>
          <w:szCs w:val="25"/>
          <w:color w:val="FF0000"/>
          <w:strike w:val="1"/>
          <w:vertAlign w:val="superscript"/>
        </w:rPr>
        <w:t>th</w:t>
      </w:r>
      <w:r>
        <w:rPr>
          <w:rFonts w:ascii="Times New Roman" w:cs="Times New Roman" w:eastAsia="Times New Roman" w:hAnsi="Times New Roman"/>
          <w:sz w:val="20"/>
          <w:szCs w:val="20"/>
          <w:color w:val="FF0000"/>
        </w:rPr>
        <w:t xml:space="preserve"> Floor, New York, NY 10013; Attn: SPAG Administration, email: cts.spag@citi.com; </w:t>
      </w:r>
      <w:r>
        <w:rPr>
          <w:rFonts w:ascii="Times New Roman" w:cs="Times New Roman" w:eastAsia="Times New Roman" w:hAnsi="Times New Roman"/>
          <w:sz w:val="20"/>
          <w:szCs w:val="20"/>
          <w:color w:val="FF0000"/>
          <w:strike w:val="1"/>
        </w:rPr>
        <w:t>miriam.molina@citi</w:t>
      </w:r>
      <w:r>
        <w:rPr>
          <w:rFonts w:ascii="Times New Roman" w:cs="Times New Roman" w:eastAsia="Times New Roman" w:hAnsi="Times New Roman"/>
          <w:sz w:val="20"/>
          <w:szCs w:val="20"/>
          <w:b w:val="1"/>
          <w:bCs w:val="1"/>
          <w:u w:val="single" w:color="auto"/>
          <w:color w:val="0000FF"/>
          <w:strike w:val="1"/>
        </w:rPr>
        <w:t>Wilmington Trust, National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1704340</wp:posOffset>
            </wp:positionH>
            <wp:positionV relativeFrom="paragraph">
              <wp:posOffset>-234315</wp:posOffset>
            </wp:positionV>
            <wp:extent cx="543179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29">
                      <a:extLst>
                        <a:ext uri="{28A0092B-C50C-407E-A947-70E740481C1C}"/>
                      </a:extLst>
                    </a:blip>
                    <a:srcRect/>
                    <a:stretch>
                      <a:fillRect/>
                    </a:stretch>
                  </pic:blipFill>
                  <pic:spPr bwMode="auto">
                    <a:xfrm>
                      <a:off x="0" y="0"/>
                      <a:ext cx="5431790" cy="88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58" w:name="page359"/>
    <w:bookmarkEnd w:id="358"/>
    <w:p>
      <w:pPr>
        <w:jc w:val="right"/>
        <w:spacing w:after="0"/>
        <w:rPr>
          <w:sz w:val="20"/>
          <w:szCs w:val="20"/>
          <w:color w:val="auto"/>
        </w:rPr>
      </w:pPr>
      <w:r>
        <w:rPr>
          <w:rFonts w:ascii="Times New Roman" w:cs="Times New Roman" w:eastAsia="Times New Roman" w:hAnsi="Times New Roman"/>
          <w:sz w:val="22"/>
          <w:szCs w:val="22"/>
          <w:color w:val="FF0000"/>
          <w:strike w:val="1"/>
        </w:rPr>
        <w:t>ANNEX</w:t>
      </w:r>
      <w:r>
        <w:rPr>
          <w:rFonts w:ascii="Times New Roman" w:cs="Times New Roman" w:eastAsia="Times New Roman" w:hAnsi="Times New Roman"/>
          <w:sz w:val="22"/>
          <w:szCs w:val="22"/>
          <w:b w:val="1"/>
          <w:bCs w:val="1"/>
          <w:u w:val="single" w:color="auto"/>
          <w:color w:val="0000FF"/>
        </w:rPr>
        <w:t>EXHIBIT</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u w:val="single" w:color="auto"/>
          <w:color w:val="0000FF"/>
        </w:rPr>
        <w:t>Association, 50 South Sixth Street, Suite 1290, Minneapolis, MN 55402; Attn: Rackspace Loan Administrator, email:</w:t>
      </w:r>
    </w:p>
    <w:p>
      <w:pPr>
        <w:spacing w:after="0" w:line="3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u w:val="single" w:color="auto"/>
          <w:color w:val="0000FF"/>
        </w:rPr>
        <w:t>jcampbell3@wilmingtontrust</w:t>
      </w:r>
      <w:r>
        <w:rPr>
          <w:rFonts w:ascii="Times New Roman" w:cs="Times New Roman" w:eastAsia="Times New Roman" w:hAnsi="Times New Roman"/>
          <w:sz w:val="20"/>
          <w:szCs w:val="20"/>
          <w:color w:val="000000"/>
        </w:rPr>
        <w:t>.com.</w:t>
      </w:r>
    </w:p>
    <w:p>
      <w:pPr>
        <w:spacing w:after="0" w:line="187" w:lineRule="exact"/>
        <w:rPr>
          <w:sz w:val="20"/>
          <w:szCs w:val="20"/>
          <w:color w:val="auto"/>
        </w:rPr>
      </w:pPr>
    </w:p>
    <w:p>
      <w:pPr>
        <w:jc w:val="both"/>
        <w:ind w:left="120" w:firstLine="1292"/>
        <w:spacing w:after="0" w:line="253" w:lineRule="auto"/>
        <w:tabs>
          <w:tab w:leader="none" w:pos="1875" w:val="left"/>
        </w:tabs>
        <w:numPr>
          <w:ilvl w:val="0"/>
          <w:numId w:val="3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Notices and other communications to the Lenders and the Issuing Banks hereunder may be delivered or furnished by electronic communication (including e mail and Internet or intranet websites) pursuant to procedures approved by the Administrative Agent. The Administrative Agent, the Collateral Agent or the Borrower may, in their discretion, agree to accept notices and other communications to it hereunder by electronic communications pursuant to procedures approved by them,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approval of such procedures may be limited to particular notices or communications.</w:t>
      </w:r>
    </w:p>
    <w:p>
      <w:pPr>
        <w:spacing w:after="0" w:line="191" w:lineRule="exact"/>
        <w:rPr>
          <w:rFonts w:ascii="Times New Roman" w:cs="Times New Roman" w:eastAsia="Times New Roman" w:hAnsi="Times New Roman"/>
          <w:sz w:val="20"/>
          <w:szCs w:val="20"/>
          <w:color w:val="auto"/>
        </w:rPr>
      </w:pPr>
    </w:p>
    <w:p>
      <w:pPr>
        <w:jc w:val="both"/>
        <w:ind w:left="120" w:firstLine="1292"/>
        <w:spacing w:after="0" w:line="253" w:lineRule="auto"/>
        <w:tabs>
          <w:tab w:leader="none" w:pos="1878" w:val="left"/>
        </w:tabs>
        <w:numPr>
          <w:ilvl w:val="0"/>
          <w:numId w:val="3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Notices sent by hand or overnight courier service, or mailed by certified or registered mail, shall be deemed to have been given when received. Notices sent by telecopier shall be deemed to have been given when sent (except that, if not given during normal business hours for the recipient, shall be deemed to have been given at the opening of business on the next Business Day for the recipient). Notices delivered through electronic communications to the extent provided in Section 9.01(b) above shall be effective as provided in such Section 9.01(b). Notwithstanding anything in this Agreement to the contrary, notices and other communications sent to the Collateral Agent shall be deemed to have been given when received by the Collateral Agent.</w:t>
      </w:r>
    </w:p>
    <w:p>
      <w:pPr>
        <w:spacing w:after="0" w:line="165" w:lineRule="exact"/>
        <w:rPr>
          <w:rFonts w:ascii="Times New Roman" w:cs="Times New Roman" w:eastAsia="Times New Roman" w:hAnsi="Times New Roman"/>
          <w:sz w:val="20"/>
          <w:szCs w:val="20"/>
          <w:color w:val="auto"/>
        </w:rPr>
      </w:pPr>
    </w:p>
    <w:p>
      <w:pPr>
        <w:ind w:left="120" w:firstLine="1292"/>
        <w:spacing w:after="0" w:line="283" w:lineRule="auto"/>
        <w:tabs>
          <w:tab w:leader="none" w:pos="1928" w:val="left"/>
        </w:tabs>
        <w:numPr>
          <w:ilvl w:val="0"/>
          <w:numId w:val="3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party hereto may change its address or telecopy number for notices and other communications hereunder by notice to the other parties hereto.</w:t>
      </w:r>
    </w:p>
    <w:p>
      <w:pPr>
        <w:spacing w:after="0" w:line="132" w:lineRule="exact"/>
        <w:rPr>
          <w:rFonts w:ascii="Times New Roman" w:cs="Times New Roman" w:eastAsia="Times New Roman" w:hAnsi="Times New Roman"/>
          <w:sz w:val="20"/>
          <w:szCs w:val="20"/>
          <w:color w:val="auto"/>
        </w:rPr>
      </w:pPr>
    </w:p>
    <w:p>
      <w:pPr>
        <w:jc w:val="both"/>
        <w:ind w:left="120" w:firstLine="1292"/>
        <w:spacing w:after="0" w:line="250" w:lineRule="auto"/>
        <w:tabs>
          <w:tab w:leader="none" w:pos="1849" w:val="left"/>
        </w:tabs>
        <w:numPr>
          <w:ilvl w:val="0"/>
          <w:numId w:val="3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Documents required to be delivered pursuant to Section 5.04 may be delivered electronically (including as set forth in Section 9.17) and if so delivered, shall be deemed to have been delivered on the date (i) on which the Borrower posts such documents, or provides a link thereto on the Borrower’s website on the Internet at the website address listed on </w:t>
      </w:r>
      <w:r>
        <w:rPr>
          <w:rFonts w:ascii="Times New Roman" w:cs="Times New Roman" w:eastAsia="Times New Roman" w:hAnsi="Times New Roman"/>
          <w:sz w:val="20"/>
          <w:szCs w:val="20"/>
          <w:u w:val="single" w:color="auto"/>
          <w:color w:val="auto"/>
        </w:rPr>
        <w:t>Schedule 9.01</w:t>
      </w:r>
      <w:r>
        <w:rPr>
          <w:rFonts w:ascii="Times New Roman" w:cs="Times New Roman" w:eastAsia="Times New Roman" w:hAnsi="Times New Roman"/>
          <w:sz w:val="20"/>
          <w:szCs w:val="20"/>
          <w:color w:val="auto"/>
        </w:rPr>
        <w:t xml:space="preserve"> to the Original Credit Agreement, or (ii) on which such documents are posted on the Borrower’s behalf on an Internet or intranet website, if any, to which each Lender entitled to access thereto and the Administrative Agent and the Collateral Agent have access (whether a commercial, third-party website or whether sponsored by the Administrative Agent);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the Borrower shall notify the Administrative Agent (by telecopier or electronic mail) of the posting of any such documents and provide to the Administrative Agent by electronic mail electronic versions (i.e., soft copies) of such documents. The Collateral Agent, and except for such certificates required by Section 5.04(c), the Administrative Agent, shall have no obligation to request the delivery or to maintain copies of the documents referred to above, and in any event shall have no responsibility to monitor compliance by the Borrower with any such request for delivery, and each Lender shall be solely responsible for requesting delivery to it or maintaining its copies of such documents.</w:t>
      </w:r>
    </w:p>
    <w:p>
      <w:pPr>
        <w:spacing w:after="0" w:line="173"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Section 9.02 Survival of Agreement. All covenants, agreements, representations and warranties made by the Loan Parties herein, in the other Loan Documents and in the certificates or other instruments prepared or delivered in connection with or pursuant to this Agreement or any other Loan Document shall be considered to have been relied upon by the Lenders and each Issuing Bank and shall survive the making by the Lenders of the Loans and the execution and delivery of the Loan Documents and the issuance of the Letters of Credit, regardless of any investigation made by such persons or on their behalf, and shall continue in full force and effect until the Termination Date. Without prejudice to the survival of any other agreements contained herein, indemnification and reimbursement obligations contained herein (including pursuant to Sections 2.15, 2.16, 2.17 and 9.05) shall survive the Termination Date.</w:t>
      </w:r>
    </w:p>
    <w:p>
      <w:pPr>
        <w:sectPr>
          <w:pgSz w:w="11900" w:h="16838" w:orient="portrait"/>
          <w:cols w:equalWidth="0" w:num="1">
            <w:col w:w="11240"/>
          </w:cols>
          <w:pgMar w:left="320" w:top="108" w:right="339" w:bottom="1440" w:gutter="0" w:footer="0" w:header="0"/>
        </w:sectPr>
      </w:pPr>
    </w:p>
    <w:bookmarkStart w:id="359" w:name="page360"/>
    <w:bookmarkEnd w:id="359"/>
    <w:p>
      <w:pPr>
        <w:jc w:val="right"/>
        <w:spacing w:after="0"/>
        <w:rPr>
          <w:sz w:val="20"/>
          <w:szCs w:val="20"/>
          <w:color w:val="auto"/>
        </w:rPr>
      </w:pPr>
      <w:r>
        <w:rPr>
          <w:rFonts w:ascii="Times New Roman" w:cs="Times New Roman" w:eastAsia="Times New Roman" w:hAnsi="Times New Roman"/>
          <w:sz w:val="22"/>
          <w:szCs w:val="22"/>
          <w:color w:val="FF0000"/>
          <w:strike w:val="1"/>
        </w:rPr>
        <w:t>ANNEX</w:t>
      </w:r>
      <w:r>
        <w:rPr>
          <w:rFonts w:ascii="Times New Roman" w:cs="Times New Roman" w:eastAsia="Times New Roman" w:hAnsi="Times New Roman"/>
          <w:sz w:val="22"/>
          <w:szCs w:val="22"/>
          <w:b w:val="1"/>
          <w:bCs w:val="1"/>
          <w:u w:val="single" w:color="auto"/>
          <w:color w:val="0000FF"/>
        </w:rPr>
        <w:t>EXHIBIT</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Section 9.03 Binding Effect. This Agreement shall become effective when it shall have been executed by Holdings, the Borrower, the Collateral Agent and the Administrative Agent and when the Collateral Agent and the Administrative Agent shall have received copies hereof which, when taken together, bear the signatures of each of the other parties hereto, and thereafter shall be binding upon and inure to the benefit of Holdings, the Borrower, the Collateral Agent, the Administrative Agent, each Issuing Bank and each Lender and their respective permitted successors and assigns.</w:t>
      </w:r>
    </w:p>
    <w:p>
      <w:pPr>
        <w:spacing w:after="0" w:line="178"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0"/>
          <w:szCs w:val="20"/>
          <w:color w:val="auto"/>
        </w:rPr>
        <w:t>Section 9.04 Successors and Assigns. (a) The provisions of this Agreement shall be binding upon and inure to the benefit of the parties hereto and their respective successors and assigns permitted hereby (including any Affiliate of an Issuing Bank that issues any Letter of Credit), except that (i) except as permitted by Section 6.05, the Borrower may not assign or otherwise transfer any of its rights or obligations hereunder without the prior written consent of each Lender (and any attempted assignment or transfer by the Borrower without such consent shall be null and void) and/or the Collateral Agent, and (ii) no Lender may assign or otherwise transfer its rights or obligations hereunder except in accordance with this Section 9.04. Nothing in this Agreement, expressed or implied, shall be construed to confer upon any person (other than the parties hereto, their respective successors and assigns permitted hereby (including any Affiliate of an Issuing Bank that issues any Letter of Credit), Participants (to the extent provided in clause (c) of this Section 9.04), and, to the extent expressly contemplated hereby, the Related Parties of each of the Agents, the Issuing Banks and the Lenders) any legal or equitable right, remedy or claim under or by reason of this Agreement or the other Loan Documents.</w:t>
      </w:r>
    </w:p>
    <w:p>
      <w:pPr>
        <w:spacing w:after="0" w:line="169" w:lineRule="exact"/>
        <w:rPr>
          <w:sz w:val="20"/>
          <w:szCs w:val="20"/>
          <w:color w:val="auto"/>
        </w:rPr>
      </w:pPr>
    </w:p>
    <w:p>
      <w:pPr>
        <w:jc w:val="both"/>
        <w:ind w:left="120" w:firstLine="1292"/>
        <w:spacing w:after="0" w:line="261" w:lineRule="auto"/>
        <w:tabs>
          <w:tab w:leader="none" w:pos="1868" w:val="left"/>
        </w:tabs>
        <w:numPr>
          <w:ilvl w:val="0"/>
          <w:numId w:val="3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Subject to the conditions set forth in subclause (ii) below, any Lender may assign to one or more assignees (each, an “Assignee”) all or a portion of its rights and obligations under this Agreement (including all or a portion of its Commitments and the Loans at the time owing to it) with the prior written consent (such consent not to be unreasonably withheld or delayed) of:</w:t>
      </w:r>
    </w:p>
    <w:p>
      <w:pPr>
        <w:spacing w:after="0" w:line="181" w:lineRule="exact"/>
        <w:rPr>
          <w:rFonts w:ascii="Times New Roman" w:cs="Times New Roman" w:eastAsia="Times New Roman" w:hAnsi="Times New Roman"/>
          <w:sz w:val="20"/>
          <w:szCs w:val="20"/>
          <w:color w:val="auto"/>
        </w:rPr>
      </w:pPr>
    </w:p>
    <w:p>
      <w:pPr>
        <w:jc w:val="both"/>
        <w:ind w:left="660" w:firstLine="1940"/>
        <w:spacing w:after="0" w:line="251" w:lineRule="auto"/>
        <w:tabs>
          <w:tab w:leader="none" w:pos="3077" w:val="left"/>
        </w:tabs>
        <w:numPr>
          <w:ilvl w:val="2"/>
          <w:numId w:val="3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which consent, with respect to the assignment of a Term B Loan, will be deemed to have been given if the Borrower has not responded within ten (10) Business Days after the delivery of any request for such consent;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no consent of the Borrower shall be required for an assignment of a Term B Loan to a Lender, an Affiliate of a Lender, an Approved Fund (as defined below), or in the case of assignments during the primary syndication of the Commitments and Loans to persons identified to and agreed by the Borrower in writing prior to the Closing Date, or for an assignment of a Revolving Facility Commitment or Revolving Facility Loan to a Revolving Facility Lender, an Affiliate of a Revolving Facility Lender or Approved Fund with respect to a Revolving Facility Lender, or, in each case, if an Event of Default under Section 7.01(b), (c), (h) or (i) has occurred and is continuing, any other person; and</w:t>
      </w:r>
    </w:p>
    <w:p>
      <w:pPr>
        <w:spacing w:after="0" w:line="168" w:lineRule="exact"/>
        <w:rPr>
          <w:rFonts w:ascii="Times New Roman" w:cs="Times New Roman" w:eastAsia="Times New Roman" w:hAnsi="Times New Roman"/>
          <w:sz w:val="20"/>
          <w:szCs w:val="20"/>
          <w:color w:val="auto"/>
        </w:rPr>
      </w:pPr>
    </w:p>
    <w:p>
      <w:pPr>
        <w:jc w:val="both"/>
        <w:ind w:left="660" w:firstLine="1940"/>
        <w:spacing w:after="0" w:line="268" w:lineRule="auto"/>
        <w:tabs>
          <w:tab w:leader="none" w:pos="3096" w:val="left"/>
        </w:tabs>
        <w:numPr>
          <w:ilvl w:val="2"/>
          <w:numId w:val="3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Administrative Agent;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no consent of the Administrative Agent shall be required for an assignment of all or any portion of a Term Loan to a Lender, an Affiliate of a Lender, an Approved Fund, the Borrower or an Affiliate of the Borrower made in accordance with Section 9.04(i) or Section 9.21; and</w:t>
      </w:r>
    </w:p>
    <w:p>
      <w:pPr>
        <w:spacing w:after="0" w:line="147" w:lineRule="exact"/>
        <w:rPr>
          <w:rFonts w:ascii="Times New Roman" w:cs="Times New Roman" w:eastAsia="Times New Roman" w:hAnsi="Times New Roman"/>
          <w:sz w:val="20"/>
          <w:szCs w:val="20"/>
          <w:color w:val="auto"/>
        </w:rPr>
      </w:pPr>
    </w:p>
    <w:p>
      <w:pPr>
        <w:ind w:left="660" w:firstLine="1940"/>
        <w:spacing w:after="0" w:line="269" w:lineRule="auto"/>
        <w:tabs>
          <w:tab w:leader="none" w:pos="3183" w:val="left"/>
        </w:tabs>
        <w:numPr>
          <w:ilvl w:val="2"/>
          <w:numId w:val="3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Issuing Banks and the Swingline Lender;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no consent of the Issuing Banks and Swingline Lender shall be required for an assignment of all or any portion of a Term Loan.</w:t>
      </w:r>
    </w:p>
    <w:p>
      <w:pPr>
        <w:spacing w:after="0" w:line="159" w:lineRule="exact"/>
        <w:rPr>
          <w:rFonts w:ascii="Times New Roman" w:cs="Times New Roman" w:eastAsia="Times New Roman" w:hAnsi="Times New Roman"/>
          <w:sz w:val="20"/>
          <w:szCs w:val="20"/>
          <w:color w:val="auto"/>
        </w:rPr>
      </w:pPr>
    </w:p>
    <w:p>
      <w:pPr>
        <w:ind w:left="2380" w:hanging="428"/>
        <w:spacing w:after="0"/>
        <w:tabs>
          <w:tab w:leader="none" w:pos="2380" w:val="left"/>
        </w:tabs>
        <w:numPr>
          <w:ilvl w:val="1"/>
          <w:numId w:val="3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Assignments shall be subject to the following additional conditions:</w:t>
      </w:r>
    </w:p>
    <w:p>
      <w:pPr>
        <w:sectPr>
          <w:pgSz w:w="11900" w:h="16838" w:orient="portrait"/>
          <w:cols w:equalWidth="0" w:num="1">
            <w:col w:w="11240"/>
          </w:cols>
          <w:pgMar w:left="320" w:top="108" w:right="339" w:bottom="1440" w:gutter="0" w:footer="0" w:header="0"/>
        </w:sectPr>
      </w:pPr>
    </w:p>
    <w:bookmarkStart w:id="360" w:name="page361"/>
    <w:bookmarkEnd w:id="360"/>
    <w:p>
      <w:pPr>
        <w:jc w:val="right"/>
        <w:spacing w:after="0"/>
        <w:rPr>
          <w:sz w:val="20"/>
          <w:szCs w:val="20"/>
          <w:color w:val="auto"/>
        </w:rPr>
      </w:pPr>
      <w:r>
        <w:rPr>
          <w:rFonts w:ascii="Times New Roman" w:cs="Times New Roman" w:eastAsia="Times New Roman" w:hAnsi="Times New Roman"/>
          <w:sz w:val="22"/>
          <w:szCs w:val="22"/>
          <w:color w:val="FF0000"/>
          <w:strike w:val="1"/>
        </w:rPr>
        <w:t>ANNEX</w:t>
      </w:r>
      <w:r>
        <w:rPr>
          <w:rFonts w:ascii="Times New Roman" w:cs="Times New Roman" w:eastAsia="Times New Roman" w:hAnsi="Times New Roman"/>
          <w:sz w:val="22"/>
          <w:szCs w:val="22"/>
          <w:b w:val="1"/>
          <w:bCs w:val="1"/>
          <w:u w:val="single" w:color="auto"/>
          <w:color w:val="0000FF"/>
        </w:rPr>
        <w:t>EXHIBIT</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ind w:left="660" w:firstLine="1940"/>
        <w:spacing w:after="0" w:line="266" w:lineRule="auto"/>
        <w:tabs>
          <w:tab w:leader="none" w:pos="3122" w:val="left"/>
        </w:tabs>
        <w:numPr>
          <w:ilvl w:val="0"/>
          <w:numId w:val="30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except in the case of an assignment to a Lender, an Affiliate of a Lender or an Approved Fund or an assignment of the entire remaining amount of the assigning Lender’s Commitments or Loans under any Facility, the amount of the Commitments or Loans of the assigning Lender subject to each such assignment (determined as of the date the Assignment and Acceptance with respect to such assignment is delivered to the Administrative Agent) shall not be less than (x) $1,000,000 or an integral multiple of $1,000,000 in excess thereof in the case of Term Loans and (y) $5,000,000 or an integral multiple of $5,000,000 in excess thereof in the case of Revolving Facility Loans or Revolving Facility Commitments, unless each of the Borrower and the Administrative Agent otherwise consent;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that such amounts shall be aggregated in respect of each Lender and its Affiliates or Approved Funds (with simultaneous assignments to or by two or more Related Funds shall be treated as one assignment), if any;</w:t>
      </w:r>
    </w:p>
    <w:p>
      <w:pPr>
        <w:spacing w:after="0" w:line="155" w:lineRule="exact"/>
        <w:rPr>
          <w:rFonts w:ascii="Times New Roman" w:cs="Times New Roman" w:eastAsia="Times New Roman" w:hAnsi="Times New Roman"/>
          <w:sz w:val="19"/>
          <w:szCs w:val="19"/>
          <w:color w:val="auto"/>
        </w:rPr>
      </w:pPr>
    </w:p>
    <w:p>
      <w:pPr>
        <w:jc w:val="both"/>
        <w:ind w:left="660" w:firstLine="1940"/>
        <w:spacing w:after="0" w:line="253" w:lineRule="auto"/>
        <w:tabs>
          <w:tab w:leader="none" w:pos="3068" w:val="left"/>
        </w:tabs>
        <w:numPr>
          <w:ilvl w:val="0"/>
          <w:numId w:val="3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parties to each assignment shall (1) execute and deliver to the Administrative Agent an Assignment and Acceptance via an electronic settlement system acceptable to the Administrative Agent or (2) if previously agreed with the Administrative Agent, manually execute and deliver to the Administrative Agent an Assignment and Acceptance, in each case together with a processing and recordation fee to the Administrative Agent of $3,500 (which fee may be waived or reduced in the reasonable discretion of the Administrative Agent </w:t>
      </w:r>
      <w:r>
        <w:rPr>
          <w:rFonts w:ascii="Times New Roman" w:cs="Times New Roman" w:eastAsia="Times New Roman" w:hAnsi="Times New Roman"/>
          <w:sz w:val="20"/>
          <w:szCs w:val="20"/>
          <w:color w:val="FF0000"/>
        </w:rPr>
        <w:t>(and which</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008000"/>
          <w:strike w:val="1"/>
        </w:rPr>
        <w:t>the Administrative Agent agrees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FF0000"/>
          <w:strike w:val="1"/>
        </w:rPr>
        <w:t>to waive for all parties to the Fee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FF0000"/>
          <w:strike w:val="1"/>
        </w:rPr>
        <w:t>Letter)</w:t>
      </w:r>
      <w:r>
        <w:rPr>
          <w:rFonts w:ascii="Times New Roman" w:cs="Times New Roman" w:eastAsia="Times New Roman" w:hAnsi="Times New Roman"/>
          <w:sz w:val="20"/>
          <w:szCs w:val="20"/>
          <w:color w:val="000000"/>
        </w:rPr>
        <w:t>);</w:t>
      </w:r>
    </w:p>
    <w:p>
      <w:pPr>
        <w:spacing w:after="0" w:line="178" w:lineRule="exact"/>
        <w:rPr>
          <w:rFonts w:ascii="Times New Roman" w:cs="Times New Roman" w:eastAsia="Times New Roman" w:hAnsi="Times New Roman"/>
          <w:sz w:val="20"/>
          <w:szCs w:val="20"/>
          <w:color w:val="auto"/>
        </w:rPr>
      </w:pPr>
    </w:p>
    <w:p>
      <w:pPr>
        <w:ind w:left="660" w:firstLine="1940"/>
        <w:spacing w:after="0" w:line="269" w:lineRule="auto"/>
        <w:tabs>
          <w:tab w:leader="none" w:pos="3120" w:val="left"/>
        </w:tabs>
        <w:numPr>
          <w:ilvl w:val="0"/>
          <w:numId w:val="3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Assignee, if it shall not be a Lender, shall deliver to the Administrative Agent an Administrative Questionnaire and any tax forms required to be delivered pursuant to Section 2.17; and</w:t>
      </w:r>
    </w:p>
    <w:p>
      <w:pPr>
        <w:spacing w:after="0" w:line="145" w:lineRule="exact"/>
        <w:rPr>
          <w:rFonts w:ascii="Times New Roman" w:cs="Times New Roman" w:eastAsia="Times New Roman" w:hAnsi="Times New Roman"/>
          <w:sz w:val="20"/>
          <w:szCs w:val="20"/>
          <w:color w:val="auto"/>
        </w:rPr>
      </w:pPr>
    </w:p>
    <w:p>
      <w:pPr>
        <w:ind w:left="660" w:right="20" w:firstLine="1940"/>
        <w:spacing w:after="0" w:line="283" w:lineRule="auto"/>
        <w:tabs>
          <w:tab w:leader="none" w:pos="3133" w:val="left"/>
        </w:tabs>
        <w:numPr>
          <w:ilvl w:val="0"/>
          <w:numId w:val="3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Assignee shall not be the Borrower or any of the Borrower’s Affiliates or Subsidiaries except in accordance with Section 9.04(i) or Section 9.21.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2993390</wp:posOffset>
            </wp:positionH>
            <wp:positionV relativeFrom="paragraph">
              <wp:posOffset>-1109345</wp:posOffset>
            </wp:positionV>
            <wp:extent cx="66738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30">
                      <a:extLst>
                        <a:ext uri="{28A0092B-C50C-407E-A947-70E740481C1C}"/>
                      </a:extLst>
                    </a:blip>
                    <a:srcRect/>
                    <a:stretch>
                      <a:fillRect/>
                    </a:stretch>
                  </pic:blipFill>
                  <pic:spPr bwMode="auto">
                    <a:xfrm>
                      <a:off x="0" y="0"/>
                      <a:ext cx="667385" cy="8255"/>
                    </a:xfrm>
                    <a:prstGeom prst="rect">
                      <a:avLst/>
                    </a:prstGeom>
                    <a:noFill/>
                  </pic:spPr>
                </pic:pic>
              </a:graphicData>
            </a:graphic>
          </wp:anchor>
        </w:drawing>
      </w:r>
    </w:p>
    <w:p>
      <w:pPr>
        <w:spacing w:after="0" w:line="113" w:lineRule="exact"/>
        <w:rPr>
          <w:sz w:val="20"/>
          <w:szCs w:val="20"/>
          <w:color w:val="auto"/>
        </w:rPr>
      </w:pPr>
    </w:p>
    <w:p>
      <w:pPr>
        <w:jc w:val="both"/>
        <w:ind w:firstLine="910"/>
        <w:spacing w:after="0" w:line="263" w:lineRule="auto"/>
        <w:rPr>
          <w:sz w:val="20"/>
          <w:szCs w:val="20"/>
          <w:color w:val="auto"/>
        </w:rPr>
      </w:pPr>
      <w:r>
        <w:rPr>
          <w:rFonts w:ascii="Times New Roman" w:cs="Times New Roman" w:eastAsia="Times New Roman" w:hAnsi="Times New Roman"/>
          <w:sz w:val="19"/>
          <w:szCs w:val="19"/>
          <w:color w:val="auto"/>
        </w:rPr>
        <w:t>For the purposes of this Section 9.04, “</w:t>
      </w:r>
      <w:r>
        <w:rPr>
          <w:rFonts w:ascii="Times New Roman" w:cs="Times New Roman" w:eastAsia="Times New Roman" w:hAnsi="Times New Roman"/>
          <w:sz w:val="19"/>
          <w:szCs w:val="19"/>
          <w:u w:val="single" w:color="auto"/>
          <w:color w:val="auto"/>
        </w:rPr>
        <w:t>Approved Fund</w:t>
      </w:r>
      <w:r>
        <w:rPr>
          <w:rFonts w:ascii="Times New Roman" w:cs="Times New Roman" w:eastAsia="Times New Roman" w:hAnsi="Times New Roman"/>
          <w:sz w:val="19"/>
          <w:szCs w:val="19"/>
          <w:color w:val="auto"/>
        </w:rPr>
        <w:t>” shall mean any person (other than a natural person) that is engaged in making, purchasing, holding or investing in bank loans and similar extensions of credit in the ordinary course and that is administered or managed by (a) a Lender, (b) an Affiliate of a Lender or (c) an entity or an Affiliate of an entity that administers or manages a Lender. Notwithstanding the foregoing or anything to the contrary herein, no Lender shall be permitted to assign or transfer any portion of its rights and obligations under this Agreement to (A) any Ineligible Institution, (B) any Defaulting Lender or any of its Subsidiaries, or any person who, upon becoming a Lender hereunder, would constitute any of the foregoing persons described in this clause (B), or (C) a natural person. Notwithstanding the foregoing, each Loan Party and the Lenders acknowledge and agree that the Administrative Agent shall not have any responsibility or obligation to determine whether any Lender or potential Lender is an Ineligible Institution and the Administrative Agent shall have no liability with respect to any assignment made to an Ineligible Institution. Any assigning Lender shall, in connection with any potential assignment, provide to the Borrower a copy of its request (including the name of the prospective assignee) concurrently with its delivery of the same request to the Administrative Agent irrespective of whether or not an Event of Default under Section 7.01(b), (c), (h) or</w:t>
      </w:r>
    </w:p>
    <w:p>
      <w:pPr>
        <w:spacing w:after="0" w:line="1" w:lineRule="exact"/>
        <w:rPr>
          <w:sz w:val="20"/>
          <w:szCs w:val="20"/>
          <w:color w:val="auto"/>
        </w:rPr>
      </w:pPr>
    </w:p>
    <w:p>
      <w:pPr>
        <w:ind w:left="240" w:hanging="232"/>
        <w:spacing w:after="0"/>
        <w:tabs>
          <w:tab w:leader="none" w:pos="240" w:val="left"/>
        </w:tabs>
        <w:numPr>
          <w:ilvl w:val="0"/>
          <w:numId w:val="3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has occurred and is continuing.</w:t>
      </w:r>
    </w:p>
    <w:p>
      <w:pPr>
        <w:spacing w:after="0" w:line="186" w:lineRule="exact"/>
        <w:rPr>
          <w:rFonts w:ascii="Times New Roman" w:cs="Times New Roman" w:eastAsia="Times New Roman" w:hAnsi="Times New Roman"/>
          <w:sz w:val="20"/>
          <w:szCs w:val="20"/>
          <w:color w:val="auto"/>
        </w:rPr>
      </w:pPr>
    </w:p>
    <w:p>
      <w:pPr>
        <w:jc w:val="both"/>
        <w:ind w:left="660" w:firstLine="1292"/>
        <w:spacing w:after="0" w:line="253" w:lineRule="auto"/>
        <w:tabs>
          <w:tab w:leader="none" w:pos="2478" w:val="left"/>
        </w:tabs>
        <w:numPr>
          <w:ilvl w:val="1"/>
          <w:numId w:val="3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acceptance and recording thereof pursuant to subclause (v) below, from and after the effective date specified in each Assignment and Acceptance the Assignee thereunder shall be a party hereto and, to the extent of the interest assigned by such Assignment and Acceptance, have the rights and obligations of a Lender under this Agreement, and the assigning Lender thereunder shall, to the extent of the interest assigned by such Assignment and Acceptance, be released from its obligations under this Agreement (and, in the</w:t>
      </w:r>
    </w:p>
    <w:p>
      <w:pPr>
        <w:sectPr>
          <w:pgSz w:w="11900" w:h="16838" w:orient="portrait"/>
          <w:cols w:equalWidth="0" w:num="1">
            <w:col w:w="11240"/>
          </w:cols>
          <w:pgMar w:left="320" w:top="108" w:right="339" w:bottom="1440" w:gutter="0" w:footer="0" w:header="0"/>
        </w:sectPr>
      </w:pPr>
    </w:p>
    <w:bookmarkStart w:id="361" w:name="page362"/>
    <w:bookmarkEnd w:id="361"/>
    <w:p>
      <w:pPr>
        <w:jc w:val="right"/>
        <w:spacing w:after="0"/>
        <w:rPr>
          <w:sz w:val="20"/>
          <w:szCs w:val="20"/>
          <w:color w:val="auto"/>
        </w:rPr>
      </w:pPr>
      <w:r>
        <w:rPr>
          <w:rFonts w:ascii="Times New Roman" w:cs="Times New Roman" w:eastAsia="Times New Roman" w:hAnsi="Times New Roman"/>
          <w:sz w:val="22"/>
          <w:szCs w:val="22"/>
          <w:color w:val="FF0000"/>
          <w:strike w:val="1"/>
        </w:rPr>
        <w:t>ANNEX</w:t>
      </w:r>
      <w:r>
        <w:rPr>
          <w:rFonts w:ascii="Times New Roman" w:cs="Times New Roman" w:eastAsia="Times New Roman" w:hAnsi="Times New Roman"/>
          <w:sz w:val="22"/>
          <w:szCs w:val="22"/>
          <w:b w:val="1"/>
          <w:bCs w:val="1"/>
          <w:u w:val="single" w:color="auto"/>
          <w:color w:val="0000FF"/>
        </w:rPr>
        <w:t>EXHIBIT</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ind w:left="544"/>
        <w:spacing w:after="0" w:line="251" w:lineRule="auto"/>
        <w:rPr>
          <w:sz w:val="20"/>
          <w:szCs w:val="20"/>
          <w:color w:val="auto"/>
        </w:rPr>
      </w:pPr>
      <w:r>
        <w:rPr>
          <w:rFonts w:ascii="Times New Roman" w:cs="Times New Roman" w:eastAsia="Times New Roman" w:hAnsi="Times New Roman"/>
          <w:sz w:val="20"/>
          <w:szCs w:val="20"/>
          <w:color w:val="auto"/>
        </w:rPr>
        <w:t xml:space="preserve">case of an Assignment and Acceptance covering all of the assigning Lender’s rights and obligations under this Agreement, such Lender shall cease to be a party hereto but shall continue to be entitled to the benefits of Sections 2.15, 2.16, 2.17 and 9.05 (subject to the limitations and requirements of those Sections));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an Assignee shall not be entitled to receive any greater payment pursuant to Section 2.17 than the applicable Assignor would have been entitled to receive had no such assignment occurred. Any assignment or transfer by a Lender of rights or obligations under this Agreement that does not comply with this Section 9.04 shall be treated for purposes of this Agreement as a sale by such Lender of a participation in such rights and obligations in accordance with clause (d) of this Section 9.04 (except to the extent such participation is not permitted by such clause (d) of this Section 9.04, in which case such assignment or transfer shall be null and void).</w:t>
      </w:r>
    </w:p>
    <w:p>
      <w:pPr>
        <w:spacing w:after="0" w:line="168" w:lineRule="exact"/>
        <w:rPr>
          <w:sz w:val="20"/>
          <w:szCs w:val="20"/>
          <w:color w:val="auto"/>
        </w:rPr>
      </w:pPr>
    </w:p>
    <w:p>
      <w:pPr>
        <w:jc w:val="both"/>
        <w:ind w:left="544" w:firstLine="1292"/>
        <w:spacing w:after="0" w:line="252" w:lineRule="auto"/>
        <w:tabs>
          <w:tab w:leader="none" w:pos="2445" w:val="left"/>
        </w:tabs>
        <w:numPr>
          <w:ilvl w:val="2"/>
          <w:numId w:val="3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acting solely for this purpose as a non-fiduciary agent of the Borrower, shall maintain at one of its offices a copy of each Assignment and Acceptance delivered to it and a register for the recordation of the names and addresses of the Lenders, and the Commitments of, and principal and interest amounts of the Loans and Revolving L/C Exposure owing to, each Lender pursuant to the terms hereof from time to time (the “</w:t>
      </w:r>
      <w:r>
        <w:rPr>
          <w:rFonts w:ascii="Times New Roman" w:cs="Times New Roman" w:eastAsia="Times New Roman" w:hAnsi="Times New Roman"/>
          <w:sz w:val="20"/>
          <w:szCs w:val="20"/>
          <w:u w:val="single" w:color="auto"/>
          <w:color w:val="auto"/>
        </w:rPr>
        <w:t>Register</w:t>
      </w:r>
      <w:r>
        <w:rPr>
          <w:rFonts w:ascii="Times New Roman" w:cs="Times New Roman" w:eastAsia="Times New Roman" w:hAnsi="Times New Roman"/>
          <w:sz w:val="20"/>
          <w:szCs w:val="20"/>
          <w:color w:val="auto"/>
        </w:rPr>
        <w:t xml:space="preserve">”). The entries in the Register shall be conclusive absent manifest error, and the Borrower, the Collateral Agent, the Administrative Agent, the Issuing Banks, the Swingline Lender and the Lenders shall treat each person whose name is recorded in the Register pursuant to the terms hereof as a Lender hereunder for all purposes of this Agreement, notwithstanding notice to the contrary. The Register shall be available for inspection by the Borrower, the Issuing Banks and the Swingline Lender and any Lender, at any reasonable time and from time to time upon reasonable prior notice;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no Lender shall, in such capacity, have access to, or be otherwise permitted to review any information in the Register other than information with respect to such Lender.</w:t>
      </w:r>
    </w:p>
    <w:p>
      <w:pPr>
        <w:spacing w:after="0" w:line="163" w:lineRule="exact"/>
        <w:rPr>
          <w:rFonts w:ascii="Times New Roman" w:cs="Times New Roman" w:eastAsia="Times New Roman" w:hAnsi="Times New Roman"/>
          <w:sz w:val="20"/>
          <w:szCs w:val="20"/>
          <w:color w:val="auto"/>
        </w:rPr>
      </w:pPr>
    </w:p>
    <w:p>
      <w:pPr>
        <w:jc w:val="both"/>
        <w:ind w:left="544" w:firstLine="1292"/>
        <w:spacing w:after="0" w:line="253" w:lineRule="auto"/>
        <w:tabs>
          <w:tab w:leader="none" w:pos="2358" w:val="left"/>
        </w:tabs>
        <w:numPr>
          <w:ilvl w:val="2"/>
          <w:numId w:val="3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its receipt of a duly completed Assignment and Acceptance executed by an assigning Lender and an Assignee, the Assignee’s completed Administrative Questionnaire (unless the Assignee shall already be a Lender hereunder), the processing and recordation fee referred to in clause (b) of this Section 9.04, if applicable, and any written consent to such assignment required by clause (b) of this Section 9.04 and any applicable tax forms, the Administrative Agent shall accept such Assignment and Acceptance and promptly record the information contained therein in the Register. No assignment, whether or not evidenced by a promissory note, shall be effective for purposes of this Agreement unless it has been recorded in the Register as provided in this subclause (v).</w:t>
      </w:r>
    </w:p>
    <w:p>
      <w:pPr>
        <w:spacing w:after="0" w:line="165" w:lineRule="exact"/>
        <w:rPr>
          <w:rFonts w:ascii="Times New Roman" w:cs="Times New Roman" w:eastAsia="Times New Roman" w:hAnsi="Times New Roman"/>
          <w:sz w:val="20"/>
          <w:szCs w:val="20"/>
          <w:color w:val="auto"/>
        </w:rPr>
      </w:pPr>
    </w:p>
    <w:p>
      <w:pPr>
        <w:ind w:left="1704" w:hanging="408"/>
        <w:spacing w:after="0"/>
        <w:tabs>
          <w:tab w:leader="none" w:pos="1704" w:val="left"/>
        </w:tabs>
        <w:numPr>
          <w:ilvl w:val="1"/>
          <w:numId w:val="3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02" w:lineRule="exact"/>
        <w:rPr>
          <w:rFonts w:ascii="Times New Roman" w:cs="Times New Roman" w:eastAsia="Times New Roman" w:hAnsi="Times New Roman"/>
          <w:sz w:val="20"/>
          <w:szCs w:val="20"/>
          <w:color w:val="auto"/>
        </w:rPr>
      </w:pPr>
    </w:p>
    <w:p>
      <w:pPr>
        <w:jc w:val="both"/>
        <w:ind w:left="4" w:firstLine="1292"/>
        <w:spacing w:after="0" w:line="264" w:lineRule="auto"/>
        <w:tabs>
          <w:tab w:leader="none" w:pos="1733" w:val="left"/>
        </w:tabs>
        <w:numPr>
          <w:ilvl w:val="1"/>
          <w:numId w:val="30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 Any Lender may, without the consent of the Borrower or the Administrative Agent, sell participations in Loans and Commitments to one or more banks or other entities other than (I) any Ineligible Institution (to the extent that the list of Ineligible Institutions has been made available to all Lenders;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that regardless of whether the list of Ineligible Institutions has been made available to all Lenders, no Lender may sell participations in Loans or Commitments to an Ineligible Institution without the consent of the Borrower if the list of Ineligible Institutions has been made available to such Lender) or (II) any Defaulting Lender or any of its Subsidiaries, or any person who, upon becoming a Lender hereunder, would constitute any of the foregoing persons described in this clause</w:t>
      </w:r>
    </w:p>
    <w:p>
      <w:pPr>
        <w:spacing w:after="0" w:line="4" w:lineRule="exact"/>
        <w:rPr>
          <w:rFonts w:ascii="Times New Roman" w:cs="Times New Roman" w:eastAsia="Times New Roman" w:hAnsi="Times New Roman"/>
          <w:sz w:val="19"/>
          <w:szCs w:val="19"/>
          <w:color w:val="auto"/>
        </w:rPr>
      </w:pPr>
    </w:p>
    <w:p>
      <w:pPr>
        <w:jc w:val="both"/>
        <w:ind w:left="4" w:hanging="4"/>
        <w:spacing w:after="0" w:line="246" w:lineRule="auto"/>
        <w:tabs>
          <w:tab w:leader="none" w:pos="344" w:val="left"/>
        </w:tabs>
        <w:numPr>
          <w:ilvl w:val="0"/>
          <w:numId w:val="3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w:t>
      </w:r>
      <w:r>
        <w:rPr>
          <w:rFonts w:ascii="Times New Roman" w:cs="Times New Roman" w:eastAsia="Times New Roman" w:hAnsi="Times New Roman"/>
          <w:sz w:val="20"/>
          <w:szCs w:val="20"/>
          <w:u w:val="single" w:color="auto"/>
          <w:color w:val="auto"/>
        </w:rPr>
        <w:t>Participant</w:t>
      </w:r>
      <w:r>
        <w:rPr>
          <w:rFonts w:ascii="Times New Roman" w:cs="Times New Roman" w:eastAsia="Times New Roman" w:hAnsi="Times New Roman"/>
          <w:sz w:val="20"/>
          <w:szCs w:val="20"/>
          <w:color w:val="auto"/>
        </w:rPr>
        <w:t xml:space="preserve">”) in all or a portion of such Lender’s rights and obligations under this Agreement (including all or a portion of its Commitments and the Loans owing to it);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(A) such Lender’s obligations under this Agreement shall remain unchanged,</w:t>
      </w:r>
    </w:p>
    <w:p>
      <w:pPr>
        <w:spacing w:after="0" w:line="1" w:lineRule="exact"/>
        <w:rPr>
          <w:rFonts w:ascii="Times New Roman" w:cs="Times New Roman" w:eastAsia="Times New Roman" w:hAnsi="Times New Roman"/>
          <w:sz w:val="20"/>
          <w:szCs w:val="20"/>
          <w:color w:val="auto"/>
        </w:rPr>
      </w:pPr>
    </w:p>
    <w:p>
      <w:pPr>
        <w:ind w:left="304" w:hanging="304"/>
        <w:spacing w:after="0"/>
        <w:tabs>
          <w:tab w:leader="none" w:pos="304" w:val="left"/>
        </w:tabs>
        <w:numPr>
          <w:ilvl w:val="0"/>
          <w:numId w:val="3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Lender shall</w:t>
      </w:r>
    </w:p>
    <w:p>
      <w:pPr>
        <w:sectPr>
          <w:pgSz w:w="11900" w:h="16838" w:orient="portrait"/>
          <w:cols w:equalWidth="0" w:num="1">
            <w:col w:w="11124"/>
          </w:cols>
          <w:pgMar w:left="436" w:top="108" w:right="339" w:bottom="1440" w:gutter="0" w:footer="0" w:header="0"/>
        </w:sectPr>
      </w:pPr>
    </w:p>
    <w:bookmarkStart w:id="362" w:name="page363"/>
    <w:bookmarkEnd w:id="362"/>
    <w:p>
      <w:pPr>
        <w:jc w:val="right"/>
        <w:spacing w:after="0"/>
        <w:rPr>
          <w:sz w:val="20"/>
          <w:szCs w:val="20"/>
          <w:color w:val="auto"/>
        </w:rPr>
      </w:pPr>
      <w:r>
        <w:rPr>
          <w:rFonts w:ascii="Times New Roman" w:cs="Times New Roman" w:eastAsia="Times New Roman" w:hAnsi="Times New Roman"/>
          <w:sz w:val="22"/>
          <w:szCs w:val="22"/>
          <w:color w:val="FF0000"/>
          <w:strike w:val="1"/>
        </w:rPr>
        <w:t>ANNEX</w:t>
      </w:r>
      <w:r>
        <w:rPr>
          <w:rFonts w:ascii="Times New Roman" w:cs="Times New Roman" w:eastAsia="Times New Roman" w:hAnsi="Times New Roman"/>
          <w:sz w:val="22"/>
          <w:szCs w:val="22"/>
          <w:b w:val="1"/>
          <w:bCs w:val="1"/>
          <w:u w:val="single" w:color="auto"/>
          <w:color w:val="0000FF"/>
        </w:rPr>
        <w:t>EXHIBIT</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ind w:left="4"/>
        <w:spacing w:after="0" w:line="264" w:lineRule="auto"/>
        <w:rPr>
          <w:sz w:val="20"/>
          <w:szCs w:val="20"/>
          <w:color w:val="auto"/>
        </w:rPr>
      </w:pPr>
      <w:r>
        <w:rPr>
          <w:rFonts w:ascii="Times New Roman" w:cs="Times New Roman" w:eastAsia="Times New Roman" w:hAnsi="Times New Roman"/>
          <w:sz w:val="19"/>
          <w:szCs w:val="19"/>
          <w:color w:val="auto"/>
        </w:rPr>
        <w:t xml:space="preserve">remain solely responsible to the other parties hereto for the performance of such obligations and (C) the Borrower, the Collateral Agent, the Administrative Agent, the Issuing Banks and the other Lenders shall continue to deal solely and directly with such Lender in connection with such Lender’s rights and obligations under this Agreement. Any agreement pursuant to which a Lender sells such a participation shall provide that such Lender shall retain the sole right to enforce this Agreement and the other Loan Documents and to approve any amendment, modification or waiver of any provision of this Agreement and the other Loan Documents;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that (x) such agreement may provide that such Lender will not, without the consent of the Participant, agree to any amendment, modification or waiver that both</w:t>
      </w:r>
    </w:p>
    <w:p>
      <w:pPr>
        <w:spacing w:after="0" w:line="4" w:lineRule="exact"/>
        <w:rPr>
          <w:sz w:val="20"/>
          <w:szCs w:val="20"/>
          <w:color w:val="auto"/>
        </w:rPr>
      </w:pPr>
    </w:p>
    <w:p>
      <w:pPr>
        <w:jc w:val="both"/>
        <w:ind w:left="4" w:hanging="4"/>
        <w:spacing w:after="0" w:line="263" w:lineRule="auto"/>
        <w:tabs>
          <w:tab w:leader="none" w:pos="341" w:val="left"/>
        </w:tabs>
        <w:numPr>
          <w:ilvl w:val="0"/>
          <w:numId w:val="30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requires the consent of each Lender directly affected thereby pursuant to clauses (i), (ii), (iii) or (vi) of the first proviso to Section 9.08(b) and (2) directly adversely affects such Participant (but, for the avoidance of doubt, not any waiver of any Default or Event of Default) and (y) no other agreement with respect to amendment, modification or waiver may exist between such Lender and such Participant. Subject to clause (d)(iii) of this Section 9.04, the Borrower agrees that each Participant shall be entitled to the benefits of Sections 2.15, 2.16 and 2.17 (subject to the limitations and requirements of those Sections and Section 2.19) to the same extent as if it were a Lender and had acquired its interest by assignment pursuant to clause (b) of this Section 9.04. To the extent permitted by law, each Participant also shall be entitled to the benefits of Section 9.06 as though it were a Lender;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that such Participant shall be subject to Section 2.18(c) as though it were a Lender. Notwithstanding the foregoing, each Loan Party and the Lenders acknowledge and agree that the Administrative Agent shall not have any responsibility or obligation to determine whether any Participant or potential Participant is an Ineligible Institution and the Administrative Agent shall have no liability with respect to any participation made to an Ineligible Institution.</w:t>
      </w:r>
    </w:p>
    <w:p>
      <w:pPr>
        <w:spacing w:after="0" w:line="182" w:lineRule="exact"/>
        <w:rPr>
          <w:rFonts w:ascii="Times New Roman" w:cs="Times New Roman" w:eastAsia="Times New Roman" w:hAnsi="Times New Roman"/>
          <w:sz w:val="19"/>
          <w:szCs w:val="19"/>
          <w:color w:val="auto"/>
        </w:rPr>
      </w:pPr>
    </w:p>
    <w:p>
      <w:pPr>
        <w:jc w:val="both"/>
        <w:ind w:left="544" w:firstLine="1292"/>
        <w:spacing w:after="0" w:line="249" w:lineRule="auto"/>
        <w:tabs>
          <w:tab w:leader="none" w:pos="2398" w:val="left"/>
        </w:tabs>
        <w:numPr>
          <w:ilvl w:val="2"/>
          <w:numId w:val="3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Lender that sells a participation shall, acting solely for this purpose as a non-fiduciary agent of the Borrower, maintain a register on which it enters the name and address of each Participant and the principal amounts and interest amounts of each Participant’s interest in the Loans or other obligations under the Loan Documents (the “</w:t>
      </w:r>
      <w:r>
        <w:rPr>
          <w:rFonts w:ascii="Times New Roman" w:cs="Times New Roman" w:eastAsia="Times New Roman" w:hAnsi="Times New Roman"/>
          <w:sz w:val="20"/>
          <w:szCs w:val="20"/>
          <w:u w:val="single" w:color="auto"/>
          <w:color w:val="auto"/>
        </w:rPr>
        <w:t>Participant Register</w:t>
      </w:r>
      <w:r>
        <w:rPr>
          <w:rFonts w:ascii="Times New Roman" w:cs="Times New Roman" w:eastAsia="Times New Roman" w:hAnsi="Times New Roman"/>
          <w:sz w:val="20"/>
          <w:szCs w:val="20"/>
          <w:color w:val="auto"/>
        </w:rPr>
        <w:t>”). The entries in the Participant Register shall be conclusive absent manifest error, and each party hereto shall treat each person whose name is recorded in the Participant Register as the owner of such participation for all purposes of this Agreement notwithstanding any notice to the contrary. Without limitation of the requirements of this Section 9.04(d), no Lender shall have any obligation to disclose all or any portion of a Participant Register to any person (including the identity of any Participant or any information relating to a Participant’s interest in any Commitments, Loans or other Loan Obligations under any Loan Document), except to the extent that such disclosure is necessary to establish that such Commitment, Loan or other Loan Obligation is in registered form for U.S. federal income tax purposes or is otherwise required by applicable law. For the avoidance of doubt, the Administrative Agent (in its capacity as Administrative Agent) shall have no responsibility for maintaining a Participant Register.</w:t>
      </w:r>
    </w:p>
    <w:p>
      <w:pPr>
        <w:spacing w:after="0" w:line="183" w:lineRule="exact"/>
        <w:rPr>
          <w:rFonts w:ascii="Times New Roman" w:cs="Times New Roman" w:eastAsia="Times New Roman" w:hAnsi="Times New Roman"/>
          <w:sz w:val="20"/>
          <w:szCs w:val="20"/>
          <w:color w:val="auto"/>
        </w:rPr>
      </w:pPr>
    </w:p>
    <w:p>
      <w:pPr>
        <w:jc w:val="both"/>
        <w:ind w:left="544" w:firstLine="1292"/>
        <w:spacing w:after="0" w:line="253" w:lineRule="auto"/>
        <w:tabs>
          <w:tab w:leader="none" w:pos="2392" w:val="left"/>
        </w:tabs>
        <w:numPr>
          <w:ilvl w:val="2"/>
          <w:numId w:val="3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Participant shall not be entitled to receive any greater payment under Section 2.15, 2.16 or 2.17 than the applicable Lender would have been entitled to receive with respect to the participation sold to such Participant, unless the sale of the participation to such Participant is made with the Borrower’s prior written consent, which consent shall state that it is being given pursuant to this Section 9.04(d)(iii);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each potential Participant shall provide such information as is reasonably requested by the Borrower in order for the Borrower to determine whether to provide its consent.</w:t>
      </w:r>
    </w:p>
    <w:p>
      <w:pPr>
        <w:spacing w:after="0" w:line="164" w:lineRule="exact"/>
        <w:rPr>
          <w:rFonts w:ascii="Times New Roman" w:cs="Times New Roman" w:eastAsia="Times New Roman" w:hAnsi="Times New Roman"/>
          <w:sz w:val="20"/>
          <w:szCs w:val="20"/>
          <w:color w:val="auto"/>
        </w:rPr>
      </w:pPr>
    </w:p>
    <w:p>
      <w:pPr>
        <w:ind w:left="4" w:firstLine="1292"/>
        <w:spacing w:after="0" w:line="283" w:lineRule="auto"/>
        <w:tabs>
          <w:tab w:leader="none" w:pos="1711" w:val="left"/>
        </w:tabs>
        <w:numPr>
          <w:ilvl w:val="1"/>
          <w:numId w:val="3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Lender may at any time pledge or assign a security interest in all or any portion of its rights under this Agreement to secure obligations of such Lender, including any pledge or</w:t>
      </w:r>
    </w:p>
    <w:p>
      <w:pPr>
        <w:sectPr>
          <w:pgSz w:w="11900" w:h="16838" w:orient="portrait"/>
          <w:cols w:equalWidth="0" w:num="1">
            <w:col w:w="11124"/>
          </w:cols>
          <w:pgMar w:left="436" w:top="108" w:right="339" w:bottom="1440" w:gutter="0" w:footer="0" w:header="0"/>
        </w:sectPr>
      </w:pPr>
    </w:p>
    <w:bookmarkStart w:id="363" w:name="page364"/>
    <w:bookmarkEnd w:id="363"/>
    <w:p>
      <w:pPr>
        <w:ind w:left="9240"/>
        <w:spacing w:after="0"/>
        <w:rPr>
          <w:sz w:val="20"/>
          <w:szCs w:val="20"/>
          <w:color w:val="auto"/>
        </w:rPr>
      </w:pPr>
      <w:r>
        <w:rPr>
          <w:rFonts w:ascii="Times New Roman" w:cs="Times New Roman" w:eastAsia="Times New Roman" w:hAnsi="Times New Roman"/>
          <w:sz w:val="21"/>
          <w:szCs w:val="21"/>
          <w:color w:val="FF0000"/>
          <w:strike w:val="1"/>
        </w:rPr>
        <w:t>ANNEX</w:t>
      </w:r>
      <w:r>
        <w:rPr>
          <w:rFonts w:ascii="Times New Roman" w:cs="Times New Roman" w:eastAsia="Times New Roman" w:hAnsi="Times New Roman"/>
          <w:sz w:val="21"/>
          <w:szCs w:val="21"/>
          <w:b w:val="1"/>
          <w:bCs w:val="1"/>
          <w:u w:val="single" w:color="auto"/>
          <w:color w:val="0000FF"/>
        </w:rPr>
        <w:t>EXHIBIT</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000000"/>
        </w:rPr>
        <w: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assignment to secure obligations to a Federal Reserve Bank or other central bank and in the case of any Lender that is an Approved Fund, any pledge or assignment to any holders of obligations owed, or securities issued, by such Lender, including to any trustee for, or any other representative of, such holders, and this Section 9.04 shall not apply to any such pledge or assignment of a security interest;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no such pledge or assignment of a security interest shall release a Lender from any of its obligations hereunder or substitute any such pledgee or Assignee for such Lender as a party hereto.</w:t>
      </w:r>
    </w:p>
    <w:p>
      <w:pPr>
        <w:spacing w:after="0" w:line="178" w:lineRule="exact"/>
        <w:rPr>
          <w:sz w:val="20"/>
          <w:szCs w:val="20"/>
          <w:color w:val="auto"/>
        </w:rPr>
      </w:pPr>
    </w:p>
    <w:p>
      <w:pPr>
        <w:ind w:firstLine="1292"/>
        <w:spacing w:after="0" w:line="269" w:lineRule="auto"/>
        <w:tabs>
          <w:tab w:leader="none" w:pos="1722" w:val="left"/>
        </w:tabs>
        <w:numPr>
          <w:ilvl w:val="0"/>
          <w:numId w:val="3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upon receipt of written notice from the relevant Lender, agrees to issue Notes to any Lender requiring Notes to facilitate transactions of the type described in clause (e) above.</w:t>
      </w:r>
    </w:p>
    <w:p>
      <w:pPr>
        <w:spacing w:after="0" w:line="145" w:lineRule="exact"/>
        <w:rPr>
          <w:rFonts w:ascii="Times New Roman" w:cs="Times New Roman" w:eastAsia="Times New Roman" w:hAnsi="Times New Roman"/>
          <w:sz w:val="20"/>
          <w:szCs w:val="20"/>
          <w:color w:val="auto"/>
        </w:rPr>
      </w:pPr>
    </w:p>
    <w:p>
      <w:pPr>
        <w:jc w:val="both"/>
        <w:ind w:firstLine="1292"/>
        <w:spacing w:after="0" w:line="253" w:lineRule="auto"/>
        <w:tabs>
          <w:tab w:leader="none" w:pos="1744" w:val="left"/>
        </w:tabs>
        <w:numPr>
          <w:ilvl w:val="0"/>
          <w:numId w:val="3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the foregoing, any Conduit Lender may assign any or all of the Loans it may have funded hereunder to its designating Lender without the consent of the Borrower or the Administrative Agent. Each of Holdings, the Borrower, each Lender and the Administrative Agent hereby confirms that it will not institute against a Conduit Lender or join any other person in instituting against a Conduit Lender any bankruptcy, reorganization, arrangement, insolvency or liquidation proceeding under any state bankruptcy or similar law, for one year and one day after the payment in full of the latest maturing commercial paper note issued by such Conduit Lender;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each Lender designating any Conduit Lender hereby agrees to indemnify, save and hold harmless each other party hereto and each Loan Party for any loss, cost, damage or expense arising out of its inability to institute such a proceeding against such Conduit Lender during such period of forbearance.</w:t>
      </w:r>
    </w:p>
    <w:p>
      <w:pPr>
        <w:spacing w:after="0" w:line="166" w:lineRule="exact"/>
        <w:rPr>
          <w:rFonts w:ascii="Times New Roman" w:cs="Times New Roman" w:eastAsia="Times New Roman" w:hAnsi="Times New Roman"/>
          <w:sz w:val="20"/>
          <w:szCs w:val="20"/>
          <w:color w:val="auto"/>
        </w:rPr>
      </w:pPr>
    </w:p>
    <w:p>
      <w:pPr>
        <w:jc w:val="both"/>
        <w:ind w:firstLine="1292"/>
        <w:spacing w:after="0" w:line="250" w:lineRule="auto"/>
        <w:tabs>
          <w:tab w:leader="none" w:pos="1766" w:val="left"/>
        </w:tabs>
        <w:numPr>
          <w:ilvl w:val="0"/>
          <w:numId w:val="3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Borrower wishes to replace the Loans or Commitments under any Facility with ones having different terms, it shall have the option, with the consent of the Administrative Agent and subject to at least three Business Days’ advance notice to the Lenders under such Facility, instead of prepaying the Loans or reducing or terminating the Commitments to be replaced, to (i) require the Lenders under such Facility to assign such Loans or Commitments to the Administrative Agent or its designees and (ii) amend the terms thereof in accordance with Section 9.08 (with such replacement, if applicable, being deemed to have been made pursuant to Section 9.08(d)). Pursuant to any such assignment, all Loans and Commitments to be replaced shall be purchased at par (allocated among the Lenders under such Facility in the same manner as would be required if such Loans were being optionally prepaid or such Commitments were being optionally reduced or terminated by the Borrower), accompanied by payment of any accrued interest and fees thereon and any amounts owing pursuant to Section 9.05(b). By receiving such purchase price, the Lenders under such Facility shall automatically be deemed to have assigned the Loans or Commitments under such Facility pursuant to the terms of the form of Assignment and Acceptance attached hereto as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to the Original Credit Agreement, and accordingly no other action by such Lenders shall be required in connection therewith. The provisions of this clause (h) are intended to facilitate the maintenance of the perfection and priority of existing security interests in the Collateral during any such replacement.</w:t>
      </w:r>
    </w:p>
    <w:p>
      <w:pPr>
        <w:spacing w:after="0" w:line="166" w:lineRule="exact"/>
        <w:rPr>
          <w:rFonts w:ascii="Times New Roman" w:cs="Times New Roman" w:eastAsia="Times New Roman" w:hAnsi="Times New Roman"/>
          <w:sz w:val="20"/>
          <w:szCs w:val="20"/>
          <w:color w:val="auto"/>
        </w:rPr>
      </w:pPr>
    </w:p>
    <w:p>
      <w:pPr>
        <w:jc w:val="both"/>
        <w:ind w:firstLine="1292"/>
        <w:spacing w:after="0" w:line="251" w:lineRule="auto"/>
        <w:tabs>
          <w:tab w:leader="none" w:pos="1715" w:val="left"/>
        </w:tabs>
        <w:numPr>
          <w:ilvl w:val="0"/>
          <w:numId w:val="3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in this Agreement, including Section 2.18(c) (which provisions shall not be applicable to clauses (i) or (j) of this Section 9.04), any of Holdings or its Subsidiaries, including the Borrower, may purchase by way of assignment and become an Assignee with respect to Term Loans at any time and from time to time from Lenders in accordance with Section 9.04(b) hereof (each, a “</w:t>
      </w:r>
      <w:r>
        <w:rPr>
          <w:rFonts w:ascii="Times New Roman" w:cs="Times New Roman" w:eastAsia="Times New Roman" w:hAnsi="Times New Roman"/>
          <w:sz w:val="20"/>
          <w:szCs w:val="20"/>
          <w:u w:val="single" w:color="auto"/>
          <w:color w:val="auto"/>
        </w:rPr>
        <w:t>Permitted Loan Purchase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in respect of any Permitted Loan Purchase, (A) no Permitted Loan Purchase shall be made from the proceeds of any extensions of credit under the Revolving Facility, (B) upon consummation of any such Permitted Loan Purchase, the Loans purchased pursuant thereto shall be deemed to be automatically and immediately cancelled and extinguished in accordance with Section 9.04(j), (C) in connection with any such Permitted Loan Purchase, any of Holdings or its Subsidiaries, including the Borrower and such Lender</w:t>
      </w:r>
    </w:p>
    <w:p>
      <w:pPr>
        <w:sectPr>
          <w:pgSz w:w="11900" w:h="16838" w:orient="portrait"/>
          <w:cols w:equalWidth="0" w:num="1">
            <w:col w:w="11120"/>
          </w:cols>
          <w:pgMar w:left="440" w:top="108" w:right="339" w:bottom="1440" w:gutter="0" w:footer="0" w:header="0"/>
        </w:sectPr>
      </w:pPr>
    </w:p>
    <w:bookmarkStart w:id="364" w:name="page365"/>
    <w:bookmarkEnd w:id="364"/>
    <w:p>
      <w:pPr>
        <w:jc w:val="right"/>
        <w:spacing w:after="0"/>
        <w:rPr>
          <w:sz w:val="20"/>
          <w:szCs w:val="20"/>
          <w:color w:val="auto"/>
        </w:rPr>
      </w:pPr>
      <w:r>
        <w:rPr>
          <w:rFonts w:ascii="Times New Roman" w:cs="Times New Roman" w:eastAsia="Times New Roman" w:hAnsi="Times New Roman"/>
          <w:sz w:val="22"/>
          <w:szCs w:val="22"/>
          <w:color w:val="FF0000"/>
          <w:strike w:val="1"/>
        </w:rPr>
        <w:t>ANNEX</w:t>
      </w:r>
      <w:r>
        <w:rPr>
          <w:rFonts w:ascii="Times New Roman" w:cs="Times New Roman" w:eastAsia="Times New Roman" w:hAnsi="Times New Roman"/>
          <w:sz w:val="22"/>
          <w:szCs w:val="22"/>
          <w:b w:val="1"/>
          <w:bCs w:val="1"/>
          <w:u w:val="single" w:color="auto"/>
          <w:color w:val="0000FF"/>
        </w:rPr>
        <w:t>EXHIBIT</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ind w:left="120"/>
        <w:spacing w:after="0" w:line="253" w:lineRule="auto"/>
        <w:rPr>
          <w:sz w:val="20"/>
          <w:szCs w:val="20"/>
          <w:color w:val="auto"/>
        </w:rPr>
      </w:pPr>
      <w:r>
        <w:rPr>
          <w:rFonts w:ascii="Times New Roman" w:cs="Times New Roman" w:eastAsia="Times New Roman" w:hAnsi="Times New Roman"/>
          <w:sz w:val="20"/>
          <w:szCs w:val="20"/>
          <w:color w:val="auto"/>
        </w:rPr>
        <w:t>that is the assignor (an “</w:t>
      </w:r>
      <w:r>
        <w:rPr>
          <w:rFonts w:ascii="Times New Roman" w:cs="Times New Roman" w:eastAsia="Times New Roman" w:hAnsi="Times New Roman"/>
          <w:sz w:val="20"/>
          <w:szCs w:val="20"/>
          <w:u w:val="single" w:color="auto"/>
          <w:color w:val="auto"/>
        </w:rPr>
        <w:t>Assignor</w:t>
      </w:r>
      <w:r>
        <w:rPr>
          <w:rFonts w:ascii="Times New Roman" w:cs="Times New Roman" w:eastAsia="Times New Roman" w:hAnsi="Times New Roman"/>
          <w:sz w:val="20"/>
          <w:szCs w:val="20"/>
          <w:color w:val="auto"/>
        </w:rPr>
        <w:t>”) shall execute and deliver to the Administrative Agent a Permitted Loan Purchase Assignment and Acceptance (and for the avoidance of doubt, (x) shall make the representations and warranties set forth in the Permitted Loan Purchase Assignment and Acceptance and (y) shall not be required to execute and deliver an Assignment and Acceptance pursuant to Section 9.04(b) (ii)(B)) and shall otherwise comply with the conditions to assignments under this Section 9.04 and (D) no Default or Event of Default would exist immediately after giving effect on a Pro Forma Basis to such Permitted Loan Purchase.</w:t>
      </w:r>
    </w:p>
    <w:p>
      <w:pPr>
        <w:spacing w:after="0" w:line="178" w:lineRule="exact"/>
        <w:rPr>
          <w:sz w:val="20"/>
          <w:szCs w:val="20"/>
          <w:color w:val="auto"/>
        </w:rPr>
      </w:pPr>
    </w:p>
    <w:p>
      <w:pPr>
        <w:jc w:val="both"/>
        <w:ind w:left="120" w:firstLine="1292"/>
        <w:spacing w:after="0" w:line="261" w:lineRule="auto"/>
        <w:tabs>
          <w:tab w:leader="none" w:pos="1875" w:val="left"/>
        </w:tabs>
        <w:numPr>
          <w:ilvl w:val="0"/>
          <w:numId w:val="3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Permitted Loan Purchase shall, for purposes of this Agreement be deemed to be an automatic and immediate cancellation and extinguishment of such Term Loans and the Borrower shall, upon consummation of any Permitted Loan Purchase, notify the Administrative Agent that the Register be updated to record such event as if it were a prepayment of such Loans.</w:t>
      </w:r>
    </w:p>
    <w:p>
      <w:pPr>
        <w:spacing w:after="0" w:line="154" w:lineRule="exact"/>
        <w:rPr>
          <w:rFonts w:ascii="Times New Roman" w:cs="Times New Roman" w:eastAsia="Times New Roman" w:hAnsi="Times New Roman"/>
          <w:sz w:val="20"/>
          <w:szCs w:val="20"/>
          <w:color w:val="auto"/>
        </w:rPr>
      </w:pPr>
    </w:p>
    <w:p>
      <w:pPr>
        <w:jc w:val="both"/>
        <w:ind w:left="120" w:firstLine="1292"/>
        <w:spacing w:after="0" w:line="251" w:lineRule="auto"/>
        <w:tabs>
          <w:tab w:leader="none" w:pos="1869" w:val="left"/>
        </w:tabs>
        <w:numPr>
          <w:ilvl w:val="0"/>
          <w:numId w:val="3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Borrower and the Administrative Agent, the applicable pro rata share of Loans previously requested but not funded by the Defaulting Lender, to each of which the applicable assignee and assignor hereby irrevocably consent), to (x) pay and satisfy in full all payment liabilities then owed by such Defaulting Lender to the Administrative Agent, each Issuing Bank, each Swingline Lender or any other Lender hereunder (and interest accrued thereon) and (y) acquire (and fund as appropriate) its full pro rata share of all Loans and participations in Letters of Credit and Swingline Loans in accordance with its Revolving Facility Percentage;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165" w:lineRule="exact"/>
        <w:rPr>
          <w:sz w:val="20"/>
          <w:szCs w:val="20"/>
          <w:color w:val="auto"/>
        </w:rPr>
      </w:pPr>
    </w:p>
    <w:p>
      <w:pPr>
        <w:ind w:left="1300"/>
        <w:spacing w:after="0"/>
        <w:tabs>
          <w:tab w:leader="none" w:pos="2480" w:val="left"/>
        </w:tabs>
        <w:rPr>
          <w:sz w:val="20"/>
          <w:szCs w:val="20"/>
          <w:color w:val="auto"/>
        </w:rPr>
      </w:pPr>
      <w:r>
        <w:rPr>
          <w:rFonts w:ascii="Times New Roman" w:cs="Times New Roman" w:eastAsia="Times New Roman" w:hAnsi="Times New Roman"/>
          <w:sz w:val="20"/>
          <w:szCs w:val="20"/>
          <w:color w:val="auto"/>
        </w:rPr>
        <w:t>Section 9.05</w:t>
      </w:r>
      <w:r>
        <w:rPr>
          <w:sz w:val="20"/>
          <w:szCs w:val="20"/>
          <w:color w:val="auto"/>
        </w:rPr>
        <w:tab/>
      </w:r>
      <w:r>
        <w:rPr>
          <w:rFonts w:ascii="Times New Roman" w:cs="Times New Roman" w:eastAsia="Times New Roman" w:hAnsi="Times New Roman"/>
          <w:sz w:val="19"/>
          <w:szCs w:val="19"/>
          <w:color w:val="auto"/>
        </w:rPr>
        <w:t>Expenses; Indemnity. (a) The Borrower agrees to pay</w:t>
      </w:r>
    </w:p>
    <w:p>
      <w:pPr>
        <w:spacing w:after="0" w:line="22" w:lineRule="exact"/>
        <w:rPr>
          <w:sz w:val="20"/>
          <w:szCs w:val="20"/>
          <w:color w:val="auto"/>
        </w:rPr>
      </w:pPr>
    </w:p>
    <w:p>
      <w:pPr>
        <w:jc w:val="both"/>
        <w:ind w:firstLine="8"/>
        <w:spacing w:after="0" w:line="263" w:lineRule="auto"/>
        <w:tabs>
          <w:tab w:leader="none" w:pos="258" w:val="left"/>
        </w:tabs>
        <w:numPr>
          <w:ilvl w:val="0"/>
          <w:numId w:val="3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all reasonable and documented out-of-pocket expenses (including Other Taxes) incurred by the Administrative Agent or the Collateral Agent in connection with the preparation of this Agreement and the other Loan Documents, or by the Administrative Agent or the Collateral Agent in connection with the administration of this Agreement and any amendments, modifications or waivers of the provisions hereof or thereof, including the reasonable fees, charges and disbursements of </w:t>
      </w:r>
      <w:r>
        <w:rPr>
          <w:rFonts w:ascii="Times New Roman" w:cs="Times New Roman" w:eastAsia="Times New Roman" w:hAnsi="Times New Roman"/>
          <w:sz w:val="19"/>
          <w:szCs w:val="19"/>
          <w:color w:val="FF0000"/>
          <w:strike w:val="1"/>
        </w:rPr>
        <w:t>Cahill Gordon &amp; Reindel</w:t>
      </w:r>
      <w:r>
        <w:rPr>
          <w:rFonts w:ascii="Times New Roman" w:cs="Times New Roman" w:eastAsia="Times New Roman" w:hAnsi="Times New Roman"/>
          <w:sz w:val="19"/>
          <w:szCs w:val="19"/>
          <w:b w:val="1"/>
          <w:bCs w:val="1"/>
          <w:u w:val="single" w:color="auto"/>
          <w:color w:val="0000FF"/>
        </w:rPr>
        <w:t>Seward &amp; Kissel</w:t>
      </w:r>
      <w:r>
        <w:rPr>
          <w:rFonts w:ascii="Times New Roman" w:cs="Times New Roman" w:eastAsia="Times New Roman" w:hAnsi="Times New Roman"/>
          <w:sz w:val="19"/>
          <w:szCs w:val="19"/>
          <w:color w:val="auto"/>
        </w:rPr>
        <w:t xml:space="preserve"> LLP, counsel for the Administrative Agent</w:t>
      </w:r>
      <w:r>
        <w:rPr>
          <w:rFonts w:ascii="Times New Roman" w:cs="Times New Roman" w:eastAsia="Times New Roman" w:hAnsi="Times New Roman"/>
          <w:sz w:val="19"/>
          <w:szCs w:val="19"/>
          <w:color w:val="FF0000"/>
          <w:strike w:val="1"/>
        </w:rPr>
        <w:t>, the Arrangers and the Co-Manager, and Hinckley, Allen &amp; Snyder LLP, as counsel for</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u w:val="single" w:color="auto"/>
          <w:color w:val="0000FF"/>
        </w:rPr>
        <w:t>and</w:t>
      </w:r>
      <w:r>
        <w:rPr>
          <w:rFonts w:ascii="Times New Roman" w:cs="Times New Roman" w:eastAsia="Times New Roman" w:hAnsi="Times New Roman"/>
          <w:sz w:val="19"/>
          <w:szCs w:val="19"/>
          <w:color w:val="auto"/>
        </w:rPr>
        <w:t xml:space="preserve"> the Collateral Agent, and, if necessary, the reasonable fees, charges and disbursements of one local counsel per jurisdiction, and (ii) all reasonable and documented out-of-pocket expenses (including Other Taxes) incurred by the Agents, any Issuing Bank or any Lender in connection with the enforcement of their rights in connection with this Agreement and the other Loan Documents, in connection with the Loans made or the Letters of Credit issued hereunder, including the fees, charges and disbursements of a single counsel for all such persons, taken as a whole, and, if necessary, a single local counsel in each appropriate jurisdiction for all such persons, taken as a whole (and, in the case of an actual or perceived conflict of interest where such person affected by such conflict informs the Borrower of such conflict and thereafter retains its own counsel with the Borrower’s prior written consent (not to be unreasonably withheld), of another firm of counsel for such affected person).</w:t>
      </w:r>
    </w:p>
    <w:p>
      <w:pPr>
        <w:spacing w:after="0" w:line="156" w:lineRule="exact"/>
        <w:rPr>
          <w:rFonts w:ascii="Times New Roman" w:cs="Times New Roman" w:eastAsia="Times New Roman" w:hAnsi="Times New Roman"/>
          <w:sz w:val="19"/>
          <w:szCs w:val="19"/>
          <w:color w:val="auto"/>
        </w:rPr>
      </w:pPr>
    </w:p>
    <w:p>
      <w:pPr>
        <w:ind w:left="120" w:firstLine="1292"/>
        <w:spacing w:after="0" w:line="283" w:lineRule="auto"/>
        <w:tabs>
          <w:tab w:leader="none" w:pos="2051" w:val="left"/>
        </w:tabs>
        <w:numPr>
          <w:ilvl w:val="1"/>
          <w:numId w:val="3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agrees to indemnify the Administrative Agent, the Collateral Agent, the Arrangers, the Joint Bookrunners, the Co-Manager, each Issuing Bank, each Lender, the</w:t>
      </w:r>
    </w:p>
    <w:p>
      <w:pPr>
        <w:sectPr>
          <w:pgSz w:w="11900" w:h="16838" w:orient="portrait"/>
          <w:cols w:equalWidth="0" w:num="1">
            <w:col w:w="11240"/>
          </w:cols>
          <w:pgMar w:left="320" w:top="108" w:right="339" w:bottom="1440" w:gutter="0" w:footer="0" w:header="0"/>
        </w:sectPr>
      </w:pPr>
    </w:p>
    <w:bookmarkStart w:id="365" w:name="page366"/>
    <w:bookmarkEnd w:id="365"/>
    <w:p>
      <w:pPr>
        <w:jc w:val="right"/>
        <w:spacing w:after="0"/>
        <w:rPr>
          <w:sz w:val="20"/>
          <w:szCs w:val="20"/>
          <w:color w:val="auto"/>
        </w:rPr>
      </w:pPr>
      <w:r>
        <w:rPr>
          <w:rFonts w:ascii="Times New Roman" w:cs="Times New Roman" w:eastAsia="Times New Roman" w:hAnsi="Times New Roman"/>
          <w:sz w:val="22"/>
          <w:szCs w:val="22"/>
          <w:color w:val="FF0000"/>
          <w:strike w:val="1"/>
        </w:rPr>
        <w:t>ANNEX</w:t>
      </w:r>
      <w:r>
        <w:rPr>
          <w:rFonts w:ascii="Times New Roman" w:cs="Times New Roman" w:eastAsia="Times New Roman" w:hAnsi="Times New Roman"/>
          <w:sz w:val="22"/>
          <w:szCs w:val="22"/>
          <w:b w:val="1"/>
          <w:bCs w:val="1"/>
          <w:u w:val="single" w:color="auto"/>
          <w:color w:val="0000FF"/>
        </w:rPr>
        <w:t>EXHIBIT</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Syndication Agents, the Documentation Agents, each of their respective Affiliates, successors and assignors, and each of their respective directors, officers, employees, agents, trustees, advisors and members (each such person being called an “</w:t>
      </w:r>
      <w:r>
        <w:rPr>
          <w:rFonts w:ascii="Times New Roman" w:cs="Times New Roman" w:eastAsia="Times New Roman" w:hAnsi="Times New Roman"/>
          <w:sz w:val="20"/>
          <w:szCs w:val="20"/>
          <w:u w:val="single" w:color="auto"/>
          <w:color w:val="auto"/>
        </w:rPr>
        <w:t>Indemnitee</w:t>
      </w:r>
      <w:r>
        <w:rPr>
          <w:rFonts w:ascii="Times New Roman" w:cs="Times New Roman" w:eastAsia="Times New Roman" w:hAnsi="Times New Roman"/>
          <w:sz w:val="20"/>
          <w:szCs w:val="20"/>
          <w:color w:val="auto"/>
        </w:rPr>
        <w:t xml:space="preserve">”) against, and to hold each Indemnitee harmless from, any and all losses, claims, damages, liabilities and related expenses, including reasonable counsel fees, charges and disbursements (except with respect to the Collateral Agent, excluding the allocated costs of in house counsel, and limited to not more than one counsel for the Collateral Agent and not more than one counsel for all such other Indemnitees, taken as a whole, and, if necessary, a single local counsel in each appropriate jurisdiction for the Collateral Agent and a single local counsel in each appropriate jurisdiction for all such other Indemnitees, taken as a whole (and, in the case of an actual or perceived conflict of interest where the Indemnitee affected by such conflict informs the Borrower of such conflict and thereafter retains its own counsel with the Borrower’s prior written consent (not to be unreasonably withheld) of another firm of counsel for such affected Indemnitee)), incurred by or asserted against any Indemnitee arising out of, in any way connected with, or as a result of (i) the execution or delivery of this Agreement or any other Loan Document or any agreement or instrument contemplated hereby or thereby, the performance by the parties hereto and thereto of their respective obligations thereunder or the consummation of the Transactions, the 2021 Transactions and the other transactions contemplated hereby, (ii) the use of the proceeds of the Loans or the use of any Letter of Credit (including any refusal by any Issuing Bank to honor a demand for payment under a Letter of Credit if the documents presented in connection with such demand do not strictly comply with the terms of such Letter of Credit), (iii) any violation of or liability under Environmental Laws by the Borrower or any Subsidiary, (iv) any actual or alleged presence, Release or threatened Release of or exposure to Hazardous Materials at, under, on, from or to any property owned, leased or operated by the Borrower or any Subsidiary or (v) any claim, litigation, investigation or proceeding relating to any of the foregoing, whether or not any Indemnitee is a party thereto and regardless of whether such matter is initiated by a third party or by Holdings, the Borrower or any of their subsidiaries or Affiliates;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such indemnity shall not, as to any Indemnitee, be available to the extent that such losses, claims, damages, liabilities or related expenses (x) are determined by a final, non-appealable judgment of a court of competent jurisdiction to have resulted from the gross negligence</w:t>
      </w:r>
      <w:r>
        <w:rPr>
          <w:rFonts w:ascii="Times New Roman" w:cs="Times New Roman" w:eastAsia="Times New Roman" w:hAnsi="Times New Roman"/>
          <w:sz w:val="20"/>
          <w:szCs w:val="20"/>
          <w:color w:val="FF0000"/>
          <w:strike w:val="1"/>
        </w:rPr>
        <w:t>, bad faith</w:t>
      </w:r>
      <w:r>
        <w:rPr>
          <w:rFonts w:ascii="Times New Roman" w:cs="Times New Roman" w:eastAsia="Times New Roman" w:hAnsi="Times New Roman"/>
          <w:sz w:val="20"/>
          <w:szCs w:val="20"/>
          <w:color w:val="auto"/>
        </w:rPr>
        <w:t xml:space="preserve"> or willful misconduct of such Indemnitee or any of its Related Parties, (y) except with respect to </w:t>
      </w:r>
      <w:r>
        <w:rPr>
          <w:rFonts w:ascii="Times New Roman" w:cs="Times New Roman" w:eastAsia="Times New Roman" w:hAnsi="Times New Roman"/>
          <w:sz w:val="20"/>
          <w:szCs w:val="20"/>
          <w:color w:val="FF0000"/>
          <w:strike w:val="1"/>
        </w:rPr>
        <w:t>the Collateral</w:t>
      </w:r>
      <w:r>
        <w:rPr>
          <w:rFonts w:ascii="Times New Roman" w:cs="Times New Roman" w:eastAsia="Times New Roman" w:hAnsi="Times New Roman"/>
          <w:sz w:val="20"/>
          <w:szCs w:val="20"/>
          <w:b w:val="1"/>
          <w:bCs w:val="1"/>
          <w:u w:val="single" w:color="auto"/>
          <w:color w:val="0000FF"/>
        </w:rPr>
        <w:t>any</w:t>
      </w:r>
      <w:r>
        <w:rPr>
          <w:rFonts w:ascii="Times New Roman" w:cs="Times New Roman" w:eastAsia="Times New Roman" w:hAnsi="Times New Roman"/>
          <w:sz w:val="20"/>
          <w:szCs w:val="20"/>
          <w:color w:val="auto"/>
        </w:rPr>
        <w:t xml:space="preserve"> Agent </w:t>
      </w:r>
      <w:r>
        <w:rPr>
          <w:rFonts w:ascii="Times New Roman" w:cs="Times New Roman" w:eastAsia="Times New Roman" w:hAnsi="Times New Roman"/>
          <w:sz w:val="20"/>
          <w:szCs w:val="20"/>
          <w:b w:val="1"/>
          <w:bCs w:val="1"/>
          <w:u w:val="single" w:color="auto"/>
          <w:color w:val="0000FF"/>
        </w:rPr>
        <w:t>(acting in its capacity as such)</w:t>
      </w:r>
      <w:r>
        <w:rPr>
          <w:rFonts w:ascii="Times New Roman" w:cs="Times New Roman" w:eastAsia="Times New Roman" w:hAnsi="Times New Roman"/>
          <w:sz w:val="20"/>
          <w:szCs w:val="20"/>
          <w:color w:val="auto"/>
        </w:rPr>
        <w:t xml:space="preserve"> or any other Indemnities affiliated therewith, arose from a material breach of such Indemnitee’s or any of its Related Parties’ obligations under any Loan Document (as determined by a court of competent jurisdiction in a final, non-appealable judgment) or (z) except with respect to </w:t>
      </w:r>
      <w:r>
        <w:rPr>
          <w:rFonts w:ascii="Times New Roman" w:cs="Times New Roman" w:eastAsia="Times New Roman" w:hAnsi="Times New Roman"/>
          <w:sz w:val="20"/>
          <w:szCs w:val="20"/>
          <w:color w:val="FF0000"/>
          <w:strike w:val="1"/>
        </w:rPr>
        <w:t>the Collateral</w:t>
      </w:r>
      <w:r>
        <w:rPr>
          <w:rFonts w:ascii="Times New Roman" w:cs="Times New Roman" w:eastAsia="Times New Roman" w:hAnsi="Times New Roman"/>
          <w:sz w:val="20"/>
          <w:szCs w:val="20"/>
          <w:b w:val="1"/>
          <w:bCs w:val="1"/>
          <w:u w:val="single" w:color="auto"/>
          <w:color w:val="0000FF"/>
        </w:rPr>
        <w:t>any</w:t>
      </w:r>
      <w:r>
        <w:rPr>
          <w:rFonts w:ascii="Times New Roman" w:cs="Times New Roman" w:eastAsia="Times New Roman" w:hAnsi="Times New Roman"/>
          <w:sz w:val="20"/>
          <w:szCs w:val="20"/>
          <w:color w:val="auto"/>
        </w:rPr>
        <w:t xml:space="preserve"> Agent </w:t>
      </w:r>
      <w:r>
        <w:rPr>
          <w:rFonts w:ascii="Times New Roman" w:cs="Times New Roman" w:eastAsia="Times New Roman" w:hAnsi="Times New Roman"/>
          <w:sz w:val="20"/>
          <w:szCs w:val="20"/>
          <w:b w:val="1"/>
          <w:bCs w:val="1"/>
          <w:u w:val="single" w:color="auto"/>
          <w:color w:val="0000FF"/>
        </w:rPr>
        <w:t>(acting in its capacity as such)</w:t>
      </w:r>
      <w:r>
        <w:rPr>
          <w:rFonts w:ascii="Times New Roman" w:cs="Times New Roman" w:eastAsia="Times New Roman" w:hAnsi="Times New Roman"/>
          <w:sz w:val="20"/>
          <w:szCs w:val="20"/>
          <w:b w:val="1"/>
          <w:bCs w:val="1"/>
          <w:color w:val="0000FF"/>
        </w:rPr>
        <w:t xml:space="preserve"> </w:t>
      </w:r>
      <w:r>
        <w:rPr>
          <w:rFonts w:ascii="Times New Roman" w:cs="Times New Roman" w:eastAsia="Times New Roman" w:hAnsi="Times New Roman"/>
          <w:sz w:val="20"/>
          <w:szCs w:val="20"/>
          <w:color w:val="000000"/>
        </w:rPr>
        <w:t>or any other Indemnitee affiliated therewith, arose from any claim, actions, suits, inquiries, litigation,</w:t>
      </w:r>
      <w:r>
        <w:rPr>
          <w:rFonts w:ascii="Times New Roman" w:cs="Times New Roman" w:eastAsia="Times New Roman" w:hAnsi="Times New Roman"/>
          <w:sz w:val="20"/>
          <w:szCs w:val="20"/>
          <w:b w:val="1"/>
          <w:bCs w:val="1"/>
          <w:color w:val="0000FF"/>
        </w:rPr>
        <w:t xml:space="preserve"> </w:t>
      </w:r>
      <w:r>
        <w:rPr>
          <w:rFonts w:ascii="Times New Roman" w:cs="Times New Roman" w:eastAsia="Times New Roman" w:hAnsi="Times New Roman"/>
          <w:sz w:val="20"/>
          <w:szCs w:val="20"/>
          <w:color w:val="000000"/>
        </w:rPr>
        <w:t>investigation or proceeding that does not involve an act or omission of the Borrower or any of its Affiliates and is brought by an Indemnitee against another Indemnitee (other than any claim, actions, suits, inquiries, litigation, investigation or proceeding against any Agent, Arranger or the Co-Manager in its capacity as such). None of the Indemnitees (or any of their respective affiliates) shall be responsible or liable to the Fund, Holdings, the Borrower or any of their respective subsidiaries, Affiliates or stockholders or any other person or entity for any special, indirect, consequential or punitive damages, which may be alleged as a result of the Facilities or the Transactions or the 2021 Transactions. The provisions of this Section 9.05 shall remain operative and in full force and effect regardless of the expiration of the term of this Agreement, the consummation of the transactions contemplated hereby, the repayment of any of the Obligations, the invalidity or unenforceability of any term or provision of this Agreement or any other Loan Document, or any investigation made by or on behalf of the Administrative Agent, any Issuing Bank or any Lender. All amounts due under this Section 9.05 shall be payable within 15 days after written demand therefor accompanied by reasonable documentation with respect to any reimbursement, indemnification or other amount requested.</w:t>
      </w:r>
    </w:p>
    <w:p>
      <w:pPr>
        <w:sectPr>
          <w:pgSz w:w="11900" w:h="16838" w:orient="portrait"/>
          <w:cols w:equalWidth="0" w:num="1">
            <w:col w:w="11120"/>
          </w:cols>
          <w:pgMar w:left="440" w:top="108" w:right="339" w:bottom="1440" w:gutter="0" w:footer="0" w:header="0"/>
        </w:sectPr>
      </w:pPr>
    </w:p>
    <w:bookmarkStart w:id="366" w:name="page367"/>
    <w:bookmarkEnd w:id="366"/>
    <w:p>
      <w:pPr>
        <w:jc w:val="right"/>
        <w:spacing w:after="0"/>
        <w:rPr>
          <w:sz w:val="20"/>
          <w:szCs w:val="20"/>
          <w:color w:val="auto"/>
        </w:rPr>
      </w:pPr>
      <w:r>
        <w:rPr>
          <w:rFonts w:ascii="Times New Roman" w:cs="Times New Roman" w:eastAsia="Times New Roman" w:hAnsi="Times New Roman"/>
          <w:sz w:val="22"/>
          <w:szCs w:val="22"/>
          <w:color w:val="FF0000"/>
          <w:strike w:val="1"/>
        </w:rPr>
        <w:t>ANNEX</w:t>
      </w:r>
      <w:r>
        <w:rPr>
          <w:rFonts w:ascii="Times New Roman" w:cs="Times New Roman" w:eastAsia="Times New Roman" w:hAnsi="Times New Roman"/>
          <w:sz w:val="22"/>
          <w:szCs w:val="22"/>
          <w:b w:val="1"/>
          <w:bCs w:val="1"/>
          <w:u w:val="single" w:color="auto"/>
          <w:color w:val="0000FF"/>
        </w:rPr>
        <w:t>EXHIBIT</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ind w:left="120" w:firstLine="1292"/>
        <w:spacing w:after="0" w:line="258" w:lineRule="auto"/>
        <w:tabs>
          <w:tab w:leader="none" w:pos="1870" w:val="left"/>
        </w:tabs>
        <w:numPr>
          <w:ilvl w:val="0"/>
          <w:numId w:val="3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expressly provided in Section 9.05(a) with respect to Other Taxes, which shall not be duplicative with any amounts paid pursuant to Section 2.17, this Section 9.05 shall not apply to any Taxes (other than Taxes that represent losses, claims, damages, liabilities and related expenses resulting from a non-Tax claim), which shall be governed exclusively by Section 2.17 and, to the extent set forth therein, Section 2.15.</w:t>
      </w:r>
    </w:p>
    <w:p>
      <w:pPr>
        <w:spacing w:after="0" w:line="158" w:lineRule="exact"/>
        <w:rPr>
          <w:rFonts w:ascii="Times New Roman" w:cs="Times New Roman" w:eastAsia="Times New Roman" w:hAnsi="Times New Roman"/>
          <w:sz w:val="20"/>
          <w:szCs w:val="20"/>
          <w:color w:val="auto"/>
        </w:rPr>
      </w:pPr>
    </w:p>
    <w:p>
      <w:pPr>
        <w:jc w:val="both"/>
        <w:ind w:left="120" w:firstLine="1292"/>
        <w:spacing w:after="0" w:line="253" w:lineRule="auto"/>
        <w:tabs>
          <w:tab w:leader="none" w:pos="1880" w:val="left"/>
        </w:tabs>
        <w:numPr>
          <w:ilvl w:val="0"/>
          <w:numId w:val="3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fullest extent permitted by applicable law, Holdings and the Borrower shall not assert, and hereby waive, any claim against any Indemnitee,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Loan or Letter of Credit or the use of the proceeds thereof. No Indemnitee shall be liable for any damages arising from the use by unintended recipients of any information or other materials distributed by it through telecommunications, electronic or other information transmission systems in connection with this Agreement or the other Loan Documents or the transactions contemplated hereby or thereby.</w:t>
      </w:r>
    </w:p>
    <w:p>
      <w:pPr>
        <w:spacing w:after="0" w:line="165" w:lineRule="exact"/>
        <w:rPr>
          <w:rFonts w:ascii="Times New Roman" w:cs="Times New Roman" w:eastAsia="Times New Roman" w:hAnsi="Times New Roman"/>
          <w:sz w:val="20"/>
          <w:szCs w:val="20"/>
          <w:color w:val="auto"/>
        </w:rPr>
      </w:pPr>
    </w:p>
    <w:p>
      <w:pPr>
        <w:jc w:val="both"/>
        <w:ind w:left="120" w:firstLine="1292"/>
        <w:spacing w:after="0" w:line="261" w:lineRule="auto"/>
        <w:tabs>
          <w:tab w:leader="none" w:pos="1984" w:val="left"/>
        </w:tabs>
        <w:numPr>
          <w:ilvl w:val="0"/>
          <w:numId w:val="3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agreements in this Section 9.05 shall survive the resignation or removal of the Administrative Agent, the Collateral Agent or any Issuing Bank, the replacement of any Lender, the termination of the Commitments and the repayment, satisfaction or discharge of all the other Obligations and the termination of this Agreement.</w:t>
      </w:r>
    </w:p>
    <w:p>
      <w:pPr>
        <w:spacing w:after="0" w:line="154" w:lineRule="exact"/>
        <w:rPr>
          <w:sz w:val="20"/>
          <w:szCs w:val="20"/>
          <w:color w:val="auto"/>
        </w:rPr>
      </w:pPr>
    </w:p>
    <w:p>
      <w:pPr>
        <w:jc w:val="both"/>
        <w:ind w:firstLine="1296"/>
        <w:spacing w:after="0" w:line="264" w:lineRule="auto"/>
        <w:rPr>
          <w:sz w:val="20"/>
          <w:szCs w:val="20"/>
          <w:color w:val="auto"/>
        </w:rPr>
      </w:pPr>
      <w:r>
        <w:rPr>
          <w:rFonts w:ascii="Times New Roman" w:cs="Times New Roman" w:eastAsia="Times New Roman" w:hAnsi="Times New Roman"/>
          <w:sz w:val="19"/>
          <w:szCs w:val="19"/>
          <w:color w:val="auto"/>
        </w:rPr>
        <w:t xml:space="preserve">Section 9.06 Right of Set-off. If an Event of Default shall have occurred and be continuing, each Lender and each Issuing Bank is hereby authorized at any time and from time to time, to the fullest extent permitted by law, to set off and apply any and all deposits (general or special, time or demand, provisional or final) at any time held and other Indebtedness at any time owing by such Lender or such Issuing Bank to or for the credit or the account of Holdings (prior to a Qualified IPO), the Borrower or any Subsidiary against any of and all the obligations of Holdings (prior to a Qualified IPO) or the Borrower now or hereafter existing under this Agreement or any other Loan Document held by such Lender or such Issuing Bank, irrespective of whether or not such Lender or such Issuing Bank shall have made any demand under this Agreement or such other Loan Document and although the obligations may be unmatured;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that in the event that any Defaulting Lender shall exercise any such right of setoff, (x) all amounts so set off shall be paid over immediately to the Administrative Agent for further application in accordance with the provisions of Section 2.22 and, pending such payment, shall be segregated by such Defaulting Lender from its other funds and deemed held in trust for the benefit of the Administrative Agent and the Lenders, and (y) the Defaulting Lender shall provide promptly to the Administrative Agent a statement describing in reasonable detail the Obligations owing to such Defaulting Lender as to which it exercised such right of setoff. The rights of each Lender and each Issuing Bank under this Section 9.06 are in addition to other rights and remedies (including other rights of set-off) that such Lender or such Issuing Bank may have.</w:t>
      </w:r>
    </w:p>
    <w:p>
      <w:pPr>
        <w:spacing w:after="0" w:line="170"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Section 9.07 Applicable Law. THIS AGREEMENT AND THE OTHER LOAN DOCUMENTS AND ANY CLAIMS, CONTROVERSY, DISPUTE OR CAUSES OF ACTION (WHETHER IN CONTRACT OR TORT OR OTHERWISE) BASED UPON, ARISING OUT OF OR RELATING TO THIS AGREEMENT OR ANY OTHER LOAN DOCUMENT (OTHER THAN AS EXPRESSLY SET FORTH IN OTHER LOAN DOCUMENTS) SHALL BE CONSTRUED IN ACCORDANCE WITH AND GOVERNED BY THE LAWS OF THE STATE OF NEW YORK, WITHOUT REGARD TO ANY PRINCIPLE OF CONFLICTS OF LAW THAT COULD REQUIRE THE APPLICATION OF ANY OTHER LAW.</w:t>
      </w:r>
    </w:p>
    <w:p>
      <w:pPr>
        <w:sectPr>
          <w:pgSz w:w="11900" w:h="16838" w:orient="portrait"/>
          <w:cols w:equalWidth="0" w:num="1">
            <w:col w:w="11240"/>
          </w:cols>
          <w:pgMar w:left="320" w:top="108" w:right="339" w:bottom="1440" w:gutter="0" w:footer="0" w:header="0"/>
        </w:sectPr>
      </w:pPr>
    </w:p>
    <w:bookmarkStart w:id="367" w:name="page368"/>
    <w:bookmarkEnd w:id="367"/>
    <w:p>
      <w:pPr>
        <w:ind w:left="9360"/>
        <w:spacing w:after="0"/>
        <w:rPr>
          <w:sz w:val="20"/>
          <w:szCs w:val="20"/>
          <w:color w:val="auto"/>
        </w:rPr>
      </w:pPr>
      <w:r>
        <w:rPr>
          <w:rFonts w:ascii="Times New Roman" w:cs="Times New Roman" w:eastAsia="Times New Roman" w:hAnsi="Times New Roman"/>
          <w:sz w:val="21"/>
          <w:szCs w:val="21"/>
          <w:color w:val="FF0000"/>
          <w:strike w:val="1"/>
        </w:rPr>
        <w:t>ANNEX</w:t>
      </w:r>
      <w:r>
        <w:rPr>
          <w:rFonts w:ascii="Times New Roman" w:cs="Times New Roman" w:eastAsia="Times New Roman" w:hAnsi="Times New Roman"/>
          <w:sz w:val="21"/>
          <w:szCs w:val="21"/>
          <w:b w:val="1"/>
          <w:bCs w:val="1"/>
          <w:u w:val="single" w:color="auto"/>
          <w:color w:val="0000FF"/>
        </w:rPr>
        <w:t>EXHIBIT</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000000"/>
        </w:rPr>
        <w: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ind w:firstLine="1296"/>
        <w:spacing w:after="0" w:line="264" w:lineRule="auto"/>
        <w:rPr>
          <w:sz w:val="20"/>
          <w:szCs w:val="20"/>
          <w:color w:val="auto"/>
        </w:rPr>
      </w:pPr>
      <w:r>
        <w:rPr>
          <w:rFonts w:ascii="Times New Roman" w:cs="Times New Roman" w:eastAsia="Times New Roman" w:hAnsi="Times New Roman"/>
          <w:sz w:val="19"/>
          <w:szCs w:val="19"/>
          <w:color w:val="auto"/>
        </w:rPr>
        <w:t xml:space="preserve">Section 9.08 Waivers; Amendment. (a) No failure or delay of </w:t>
      </w:r>
      <w:r>
        <w:rPr>
          <w:rFonts w:ascii="Times New Roman" w:cs="Times New Roman" w:eastAsia="Times New Roman" w:hAnsi="Times New Roman"/>
          <w:sz w:val="19"/>
          <w:szCs w:val="19"/>
          <w:color w:val="FF0000"/>
          <w:strike w:val="1"/>
        </w:rPr>
        <w:t>the Administrative</w:t>
      </w:r>
      <w:r>
        <w:rPr>
          <w:rFonts w:ascii="Times New Roman" w:cs="Times New Roman" w:eastAsia="Times New Roman" w:hAnsi="Times New Roman"/>
          <w:sz w:val="19"/>
          <w:szCs w:val="19"/>
          <w:b w:val="1"/>
          <w:bCs w:val="1"/>
          <w:u w:val="single" w:color="auto"/>
          <w:color w:val="0000FF"/>
        </w:rPr>
        <w:t>any</w:t>
      </w:r>
      <w:r>
        <w:rPr>
          <w:rFonts w:ascii="Times New Roman" w:cs="Times New Roman" w:eastAsia="Times New Roman" w:hAnsi="Times New Roman"/>
          <w:sz w:val="19"/>
          <w:szCs w:val="19"/>
          <w:color w:val="auto"/>
        </w:rPr>
        <w:t xml:space="preserve"> Agent, any Issuing Bank or any Lender in exercising any right or power hereunder or under any Loan Document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w:t>
      </w:r>
      <w:r>
        <w:rPr>
          <w:rFonts w:ascii="Times New Roman" w:cs="Times New Roman" w:eastAsia="Times New Roman" w:hAnsi="Times New Roman"/>
          <w:sz w:val="19"/>
          <w:szCs w:val="19"/>
          <w:color w:val="FF0000"/>
          <w:strike w:val="1"/>
        </w:rPr>
        <w:t>Administrative Agent</w:t>
      </w:r>
      <w:r>
        <w:rPr>
          <w:rFonts w:ascii="Times New Roman" w:cs="Times New Roman" w:eastAsia="Times New Roman" w:hAnsi="Times New Roman"/>
          <w:sz w:val="19"/>
          <w:szCs w:val="19"/>
          <w:b w:val="1"/>
          <w:bCs w:val="1"/>
          <w:u w:val="single" w:color="auto"/>
          <w:color w:val="0000FF"/>
        </w:rPr>
        <w:t>Agents</w:t>
      </w:r>
      <w:r>
        <w:rPr>
          <w:rFonts w:ascii="Times New Roman" w:cs="Times New Roman" w:eastAsia="Times New Roman" w:hAnsi="Times New Roman"/>
          <w:sz w:val="19"/>
          <w:szCs w:val="19"/>
          <w:color w:val="auto"/>
        </w:rPr>
        <w:t>, each Issuing Bank and the Lenders hereunder and under the other Loan Documents are cumulative and are not exclusive of any rights or remedies that they would otherwise have. No waiver of any provision of this Agreement or any other Loan Document or consent to any departure by Holdings, the Borrower or any other Loan Party therefrom shall in any event be effective unless the same shall be permitted by clause</w:t>
      </w:r>
    </w:p>
    <w:p>
      <w:pPr>
        <w:spacing w:after="0" w:line="4" w:lineRule="exact"/>
        <w:rPr>
          <w:sz w:val="20"/>
          <w:szCs w:val="20"/>
          <w:color w:val="auto"/>
        </w:rPr>
      </w:pPr>
    </w:p>
    <w:p>
      <w:pPr>
        <w:jc w:val="both"/>
        <w:ind w:firstLine="8"/>
        <w:spacing w:after="0" w:line="249" w:lineRule="auto"/>
        <w:tabs>
          <w:tab w:leader="none" w:pos="288" w:val="left"/>
        </w:tabs>
        <w:numPr>
          <w:ilvl w:val="0"/>
          <w:numId w:val="3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below, and then such waiver or consent shall be effective only in the specific instance and for the purpose for which given. No notice or demand on Holdings, the Borrower or any other Loan Party in any case shall entitle such person to any other or further notice or demand in similar or other circumstances.</w:t>
      </w:r>
    </w:p>
    <w:p>
      <w:pPr>
        <w:spacing w:after="0" w:line="180" w:lineRule="exact"/>
        <w:rPr>
          <w:rFonts w:ascii="Times New Roman" w:cs="Times New Roman" w:eastAsia="Times New Roman" w:hAnsi="Times New Roman"/>
          <w:sz w:val="20"/>
          <w:szCs w:val="20"/>
          <w:color w:val="auto"/>
        </w:rPr>
      </w:pPr>
    </w:p>
    <w:p>
      <w:pPr>
        <w:jc w:val="both"/>
        <w:ind w:left="120" w:firstLine="1292"/>
        <w:spacing w:after="0" w:line="250" w:lineRule="auto"/>
        <w:tabs>
          <w:tab w:leader="none" w:pos="1845" w:val="left"/>
        </w:tabs>
        <w:numPr>
          <w:ilvl w:val="1"/>
          <w:numId w:val="3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Neither this Agreement nor any other Loan Document nor any provision hereof or thereof may be waived, amended or modified except (x) as provided in Section 2.21, (y) in the case of this Agreement, pursuant to an agreement or agreements in writing entered into by Holdings (prior to a Qualified IPO), the Borrower and the Required Lenders (or, (A) in respect of any waiver, amendment or modification of Section 6.11 (or any Default or Event of Default in respect thereof) or of Section 4.01 after the Closing Date, the Required Revolving Facility Lenders voting as a single Class, rather than the Required Lenders, or (B) in respect of any waiver, amendment or modification of Section 2.11(b) or (c), the Required Prepayment Lenders, rather than the Required Lenders), </w:t>
      </w:r>
      <w:r>
        <w:rPr>
          <w:rFonts w:ascii="Times New Roman" w:cs="Times New Roman" w:eastAsia="Times New Roman" w:hAnsi="Times New Roman"/>
          <w:sz w:val="20"/>
          <w:szCs w:val="20"/>
          <w:b w:val="1"/>
          <w:bCs w:val="1"/>
          <w:u w:val="single" w:color="auto"/>
          <w:color w:val="0000FF"/>
        </w:rPr>
        <w:t>in each case acknowledged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u w:val="single" w:color="auto"/>
          <w:color w:val="008000"/>
        </w:rPr>
        <w:t>by the Administrative Agent,</w:t>
      </w:r>
      <w:r>
        <w:rPr>
          <w:rFonts w:ascii="Times New Roman" w:cs="Times New Roman" w:eastAsia="Times New Roman" w:hAnsi="Times New Roman"/>
          <w:sz w:val="20"/>
          <w:szCs w:val="20"/>
          <w:b w:val="1"/>
          <w:bCs w:val="1"/>
          <w:color w:val="008000"/>
        </w:rPr>
        <w:t xml:space="preserve"> </w:t>
      </w:r>
      <w:r>
        <w:rPr>
          <w:rFonts w:ascii="Times New Roman" w:cs="Times New Roman" w:eastAsia="Times New Roman" w:hAnsi="Times New Roman"/>
          <w:sz w:val="20"/>
          <w:szCs w:val="20"/>
          <w:color w:val="000000"/>
        </w:rPr>
        <w:t>and (z) in the case of any other Loan Document, pursuant to an agreement or agreements in writing entered</w:t>
      </w:r>
      <w:r>
        <w:rPr>
          <w:rFonts w:ascii="Times New Roman" w:cs="Times New Roman" w:eastAsia="Times New Roman" w:hAnsi="Times New Roman"/>
          <w:sz w:val="20"/>
          <w:szCs w:val="20"/>
          <w:b w:val="1"/>
          <w:bCs w:val="1"/>
          <w:color w:val="008000"/>
        </w:rPr>
        <w:t xml:space="preserve"> </w:t>
      </w:r>
      <w:r>
        <w:rPr>
          <w:rFonts w:ascii="Times New Roman" w:cs="Times New Roman" w:eastAsia="Times New Roman" w:hAnsi="Times New Roman"/>
          <w:sz w:val="20"/>
          <w:szCs w:val="20"/>
          <w:color w:val="000000"/>
        </w:rPr>
        <w:t xml:space="preserve">into by each Loan Party party thereto and the Administrative Agent and consented to by the Required Lenders; </w:t>
      </w:r>
      <w:r>
        <w:rPr>
          <w:rFonts w:ascii="Times New Roman" w:cs="Times New Roman" w:eastAsia="Times New Roman" w:hAnsi="Times New Roman"/>
          <w:sz w:val="20"/>
          <w:szCs w:val="20"/>
          <w:u w:val="single" w:color="auto"/>
          <w:color w:val="000000"/>
        </w:rPr>
        <w:t>provided</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u w:val="single" w:color="auto"/>
          <w:color w:val="000000"/>
        </w:rPr>
        <w:t>however</w:t>
      </w:r>
      <w:r>
        <w:rPr>
          <w:rFonts w:ascii="Times New Roman" w:cs="Times New Roman" w:eastAsia="Times New Roman" w:hAnsi="Times New Roman"/>
          <w:sz w:val="20"/>
          <w:szCs w:val="20"/>
          <w:color w:val="000000"/>
        </w:rPr>
        <w:t>, that no such agreement shall:</w:t>
      </w:r>
    </w:p>
    <w:p>
      <w:pPr>
        <w:spacing w:after="0" w:line="179" w:lineRule="exact"/>
        <w:rPr>
          <w:rFonts w:ascii="Times New Roman" w:cs="Times New Roman" w:eastAsia="Times New Roman" w:hAnsi="Times New Roman"/>
          <w:sz w:val="20"/>
          <w:szCs w:val="20"/>
          <w:color w:val="auto"/>
        </w:rPr>
      </w:pPr>
    </w:p>
    <w:p>
      <w:pPr>
        <w:jc w:val="both"/>
        <w:ind w:left="660" w:firstLine="1292"/>
        <w:spacing w:after="0" w:line="253" w:lineRule="auto"/>
        <w:tabs>
          <w:tab w:leader="none" w:pos="2381" w:val="left"/>
        </w:tabs>
        <w:numPr>
          <w:ilvl w:val="2"/>
          <w:numId w:val="3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decrease or forgive the principal amount of, or extend the final maturity of, or decrease the rate of interest on, any Loan or any L/C Disbursement, or extend the stated expiration of any Letter of Credit beyond the applicable Revolving Facility Maturity Date (except as provided in Section 2.05(c)), without the prior written consent of each Lender directly adversely affected thereby (which, notwithstanding the foregoing, such consent of such Lender directly adversely affected thereby shall be the only consent required hereunder to make such modification);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any amendment to the financial definitions in this Agreement shall not constitute a reduction in the rate of interest for purposes of this clause (i),</w:t>
      </w:r>
    </w:p>
    <w:p>
      <w:pPr>
        <w:spacing w:after="0" w:line="165" w:lineRule="exact"/>
        <w:rPr>
          <w:rFonts w:ascii="Times New Roman" w:cs="Times New Roman" w:eastAsia="Times New Roman" w:hAnsi="Times New Roman"/>
          <w:sz w:val="20"/>
          <w:szCs w:val="20"/>
          <w:color w:val="auto"/>
        </w:rPr>
      </w:pPr>
    </w:p>
    <w:p>
      <w:pPr>
        <w:jc w:val="both"/>
        <w:ind w:left="660" w:firstLine="1292"/>
        <w:spacing w:after="0" w:line="253" w:lineRule="auto"/>
        <w:tabs>
          <w:tab w:leader="none" w:pos="2438" w:val="left"/>
        </w:tabs>
        <w:numPr>
          <w:ilvl w:val="2"/>
          <w:numId w:val="3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increase or extend the Commitment of any Lender, or decrease the Commitment Fees, L/C Participation Fees or any other Fees of any Lender without the prior written consent of such Lender (which, notwithstanding the foregoing, such consent of such Lender shall be the only consent required hereunder to make such modification);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waivers or modifications of conditions precedent, covenants, Defaults or Events of Default, mandatory prepayments or of a mandatory reduction in the aggregate Commitments shall not constitute an increase or extension of the Commitments of any Lender for purposes of this clause (ii),</w:t>
      </w:r>
    </w:p>
    <w:p>
      <w:pPr>
        <w:spacing w:after="0" w:line="165" w:lineRule="exact"/>
        <w:rPr>
          <w:rFonts w:ascii="Times New Roman" w:cs="Times New Roman" w:eastAsia="Times New Roman" w:hAnsi="Times New Roman"/>
          <w:sz w:val="20"/>
          <w:szCs w:val="20"/>
          <w:color w:val="auto"/>
        </w:rPr>
      </w:pPr>
    </w:p>
    <w:p>
      <w:pPr>
        <w:jc w:val="both"/>
        <w:ind w:left="660" w:firstLine="1292"/>
        <w:spacing w:after="0" w:line="258" w:lineRule="auto"/>
        <w:tabs>
          <w:tab w:leader="none" w:pos="2528" w:val="left"/>
        </w:tabs>
        <w:numPr>
          <w:ilvl w:val="2"/>
          <w:numId w:val="3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extend or waive any Term Loan Installment Date or reduce the amount due on any Term Loan Installment Date or extend any date on which payment of interest on any Loan or any L/C Disbursement or any Fees is due, without the prior written consent of each Lender directly adversely affected thereby (which, notwithstanding the foregoing, such consent of such Lender directly adversely affected thereby shall be the only consent required hereunder to make such modification),</w:t>
      </w:r>
    </w:p>
    <w:p>
      <w:pPr>
        <w:sectPr>
          <w:pgSz w:w="11900" w:h="16838" w:orient="portrait"/>
          <w:cols w:equalWidth="0" w:num="1">
            <w:col w:w="11240"/>
          </w:cols>
          <w:pgMar w:left="320" w:top="108" w:right="339" w:bottom="1440" w:gutter="0" w:footer="0" w:header="0"/>
        </w:sectPr>
      </w:pPr>
    </w:p>
    <w:bookmarkStart w:id="368" w:name="page369"/>
    <w:bookmarkEnd w:id="368"/>
    <w:p>
      <w:pPr>
        <w:jc w:val="right"/>
        <w:spacing w:after="0"/>
        <w:rPr>
          <w:sz w:val="20"/>
          <w:szCs w:val="20"/>
          <w:color w:val="auto"/>
        </w:rPr>
      </w:pPr>
      <w:r>
        <w:rPr>
          <w:rFonts w:ascii="Times New Roman" w:cs="Times New Roman" w:eastAsia="Times New Roman" w:hAnsi="Times New Roman"/>
          <w:sz w:val="22"/>
          <w:szCs w:val="22"/>
          <w:color w:val="FF0000"/>
          <w:strike w:val="1"/>
        </w:rPr>
        <w:t>ANNEX</w:t>
      </w:r>
      <w:r>
        <w:rPr>
          <w:rFonts w:ascii="Times New Roman" w:cs="Times New Roman" w:eastAsia="Times New Roman" w:hAnsi="Times New Roman"/>
          <w:sz w:val="22"/>
          <w:szCs w:val="22"/>
          <w:b w:val="1"/>
          <w:bCs w:val="1"/>
          <w:u w:val="single" w:color="auto"/>
          <w:color w:val="0000FF"/>
        </w:rPr>
        <w:t>EXHIBIT</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ind w:left="660" w:firstLine="1292"/>
        <w:spacing w:after="0" w:line="258" w:lineRule="auto"/>
        <w:tabs>
          <w:tab w:leader="none" w:pos="2447" w:val="left"/>
        </w:tabs>
        <w:numPr>
          <w:ilvl w:val="0"/>
          <w:numId w:val="3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amend the provisions of Section 7.02 with respect to the </w:t>
      </w:r>
      <w:r>
        <w:rPr>
          <w:rFonts w:ascii="Times New Roman" w:cs="Times New Roman" w:eastAsia="Times New Roman" w:hAnsi="Times New Roman"/>
          <w:sz w:val="20"/>
          <w:szCs w:val="20"/>
          <w:u w:val="single" w:color="auto"/>
          <w:color w:val="auto"/>
        </w:rPr>
        <w:t>pro rata</w:t>
      </w:r>
      <w:r>
        <w:rPr>
          <w:rFonts w:ascii="Times New Roman" w:cs="Times New Roman" w:eastAsia="Times New Roman" w:hAnsi="Times New Roman"/>
          <w:sz w:val="20"/>
          <w:szCs w:val="20"/>
          <w:color w:val="auto"/>
        </w:rPr>
        <w:t xml:space="preserve"> application of payments required thereby in a manner that by its terms modifies the application of such payments required thereby to be on a less than pro rata basis, without the prior written consent of each Lender adversely affected thereby (which, notwithstanding the foregoing, such consent of such Lender directly adversely affected thereby shall be the only consent required hereunder to make such modification),</w:t>
      </w:r>
    </w:p>
    <w:p>
      <w:pPr>
        <w:spacing w:after="0" w:line="158" w:lineRule="exact"/>
        <w:rPr>
          <w:rFonts w:ascii="Times New Roman" w:cs="Times New Roman" w:eastAsia="Times New Roman" w:hAnsi="Times New Roman"/>
          <w:sz w:val="20"/>
          <w:szCs w:val="20"/>
          <w:color w:val="auto"/>
        </w:rPr>
      </w:pPr>
    </w:p>
    <w:p>
      <w:pPr>
        <w:jc w:val="both"/>
        <w:ind w:left="660" w:firstLine="1292"/>
        <w:spacing w:after="0" w:line="253" w:lineRule="auto"/>
        <w:tabs>
          <w:tab w:leader="none" w:pos="2530" w:val="left"/>
        </w:tabs>
        <w:numPr>
          <w:ilvl w:val="0"/>
          <w:numId w:val="3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amend or modify the provisions of this Section 9.08 or the definition of the terms “Required Lenders,” “Majority Lenders,” “Required Revolving Facility Lenders” or any other provision hereof specifying the number or percentage of Lenders required to waive, amend or modify any rights hereunder or make any determination or grant any consent hereunder, without the prior written consent of each Lender adversely affected thereby, in each case except, for the avoidance of doubt, as otherwise provided in Section 9.08(d) and (e) (it being understood that, with the consent of the Required Lenders, additional extensions of credit pursuant to this Agreement may be included in the determination of the Required Lenders on substantially the same basis as the Loans and Commitments are included on the Closing Date),</w:t>
      </w:r>
    </w:p>
    <w:p>
      <w:pPr>
        <w:spacing w:after="0" w:line="165" w:lineRule="exact"/>
        <w:rPr>
          <w:rFonts w:ascii="Times New Roman" w:cs="Times New Roman" w:eastAsia="Times New Roman" w:hAnsi="Times New Roman"/>
          <w:sz w:val="20"/>
          <w:szCs w:val="20"/>
          <w:color w:val="auto"/>
        </w:rPr>
      </w:pPr>
    </w:p>
    <w:p>
      <w:pPr>
        <w:jc w:val="both"/>
        <w:ind w:left="660" w:firstLine="1292"/>
        <w:spacing w:after="0" w:line="258" w:lineRule="auto"/>
        <w:tabs>
          <w:tab w:leader="none" w:pos="2494" w:val="left"/>
        </w:tabs>
        <w:numPr>
          <w:ilvl w:val="0"/>
          <w:numId w:val="3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release all or substantially all of the Collateral or all or substantially all of the Subsidiary Loan Parties from their respective Guarantees under the Subsidiary Guarantee Agreement, unless, in the case of a Subsidiary Loan Party, all or substantially all the Equity Interests of such Subsidiary Loan Party is sold or otherwise disposed of in a transaction permitted by this Agreement, without the prior written consent of each Lender other than a Defaulting Lender,</w:t>
      </w:r>
    </w:p>
    <w:p>
      <w:pPr>
        <w:spacing w:after="0" w:line="158" w:lineRule="exact"/>
        <w:rPr>
          <w:rFonts w:ascii="Times New Roman" w:cs="Times New Roman" w:eastAsia="Times New Roman" w:hAnsi="Times New Roman"/>
          <w:sz w:val="20"/>
          <w:szCs w:val="20"/>
          <w:color w:val="auto"/>
        </w:rPr>
      </w:pPr>
    </w:p>
    <w:p>
      <w:pPr>
        <w:jc w:val="both"/>
        <w:ind w:left="660" w:firstLine="1292"/>
        <w:spacing w:after="0" w:line="253" w:lineRule="auto"/>
        <w:tabs>
          <w:tab w:leader="none" w:pos="2608" w:val="left"/>
        </w:tabs>
        <w:numPr>
          <w:ilvl w:val="0"/>
          <w:numId w:val="3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effect any waiver, amendment or modification that by its terms adversely affects the rights in respect of payments or collateral of Lenders participating in any Facility differently from those of Lenders participating in another Facility, without the consent of the Majority Lenders participating in the adversely affected Facility except, for the avoidance of doubt, as otherwise provided in Section 9.08(d) and (e) (it being agreed that the Required Lenders may waive, in whole or in part, any prepayment or Commitment reduction required by Section 2.11 so long as the application of any prepayment or Commitment reduction still required to be made is not changed);</w:t>
      </w:r>
    </w:p>
    <w:p>
      <w:pPr>
        <w:spacing w:after="0" w:line="16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xml:space="preserve">, that no such agreement shall amend, modify or otherwise affect the rights </w:t>
      </w:r>
      <w:r>
        <w:rPr>
          <w:rFonts w:ascii="Times New Roman" w:cs="Times New Roman" w:eastAsia="Times New Roman" w:hAnsi="Times New Roman"/>
          <w:sz w:val="20"/>
          <w:szCs w:val="20"/>
          <w:color w:val="FF0000"/>
        </w:rPr>
        <w:t>or</w:t>
      </w:r>
      <w:r>
        <w:rPr>
          <w:rFonts w:ascii="Times New Roman" w:cs="Times New Roman" w:eastAsia="Times New Roman" w:hAnsi="Times New Roman"/>
          <w:sz w:val="20"/>
          <w:szCs w:val="20"/>
          <w:b w:val="1"/>
          <w:bCs w:val="1"/>
          <w:u w:val="single" w:color="auto"/>
          <w:color w:val="0000FF"/>
        </w:rPr>
        <w:t>,</w:t>
      </w:r>
      <w:r>
        <w:rPr>
          <w:rFonts w:ascii="Times New Roman" w:cs="Times New Roman" w:eastAsia="Times New Roman" w:hAnsi="Times New Roman"/>
          <w:sz w:val="20"/>
          <w:szCs w:val="20"/>
          <w:color w:val="auto"/>
        </w:rPr>
        <w:t xml:space="preserve"> duties</w:t>
      </w:r>
      <w:r>
        <w:rPr>
          <w:rFonts w:ascii="Times New Roman" w:cs="Times New Roman" w:eastAsia="Times New Roman" w:hAnsi="Times New Roman"/>
          <w:sz w:val="20"/>
          <w:szCs w:val="20"/>
          <w:b w:val="1"/>
          <w:bCs w:val="1"/>
          <w:u w:val="single" w:color="auto"/>
          <w:color w:val="0000FF"/>
        </w:rPr>
        <w:t>, benefits, privileges, protections,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u w:val="single" w:color="auto"/>
          <w:color w:val="0000FF"/>
        </w:rPr>
        <w:t>indemnities or immunities</w:t>
      </w:r>
      <w:r>
        <w:rPr>
          <w:rFonts w:ascii="Times New Roman" w:cs="Times New Roman" w:eastAsia="Times New Roman" w:hAnsi="Times New Roman"/>
          <w:sz w:val="20"/>
          <w:szCs w:val="20"/>
          <w:b w:val="1"/>
          <w:bCs w:val="1"/>
          <w:color w:val="0000FF"/>
        </w:rPr>
        <w:t xml:space="preserve"> </w:t>
      </w:r>
      <w:r>
        <w:rPr>
          <w:rFonts w:ascii="Times New Roman" w:cs="Times New Roman" w:eastAsia="Times New Roman" w:hAnsi="Times New Roman"/>
          <w:sz w:val="20"/>
          <w:szCs w:val="20"/>
          <w:color w:val="000000"/>
        </w:rPr>
        <w:t>of the Collateral Agent, the Administrative Agent, Swingline Lender or an Issuing Bank hereunder without the</w:t>
      </w:r>
      <w:r>
        <w:rPr>
          <w:rFonts w:ascii="Times New Roman" w:cs="Times New Roman" w:eastAsia="Times New Roman" w:hAnsi="Times New Roman"/>
          <w:sz w:val="20"/>
          <w:szCs w:val="20"/>
          <w:b w:val="1"/>
          <w:bCs w:val="1"/>
          <w:color w:val="0000FF"/>
        </w:rPr>
        <w:t xml:space="preserve"> </w:t>
      </w:r>
      <w:r>
        <w:rPr>
          <w:rFonts w:ascii="Times New Roman" w:cs="Times New Roman" w:eastAsia="Times New Roman" w:hAnsi="Times New Roman"/>
          <w:sz w:val="20"/>
          <w:szCs w:val="20"/>
          <w:color w:val="000000"/>
        </w:rPr>
        <w:t>prior written consent of the Collateral Agent, the Administrative Agent, Swingline Lender or such Issuing Bank acting as such at the effective date of such agreement, as applicable. Each Lender shall be bound by any waiver, amendment or modification authorized by this Section 9.08 and any consent by any Lender pursuant to this Section 9.08 shall bind any Assignee of such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4803775</wp:posOffset>
            </wp:positionH>
            <wp:positionV relativeFrom="paragraph">
              <wp:posOffset>-686435</wp:posOffset>
            </wp:positionV>
            <wp:extent cx="14478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31">
                      <a:extLst>
                        <a:ext uri="{28A0092B-C50C-407E-A947-70E740481C1C}"/>
                      </a:extLst>
                    </a:blip>
                    <a:srcRect/>
                    <a:stretch>
                      <a:fillRect/>
                    </a:stretch>
                  </pic:blipFill>
                  <pic:spPr bwMode="auto">
                    <a:xfrm>
                      <a:off x="0" y="0"/>
                      <a:ext cx="144780" cy="8890"/>
                    </a:xfrm>
                    <a:prstGeom prst="rect">
                      <a:avLst/>
                    </a:prstGeom>
                    <a:noFill/>
                  </pic:spPr>
                </pic:pic>
              </a:graphicData>
            </a:graphic>
          </wp:anchor>
        </w:drawing>
      </w:r>
    </w:p>
    <w:p>
      <w:pPr>
        <w:spacing w:after="0" w:line="158" w:lineRule="exact"/>
        <w:rPr>
          <w:sz w:val="20"/>
          <w:szCs w:val="20"/>
          <w:color w:val="auto"/>
        </w:rPr>
      </w:pPr>
    </w:p>
    <w:p>
      <w:pPr>
        <w:jc w:val="both"/>
        <w:ind w:firstLine="483"/>
        <w:spacing w:after="0" w:line="253" w:lineRule="auto"/>
        <w:rPr>
          <w:sz w:val="20"/>
          <w:szCs w:val="20"/>
          <w:color w:val="auto"/>
        </w:rPr>
      </w:pPr>
      <w:r>
        <w:rPr>
          <w:rFonts w:ascii="Times New Roman" w:cs="Times New Roman" w:eastAsia="Times New Roman" w:hAnsi="Times New Roman"/>
          <w:sz w:val="20"/>
          <w:szCs w:val="20"/>
          <w:color w:val="auto"/>
        </w:rPr>
        <w:t>Notwithstanding anything to the contrary herein, no Defaulting Lender shall have the right to approve or disapprove any amendment, waiver or consent hereunder (and any amendment, waiver or consent which by its terms requires the consent of all Lenders or each affected Lender may be affected with the consent of the applicable Lenders other than Defaulting Lenders), except that (x) the Commitment of any Defaulting Lender may not be increased or extended without the consent of such Lender and (y) any waiver, amendment or modification requiring the consent of all Lenders or each affected Lender that by its terms affects any Defaulting Lender disproportionately adversely relative to other affected Lenders shall require the consent of such Defaulting Lender.</w:t>
      </w:r>
    </w:p>
    <w:p>
      <w:pPr>
        <w:sectPr>
          <w:pgSz w:w="11900" w:h="16838" w:orient="portrait"/>
          <w:cols w:equalWidth="0" w:num="1">
            <w:col w:w="11240"/>
          </w:cols>
          <w:pgMar w:left="320" w:top="108" w:right="339" w:bottom="1440" w:gutter="0" w:footer="0" w:header="0"/>
        </w:sectPr>
      </w:pPr>
    </w:p>
    <w:bookmarkStart w:id="369" w:name="page370"/>
    <w:bookmarkEnd w:id="369"/>
    <w:p>
      <w:pPr>
        <w:jc w:val="right"/>
        <w:spacing w:after="0"/>
        <w:rPr>
          <w:sz w:val="20"/>
          <w:szCs w:val="20"/>
          <w:color w:val="auto"/>
        </w:rPr>
      </w:pPr>
      <w:r>
        <w:rPr>
          <w:rFonts w:ascii="Times New Roman" w:cs="Times New Roman" w:eastAsia="Times New Roman" w:hAnsi="Times New Roman"/>
          <w:sz w:val="22"/>
          <w:szCs w:val="22"/>
          <w:color w:val="FF0000"/>
          <w:strike w:val="1"/>
        </w:rPr>
        <w:t>ANNEX</w:t>
      </w:r>
      <w:r>
        <w:rPr>
          <w:rFonts w:ascii="Times New Roman" w:cs="Times New Roman" w:eastAsia="Times New Roman" w:hAnsi="Times New Roman"/>
          <w:sz w:val="22"/>
          <w:szCs w:val="22"/>
          <w:b w:val="1"/>
          <w:bCs w:val="1"/>
          <w:u w:val="single" w:color="auto"/>
          <w:color w:val="0000FF"/>
        </w:rPr>
        <w:t>EXHIBIT</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ind w:firstLine="1292"/>
        <w:spacing w:after="0" w:line="251" w:lineRule="auto"/>
        <w:tabs>
          <w:tab w:leader="none" w:pos="1746" w:val="left"/>
        </w:tabs>
        <w:numPr>
          <w:ilvl w:val="0"/>
          <w:numId w:val="3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the consent of any Lender or Issuing Bank, the Loan Parties and the Administrative Agent and/or Collateral Agent may (or shall, to the extent required by any Loan Document) enter into any amendment, modification or waiver of any Loan Document, or enter into any new agreement or instrument, to effect the granting, perfection, protection, expansion or enhancement of any security interest in any Collateral or additional property to become Collateral for the benefit of the Secured Parties, to include holders of Other First Liens in the benefit of the Security Documents in connection with the incurrence of any Other First Lien Debt, or as required by local law to give effect to, or protect any security interest for the benefit of the Secured Parties, in any property or so that the security interests therein comply with applicable law or this Agreement or in each case to otherwise enhance the rights or benefits of any Lender under any Loan Document.</w:t>
      </w:r>
    </w:p>
    <w:p>
      <w:pPr>
        <w:spacing w:after="0" w:line="168" w:lineRule="exact"/>
        <w:rPr>
          <w:rFonts w:ascii="Times New Roman" w:cs="Times New Roman" w:eastAsia="Times New Roman" w:hAnsi="Times New Roman"/>
          <w:sz w:val="20"/>
          <w:szCs w:val="20"/>
          <w:color w:val="auto"/>
        </w:rPr>
      </w:pPr>
    </w:p>
    <w:p>
      <w:pPr>
        <w:jc w:val="both"/>
        <w:ind w:firstLine="1292"/>
        <w:spacing w:after="0" w:line="253" w:lineRule="auto"/>
        <w:tabs>
          <w:tab w:leader="none" w:pos="1764" w:val="left"/>
        </w:tabs>
        <w:numPr>
          <w:ilvl w:val="0"/>
          <w:numId w:val="3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the foregoing, this Agreement may be amended (or amended and restated) with the written consent of the Required Lenders, the Administrative Agent, Holdings (prior to a Qualified IPO) and the Borrower (a) to permit additional extensions of credit to be outstanding hereunder from time to time and the accrued interest and fees and other obligations in respect thereof to share ratably in the benefits of this Agreement and the other Loan Documents with the Term Loans and the Revolving Facility Loans and the accrued interest and fees and other obligations in respect thereof and (b) to include appropriately the holders of such extensions of credit in any determination of the requisite lenders required hereunder, including Required Lenders, Required Prepayment Lenders and the Required Revolving Facility Lenders.</w:t>
      </w:r>
    </w:p>
    <w:p>
      <w:pPr>
        <w:spacing w:after="0" w:line="165" w:lineRule="exact"/>
        <w:rPr>
          <w:rFonts w:ascii="Times New Roman" w:cs="Times New Roman" w:eastAsia="Times New Roman" w:hAnsi="Times New Roman"/>
          <w:sz w:val="20"/>
          <w:szCs w:val="20"/>
          <w:color w:val="auto"/>
        </w:rPr>
      </w:pPr>
    </w:p>
    <w:p>
      <w:pPr>
        <w:jc w:val="both"/>
        <w:ind w:firstLine="1292"/>
        <w:spacing w:after="0" w:line="251" w:lineRule="auto"/>
        <w:tabs>
          <w:tab w:leader="none" w:pos="1716" w:val="left"/>
        </w:tabs>
        <w:numPr>
          <w:ilvl w:val="0"/>
          <w:numId w:val="3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the foregoing, technical and conforming modifications to the Loan Documents may be made with the consent of the Borrower and the Administrative Agent (but without the consent of any Lender) to the extent necessary (A) to integrate any Incremental Term Loan Commitments or Incremental Revolving Facility Commitments in a manner consistent with Section 2.21, including, with respect to Other Revolving Loans or Other Term Loans, as may be necessary to establish such Incremental Term Loan Commitments or Revolving Facility Commitments as a separate Class or tranche from the existing Term Loan Commitments or Incremental Revolving Facility Commitments, as applicable, and, in the case of Extended Term Loans, to reduce the amortization schedule of the related existing Class of Term Loans proportionately, (B) to integrate any Other First Lien Debt or (C) to cure any ambiguity, omission, defect or inconsistency.</w:t>
      </w:r>
    </w:p>
    <w:p>
      <w:pPr>
        <w:spacing w:after="0" w:line="181" w:lineRule="exact"/>
        <w:rPr>
          <w:rFonts w:ascii="Times New Roman" w:cs="Times New Roman" w:eastAsia="Times New Roman" w:hAnsi="Times New Roman"/>
          <w:sz w:val="20"/>
          <w:szCs w:val="20"/>
          <w:color w:val="auto"/>
        </w:rPr>
      </w:pPr>
    </w:p>
    <w:p>
      <w:pPr>
        <w:jc w:val="both"/>
        <w:ind w:firstLine="1292"/>
        <w:spacing w:after="0" w:line="250" w:lineRule="auto"/>
        <w:tabs>
          <w:tab w:leader="none" w:pos="1830" w:val="left"/>
        </w:tabs>
        <w:numPr>
          <w:ilvl w:val="0"/>
          <w:numId w:val="3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of the parties hereto hereby agrees that the Administrative Agent may take any and all action as may be necessary to ensure that all Term Loans established pursuant to Section 2.21 after the Closing Date that will be included in an existing Class of Term Loans outstanding on such date (an “</w:t>
      </w:r>
      <w:r>
        <w:rPr>
          <w:rFonts w:ascii="Times New Roman" w:cs="Times New Roman" w:eastAsia="Times New Roman" w:hAnsi="Times New Roman"/>
          <w:sz w:val="20"/>
          <w:szCs w:val="20"/>
          <w:u w:val="single" w:color="auto"/>
          <w:color w:val="auto"/>
        </w:rPr>
        <w:t>Applicable Date</w:t>
      </w:r>
      <w:r>
        <w:rPr>
          <w:rFonts w:ascii="Times New Roman" w:cs="Times New Roman" w:eastAsia="Times New Roman" w:hAnsi="Times New Roman"/>
          <w:sz w:val="20"/>
          <w:szCs w:val="20"/>
          <w:color w:val="auto"/>
        </w:rPr>
        <w:t>”), when originally made, are included in each Borrowing of outstanding Term Loans of such Class (the “</w:t>
      </w:r>
      <w:r>
        <w:rPr>
          <w:rFonts w:ascii="Times New Roman" w:cs="Times New Roman" w:eastAsia="Times New Roman" w:hAnsi="Times New Roman"/>
          <w:sz w:val="20"/>
          <w:szCs w:val="20"/>
          <w:u w:val="single" w:color="auto"/>
          <w:color w:val="auto"/>
        </w:rPr>
        <w:t>Existing Class Loans</w:t>
      </w:r>
      <w:r>
        <w:rPr>
          <w:rFonts w:ascii="Times New Roman" w:cs="Times New Roman" w:eastAsia="Times New Roman" w:hAnsi="Times New Roman"/>
          <w:sz w:val="20"/>
          <w:szCs w:val="20"/>
          <w:color w:val="auto"/>
        </w:rPr>
        <w:t>”), on a pro rata basis, and/or to ensure that, immediately after giving effect to such new Term Loans (the “</w:t>
      </w:r>
      <w:r>
        <w:rPr>
          <w:rFonts w:ascii="Times New Roman" w:cs="Times New Roman" w:eastAsia="Times New Roman" w:hAnsi="Times New Roman"/>
          <w:sz w:val="20"/>
          <w:szCs w:val="20"/>
          <w:u w:val="single" w:color="auto"/>
          <w:color w:val="auto"/>
        </w:rPr>
        <w:t>New Class Loans</w:t>
      </w:r>
      <w:r>
        <w:rPr>
          <w:rFonts w:ascii="Times New Roman" w:cs="Times New Roman" w:eastAsia="Times New Roman" w:hAnsi="Times New Roman"/>
          <w:sz w:val="20"/>
          <w:szCs w:val="20"/>
          <w:color w:val="auto"/>
        </w:rPr>
        <w:t>” and, together with the Existing Class Loans, the “</w:t>
      </w:r>
      <w:r>
        <w:rPr>
          <w:rFonts w:ascii="Times New Roman" w:cs="Times New Roman" w:eastAsia="Times New Roman" w:hAnsi="Times New Roman"/>
          <w:sz w:val="20"/>
          <w:szCs w:val="20"/>
          <w:u w:val="single" w:color="auto"/>
          <w:color w:val="auto"/>
        </w:rPr>
        <w:t>Class Loans</w:t>
      </w:r>
      <w:r>
        <w:rPr>
          <w:rFonts w:ascii="Times New Roman" w:cs="Times New Roman" w:eastAsia="Times New Roman" w:hAnsi="Times New Roman"/>
          <w:sz w:val="20"/>
          <w:szCs w:val="20"/>
          <w:color w:val="auto"/>
        </w:rPr>
        <w:t>”), each Lender holding Class Loans will be deemed to hold its Pro Rata Share of each Class Loan on the Applicable Date (but without changing the amount of any such Lender’s Term Loans), and each such Lender shall be deemed to have effectuated such assignments as shall be required to ensure the foregoing. The “</w:t>
      </w:r>
      <w:r>
        <w:rPr>
          <w:rFonts w:ascii="Times New Roman" w:cs="Times New Roman" w:eastAsia="Times New Roman" w:hAnsi="Times New Roman"/>
          <w:sz w:val="20"/>
          <w:szCs w:val="20"/>
          <w:u w:val="single" w:color="auto"/>
          <w:color w:val="auto"/>
        </w:rPr>
        <w:t>Pro Rata Share</w:t>
      </w:r>
      <w:r>
        <w:rPr>
          <w:rFonts w:ascii="Times New Roman" w:cs="Times New Roman" w:eastAsia="Times New Roman" w:hAnsi="Times New Roman"/>
          <w:sz w:val="20"/>
          <w:szCs w:val="20"/>
          <w:color w:val="auto"/>
        </w:rPr>
        <w:t xml:space="preserve">” of any Lender on the Applicable Date is the ratio of (1) the sum of such Lender’s Existing Class Loans immediately prior to the Applicable Date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the amount of New Class Loans made by such Lender on the Applicable Date </w:t>
      </w:r>
      <w:r>
        <w:rPr>
          <w:rFonts w:ascii="Times New Roman" w:cs="Times New Roman" w:eastAsia="Times New Roman" w:hAnsi="Times New Roman"/>
          <w:sz w:val="20"/>
          <w:szCs w:val="20"/>
          <w:u w:val="single" w:color="auto"/>
          <w:color w:val="auto"/>
        </w:rPr>
        <w:t>over</w:t>
      </w:r>
      <w:r>
        <w:rPr>
          <w:rFonts w:ascii="Times New Roman" w:cs="Times New Roman" w:eastAsia="Times New Roman" w:hAnsi="Times New Roman"/>
          <w:sz w:val="20"/>
          <w:szCs w:val="20"/>
          <w:color w:val="auto"/>
        </w:rPr>
        <w:t xml:space="preserve"> (2) the aggregate principal amount of all Class Loans on the Applicable Date.</w:t>
      </w:r>
    </w:p>
    <w:p>
      <w:pPr>
        <w:spacing w:after="0" w:line="169" w:lineRule="exact"/>
        <w:rPr>
          <w:rFonts w:ascii="Times New Roman" w:cs="Times New Roman" w:eastAsia="Times New Roman" w:hAnsi="Times New Roman"/>
          <w:sz w:val="20"/>
          <w:szCs w:val="20"/>
          <w:color w:val="auto"/>
        </w:rPr>
      </w:pPr>
    </w:p>
    <w:p>
      <w:pPr>
        <w:jc w:val="both"/>
        <w:ind w:firstLine="1292"/>
        <w:spacing w:after="0" w:line="261" w:lineRule="auto"/>
        <w:tabs>
          <w:tab w:leader="none" w:pos="1847" w:val="left"/>
        </w:tabs>
        <w:numPr>
          <w:ilvl w:val="0"/>
          <w:numId w:val="3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the incurrence of any secured or unsecured Indebtedness (including any intercreditor agreement relating thereto), the Borrower may elect (in its discretion, but shall not be obligated) to deliver to the Administrative Agent a certificate of a Responsible Officer at least three Business Days prior to the incurrence thereof (or such shorter time as the Administrative</w:t>
      </w:r>
    </w:p>
    <w:p>
      <w:pPr>
        <w:sectPr>
          <w:pgSz w:w="11900" w:h="16838" w:orient="portrait"/>
          <w:cols w:equalWidth="0" w:num="1">
            <w:col w:w="11120"/>
          </w:cols>
          <w:pgMar w:left="440" w:top="108" w:right="339" w:bottom="1440" w:gutter="0" w:footer="0" w:header="0"/>
        </w:sectPr>
      </w:pPr>
    </w:p>
    <w:bookmarkStart w:id="370" w:name="page371"/>
    <w:bookmarkEnd w:id="370"/>
    <w:p>
      <w:pPr>
        <w:jc w:val="right"/>
        <w:spacing w:after="0"/>
        <w:rPr>
          <w:sz w:val="20"/>
          <w:szCs w:val="20"/>
          <w:color w:val="auto"/>
        </w:rPr>
      </w:pPr>
      <w:r>
        <w:rPr>
          <w:rFonts w:ascii="Times New Roman" w:cs="Times New Roman" w:eastAsia="Times New Roman" w:hAnsi="Times New Roman"/>
          <w:sz w:val="22"/>
          <w:szCs w:val="22"/>
          <w:color w:val="FF0000"/>
          <w:strike w:val="1"/>
        </w:rPr>
        <w:t>ANNEX</w:t>
      </w:r>
      <w:r>
        <w:rPr>
          <w:rFonts w:ascii="Times New Roman" w:cs="Times New Roman" w:eastAsia="Times New Roman" w:hAnsi="Times New Roman"/>
          <w:sz w:val="22"/>
          <w:szCs w:val="22"/>
          <w:b w:val="1"/>
          <w:bCs w:val="1"/>
          <w:u w:val="single" w:color="auto"/>
          <w:color w:val="0000FF"/>
        </w:rPr>
        <w:t>EXHIBIT</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ind w:left="120"/>
        <w:spacing w:after="0" w:line="251" w:lineRule="auto"/>
        <w:rPr>
          <w:sz w:val="20"/>
          <w:szCs w:val="20"/>
          <w:color w:val="auto"/>
        </w:rPr>
      </w:pPr>
      <w:r>
        <w:rPr>
          <w:rFonts w:ascii="Times New Roman" w:cs="Times New Roman" w:eastAsia="Times New Roman" w:hAnsi="Times New Roman"/>
          <w:sz w:val="20"/>
          <w:szCs w:val="20"/>
          <w:color w:val="auto"/>
        </w:rPr>
        <w:t xml:space="preserve">Agent may agree in its reasonable discretion), together with either drafts of the material documentation relating to such Indebtedness or a description of such Indebtedness (including a description of the Liens intended to secure the same or the subordination provisions thereof, as applicable) in reasonably sufficient detail to be able to make the determinations referred to in this paragraph, which certificate shall either, at the Borrower’s election, (x) state that the Borrower has determined in good faith that such Indebtedness satisfies the requirements of the applicable provisions of Sections 6.01 and 6.02 (taking into account any other applicable provisions of this Section 9.08), in which case such certificate shall be conclusive evidence thereof, or (y) request the Administrative Agent </w:t>
      </w:r>
      <w:r>
        <w:rPr>
          <w:rFonts w:ascii="Times New Roman" w:cs="Times New Roman" w:eastAsia="Times New Roman" w:hAnsi="Times New Roman"/>
          <w:sz w:val="20"/>
          <w:szCs w:val="20"/>
          <w:b w:val="1"/>
          <w:bCs w:val="1"/>
          <w:u w:val="single" w:color="auto"/>
          <w:color w:val="0000FF"/>
        </w:rPr>
        <w:t>(acting at the direction of the Required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u w:val="single" w:color="auto"/>
          <w:color w:val="0000FF"/>
        </w:rPr>
        <w:t>Lenders)</w:t>
      </w:r>
      <w:r>
        <w:rPr>
          <w:rFonts w:ascii="Times New Roman" w:cs="Times New Roman" w:eastAsia="Times New Roman" w:hAnsi="Times New Roman"/>
          <w:sz w:val="20"/>
          <w:szCs w:val="20"/>
          <w:b w:val="1"/>
          <w:bCs w:val="1"/>
          <w:color w:val="0000FF"/>
        </w:rPr>
        <w:t xml:space="preserve"> </w:t>
      </w:r>
      <w:r>
        <w:rPr>
          <w:rFonts w:ascii="Times New Roman" w:cs="Times New Roman" w:eastAsia="Times New Roman" w:hAnsi="Times New Roman"/>
          <w:sz w:val="20"/>
          <w:szCs w:val="20"/>
          <w:color w:val="000000"/>
        </w:rPr>
        <w:t>to confirm, based on the information set forth in such certificate and any other information reasonably requested by the</w:t>
      </w:r>
      <w:r>
        <w:rPr>
          <w:rFonts w:ascii="Times New Roman" w:cs="Times New Roman" w:eastAsia="Times New Roman" w:hAnsi="Times New Roman"/>
          <w:sz w:val="20"/>
          <w:szCs w:val="20"/>
          <w:b w:val="1"/>
          <w:bCs w:val="1"/>
          <w:color w:val="0000FF"/>
        </w:rPr>
        <w:t xml:space="preserve"> </w:t>
      </w:r>
      <w:r>
        <w:rPr>
          <w:rFonts w:ascii="Times New Roman" w:cs="Times New Roman" w:eastAsia="Times New Roman" w:hAnsi="Times New Roman"/>
          <w:sz w:val="20"/>
          <w:szCs w:val="20"/>
          <w:color w:val="000000"/>
        </w:rPr>
        <w:t>Administrative Agent</w:t>
      </w:r>
      <w:r>
        <w:rPr>
          <w:rFonts w:ascii="Times New Roman" w:cs="Times New Roman" w:eastAsia="Times New Roman" w:hAnsi="Times New Roman"/>
          <w:sz w:val="20"/>
          <w:szCs w:val="20"/>
          <w:color w:val="FF0000"/>
          <w:strike w:val="1"/>
        </w:rPr>
        <w:t>,</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b w:val="1"/>
          <w:bCs w:val="1"/>
          <w:u w:val="single" w:color="auto"/>
          <w:color w:val="0000FF"/>
        </w:rPr>
        <w:t>(acting at the direction of the Required Lenders),</w:t>
      </w:r>
      <w:r>
        <w:rPr>
          <w:rFonts w:ascii="Times New Roman" w:cs="Times New Roman" w:eastAsia="Times New Roman" w:hAnsi="Times New Roman"/>
          <w:sz w:val="20"/>
          <w:szCs w:val="20"/>
          <w:color w:val="000000"/>
        </w:rPr>
        <w:t xml:space="preserve"> that such Indebtedness satisfies such requirements, in which case the Administrative Agent may determine whether, in its reasonable judgment, such requirements have been satisfied (in which case it shall deliver to the Borrower a written confirmation of the same), with any such determination of the Administrative Agent </w:t>
      </w:r>
      <w:r>
        <w:rPr>
          <w:rFonts w:ascii="Times New Roman" w:cs="Times New Roman" w:eastAsia="Times New Roman" w:hAnsi="Times New Roman"/>
          <w:sz w:val="20"/>
          <w:szCs w:val="20"/>
          <w:b w:val="1"/>
          <w:bCs w:val="1"/>
          <w:u w:val="single" w:color="auto"/>
          <w:color w:val="0000FF"/>
        </w:rPr>
        <w:t>(acting at the</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b w:val="1"/>
          <w:bCs w:val="1"/>
          <w:u w:val="single" w:color="auto"/>
          <w:color w:val="0000FF"/>
        </w:rPr>
        <w:t>direction of the Required Lenders)</w:t>
      </w:r>
      <w:r>
        <w:rPr>
          <w:rFonts w:ascii="Times New Roman" w:cs="Times New Roman" w:eastAsia="Times New Roman" w:hAnsi="Times New Roman"/>
          <w:sz w:val="20"/>
          <w:szCs w:val="20"/>
          <w:b w:val="1"/>
          <w:bCs w:val="1"/>
          <w:color w:val="0000FF"/>
        </w:rPr>
        <w:t xml:space="preserve"> </w:t>
      </w:r>
      <w:r>
        <w:rPr>
          <w:rFonts w:ascii="Times New Roman" w:cs="Times New Roman" w:eastAsia="Times New Roman" w:hAnsi="Times New Roman"/>
          <w:sz w:val="20"/>
          <w:szCs w:val="20"/>
          <w:color w:val="000000"/>
        </w:rPr>
        <w:t>to be conclusive evidence thereof, and the Lenders hereby authorize the Administrative Agent</w:t>
      </w:r>
      <w:r>
        <w:rPr>
          <w:rFonts w:ascii="Times New Roman" w:cs="Times New Roman" w:eastAsia="Times New Roman" w:hAnsi="Times New Roman"/>
          <w:sz w:val="20"/>
          <w:szCs w:val="20"/>
          <w:b w:val="1"/>
          <w:bCs w:val="1"/>
          <w:color w:val="0000FF"/>
        </w:rPr>
        <w:t xml:space="preserve"> </w:t>
      </w:r>
      <w:r>
        <w:rPr>
          <w:rFonts w:ascii="Times New Roman" w:cs="Times New Roman" w:eastAsia="Times New Roman" w:hAnsi="Times New Roman"/>
          <w:sz w:val="20"/>
          <w:szCs w:val="20"/>
          <w:b w:val="1"/>
          <w:bCs w:val="1"/>
          <w:u w:val="single" w:color="auto"/>
          <w:color w:val="0000FF"/>
        </w:rPr>
        <w:t>(acting</w:t>
      </w:r>
      <w:r>
        <w:rPr>
          <w:rFonts w:ascii="Times New Roman" w:cs="Times New Roman" w:eastAsia="Times New Roman" w:hAnsi="Times New Roman"/>
          <w:sz w:val="20"/>
          <w:szCs w:val="20"/>
          <w:b w:val="1"/>
          <w:bCs w:val="1"/>
          <w:color w:val="0000FF"/>
        </w:rPr>
        <w:t xml:space="preserve"> </w:t>
      </w:r>
      <w:r>
        <w:rPr>
          <w:rFonts w:ascii="Times New Roman" w:cs="Times New Roman" w:eastAsia="Times New Roman" w:hAnsi="Times New Roman"/>
          <w:sz w:val="20"/>
          <w:szCs w:val="20"/>
          <w:b w:val="1"/>
          <w:bCs w:val="1"/>
          <w:u w:val="single" w:color="auto"/>
          <w:color w:val="0000FF"/>
        </w:rPr>
        <w:t>at the direction of the Required Lenders)</w:t>
      </w:r>
      <w:r>
        <w:rPr>
          <w:rFonts w:ascii="Times New Roman" w:cs="Times New Roman" w:eastAsia="Times New Roman" w:hAnsi="Times New Roman"/>
          <w:sz w:val="20"/>
          <w:szCs w:val="20"/>
          <w:b w:val="1"/>
          <w:bCs w:val="1"/>
          <w:color w:val="0000FF"/>
        </w:rPr>
        <w:t xml:space="preserve"> </w:t>
      </w:r>
      <w:r>
        <w:rPr>
          <w:rFonts w:ascii="Times New Roman" w:cs="Times New Roman" w:eastAsia="Times New Roman" w:hAnsi="Times New Roman"/>
          <w:sz w:val="20"/>
          <w:szCs w:val="20"/>
          <w:color w:val="000000"/>
        </w:rPr>
        <w:t>to make such determinations.</w:t>
      </w:r>
    </w:p>
    <w:p>
      <w:pPr>
        <w:spacing w:after="0" w:line="165" w:lineRule="exact"/>
        <w:rPr>
          <w:sz w:val="20"/>
          <w:szCs w:val="20"/>
          <w:color w:val="auto"/>
        </w:rPr>
      </w:pPr>
    </w:p>
    <w:p>
      <w:pPr>
        <w:jc w:val="both"/>
        <w:ind w:left="120" w:firstLine="1292"/>
        <w:spacing w:after="0" w:line="267" w:lineRule="auto"/>
        <w:tabs>
          <w:tab w:leader="none" w:pos="1953" w:val="left"/>
        </w:tabs>
        <w:numPr>
          <w:ilvl w:val="1"/>
          <w:numId w:val="3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Notwithstanding the foregoing, this Agreement may be amended, waived or otherwise modified with the written consent of the Required Revolving Facility Lenders, the Administrative Agent, Holdings (prior to a Qualified IPO) and the Borrower with respect to (i) the provisions of Section 4.01, solely as they relate to the Revolving Facility Loans, Swingline Loans and Letters of Credit and</w:t>
      </w:r>
    </w:p>
    <w:p>
      <w:pPr>
        <w:spacing w:after="0" w:line="1" w:lineRule="exact"/>
        <w:rPr>
          <w:rFonts w:ascii="Times New Roman" w:cs="Times New Roman" w:eastAsia="Times New Roman" w:hAnsi="Times New Roman"/>
          <w:sz w:val="19"/>
          <w:szCs w:val="19"/>
          <w:color w:val="auto"/>
        </w:rPr>
      </w:pPr>
    </w:p>
    <w:p>
      <w:pPr>
        <w:ind w:left="400" w:hanging="284"/>
        <w:spacing w:after="0"/>
        <w:tabs>
          <w:tab w:leader="none" w:pos="400" w:val="left"/>
        </w:tabs>
        <w:numPr>
          <w:ilvl w:val="0"/>
          <w:numId w:val="3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provisions of Section 6.11 (or Article VII or any other provision incorporating such Section 6.11 with respect to the effects thereof).</w:t>
      </w:r>
    </w:p>
    <w:p>
      <w:pPr>
        <w:spacing w:after="0" w:line="198" w:lineRule="exact"/>
        <w:rPr>
          <w:rFonts w:ascii="Times New Roman" w:cs="Times New Roman" w:eastAsia="Times New Roman" w:hAnsi="Times New Roman"/>
          <w:sz w:val="19"/>
          <w:szCs w:val="19"/>
          <w:color w:val="auto"/>
        </w:rPr>
      </w:pPr>
    </w:p>
    <w:p>
      <w:pPr>
        <w:ind w:left="120" w:firstLine="1292"/>
        <w:spacing w:after="0" w:line="269" w:lineRule="auto"/>
        <w:tabs>
          <w:tab w:leader="none" w:pos="1832" w:val="left"/>
        </w:tabs>
        <w:numPr>
          <w:ilvl w:val="1"/>
          <w:numId w:val="3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the foregoing, this Agreement may be amended, with the written consent of each Revolving Facility Lender, the Administrative Agent, Holdings and the Borrower to the extent necessary to integrate any Alternate Currency.</w:t>
      </w:r>
    </w:p>
    <w:p>
      <w:pPr>
        <w:spacing w:after="0" w:line="159"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0"/>
          <w:szCs w:val="20"/>
          <w:color w:val="auto"/>
        </w:rPr>
        <w:t>Section 9.09 Interest Rate Limitation. Notwithstanding anything herein to the contrary, if at any time the applicable interest rate, together with all fees and charges that are treated as interest under applicable law (collectively, the “</w:t>
      </w:r>
      <w:r>
        <w:rPr>
          <w:rFonts w:ascii="Times New Roman" w:cs="Times New Roman" w:eastAsia="Times New Roman" w:hAnsi="Times New Roman"/>
          <w:sz w:val="20"/>
          <w:szCs w:val="20"/>
          <w:u w:val="single" w:color="auto"/>
          <w:color w:val="auto"/>
        </w:rPr>
        <w:t>Charges</w:t>
      </w:r>
      <w:r>
        <w:rPr>
          <w:rFonts w:ascii="Times New Roman" w:cs="Times New Roman" w:eastAsia="Times New Roman" w:hAnsi="Times New Roman"/>
          <w:sz w:val="20"/>
          <w:szCs w:val="20"/>
          <w:color w:val="auto"/>
        </w:rPr>
        <w:t>”), as provided for herein or in any other document executed in connection herewith, or otherwise contracted for, charged, received, taken or reserved by any Lender or any Issuing Bank, shall exceed the maximum lawful rate (the “</w:t>
      </w:r>
      <w:r>
        <w:rPr>
          <w:rFonts w:ascii="Times New Roman" w:cs="Times New Roman" w:eastAsia="Times New Roman" w:hAnsi="Times New Roman"/>
          <w:sz w:val="20"/>
          <w:szCs w:val="20"/>
          <w:u w:val="single" w:color="auto"/>
          <w:color w:val="auto"/>
        </w:rPr>
        <w:t>Maximum Rate</w:t>
      </w:r>
      <w:r>
        <w:rPr>
          <w:rFonts w:ascii="Times New Roman" w:cs="Times New Roman" w:eastAsia="Times New Roman" w:hAnsi="Times New Roman"/>
          <w:sz w:val="20"/>
          <w:szCs w:val="20"/>
          <w:color w:val="auto"/>
        </w:rPr>
        <w:t xml:space="preserve">”) that may be contracted for, charged, taken, received or reserved by such Lender in accordance with applicable law, the rate of interest payable hereunder, together with all Charges payable to such Lender or such Issuing Bank, shall be limited to the Maximum Rate;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such excess amount shall be paid to such Lender or such Issuing Bank on subsequent payment dates to the extent not exceeding the legal limitation.</w:t>
      </w:r>
    </w:p>
    <w:p>
      <w:pPr>
        <w:spacing w:after="0" w:line="166"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Section 9.10 Entire Agreement. This Agreement, the other Loan Documents and the agreements regarding certain Fees referred to herein constitute the entire contract between the parties relative to the subject matter hereof. Any previous agreement among or representations from the parties or their Affiliates with respect to the subject matter hereof is superseded by this Agreement and the other Loan Documents. Notwithstanding the foregoing, the Fee Letter shall survive the execution and delivery of this Agreement and remain in full force and effect. Nothing in this Agreement or in the other Loan Documents, expressed or implied, is intended to confer upon any party other than the parties hereto and thereto any rights, remedies, obligations or liabilities under or by reason of this Agreement or the other Loan Documents.</w:t>
      </w:r>
    </w:p>
    <w:p>
      <w:pPr>
        <w:sectPr>
          <w:pgSz w:w="11900" w:h="16838" w:orient="portrait"/>
          <w:cols w:equalWidth="0" w:num="1">
            <w:col w:w="11240"/>
          </w:cols>
          <w:pgMar w:left="320" w:top="108" w:right="339" w:bottom="1440" w:gutter="0" w:footer="0" w:header="0"/>
        </w:sectPr>
      </w:pPr>
    </w:p>
    <w:bookmarkStart w:id="371" w:name="page372"/>
    <w:bookmarkEnd w:id="371"/>
    <w:p>
      <w:pPr>
        <w:jc w:val="right"/>
        <w:spacing w:after="0"/>
        <w:rPr>
          <w:sz w:val="20"/>
          <w:szCs w:val="20"/>
          <w:color w:val="auto"/>
        </w:rPr>
      </w:pPr>
      <w:r>
        <w:rPr>
          <w:rFonts w:ascii="Times New Roman" w:cs="Times New Roman" w:eastAsia="Times New Roman" w:hAnsi="Times New Roman"/>
          <w:sz w:val="22"/>
          <w:szCs w:val="22"/>
          <w:color w:val="FF0000"/>
          <w:strike w:val="1"/>
        </w:rPr>
        <w:t>ANNEX</w:t>
      </w:r>
      <w:r>
        <w:rPr>
          <w:rFonts w:ascii="Times New Roman" w:cs="Times New Roman" w:eastAsia="Times New Roman" w:hAnsi="Times New Roman"/>
          <w:sz w:val="22"/>
          <w:szCs w:val="22"/>
          <w:b w:val="1"/>
          <w:bCs w:val="1"/>
          <w:u w:val="single" w:color="auto"/>
          <w:color w:val="0000FF"/>
        </w:rPr>
        <w:t>EXHIBIT</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0"/>
          <w:szCs w:val="20"/>
          <w:color w:val="auto"/>
        </w:rPr>
        <w:t>Section 9.11 WAIVER OF JURY TRIAL. EACH PARTY HERETO HEREBY WAIVES, TO THE FULLEST EXTENT PERMITTED BY APPLICABLE LAW, ANY RIGHT IT MAY HAVE TO A TRIAL BY JURY IN RESPECT OF ANY LITIGATION DIRECTLY OR INDIRECTLY ARISING OUT OF, UNDER OR IN CONNECTION WITH THIS AGREEMENT OR ANY OF THE OTHER LOAN DOCUMENTS (WHETHER BASED ON CONTRACT, TORT OR ANY OTHER THEORY). EACH PARTY HERETO</w:t>
      </w:r>
    </w:p>
    <w:p>
      <w:pPr>
        <w:spacing w:after="0" w:line="1" w:lineRule="exact"/>
        <w:rPr>
          <w:sz w:val="20"/>
          <w:szCs w:val="20"/>
          <w:color w:val="auto"/>
        </w:rPr>
      </w:pPr>
    </w:p>
    <w:p>
      <w:pPr>
        <w:jc w:val="both"/>
        <w:ind w:firstLine="8"/>
        <w:spacing w:after="0" w:line="251" w:lineRule="auto"/>
        <w:tabs>
          <w:tab w:leader="none" w:pos="406" w:val="left"/>
        </w:tabs>
        <w:numPr>
          <w:ilvl w:val="0"/>
          <w:numId w:val="3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AND THE OTHER LOAN DOCUMENTS, AS APPLICABLE, BY, AMONG OTHER THINGS, THE MUTUAL WAIVERS AND CERTIFICATIONS IN THIS SECTION 9.11.</w:t>
      </w:r>
    </w:p>
    <w:p>
      <w:pPr>
        <w:spacing w:after="0" w:line="166"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Section 9.12 Severability. In the event any one or more of the provisions contained in this Agreement or in any other Loan Document should be held invalid, illegal or unenforceable in any respect, the validity, legality and enforceability of the remaining provisions contained herein and therein shall not in any way be affected or impaired thereby. The parties shall endeavor in good-faith negotiations to replace the invalid, illegal or unenforceable provisions with valid provisions the economic effect of which comes as close as possible to that of the invalid, illegal or unenforceable provisions.</w:t>
      </w:r>
    </w:p>
    <w:p>
      <w:pPr>
        <w:spacing w:after="0" w:line="178" w:lineRule="exact"/>
        <w:rPr>
          <w:sz w:val="20"/>
          <w:szCs w:val="20"/>
          <w:color w:val="auto"/>
        </w:rPr>
      </w:pPr>
    </w:p>
    <w:p>
      <w:pPr>
        <w:ind w:left="1300"/>
        <w:spacing w:after="0"/>
        <w:tabs>
          <w:tab w:leader="none" w:pos="2480" w:val="left"/>
        </w:tabs>
        <w:rPr>
          <w:sz w:val="20"/>
          <w:szCs w:val="20"/>
          <w:color w:val="auto"/>
        </w:rPr>
      </w:pPr>
      <w:r>
        <w:rPr>
          <w:rFonts w:ascii="Times New Roman" w:cs="Times New Roman" w:eastAsia="Times New Roman" w:hAnsi="Times New Roman"/>
          <w:sz w:val="20"/>
          <w:szCs w:val="20"/>
          <w:color w:val="auto"/>
        </w:rPr>
        <w:t>Section 9.13</w:t>
      </w:r>
      <w:r>
        <w:rPr>
          <w:sz w:val="20"/>
          <w:szCs w:val="20"/>
          <w:color w:val="auto"/>
        </w:rPr>
        <w:tab/>
      </w:r>
      <w:r>
        <w:rPr>
          <w:rFonts w:ascii="Times New Roman" w:cs="Times New Roman" w:eastAsia="Times New Roman" w:hAnsi="Times New Roman"/>
          <w:sz w:val="19"/>
          <w:szCs w:val="19"/>
          <w:color w:val="auto"/>
        </w:rPr>
        <w:t>Counterparts; Electronic Execution of Assignments and Certain Other Documents.</w:t>
      </w:r>
    </w:p>
    <w:p>
      <w:pPr>
        <w:spacing w:after="0" w:line="202" w:lineRule="exact"/>
        <w:rPr>
          <w:sz w:val="20"/>
          <w:szCs w:val="20"/>
          <w:color w:val="auto"/>
        </w:rPr>
      </w:pPr>
    </w:p>
    <w:p>
      <w:pPr>
        <w:jc w:val="both"/>
        <w:ind w:left="120" w:firstLine="1292"/>
        <w:spacing w:after="0" w:line="258" w:lineRule="auto"/>
        <w:tabs>
          <w:tab w:leader="none" w:pos="1898" w:val="left"/>
        </w:tabs>
        <w:numPr>
          <w:ilvl w:val="0"/>
          <w:numId w:val="3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Agreement may be executed in two or more counterparts, each of which shall constitute an original but all of which, when taken together, shall constitute but one contract, and shall become effective as provided in Section 9.03. Delivery of an executed counterpart to this Agreement by facsimile transmission (or other electronic transmission pursuant to procedures approved by the Administrative Agent) shall be as effective as delivery of a manually signed original.</w:t>
      </w:r>
    </w:p>
    <w:p>
      <w:pPr>
        <w:spacing w:after="0" w:line="158" w:lineRule="exact"/>
        <w:rPr>
          <w:rFonts w:ascii="Times New Roman" w:cs="Times New Roman" w:eastAsia="Times New Roman" w:hAnsi="Times New Roman"/>
          <w:sz w:val="20"/>
          <w:szCs w:val="20"/>
          <w:color w:val="auto"/>
        </w:rPr>
      </w:pPr>
    </w:p>
    <w:p>
      <w:pPr>
        <w:jc w:val="both"/>
        <w:ind w:left="120" w:firstLine="1292"/>
        <w:spacing w:after="0" w:line="250" w:lineRule="auto"/>
        <w:tabs>
          <w:tab w:leader="none" w:pos="1846" w:val="left"/>
        </w:tabs>
        <w:numPr>
          <w:ilvl w:val="0"/>
          <w:numId w:val="3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words “execution,” “execute”, “signed,” “signature,” and words of like import in or related to any document to be signed in connection with this Agreement and the transactions contemplated hereby (including without limitation Assignment and Acceptances, amendments, Borrowing Requests, waivers and consents) shall be deemed to include electronic signatures, the electronic matching of assignment terms and contract formations on electronic platforms approved by the Administrative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notwithstanding anything contained herein to the contrary the Administrative Agent and the Collateral Agent are under no obligation to agree to accept electronic signatures in any form or in any format unless expressly agreed to by the Administrative Agent and the Collateral Agent, as applicable, pursuant to procedures approved by it.</w:t>
      </w:r>
    </w:p>
    <w:p>
      <w:pPr>
        <w:spacing w:after="0" w:line="173"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Section 9.14 Headings. Article and Section headings and the Table of Contents used herein are for convenience of reference only, are not part of this Agreement and are not to affect the construction of, or to be taken into consideration in interpreting, this Agreement.</w:t>
      </w:r>
    </w:p>
    <w:p>
      <w:pPr>
        <w:spacing w:after="0" w:line="168"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20"/>
          <w:szCs w:val="20"/>
          <w:color w:val="auto"/>
        </w:rPr>
        <w:t>Section 9.15 Jurisdiction; Consent to Service of Process(a) . (a) The Borrower and each other Loan Party irrevocably and unconditionally agrees that it will not commence any action,</w:t>
      </w:r>
    </w:p>
    <w:p>
      <w:pPr>
        <w:sectPr>
          <w:pgSz w:w="11900" w:h="16838" w:orient="portrait"/>
          <w:cols w:equalWidth="0" w:num="1">
            <w:col w:w="11240"/>
          </w:cols>
          <w:pgMar w:left="320" w:top="108" w:right="339" w:bottom="1440" w:gutter="0" w:footer="0" w:header="0"/>
        </w:sectPr>
      </w:pPr>
    </w:p>
    <w:bookmarkStart w:id="372" w:name="page373"/>
    <w:bookmarkEnd w:id="372"/>
    <w:p>
      <w:pPr>
        <w:jc w:val="right"/>
        <w:spacing w:after="0"/>
        <w:rPr>
          <w:sz w:val="20"/>
          <w:szCs w:val="20"/>
          <w:color w:val="auto"/>
        </w:rPr>
      </w:pPr>
      <w:r>
        <w:rPr>
          <w:rFonts w:ascii="Times New Roman" w:cs="Times New Roman" w:eastAsia="Times New Roman" w:hAnsi="Times New Roman"/>
          <w:sz w:val="22"/>
          <w:szCs w:val="22"/>
          <w:color w:val="FF0000"/>
          <w:strike w:val="1"/>
        </w:rPr>
        <w:t>ANNEX</w:t>
      </w:r>
      <w:r>
        <w:rPr>
          <w:rFonts w:ascii="Times New Roman" w:cs="Times New Roman" w:eastAsia="Times New Roman" w:hAnsi="Times New Roman"/>
          <w:sz w:val="22"/>
          <w:szCs w:val="22"/>
          <w:b w:val="1"/>
          <w:bCs w:val="1"/>
          <w:u w:val="single" w:color="auto"/>
          <w:color w:val="0000FF"/>
        </w:rPr>
        <w:t>EXHIBIT</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litigation or proceeding of any kind or description, whether in law or equity, whether in contract or in tort or otherwise, against the Administrative Agent, the Collateral Agent, any Lender, or any Affiliate of the foregoing in any way relating to this Agreement or any other Loan Document or the transactions relating hereto or thereto, in any forum other than the courts of the State of New York sitting in New York County, and of the United States District Court of the Southern District of New York, and any appellate court from any thereof, and each of the parties hereto irrevocably and unconditionally submits to the jurisdiction of such courts and agrees that all claims in respect of any such action, litigation or proceeding may be heard and determined in such New York State court or, to the fullest extent permitted by applicable law, in such federal court. Each of the parties hereto agrees that a final judgment in any such action, litigation or proceeding shall be conclusive and may be enforced in other jurisdictions by suit on the judgment or in any other manner provided by law. Nothing in this Agreement or in any other Loan Document shall affect any right that the Administrative Agent, the Collateral Agent, any Issuing Bank or any Lender may otherwise have to bring any action or proceeding relating to this Agreement or any other Loan Document against the Borrower or any other Loan Party or its properties in the courts of any jurisdiction.</w:t>
      </w:r>
    </w:p>
    <w:p>
      <w:pPr>
        <w:spacing w:after="0" w:line="173" w:lineRule="exact"/>
        <w:rPr>
          <w:sz w:val="20"/>
          <w:szCs w:val="20"/>
          <w:color w:val="auto"/>
        </w:rPr>
      </w:pPr>
    </w:p>
    <w:p>
      <w:pPr>
        <w:jc w:val="both"/>
        <w:ind w:left="120" w:firstLine="1292"/>
        <w:spacing w:after="0" w:line="257" w:lineRule="auto"/>
        <w:tabs>
          <w:tab w:leader="none" w:pos="1942" w:val="left"/>
        </w:tabs>
        <w:numPr>
          <w:ilvl w:val="0"/>
          <w:numId w:val="3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of the parties hereto hereby irrevocably and unconditionally waives, to the fullest extent it may legally and effectively do so, any objection which it may now or hereafter have to the laying of venue of any suit, action or proceeding arising out of or relating to this Agreement or the other Loan Documents in any New York State or federal court. Each of the parties hereto hereby irrevocably waives, to the fullest extent permitted by law, the defense of an inconvenient forum to the maintenance of such action or proceeding in any such court.</w:t>
      </w:r>
    </w:p>
    <w:p>
      <w:pPr>
        <w:spacing w:after="0" w:line="159" w:lineRule="exact"/>
        <w:rPr>
          <w:rFonts w:ascii="Times New Roman" w:cs="Times New Roman" w:eastAsia="Times New Roman" w:hAnsi="Times New Roman"/>
          <w:sz w:val="20"/>
          <w:szCs w:val="20"/>
          <w:color w:val="auto"/>
        </w:rPr>
      </w:pPr>
    </w:p>
    <w:p>
      <w:pPr>
        <w:jc w:val="both"/>
        <w:ind w:left="120" w:firstLine="1292"/>
        <w:spacing w:after="0" w:line="261" w:lineRule="auto"/>
        <w:tabs>
          <w:tab w:leader="none" w:pos="1977" w:val="left"/>
        </w:tabs>
        <w:numPr>
          <w:ilvl w:val="0"/>
          <w:numId w:val="3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party to this Agreement irrevocably consents to service of process in the manner provided for notices in Section 9.01. Nothing in this Agreement will affect the right of any party to this Agreement or any other Loan Document to serve process in any other manner permitted by law.</w:t>
      </w:r>
    </w:p>
    <w:p>
      <w:pPr>
        <w:spacing w:after="0" w:line="154"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0"/>
          <w:szCs w:val="20"/>
          <w:color w:val="auto"/>
        </w:rPr>
        <w:t>Section 9.16 Confidentiality. Each of the Lenders, each Issuing Bank and each of the Agents agrees that it shall maintain in confidence any information relating to Holdings, any Parent Entity, the Borrower and any Subsidiary furnished to it by or on behalf of Holdings, any Parent Entity, the Borrower or any Subsidiary (other than information that (a) has become generally available to the public other than as a result of a disclosure by such party, (b) has been independently developed by such Lender, such Issuing Bank or such Agent without violating this Section 9.16 or (c) was available to such Lender, such Issuing Bank or such Agent from a third party having, to such person’s knowledge, no obligations of confidentiality to Holdings, any Parent Entity, the Borrower or any other Loan Party) and shall not reveal the same other than to its directors, trustees, officers, employees and advisors with a need to know and any numbering, administration or settlement service providers or to any person that approves or administers the Loans on behalf of such Lender (so long as each such person shall have been instructed to keep the same confidential in accordance with this Section 9.16), except: (A) to the extent necessary to comply with law or any legal process or the requirements of any Governmental Authority, the National Association of Insurance Commissioners or of any securities exchange on which securities of the disclosing party or any Affiliate of the disclosing party are listed or traded, (B) as part of normal reporting or review procedures to, or examinations by, Governmental Authorities or self-regulatory authorities, including the National Association of Insurance Commissioners or the Financial Industry Regulatory Authority, Inc., (C) to its parent companies, Affiliates or auditors (so long as each such person shall have been instructed to keep the same confidential in accordance with this Section 9.16), (D) in order to enforce its rights under any Loan Document in a legal proceeding, (E) to any pledgee under Section 9.04(d) or any other prospective assignee of, or prospective Participant in, any of its rights under</w:t>
      </w:r>
    </w:p>
    <w:p>
      <w:pPr>
        <w:sectPr>
          <w:pgSz w:w="11900" w:h="16838" w:orient="portrait"/>
          <w:cols w:equalWidth="0" w:num="1">
            <w:col w:w="11240"/>
          </w:cols>
          <w:pgMar w:left="320" w:top="108" w:right="339" w:bottom="1440" w:gutter="0" w:footer="0" w:header="0"/>
        </w:sectPr>
      </w:pPr>
    </w:p>
    <w:bookmarkStart w:id="373" w:name="page374"/>
    <w:bookmarkEnd w:id="373"/>
    <w:p>
      <w:pPr>
        <w:ind w:left="9360"/>
        <w:spacing w:after="0"/>
        <w:rPr>
          <w:sz w:val="20"/>
          <w:szCs w:val="20"/>
          <w:color w:val="auto"/>
        </w:rPr>
      </w:pPr>
      <w:r>
        <w:rPr>
          <w:rFonts w:ascii="Times New Roman" w:cs="Times New Roman" w:eastAsia="Times New Roman" w:hAnsi="Times New Roman"/>
          <w:sz w:val="21"/>
          <w:szCs w:val="21"/>
          <w:color w:val="FF0000"/>
          <w:strike w:val="1"/>
        </w:rPr>
        <w:t>ANNEX</w:t>
      </w:r>
      <w:r>
        <w:rPr>
          <w:rFonts w:ascii="Times New Roman" w:cs="Times New Roman" w:eastAsia="Times New Roman" w:hAnsi="Times New Roman"/>
          <w:sz w:val="21"/>
          <w:szCs w:val="21"/>
          <w:b w:val="1"/>
          <w:bCs w:val="1"/>
          <w:u w:val="single" w:color="auto"/>
          <w:color w:val="0000FF"/>
        </w:rPr>
        <w:t>EXHIBIT</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000000"/>
        </w:rPr>
        <w: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this Agreement (so long as such person shall have been instructed to keep the same confidential in accordance with this Section 9.16) and</w:t>
      </w:r>
    </w:p>
    <w:p>
      <w:pPr>
        <w:spacing w:after="0" w:line="28" w:lineRule="exact"/>
        <w:rPr>
          <w:sz w:val="20"/>
          <w:szCs w:val="20"/>
          <w:color w:val="auto"/>
        </w:rPr>
      </w:pPr>
    </w:p>
    <w:p>
      <w:pPr>
        <w:jc w:val="both"/>
        <w:ind w:firstLine="8"/>
        <w:spacing w:after="0" w:line="248" w:lineRule="auto"/>
        <w:tabs>
          <w:tab w:leader="none" w:pos="296" w:val="left"/>
        </w:tabs>
        <w:numPr>
          <w:ilvl w:val="0"/>
          <w:numId w:val="3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any direct or indirect contractual counterparty in Hedging Agreements or such contractual counterparty’s professional advisor (so long as such contractual counterparty or professional advisor to such contractual counterparty agrees to be bound by the provisions of this Section 9.16);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the case of clauses (E) and (F), no information may be provided to any Ineligible Institution or person who is known to be acting for an Ineligible Institution.</w:t>
      </w:r>
    </w:p>
    <w:p>
      <w:pPr>
        <w:spacing w:after="0" w:line="182"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19"/>
          <w:szCs w:val="19"/>
          <w:color w:val="auto"/>
        </w:rPr>
        <w:t>Section 9.17 Platform; Borrower Materials. The Borrower hereby acknowledges that (a) the Administrative Agent and/or the Arrangers will make available to the Lenders and the Issuing Banks materials and/or information provided by or on behalf of the Borrower hereunder (collectively, “</w:t>
      </w:r>
      <w:r>
        <w:rPr>
          <w:rFonts w:ascii="Times New Roman" w:cs="Times New Roman" w:eastAsia="Times New Roman" w:hAnsi="Times New Roman"/>
          <w:sz w:val="19"/>
          <w:szCs w:val="19"/>
          <w:u w:val="single" w:color="auto"/>
          <w:color w:val="auto"/>
        </w:rPr>
        <w:t>Borrower Materials</w:t>
      </w:r>
      <w:r>
        <w:rPr>
          <w:rFonts w:ascii="Times New Roman" w:cs="Times New Roman" w:eastAsia="Times New Roman" w:hAnsi="Times New Roman"/>
          <w:sz w:val="19"/>
          <w:szCs w:val="19"/>
          <w:color w:val="auto"/>
        </w:rPr>
        <w:t>”) by posting the Borrower Materials on IntraLinks or another similar electronic system (the “</w:t>
      </w:r>
      <w:r>
        <w:rPr>
          <w:rFonts w:ascii="Times New Roman" w:cs="Times New Roman" w:eastAsia="Times New Roman" w:hAnsi="Times New Roman"/>
          <w:sz w:val="19"/>
          <w:szCs w:val="19"/>
          <w:u w:val="single" w:color="auto"/>
          <w:color w:val="auto"/>
        </w:rPr>
        <w:t>Platform</w:t>
      </w:r>
      <w:r>
        <w:rPr>
          <w:rFonts w:ascii="Times New Roman" w:cs="Times New Roman" w:eastAsia="Times New Roman" w:hAnsi="Times New Roman"/>
          <w:sz w:val="19"/>
          <w:szCs w:val="19"/>
          <w:color w:val="auto"/>
        </w:rPr>
        <w:t>”), and (b) certain of the Lenders may be “public-side” Lenders (i.e., Lenders that do not wish to receive material non-public information (or, if Holdings is not at the time a public reporting company, material information of a type that would not reasonably be expected to be publicly available if Holdings was a public reporting company) with respect to Holdings, the Borrower or its Subsidiaries or any of their respective securities) (each, a “</w:t>
      </w:r>
      <w:r>
        <w:rPr>
          <w:rFonts w:ascii="Times New Roman" w:cs="Times New Roman" w:eastAsia="Times New Roman" w:hAnsi="Times New Roman"/>
          <w:sz w:val="19"/>
          <w:szCs w:val="19"/>
          <w:u w:val="single" w:color="auto"/>
          <w:color w:val="auto"/>
        </w:rPr>
        <w:t>Public Lender</w:t>
      </w:r>
      <w:r>
        <w:rPr>
          <w:rFonts w:ascii="Times New Roman" w:cs="Times New Roman" w:eastAsia="Times New Roman" w:hAnsi="Times New Roman"/>
          <w:sz w:val="19"/>
          <w:szCs w:val="19"/>
          <w:color w:val="auto"/>
        </w:rPr>
        <w:t>”). The Borrower hereby agrees that it will use commercially reasonable efforts to identify that portion of the Borrower Materials that may be distributed to the Public Lenders and that (i) all such Borrower Materials shall be clearly and conspicuously marked “PUBLIC” which, at a minimum, shall mean that the word “PUBLIC” shall appear prominently on the first page thereof, (ii) by marking Borrower Materials “PUBLIC,” the Borrower shall be deemed to have authorized the Administrative Agent, the Arrangers, the Co-Manager, the Issuing Banks and the Lenders to treat such Borrower Materials as solely containing information that is either (A) publicly available information or (B) not material (although it may be sensitive and proprietary) with respect to Holdings, the Borrower or its Subsidiaries or any of their respective securities for purposes of United States Federal and state securities laws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that such Borrower Materials shall be treated as set forth in Section 9.16, to the extent such Borrower Materials constitute information subject to the terms thereof), (iii) all Borrower Materials marked “PUBLIC” are permitted to be made available through a portion of the Platform designated “Public Investor;” and (iv) the Administrative Agent and the Arrangers shall be entitled to treat any Borrower Materials that are not marked “PUBLIC” as being suitable only for posting on a portion of the Platform not designated “Public Investor.”</w:t>
      </w:r>
    </w:p>
    <w:p>
      <w:pPr>
        <w:spacing w:after="0" w:line="155" w:lineRule="exact"/>
        <w:rPr>
          <w:sz w:val="20"/>
          <w:szCs w:val="20"/>
          <w:color w:val="auto"/>
        </w:rPr>
      </w:pPr>
    </w:p>
    <w:p>
      <w:pPr>
        <w:ind w:left="1300"/>
        <w:spacing w:after="0"/>
        <w:tabs>
          <w:tab w:leader="none" w:pos="2480" w:val="left"/>
        </w:tabs>
        <w:rPr>
          <w:sz w:val="20"/>
          <w:szCs w:val="20"/>
          <w:color w:val="auto"/>
        </w:rPr>
      </w:pPr>
      <w:r>
        <w:rPr>
          <w:rFonts w:ascii="Times New Roman" w:cs="Times New Roman" w:eastAsia="Times New Roman" w:hAnsi="Times New Roman"/>
          <w:sz w:val="20"/>
          <w:szCs w:val="20"/>
          <w:color w:val="auto"/>
        </w:rPr>
        <w:t>Section 9.18</w:t>
      </w:r>
      <w:r>
        <w:rPr>
          <w:sz w:val="20"/>
          <w:szCs w:val="20"/>
          <w:color w:val="auto"/>
        </w:rPr>
        <w:tab/>
      </w:r>
      <w:r>
        <w:rPr>
          <w:rFonts w:ascii="Times New Roman" w:cs="Times New Roman" w:eastAsia="Times New Roman" w:hAnsi="Times New Roman"/>
          <w:sz w:val="19"/>
          <w:szCs w:val="19"/>
          <w:color w:val="auto"/>
        </w:rPr>
        <w:t>Release of Liens and Guarantees.</w:t>
      </w:r>
    </w:p>
    <w:p>
      <w:pPr>
        <w:spacing w:after="0" w:line="216" w:lineRule="exact"/>
        <w:rPr>
          <w:sz w:val="20"/>
          <w:szCs w:val="20"/>
          <w:color w:val="auto"/>
        </w:rPr>
      </w:pPr>
    </w:p>
    <w:p>
      <w:pPr>
        <w:jc w:val="both"/>
        <w:ind w:left="120" w:firstLine="1292"/>
        <w:spacing w:after="0" w:line="249" w:lineRule="auto"/>
        <w:tabs>
          <w:tab w:leader="none" w:pos="1879" w:val="left"/>
        </w:tabs>
        <w:numPr>
          <w:ilvl w:val="0"/>
          <w:numId w:val="3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Lenders, the Issuing Banks and the other Secured Parties hereby irrevocably agree that the Liens granted to the Collateral Agent by the Loan Parties on any Collateral shall be automatically released: (i) in full upon the occurrence of the Termination Date as set forth in Section 9.18(d) below; (ii) upon the Disposition of such Collateral by any Loan Party to a person that is not (and is not required to become) a Loan Party in a transaction not prohibited by this Agreement (and the Collateral Agent may rely conclusively on a certificate to that effect provided to it by any Loan Party upon its reasonable request without further inquiry), (iii) to the extent that such Collateral comprises property leased to a Loan Party, upon termination or expiration of such lease (and the Collateral Agent may rely conclusively on a certificate to that effect provided to it by any Loan Party upon its reasonable request without further inquiry), (iv) if the release of such Lien is approved, authorized or ratified in writing by the Required Lenders (or such other percentage of the Lenders whose consent may be required in accordance with Section 9.08), (v) to the extent that the property constituting such Collateral is owned by any Guarantor, upon the release of such Guarantor from its obligations under the Guarantee in accordance with the Holdings Guarantee and Pledge Agreement, the Subsidiary Guarantee Agreement or clause (b) below (and the Collateral Agent may rely conclusively on a certificate to that effect provided to it by any Loan Party upon its reasonable request without further inquiry), (vi) as provided in</w:t>
      </w:r>
    </w:p>
    <w:p>
      <w:pPr>
        <w:sectPr>
          <w:pgSz w:w="11900" w:h="16838" w:orient="portrait"/>
          <w:cols w:equalWidth="0" w:num="1">
            <w:col w:w="11240"/>
          </w:cols>
          <w:pgMar w:left="320" w:top="108" w:right="339" w:bottom="1440" w:gutter="0" w:footer="0" w:header="0"/>
        </w:sectPr>
      </w:pPr>
    </w:p>
    <w:bookmarkStart w:id="374" w:name="page375"/>
    <w:bookmarkEnd w:id="374"/>
    <w:p>
      <w:pPr>
        <w:ind w:left="9244"/>
        <w:spacing w:after="0"/>
        <w:rPr>
          <w:sz w:val="20"/>
          <w:szCs w:val="20"/>
          <w:color w:val="auto"/>
        </w:rPr>
      </w:pPr>
      <w:r>
        <w:rPr>
          <w:rFonts w:ascii="Times New Roman" w:cs="Times New Roman" w:eastAsia="Times New Roman" w:hAnsi="Times New Roman"/>
          <w:sz w:val="21"/>
          <w:szCs w:val="21"/>
          <w:color w:val="FF0000"/>
          <w:strike w:val="1"/>
        </w:rPr>
        <w:t>ANNEX</w:t>
      </w:r>
      <w:r>
        <w:rPr>
          <w:rFonts w:ascii="Times New Roman" w:cs="Times New Roman" w:eastAsia="Times New Roman" w:hAnsi="Times New Roman"/>
          <w:sz w:val="21"/>
          <w:szCs w:val="21"/>
          <w:b w:val="1"/>
          <w:bCs w:val="1"/>
          <w:u w:val="single" w:color="auto"/>
          <w:color w:val="0000FF"/>
        </w:rPr>
        <w:t>EXHIBIT</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000000"/>
        </w:rPr>
        <w: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ind w:left="4"/>
        <w:spacing w:after="0" w:line="253" w:lineRule="auto"/>
        <w:rPr>
          <w:sz w:val="20"/>
          <w:szCs w:val="20"/>
          <w:color w:val="auto"/>
        </w:rPr>
      </w:pPr>
      <w:r>
        <w:rPr>
          <w:rFonts w:ascii="Times New Roman" w:cs="Times New Roman" w:eastAsia="Times New Roman" w:hAnsi="Times New Roman"/>
          <w:sz w:val="20"/>
          <w:szCs w:val="20"/>
          <w:color w:val="auto"/>
        </w:rPr>
        <w:t>Section 8.11 (and the Collateral Agent may rely conclusively on a certificate to that effect provided to it by any Loan Party upon its reasonable request without further inquiry), and (vii) as required by the Collateral Agent to effect any Disposition of Collateral in connection with any exercise of remedies of the Collateral Agent pursuant to the Security Documents. Any such release (other than pursuant to clause (i) above) shall not in any manner discharge, affect, or impair the Obligations or any Liens (other than those being released) upon (or obligations (other than those being released) of the Loan Parties in respect of) all interests retained by the Loan Parties, including the proceeds of any Disposition, all of which shall continue to constitute part of the Collateral except to the extent otherwise released in accordance with the provisions of the Loan Documents.</w:t>
      </w:r>
    </w:p>
    <w:p>
      <w:pPr>
        <w:spacing w:after="0" w:line="166" w:lineRule="exact"/>
        <w:rPr>
          <w:sz w:val="20"/>
          <w:szCs w:val="20"/>
          <w:color w:val="auto"/>
        </w:rPr>
      </w:pPr>
    </w:p>
    <w:p>
      <w:pPr>
        <w:jc w:val="both"/>
        <w:ind w:left="4" w:firstLine="1292"/>
        <w:spacing w:after="0" w:line="265" w:lineRule="auto"/>
        <w:tabs>
          <w:tab w:leader="none" w:pos="1873" w:val="left"/>
        </w:tabs>
        <w:numPr>
          <w:ilvl w:val="1"/>
          <w:numId w:val="3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addition, (i) the Lenders, the Issuing Banks and the other Secured Parties hereby irrevocably agree that the Guarantors shall be automatically released from the Guarantees upon consummation of any transaction not prohibited hereunder resulting in such Subsidiary ceasing to constitute a Subsidiary Loan Party or otherwise becoming an Excluded Subsidiary (and the Collateral Agent may rely conclusively on a certificate to that effect provided to it by any Loan Party upon its reasonable request without further inquiry), and</w:t>
      </w:r>
    </w:p>
    <w:p>
      <w:pPr>
        <w:spacing w:after="0" w:line="2" w:lineRule="exact"/>
        <w:rPr>
          <w:rFonts w:ascii="Times New Roman" w:cs="Times New Roman" w:eastAsia="Times New Roman" w:hAnsi="Times New Roman"/>
          <w:sz w:val="19"/>
          <w:szCs w:val="19"/>
          <w:color w:val="auto"/>
        </w:rPr>
      </w:pPr>
    </w:p>
    <w:p>
      <w:pPr>
        <w:ind w:left="284" w:hanging="284"/>
        <w:spacing w:after="0"/>
        <w:tabs>
          <w:tab w:leader="none" w:pos="284" w:val="left"/>
        </w:tabs>
        <w:numPr>
          <w:ilvl w:val="0"/>
          <w:numId w:val="3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immediately prior to the consummation of a Qualified IPO of the Borrower, the Guarantee incurred by Holdings of the Obligations shall</w:t>
      </w:r>
    </w:p>
    <w:p>
      <w:pPr>
        <w:spacing w:after="0" w:line="18" w:lineRule="exact"/>
        <w:rPr>
          <w:sz w:val="20"/>
          <w:szCs w:val="20"/>
          <w:color w:val="auto"/>
        </w:rPr>
      </w:pPr>
    </w:p>
    <w:p>
      <w:pPr>
        <w:jc w:val="both"/>
        <w:ind w:left="4"/>
        <w:spacing w:after="0" w:line="253" w:lineRule="auto"/>
        <w:rPr>
          <w:sz w:val="20"/>
          <w:szCs w:val="20"/>
          <w:color w:val="auto"/>
        </w:rPr>
      </w:pPr>
      <w:r>
        <w:rPr>
          <w:rFonts w:ascii="Times New Roman" w:cs="Times New Roman" w:eastAsia="Times New Roman" w:hAnsi="Times New Roman"/>
          <w:sz w:val="20"/>
          <w:szCs w:val="20"/>
          <w:color w:val="auto"/>
        </w:rPr>
        <w:t>automatically terminate and Holdings shall be released from its obligations under the Loan Documents, shall cease to be a Loan Party and any Liens created by any Loan Documents on any assets or Equity Interests owned by Holdings shall automatically be released (unless, in each case, Holdings shall elect in its sole discretion that such release of Holdings shall not be effected).</w:t>
      </w:r>
    </w:p>
    <w:p>
      <w:pPr>
        <w:spacing w:after="0" w:line="162" w:lineRule="exact"/>
        <w:rPr>
          <w:sz w:val="20"/>
          <w:szCs w:val="20"/>
          <w:color w:val="auto"/>
        </w:rPr>
      </w:pPr>
    </w:p>
    <w:p>
      <w:pPr>
        <w:jc w:val="both"/>
        <w:ind w:left="4" w:firstLine="1292"/>
        <w:spacing w:after="0" w:line="251" w:lineRule="auto"/>
        <w:tabs>
          <w:tab w:leader="none" w:pos="1811" w:val="left"/>
        </w:tabs>
        <w:numPr>
          <w:ilvl w:val="0"/>
          <w:numId w:val="3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Lenders, the Issuing Banks and the other Secured Parties hereby authorize the Administrative Agent and the Collateral Agent, as applicable, to execute and deliver any instruments, documents, and agreements necessary or desirable to evidence and confirm the release of any Guarantor or Collateral pursuant to the foregoing provisions of this Section 9.18 and to return to Holdings or the Borrower all possessory collateral (including share certificates (if any)) held by it in respect of any Collateral so released, all without the further consent or joinder of any Lender or any other Secured Party. Any representation, warranty or covenant contained in any Loan Document relating to any such Collateral or Guarantor shall no longer be deemed to be made. In connection with any release hereunder, the Administrative Agent and the Collateral Agent (acting upon the written instruction of the Administrative Agent) shall promptly (and the Secured Parties hereby authorize the Administrative Agent and the Collateral Agent to) take such action and execute any such documents as may be reasonably requested by the Borrower and at the Borrower’s expense in connection with the release of any Liens created by any Loan Document in respect of such Subsidiary, property or asset;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the Administrative Agent shall have received a certificate of a Responsible Officer of the Borrower containing such certifications as the Administrative Agent shall reasonably request and any such release should be without recourse to or warranty by the Administrative Agent or Collateral Agent.</w:t>
      </w:r>
    </w:p>
    <w:p>
      <w:pPr>
        <w:spacing w:after="0" w:line="164" w:lineRule="exact"/>
        <w:rPr>
          <w:rFonts w:ascii="Times New Roman" w:cs="Times New Roman" w:eastAsia="Times New Roman" w:hAnsi="Times New Roman"/>
          <w:sz w:val="20"/>
          <w:szCs w:val="20"/>
          <w:color w:val="auto"/>
        </w:rPr>
      </w:pPr>
    </w:p>
    <w:p>
      <w:pPr>
        <w:jc w:val="both"/>
        <w:ind w:left="4" w:firstLine="1292"/>
        <w:spacing w:after="0" w:line="251" w:lineRule="auto"/>
        <w:tabs>
          <w:tab w:leader="none" w:pos="1750" w:val="left"/>
        </w:tabs>
        <w:numPr>
          <w:ilvl w:val="0"/>
          <w:numId w:val="3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contained herein or any other Loan Document, on the Termination Date, all Liens granted to the Collateral Agent by the Loan Parties on any Collateral and all obligations of the Borrower and the other Loan Parties under any Loan Documents (other than such obligations that expressly survive the Termination Date pursuant to the terms hereof) shall, in each case, be automatically released and, upon the written request of the Borrower, the Administrative Agent and/or the Collateral Agent (acting upon the written instruction of the Administrative Agent), as applicable, shall (without notice to, or vote or consent of, any Secured Party) take such actions as shall be required to evidence the release its security interest in all Collateral (including returning to Holdings or the Borrower all possessory collateral (including all share certificates (if any)) held by it in respect of any Collateral), and to evidence the release of all obligations under any</w:t>
      </w:r>
    </w:p>
    <w:p>
      <w:pPr>
        <w:sectPr>
          <w:pgSz w:w="11900" w:h="16838" w:orient="portrait"/>
          <w:cols w:equalWidth="0" w:num="1">
            <w:col w:w="11124"/>
          </w:cols>
          <w:pgMar w:left="436" w:top="108" w:right="339" w:bottom="1440" w:gutter="0" w:footer="0" w:header="0"/>
        </w:sectPr>
      </w:pPr>
    </w:p>
    <w:bookmarkStart w:id="375" w:name="page376"/>
    <w:bookmarkEnd w:id="375"/>
    <w:p>
      <w:pPr>
        <w:jc w:val="right"/>
        <w:spacing w:after="0"/>
        <w:rPr>
          <w:sz w:val="20"/>
          <w:szCs w:val="20"/>
          <w:color w:val="auto"/>
        </w:rPr>
      </w:pPr>
      <w:r>
        <w:rPr>
          <w:rFonts w:ascii="Times New Roman" w:cs="Times New Roman" w:eastAsia="Times New Roman" w:hAnsi="Times New Roman"/>
          <w:sz w:val="22"/>
          <w:szCs w:val="22"/>
          <w:color w:val="FF0000"/>
          <w:strike w:val="1"/>
        </w:rPr>
        <w:t>ANNEX</w:t>
      </w:r>
      <w:r>
        <w:rPr>
          <w:rFonts w:ascii="Times New Roman" w:cs="Times New Roman" w:eastAsia="Times New Roman" w:hAnsi="Times New Roman"/>
          <w:sz w:val="22"/>
          <w:szCs w:val="22"/>
          <w:b w:val="1"/>
          <w:bCs w:val="1"/>
          <w:u w:val="single" w:color="auto"/>
          <w:color w:val="0000FF"/>
        </w:rPr>
        <w:t>EXHIBIT</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ind w:left="120"/>
        <w:spacing w:after="0" w:line="251" w:lineRule="auto"/>
        <w:rPr>
          <w:sz w:val="20"/>
          <w:szCs w:val="20"/>
          <w:color w:val="auto"/>
        </w:rPr>
      </w:pPr>
      <w:r>
        <w:rPr>
          <w:rFonts w:ascii="Times New Roman" w:cs="Times New Roman" w:eastAsia="Times New Roman" w:hAnsi="Times New Roman"/>
          <w:sz w:val="20"/>
          <w:szCs w:val="20"/>
          <w:color w:val="auto"/>
        </w:rPr>
        <w:t xml:space="preserve">Loan Document (other than such obligations that expressly survive the Termination Date pursuant to the terms hereof), whether or not on the date of such release there may be any (i) obligations in respect of any Secured Hedge Agreements or any Secured Cash Management Agreements and (ii) any contingent indemnification obligations or expense reimburse claims not then due;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the Administrative Agent shall have received a certificate of a Responsible Officer of the Borrower containing such certifications as the Administrative Agent shall reasonably request. Any such release of obligations shall be deemed subject to the provision that such obligations shall be reinstated if after such release any portion of any payment in respect of the obligations guaranteed thereby shall be rescinded or must otherwise be restored or returned upon the insolvency, bankruptcy, dissolution, liquidation or reorganization of the Borrower or any Guarantor, or upon or as a result of the appointment of a receiver, intervenor or conservator of, or trustee or similar officer for, the Borrower or any Guarantor or any substantial part of its property, or otherwise, all as though such payment had not been made. The Borrower agrees to pay all reasonable and documented out-of-pocket expenses incurred by the Administrative Agent or the Collateral Agent (and their respective representatives) in connection with taking such actions to release security interest in all Collateral and all obligations under the Loan Documents as contemplated by this Section 9.18(d).</w:t>
      </w:r>
    </w:p>
    <w:p>
      <w:pPr>
        <w:spacing w:after="0" w:line="178" w:lineRule="exact"/>
        <w:rPr>
          <w:sz w:val="20"/>
          <w:szCs w:val="20"/>
          <w:color w:val="auto"/>
        </w:rPr>
      </w:pPr>
    </w:p>
    <w:p>
      <w:pPr>
        <w:jc w:val="both"/>
        <w:ind w:left="120" w:firstLine="1292"/>
        <w:spacing w:after="0" w:line="253" w:lineRule="auto"/>
        <w:tabs>
          <w:tab w:leader="none" w:pos="1887" w:val="left"/>
        </w:tabs>
        <w:numPr>
          <w:ilvl w:val="0"/>
          <w:numId w:val="3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Obligations of the Borrower or any of its Subsidiaries under any Secured Cash Management Agreement or Secured Hedge Agreement (after giving effect to all netting arrangements relating to such Secured Hedge Agreements) shall be secured and guaranteed pursuant to the Security Documents only to the extent that, and for so long as, the other Obligations are so secured and guaranteed. No person shall have any voting rights under any Loan Document solely as a result of the existence of obligations owed to it under any such Secured Hedge Agreement or Secured Cash Management Agreement. For the avoidance of doubt, no release of Collateral or Guarantors effected in the manner permitted by this Agreement shall require the consent of any holder of obligations under Secured Hedge Agreements or any Secured Cash Management Agreements.</w:t>
      </w:r>
    </w:p>
    <w:p>
      <w:pPr>
        <w:spacing w:after="0" w:line="166"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0"/>
          <w:szCs w:val="20"/>
          <w:color w:val="auto"/>
        </w:rPr>
        <w:t>Section 9.19 Judgment Currency. If, for the purposes of obtaining judgment in any court, it is necessary to convert a sum due hereunder or any other Loan Document in one currency into another currency, the rate of exchange used shall be that at which in accordance with normal banking procedures the Administrative Agent could purchase the first currency with such other currency on the Business Day preceding that on which final judgment is given. The obligation of the Borrower in respect of any such sum due from it to the Administrative Agent or the Lenders hereunder or under the other Loan Documents shall, notwithstanding any judgment in a currency (the “</w:t>
      </w:r>
      <w:r>
        <w:rPr>
          <w:rFonts w:ascii="Times New Roman" w:cs="Times New Roman" w:eastAsia="Times New Roman" w:hAnsi="Times New Roman"/>
          <w:sz w:val="20"/>
          <w:szCs w:val="20"/>
          <w:u w:val="single" w:color="auto"/>
          <w:color w:val="auto"/>
        </w:rPr>
        <w:t>Judgment Currency</w:t>
      </w:r>
      <w:r>
        <w:rPr>
          <w:rFonts w:ascii="Times New Roman" w:cs="Times New Roman" w:eastAsia="Times New Roman" w:hAnsi="Times New Roman"/>
          <w:sz w:val="20"/>
          <w:szCs w:val="20"/>
          <w:color w:val="auto"/>
        </w:rPr>
        <w:t>”) other than that in which such sum is denominated in accordance with the applicable provisions of this Agreement (the “</w:t>
      </w:r>
      <w:r>
        <w:rPr>
          <w:rFonts w:ascii="Times New Roman" w:cs="Times New Roman" w:eastAsia="Times New Roman" w:hAnsi="Times New Roman"/>
          <w:sz w:val="20"/>
          <w:szCs w:val="20"/>
          <w:u w:val="single" w:color="auto"/>
          <w:color w:val="auto"/>
        </w:rPr>
        <w:t>Agreement Currency</w:t>
      </w:r>
      <w:r>
        <w:rPr>
          <w:rFonts w:ascii="Times New Roman" w:cs="Times New Roman" w:eastAsia="Times New Roman" w:hAnsi="Times New Roman"/>
          <w:sz w:val="20"/>
          <w:szCs w:val="20"/>
          <w:color w:val="auto"/>
        </w:rPr>
        <w:t>”), be discharged only to the extent that on the Business Day following receipt by the Administrative Agent of any sum adjudged to be so due in the Judgment Currency, the Administrative Agent may in accordance with normal banking procedures purchase the Agreement Currency with the Judgment Currency. If the amount of the Agreement Currency so purchased is less than the sum originally due to the Administrative Agent from the Borrower in the Agreement Currency, the Borrower agrees, as a separate obligation and notwithstanding any such judgment, to indemnify the Administrative Agent or the person to whom such obligation was owing against such loss. If the amount of the Agreement Currency so purchased is greater than the sum originally due to the Administrative Agent in such currency, the Administrative Agent agrees to return the amount of any excess to the Borrower (or to any other person who may be entitled thereto under applicable law).</w:t>
      </w:r>
    </w:p>
    <w:p>
      <w:pPr>
        <w:spacing w:after="0" w:line="17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Section 9.20 USA PATRIOT Act Notice. Each Lender that is subject to the USA PATRIOT Act and the Beneficial Ownership Regulation, the Collateral Agent, and the Administrative Agent (for itself and not on behalf of any Lender) hereby notifies the Borrower that pursuant to the</w:t>
      </w:r>
    </w:p>
    <w:p>
      <w:pPr>
        <w:sectPr>
          <w:pgSz w:w="11900" w:h="16838" w:orient="portrait"/>
          <w:cols w:equalWidth="0" w:num="1">
            <w:col w:w="11240"/>
          </w:cols>
          <w:pgMar w:left="320" w:top="108" w:right="339" w:bottom="1440" w:gutter="0" w:footer="0" w:header="0"/>
        </w:sectPr>
      </w:pPr>
    </w:p>
    <w:bookmarkStart w:id="376" w:name="page377"/>
    <w:bookmarkEnd w:id="376"/>
    <w:p>
      <w:pPr>
        <w:jc w:val="right"/>
        <w:spacing w:after="0"/>
        <w:rPr>
          <w:sz w:val="20"/>
          <w:szCs w:val="20"/>
          <w:color w:val="auto"/>
        </w:rPr>
      </w:pPr>
      <w:r>
        <w:rPr>
          <w:rFonts w:ascii="Times New Roman" w:cs="Times New Roman" w:eastAsia="Times New Roman" w:hAnsi="Times New Roman"/>
          <w:sz w:val="22"/>
          <w:szCs w:val="22"/>
          <w:color w:val="FF0000"/>
          <w:strike w:val="1"/>
        </w:rPr>
        <w:t>ANNEX</w:t>
      </w:r>
      <w:r>
        <w:rPr>
          <w:rFonts w:ascii="Times New Roman" w:cs="Times New Roman" w:eastAsia="Times New Roman" w:hAnsi="Times New Roman"/>
          <w:sz w:val="22"/>
          <w:szCs w:val="22"/>
          <w:b w:val="1"/>
          <w:bCs w:val="1"/>
          <w:u w:val="single" w:color="auto"/>
          <w:color w:val="0000FF"/>
        </w:rPr>
        <w:t>EXHIBIT</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requirements of the USA PATRIOT Act and the Beneficial Ownership Regulation, it is required to obtain, verify and record information that identifies each Loan Party, which information includes the name and address of each Loan Party and other information that will allow such Lender, the Collateral Agent or the Administrative Agent, as applicable, to identify each Loan Party in accordance with the USA PATRIOT Act and the Beneficial Ownership Regulation.</w:t>
      </w:r>
    </w:p>
    <w:p>
      <w:pPr>
        <w:spacing w:after="0" w:line="159" w:lineRule="exact"/>
        <w:rPr>
          <w:sz w:val="20"/>
          <w:szCs w:val="20"/>
          <w:color w:val="auto"/>
        </w:rPr>
      </w:pPr>
    </w:p>
    <w:p>
      <w:pPr>
        <w:ind w:left="1300"/>
        <w:spacing w:after="0"/>
        <w:tabs>
          <w:tab w:leader="none" w:pos="2460" w:val="left"/>
        </w:tabs>
        <w:rPr>
          <w:sz w:val="20"/>
          <w:szCs w:val="20"/>
          <w:color w:val="auto"/>
        </w:rPr>
      </w:pPr>
      <w:r>
        <w:rPr>
          <w:rFonts w:ascii="Times New Roman" w:cs="Times New Roman" w:eastAsia="Times New Roman" w:hAnsi="Times New Roman"/>
          <w:sz w:val="20"/>
          <w:szCs w:val="20"/>
          <w:color w:val="auto"/>
        </w:rPr>
        <w:t>Section 9.21</w:t>
      </w:r>
      <w:r>
        <w:rPr>
          <w:sz w:val="20"/>
          <w:szCs w:val="20"/>
          <w:color w:val="auto"/>
        </w:rPr>
        <w:tab/>
      </w:r>
      <w:r>
        <w:rPr>
          <w:rFonts w:ascii="Times New Roman" w:cs="Times New Roman" w:eastAsia="Times New Roman" w:hAnsi="Times New Roman"/>
          <w:sz w:val="19"/>
          <w:szCs w:val="19"/>
          <w:color w:val="auto"/>
        </w:rPr>
        <w:t>Affiliate Lenders.</w:t>
      </w:r>
    </w:p>
    <w:p>
      <w:pPr>
        <w:spacing w:after="0" w:line="202" w:lineRule="exact"/>
        <w:rPr>
          <w:sz w:val="20"/>
          <w:szCs w:val="20"/>
          <w:color w:val="auto"/>
        </w:rPr>
      </w:pPr>
    </w:p>
    <w:p>
      <w:pPr>
        <w:jc w:val="both"/>
        <w:ind w:left="120" w:firstLine="1292"/>
        <w:spacing w:after="0" w:line="250" w:lineRule="auto"/>
        <w:tabs>
          <w:tab w:leader="none" w:pos="2012" w:val="left"/>
        </w:tabs>
        <w:numPr>
          <w:ilvl w:val="0"/>
          <w:numId w:val="3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Lender who is an Affiliate of the Borrower, excluding (x) Holdings, the Borrower and their respective Subsidiaries and (y) any Debt Fund Affiliate Lender (each, an “</w:t>
      </w:r>
      <w:r>
        <w:rPr>
          <w:rFonts w:ascii="Times New Roman" w:cs="Times New Roman" w:eastAsia="Times New Roman" w:hAnsi="Times New Roman"/>
          <w:sz w:val="20"/>
          <w:szCs w:val="20"/>
          <w:u w:val="single" w:color="auto"/>
          <w:color w:val="auto"/>
        </w:rPr>
        <w:t>Affiliate Lender</w:t>
      </w:r>
      <w:r>
        <w:rPr>
          <w:rFonts w:ascii="Times New Roman" w:cs="Times New Roman" w:eastAsia="Times New Roman" w:hAnsi="Times New Roman"/>
          <w:sz w:val="20"/>
          <w:szCs w:val="20"/>
          <w:color w:val="auto"/>
        </w:rPr>
        <w:t>”; it being understood that (x) neither Holdings, the Borrower, nor any of their Subsidiaries may be Affiliate Lenders and (y) Debt Fund Affiliate Lenders and Affiliate Lenders may be Lenders hereunder in accordance with Section 9.04, subject in the case of Affiliate Lenders, to this Section 9.21), in connection with any (i) consent (or decision not to consent) to any amendment, modification, waiver, consent or other action with respect to any of the terms of any Loan Document, (ii) other action on any matter related to any Loan Document or (iii) direction to the Administrative Agent or any Lender to undertake any action (or refrain from taking any action) with respect to or under any Loan Document, agrees that, except with respect to any amendment, modification, waiver, consent or other action (1) described in clauses (i), (ii), (iii) or (iv) of the first proviso of Section 9.08(b) or (2) that adversely affects such Affiliate Lender (in its capacity as a Lender) in a disproportionately adverse manner as compared to other Lenders, such Affiliate Lender shall be deemed to have voted its interest as a Lender without discretion in such proportion as the allocation of voting with respect to such matter by Lenders who are not Affiliate Lenders. Each Affiliate Lender hereby irrevocably appoints the Administrative Agent (such appointment being coupled with an interest) as such Affiliate Lender’s attorney-in-fact, with full authority in the place and stead of such Affiliate Lender and in the name of such Affiliate Lender, from time to time in the Administrative Agent’s discretion to take any action and to execute any instrument that the Administrative Agent may deem reasonably necessary to carry out the provisions of this clause (a).</w:t>
      </w:r>
    </w:p>
    <w:p>
      <w:pPr>
        <w:spacing w:after="0" w:line="173" w:lineRule="exact"/>
        <w:rPr>
          <w:rFonts w:ascii="Times New Roman" w:cs="Times New Roman" w:eastAsia="Times New Roman" w:hAnsi="Times New Roman"/>
          <w:sz w:val="20"/>
          <w:szCs w:val="20"/>
          <w:color w:val="auto"/>
        </w:rPr>
      </w:pPr>
    </w:p>
    <w:p>
      <w:pPr>
        <w:jc w:val="both"/>
        <w:ind w:left="120" w:firstLine="1292"/>
        <w:spacing w:after="0" w:line="249" w:lineRule="auto"/>
        <w:tabs>
          <w:tab w:leader="none" w:pos="1924" w:val="left"/>
        </w:tabs>
        <w:numPr>
          <w:ilvl w:val="0"/>
          <w:numId w:val="3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in this Agreement, no Affiliate Lender shall have any right to (1) attend (including by telephone) any meeting or discussions (or any portion thereof) among the Administrative Agent or any Lender to which representatives of the Borrower are not then present, (2) receive any information or material prepared by Administrative Agent or any Lender or any communication by or among Administrative Agent and/or one or more Lenders, except to the extent such information or materials have been made available to the Borrower or its representatives, (3) make or bring (or participate in, other than as a passive participant in or recipient of its pro rata benefits of) any claim, in its capacity as a Lender, against Administrative Agent, the Collateral Agent or any other Lender with respect to any duties or obligations or alleged duties or obligations of such Agent or any other such Lender under the Loan Documents, (4) purchase any Term Loan if, immediately after giving effect to such purchase, Affiliate Lenders in the aggregate would own Term Loans with an aggregate principal amount in excess of 25% of the aggregate principal amount of all Term Loans then outstanding or (5) purchase any Revolving Facility Loans or Revolving Facility Commitments. It shall be a condition precedent to each assignment to an Affiliate Lender that such Affiliate Lender shall have (x) represented to the assigning Lender in the applicable Assignment and Acceptance, and notified the Administrative Agent, that it is (or will be, following the consummation of such assignment) an Affiliate Lender and that the aggregate amount of Term Loans held by it giving effect to such assignments shall not exceed the amount permitted by clause (4) of the preceding sentence and (y) represented in the applicable Assignment and Acceptance that it is not in possession of material non-public information (within the meaning of United States federal and state securities laws) with respect to Holdings, the</w:t>
      </w:r>
    </w:p>
    <w:p>
      <w:pPr>
        <w:sectPr>
          <w:pgSz w:w="11900" w:h="16838" w:orient="portrait"/>
          <w:cols w:equalWidth="0" w:num="1">
            <w:col w:w="11240"/>
          </w:cols>
          <w:pgMar w:left="320" w:top="108" w:right="339" w:bottom="1440" w:gutter="0" w:footer="0" w:header="0"/>
        </w:sectPr>
      </w:pPr>
    </w:p>
    <w:bookmarkStart w:id="377" w:name="page378"/>
    <w:bookmarkEnd w:id="377"/>
    <w:p>
      <w:pPr>
        <w:jc w:val="right"/>
        <w:spacing w:after="0"/>
        <w:rPr>
          <w:sz w:val="20"/>
          <w:szCs w:val="20"/>
          <w:color w:val="auto"/>
        </w:rPr>
      </w:pPr>
      <w:r>
        <w:rPr>
          <w:rFonts w:ascii="Times New Roman" w:cs="Times New Roman" w:eastAsia="Times New Roman" w:hAnsi="Times New Roman"/>
          <w:sz w:val="22"/>
          <w:szCs w:val="22"/>
          <w:color w:val="FF0000"/>
          <w:strike w:val="1"/>
        </w:rPr>
        <w:t>ANNEX</w:t>
      </w:r>
      <w:r>
        <w:rPr>
          <w:rFonts w:ascii="Times New Roman" w:cs="Times New Roman" w:eastAsia="Times New Roman" w:hAnsi="Times New Roman"/>
          <w:sz w:val="22"/>
          <w:szCs w:val="22"/>
          <w:b w:val="1"/>
          <w:bCs w:val="1"/>
          <w:u w:val="single" w:color="auto"/>
          <w:color w:val="0000FF"/>
        </w:rPr>
        <w:t>EXHIBIT</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ind w:left="120"/>
        <w:spacing w:after="0" w:line="253" w:lineRule="auto"/>
        <w:rPr>
          <w:sz w:val="20"/>
          <w:szCs w:val="20"/>
          <w:color w:val="auto"/>
        </w:rPr>
      </w:pPr>
      <w:r>
        <w:rPr>
          <w:rFonts w:ascii="Times New Roman" w:cs="Times New Roman" w:eastAsia="Times New Roman" w:hAnsi="Times New Roman"/>
          <w:sz w:val="20"/>
          <w:szCs w:val="20"/>
          <w:color w:val="auto"/>
        </w:rPr>
        <w:t>Borrower, its Subsidiaries or their respective securities (or, if Holdings is not at the time a public reporting company, material information of a type that would not be reasonably expected to be publicly available if Holdings were a public reporting company) that (A) has not been disclosed to the assigning Lender or the Lenders generally (other than because any such Lender does not wish to receive material non-public information with respect to Holdings, the Borrower or its Subsidiaries) and (B) could reasonably be expected to have a material effect upon, or otherwise be material to, the assigning Lender’s decision make such assignment.</w:t>
      </w:r>
    </w:p>
    <w:p>
      <w:pPr>
        <w:spacing w:after="0" w:line="178"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20"/>
          <w:szCs w:val="20"/>
          <w:color w:val="auto"/>
        </w:rPr>
        <w:t>Section 9.22 Agency of the Borrower for the Loan Parties. Each of the other Loan Parties hereby appoints the Borrower as its agent for all purposes relevant to this Agreement and the other Loan Documents, including the giving and receipt of notices and the execution and delivery of all documents, instruments and certificates contemplated herein and therein and all modifications hereto and thereto.</w:t>
      </w:r>
    </w:p>
    <w:p>
      <w:pPr>
        <w:spacing w:after="0" w:line="174"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0"/>
          <w:szCs w:val="20"/>
          <w:color w:val="auto"/>
        </w:rPr>
        <w:t>Section 9.23 No Liability of the Issuing Banks. The Borrower assumes all risks of the acts or omissions of any beneficiary or transferee of any Letter of Credit with respect to its use of such Letter of Credit. Neither any Issuing Bank nor any of its officers or directors shall be liable or responsible for: (a) the use that may be made of any Letter of Credit or any acts or omissions of any beneficiary or transferee in connection therewith; (b) the validity, sufficiency or genuineness of documents, or of any endorsement thereon, even if such documents should prove to be in any or all respects invalid, insufficient, fraudulent or forged; (c) payment by such Issuing Bank against presentation of documents that do not comply with the terms of a Letter of Credit, including failure of any documents to bear any reference or adequate reference to the Letter of Credit; or (d) any other circumstances whatsoever in making or failing to make payment under any Letter of Credit, except that the Borrower shall have a claim against such Issuing Bank, and such Issuing Bank shall be liable to the Borrower, to the extent of any direct, but not consequential, damages suffered by the Borrower that the Borrower proves were caused by</w:t>
      </w:r>
    </w:p>
    <w:p>
      <w:pPr>
        <w:spacing w:after="0" w:line="1" w:lineRule="exact"/>
        <w:rPr>
          <w:sz w:val="20"/>
          <w:szCs w:val="20"/>
          <w:color w:val="auto"/>
        </w:rPr>
      </w:pPr>
    </w:p>
    <w:p>
      <w:pPr>
        <w:jc w:val="both"/>
        <w:ind w:firstLine="8"/>
        <w:spacing w:after="0" w:line="250" w:lineRule="auto"/>
        <w:tabs>
          <w:tab w:leader="none" w:pos="253" w:val="left"/>
        </w:tabs>
        <w:numPr>
          <w:ilvl w:val="0"/>
          <w:numId w:val="3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Issuing Bank’s willful misconduct or gross negligence as determined in a final, non-appealable judgment by a court of competent jurisdiction in determining whether documents presented under any Letter of Credit comply with the terms of the Letter of Credit or (ii) such Issuing Bank’s willful failure to make lawful payment under a Letter of Credit after the presentation to it of a draft and certificates strictly complying with the terms and conditions of the Letter of Credit. In furtherance and not in limitation of the foregoing, such Issuing Bank may accept documents that appear on their face to be in order, without responsibility for further investigation, regardless of any notice or information to the contrary.</w:t>
      </w:r>
    </w:p>
    <w:p>
      <w:pPr>
        <w:spacing w:after="0" w:line="194"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Section 9.24 Acknowledgment and Consent to Bail-In of Affected Financial Institutions. Solely to the extent any Lender or Issuing Bank that is an Affected Financial Institution is a party to this Agreement and notwithstanding anything to the contrary in any Loan Document or in any other agreement, arrangement or understanding among any such parties, each party hereto acknowledges that any liability of any Lender or Issuing Bank that is an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spacing w:after="0" w:line="179" w:lineRule="exact"/>
        <w:rPr>
          <w:sz w:val="20"/>
          <w:szCs w:val="20"/>
          <w:color w:val="auto"/>
        </w:rPr>
      </w:pPr>
    </w:p>
    <w:p>
      <w:pPr>
        <w:ind w:left="120" w:firstLine="1292"/>
        <w:spacing w:after="0" w:line="283" w:lineRule="auto"/>
        <w:tabs>
          <w:tab w:leader="none" w:pos="1967" w:val="left"/>
        </w:tabs>
        <w:numPr>
          <w:ilvl w:val="0"/>
          <w:numId w:val="3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application of any Write-Down and Conversion Powers by the applicable Resolution Authority to any such liabilities arising hereunder which may be payable to it by any Lender or Issuing Bank that is an Affected Financial Institution; and</w:t>
      </w:r>
    </w:p>
    <w:p>
      <w:pPr>
        <w:spacing w:after="0" w:line="146" w:lineRule="exact"/>
        <w:rPr>
          <w:rFonts w:ascii="Times New Roman" w:cs="Times New Roman" w:eastAsia="Times New Roman" w:hAnsi="Times New Roman"/>
          <w:sz w:val="20"/>
          <w:szCs w:val="20"/>
          <w:color w:val="auto"/>
        </w:rPr>
      </w:pPr>
    </w:p>
    <w:p>
      <w:pPr>
        <w:ind w:left="1840" w:hanging="428"/>
        <w:spacing w:after="0"/>
        <w:tabs>
          <w:tab w:leader="none" w:pos="1840" w:val="left"/>
        </w:tabs>
        <w:numPr>
          <w:ilvl w:val="0"/>
          <w:numId w:val="3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effects of any Bail-In Action on any such liability, including, if applicable:</w:t>
      </w:r>
    </w:p>
    <w:p>
      <w:pPr>
        <w:sectPr>
          <w:pgSz w:w="11900" w:h="16838" w:orient="portrait"/>
          <w:cols w:equalWidth="0" w:num="1">
            <w:col w:w="11240"/>
          </w:cols>
          <w:pgMar w:left="320" w:top="108" w:right="339" w:bottom="1440" w:gutter="0" w:footer="0" w:header="0"/>
        </w:sectPr>
      </w:pPr>
    </w:p>
    <w:bookmarkStart w:id="378" w:name="page379"/>
    <w:bookmarkEnd w:id="378"/>
    <w:p>
      <w:pPr>
        <w:jc w:val="right"/>
        <w:spacing w:after="0"/>
        <w:rPr>
          <w:sz w:val="20"/>
          <w:szCs w:val="20"/>
          <w:color w:val="auto"/>
        </w:rPr>
      </w:pPr>
      <w:r>
        <w:rPr>
          <w:rFonts w:ascii="Times New Roman" w:cs="Times New Roman" w:eastAsia="Times New Roman" w:hAnsi="Times New Roman"/>
          <w:sz w:val="22"/>
          <w:szCs w:val="22"/>
          <w:color w:val="FF0000"/>
          <w:strike w:val="1"/>
        </w:rPr>
        <w:t>ANNEX</w:t>
      </w:r>
      <w:r>
        <w:rPr>
          <w:rFonts w:ascii="Times New Roman" w:cs="Times New Roman" w:eastAsia="Times New Roman" w:hAnsi="Times New Roman"/>
          <w:sz w:val="22"/>
          <w:szCs w:val="22"/>
          <w:b w:val="1"/>
          <w:bCs w:val="1"/>
          <w:u w:val="single" w:color="auto"/>
          <w:color w:val="0000FF"/>
        </w:rPr>
        <w:t>EXHIBIT</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2340" w:hanging="388"/>
        <w:spacing w:after="0"/>
        <w:tabs>
          <w:tab w:leader="none" w:pos="2340" w:val="left"/>
        </w:tabs>
        <w:numPr>
          <w:ilvl w:val="0"/>
          <w:numId w:val="3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reduction in full or in part or cancellation of any such liability;</w:t>
      </w:r>
    </w:p>
    <w:p>
      <w:pPr>
        <w:spacing w:after="0" w:line="229" w:lineRule="exact"/>
        <w:rPr>
          <w:rFonts w:ascii="Times New Roman" w:cs="Times New Roman" w:eastAsia="Times New Roman" w:hAnsi="Times New Roman"/>
          <w:sz w:val="20"/>
          <w:szCs w:val="20"/>
          <w:color w:val="auto"/>
        </w:rPr>
      </w:pPr>
    </w:p>
    <w:p>
      <w:pPr>
        <w:jc w:val="both"/>
        <w:ind w:left="660" w:firstLine="1292"/>
        <w:spacing w:after="0" w:line="254" w:lineRule="auto"/>
        <w:tabs>
          <w:tab w:leader="none" w:pos="2400" w:val="left"/>
        </w:tabs>
        <w:numPr>
          <w:ilvl w:val="0"/>
          <w:numId w:val="3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87" w:lineRule="exact"/>
        <w:rPr>
          <w:rFonts w:ascii="Times New Roman" w:cs="Times New Roman" w:eastAsia="Times New Roman" w:hAnsi="Times New Roman"/>
          <w:sz w:val="20"/>
          <w:szCs w:val="20"/>
          <w:color w:val="auto"/>
        </w:rPr>
      </w:pPr>
    </w:p>
    <w:p>
      <w:pPr>
        <w:ind w:left="660" w:right="20" w:firstLine="1292"/>
        <w:spacing w:after="0" w:line="283" w:lineRule="auto"/>
        <w:tabs>
          <w:tab w:leader="none" w:pos="2502" w:val="left"/>
        </w:tabs>
        <w:numPr>
          <w:ilvl w:val="0"/>
          <w:numId w:val="3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variation of the terms of such liability in connection with the exercise of the write-down and conversion powers of any the applicable Resolution Authority.</w:t>
      </w:r>
    </w:p>
    <w:p>
      <w:pPr>
        <w:spacing w:after="0" w:line="146"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0"/>
          <w:szCs w:val="20"/>
          <w:color w:val="auto"/>
        </w:rPr>
        <w:t>Section 9.25 Acknowledgement Regarding Any Supported QFCs. To the extent that the Loan Documents provide support, through a guarantee or otherwise, for Hedging Agreements or any other agreement or instrument that is a QFC (such support, “</w:t>
      </w:r>
      <w:r>
        <w:rPr>
          <w:rFonts w:ascii="Times New Roman" w:cs="Times New Roman" w:eastAsia="Times New Roman" w:hAnsi="Times New Roman"/>
          <w:sz w:val="20"/>
          <w:szCs w:val="20"/>
          <w:u w:val="single" w:color="auto"/>
          <w:color w:val="auto"/>
        </w:rPr>
        <w:t>QFC Credit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Support</w:t>
      </w:r>
      <w:r>
        <w:rPr>
          <w:rFonts w:ascii="Times New Roman" w:cs="Times New Roman" w:eastAsia="Times New Roman" w:hAnsi="Times New Roman"/>
          <w:sz w:val="20"/>
          <w:szCs w:val="20"/>
          <w:color w:val="auto"/>
        </w:rPr>
        <w:t>” and each such QFC, a “</w:t>
      </w:r>
      <w:r>
        <w:rPr>
          <w:rFonts w:ascii="Times New Roman" w:cs="Times New Roman" w:eastAsia="Times New Roman" w:hAnsi="Times New Roman"/>
          <w:sz w:val="20"/>
          <w:szCs w:val="20"/>
          <w:u w:val="single" w:color="auto"/>
          <w:color w:val="auto"/>
        </w:rPr>
        <w:t>Supported QFC</w:t>
      </w:r>
      <w:r>
        <w:rPr>
          <w:rFonts w:ascii="Times New Roman" w:cs="Times New Roman" w:eastAsia="Times New Roman" w:hAnsi="Times New Roman"/>
          <w:sz w:val="20"/>
          <w:szCs w:val="20"/>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 w:cs="Times New Roman" w:eastAsia="Times New Roman" w:hAnsi="Times New Roman"/>
          <w:sz w:val="20"/>
          <w:szCs w:val="20"/>
          <w:u w:val="single" w:color="auto"/>
          <w:color w:val="auto"/>
        </w:rPr>
        <w:t>U.S. Special Resolution Regimes</w:t>
      </w:r>
      <w:r>
        <w:rPr>
          <w:rFonts w:ascii="Times New Roman" w:cs="Times New Roman" w:eastAsia="Times New Roman" w:hAnsi="Times New Roman"/>
          <w:sz w:val="20"/>
          <w:szCs w:val="20"/>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195" w:lineRule="exact"/>
        <w:rPr>
          <w:sz w:val="20"/>
          <w:szCs w:val="20"/>
          <w:color w:val="auto"/>
        </w:rPr>
      </w:pPr>
    </w:p>
    <w:p>
      <w:pPr>
        <w:jc w:val="both"/>
        <w:ind w:left="120" w:firstLine="1292"/>
        <w:spacing w:after="0" w:line="249" w:lineRule="auto"/>
        <w:tabs>
          <w:tab w:leader="none" w:pos="1944" w:val="left"/>
        </w:tabs>
        <w:numPr>
          <w:ilvl w:val="0"/>
          <w:numId w:val="3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a Covered Entity that is party to a Supported QFC (each, a “</w:t>
      </w:r>
      <w:r>
        <w:rPr>
          <w:rFonts w:ascii="Times New Roman" w:cs="Times New Roman" w:eastAsia="Times New Roman" w:hAnsi="Times New Roman"/>
          <w:sz w:val="20"/>
          <w:szCs w:val="20"/>
          <w:u w:val="single" w:color="auto"/>
          <w:color w:val="auto"/>
        </w:rPr>
        <w:t>Covered Party</w:t>
      </w:r>
      <w:r>
        <w:rPr>
          <w:rFonts w:ascii="Times New Roman" w:cs="Times New Roman" w:eastAsia="Times New Roman" w:hAnsi="Times New Roman"/>
          <w:sz w:val="20"/>
          <w:szCs w:val="20"/>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201" w:lineRule="exact"/>
        <w:rPr>
          <w:rFonts w:ascii="Times New Roman" w:cs="Times New Roman" w:eastAsia="Times New Roman" w:hAnsi="Times New Roman"/>
          <w:sz w:val="20"/>
          <w:szCs w:val="20"/>
          <w:color w:val="auto"/>
        </w:rPr>
      </w:pPr>
    </w:p>
    <w:p>
      <w:pPr>
        <w:ind w:left="1820" w:hanging="408"/>
        <w:spacing w:after="0"/>
        <w:tabs>
          <w:tab w:leader="none" w:pos="1820" w:val="left"/>
        </w:tabs>
        <w:numPr>
          <w:ilvl w:val="0"/>
          <w:numId w:val="3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used in this Section 9.25, the following terms have the following meanings:</w:t>
      </w:r>
    </w:p>
    <w:p>
      <w:pPr>
        <w:spacing w:after="0" w:line="229" w:lineRule="exact"/>
        <w:rPr>
          <w:sz w:val="20"/>
          <w:szCs w:val="20"/>
          <w:color w:val="auto"/>
        </w:rPr>
      </w:pPr>
    </w:p>
    <w:p>
      <w:pPr>
        <w:ind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BHC Act Affiliate</w:t>
      </w:r>
      <w:r>
        <w:rPr>
          <w:rFonts w:ascii="Times New Roman" w:cs="Times New Roman" w:eastAsia="Times New Roman" w:hAnsi="Times New Roman"/>
          <w:sz w:val="20"/>
          <w:szCs w:val="20"/>
          <w:color w:val="auto"/>
        </w:rPr>
        <w:t>” of a party shall mean an “affiliate” (as such term is defined under, and interpreted in accordance with, 12 U.S.C. § 1841(k)) of such party.</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Covered Entity</w:t>
      </w:r>
      <w:r>
        <w:rPr>
          <w:rFonts w:ascii="Times New Roman" w:cs="Times New Roman" w:eastAsia="Times New Roman" w:hAnsi="Times New Roman"/>
          <w:sz w:val="20"/>
          <w:szCs w:val="20"/>
          <w:color w:val="auto"/>
        </w:rPr>
        <w:t>” shall mean any of the following:</w:t>
      </w:r>
    </w:p>
    <w:p>
      <w:pPr>
        <w:spacing w:after="0" w:line="216" w:lineRule="exact"/>
        <w:rPr>
          <w:sz w:val="20"/>
          <w:szCs w:val="20"/>
          <w:color w:val="auto"/>
        </w:rPr>
      </w:pPr>
    </w:p>
    <w:p>
      <w:pPr>
        <w:ind w:left="1660" w:hanging="356"/>
        <w:spacing w:after="0"/>
        <w:tabs>
          <w:tab w:leader="none" w:pos="1660" w:val="left"/>
        </w:tabs>
        <w:numPr>
          <w:ilvl w:val="0"/>
          <w:numId w:val="3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“covered entity” as that term is defined in, and interpreted in accordance with, 12 C.F.R. § 252.82(b);</w:t>
      </w:r>
    </w:p>
    <w:p>
      <w:pPr>
        <w:sectPr>
          <w:pgSz w:w="11900" w:h="16838" w:orient="portrait"/>
          <w:cols w:equalWidth="0" w:num="1">
            <w:col w:w="11240"/>
          </w:cols>
          <w:pgMar w:left="320" w:top="108" w:right="339" w:bottom="1440" w:gutter="0" w:footer="0" w:header="0"/>
        </w:sectPr>
      </w:pPr>
    </w:p>
    <w:bookmarkStart w:id="379" w:name="page380"/>
    <w:bookmarkEnd w:id="379"/>
    <w:p>
      <w:pPr>
        <w:jc w:val="right"/>
        <w:spacing w:after="0"/>
        <w:rPr>
          <w:sz w:val="20"/>
          <w:szCs w:val="20"/>
          <w:color w:val="auto"/>
        </w:rPr>
      </w:pPr>
      <w:r>
        <w:rPr>
          <w:rFonts w:ascii="Times New Roman" w:cs="Times New Roman" w:eastAsia="Times New Roman" w:hAnsi="Times New Roman"/>
          <w:sz w:val="22"/>
          <w:szCs w:val="22"/>
          <w:color w:val="FF0000"/>
          <w:strike w:val="1"/>
        </w:rPr>
        <w:t>ANNEX</w:t>
      </w:r>
      <w:r>
        <w:rPr>
          <w:rFonts w:ascii="Times New Roman" w:cs="Times New Roman" w:eastAsia="Times New Roman" w:hAnsi="Times New Roman"/>
          <w:sz w:val="22"/>
          <w:szCs w:val="22"/>
          <w:b w:val="1"/>
          <w:bCs w:val="1"/>
          <w:u w:val="single" w:color="auto"/>
          <w:color w:val="0000FF"/>
        </w:rPr>
        <w:t>EXHIBIT</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660" w:hanging="356"/>
        <w:spacing w:after="0"/>
        <w:tabs>
          <w:tab w:leader="none" w:pos="1660" w:val="left"/>
        </w:tabs>
        <w:numPr>
          <w:ilvl w:val="0"/>
          <w:numId w:val="3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“covered bank” as that term is defined in, and interpreted in accordance with, 12 C.F.R. § 47.3(b); or</w:t>
      </w:r>
    </w:p>
    <w:p>
      <w:pPr>
        <w:spacing w:after="0" w:line="229" w:lineRule="exact"/>
        <w:rPr>
          <w:rFonts w:ascii="Times New Roman" w:cs="Times New Roman" w:eastAsia="Times New Roman" w:hAnsi="Times New Roman"/>
          <w:sz w:val="20"/>
          <w:szCs w:val="20"/>
          <w:color w:val="auto"/>
        </w:rPr>
      </w:pPr>
    </w:p>
    <w:p>
      <w:pPr>
        <w:ind w:left="1760" w:hanging="456"/>
        <w:spacing w:after="0"/>
        <w:tabs>
          <w:tab w:leader="none" w:pos="1760" w:val="left"/>
        </w:tabs>
        <w:numPr>
          <w:ilvl w:val="0"/>
          <w:numId w:val="3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“covered FSI” as that term is defined in, and interpreted in accordance with, 12 C.F.R. § 382.2(b).</w:t>
      </w:r>
    </w:p>
    <w:p>
      <w:pPr>
        <w:spacing w:after="0" w:line="216"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Default Right</w:t>
      </w:r>
      <w:r>
        <w:rPr>
          <w:rFonts w:ascii="Times New Roman" w:cs="Times New Roman" w:eastAsia="Times New Roman" w:hAnsi="Times New Roman"/>
          <w:sz w:val="20"/>
          <w:szCs w:val="20"/>
          <w:color w:val="auto"/>
        </w:rPr>
        <w:t>” has the meaning assigned to that term in, and shall be interpreted in accordance with, 12 C.F.R. §§ 252.81, 47.2 or 382.1, as applicable.</w:t>
      </w:r>
    </w:p>
    <w:p>
      <w:pPr>
        <w:spacing w:after="0" w:line="146" w:lineRule="exact"/>
        <w:rPr>
          <w:sz w:val="20"/>
          <w:szCs w:val="20"/>
          <w:color w:val="auto"/>
        </w:rPr>
      </w:pPr>
    </w:p>
    <w:p>
      <w:pPr>
        <w:jc w:val="both"/>
        <w:ind w:right="20"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QFC</w:t>
      </w:r>
      <w:r>
        <w:rPr>
          <w:rFonts w:ascii="Times New Roman" w:cs="Times New Roman" w:eastAsia="Times New Roman" w:hAnsi="Times New Roman"/>
          <w:sz w:val="20"/>
          <w:szCs w:val="20"/>
          <w:color w:val="auto"/>
        </w:rPr>
        <w:t>” has the meaning assigned to the term “qualified financial contract” in, and shall be interpreted in accordance with, 12 U.S.C. § 5390(c)(8)(D).</w:t>
      </w:r>
    </w:p>
    <w:p>
      <w:pPr>
        <w:spacing w:after="0" w:line="160"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19"/>
          <w:szCs w:val="19"/>
          <w:color w:val="auto"/>
        </w:rPr>
        <w:t>Section 9.26 Third Amended and Restated First Lien Credit Agreement; Effectiveness of Amendment and Restatement. On and after the 2021 Effective Date, all obligations of the Loan Parties under the Existing Credit Agreement shall become obligations of the Loan Parties hereunder and the provisions of the Existing Credit Agreement shall be superseded by the provisions hereof except for provisions under the Existing Credit Agreement that expressly survive the termination thereof. The parties hereto acknowledge and agree that</w:t>
      </w:r>
    </w:p>
    <w:p>
      <w:pPr>
        <w:spacing w:after="0" w:line="3" w:lineRule="exact"/>
        <w:rPr>
          <w:sz w:val="20"/>
          <w:szCs w:val="20"/>
          <w:color w:val="auto"/>
        </w:rPr>
      </w:pPr>
    </w:p>
    <w:p>
      <w:pPr>
        <w:jc w:val="both"/>
        <w:ind w:firstLine="8"/>
        <w:spacing w:after="0" w:line="253" w:lineRule="auto"/>
        <w:tabs>
          <w:tab w:leader="none" w:pos="270" w:val="left"/>
        </w:tabs>
        <w:numPr>
          <w:ilvl w:val="0"/>
          <w:numId w:val="3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amendment and restatement of the Existing Credit Agreement pursuant to this Agreement and all other Loan Documents executed and delivered in connection herewith shall not constitute a novation of the Existing Credit Agreement and the other Loan Documents as in effect prior to the 2021 Effective Date and (b) all deemed references in the other Loan Documents to the Existing Credit Agreement shall be deemed to refer without further amendment to this Agreement.</w:t>
      </w:r>
    </w:p>
    <w:p>
      <w:pPr>
        <w:sectPr>
          <w:pgSz w:w="11900" w:h="16838" w:orient="portrait"/>
          <w:cols w:equalWidth="0" w:num="1">
            <w:col w:w="11240"/>
          </w:cols>
          <w:pgMar w:left="320" w:top="108" w:right="339" w:bottom="1440" w:gutter="0" w:footer="0" w:header="0"/>
        </w:sectPr>
      </w:pPr>
    </w:p>
    <w:bookmarkStart w:id="380" w:name="page381"/>
    <w:bookmarkEnd w:id="380"/>
    <w:p>
      <w:pPr>
        <w:jc w:val="right"/>
        <w:spacing w:after="0"/>
        <w:rPr>
          <w:sz w:val="20"/>
          <w:szCs w:val="20"/>
          <w:color w:val="auto"/>
        </w:rPr>
      </w:pPr>
      <w:r>
        <w:rPr>
          <w:rFonts w:ascii="Times New Roman" w:cs="Times New Roman" w:eastAsia="Times New Roman" w:hAnsi="Times New Roman"/>
          <w:sz w:val="18"/>
          <w:szCs w:val="18"/>
          <w:b w:val="1"/>
          <w:bCs w:val="1"/>
          <w:color w:val="auto"/>
        </w:rPr>
        <w:t>Exhibit 10.23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SEPARATION AGREEMENT AND RELEASE</w:t>
      </w:r>
    </w:p>
    <w:p>
      <w:pPr>
        <w:spacing w:after="0" w:line="200" w:lineRule="exact"/>
        <w:rPr>
          <w:sz w:val="20"/>
          <w:szCs w:val="20"/>
          <w:color w:val="auto"/>
        </w:rPr>
      </w:pPr>
    </w:p>
    <w:p>
      <w:pPr>
        <w:spacing w:after="0" w:line="236" w:lineRule="exact"/>
        <w:rPr>
          <w:sz w:val="20"/>
          <w:szCs w:val="20"/>
          <w:color w:val="auto"/>
        </w:rPr>
      </w:pPr>
    </w:p>
    <w:p>
      <w:pPr>
        <w:ind w:right="20" w:firstLine="648"/>
        <w:spacing w:after="0" w:line="275" w:lineRule="auto"/>
        <w:rPr>
          <w:sz w:val="20"/>
          <w:szCs w:val="20"/>
          <w:color w:val="auto"/>
        </w:rPr>
      </w:pPr>
      <w:r>
        <w:rPr>
          <w:rFonts w:ascii="Times New Roman" w:cs="Times New Roman" w:eastAsia="Times New Roman" w:hAnsi="Times New Roman"/>
          <w:sz w:val="22"/>
          <w:szCs w:val="22"/>
          <w:color w:val="auto"/>
        </w:rPr>
        <w:t xml:space="preserve">This Separation Agreement and Release (“Agreement”) is between </w:t>
      </w:r>
      <w:r>
        <w:rPr>
          <w:rFonts w:ascii="Times New Roman" w:cs="Times New Roman" w:eastAsia="Times New Roman" w:hAnsi="Times New Roman"/>
          <w:sz w:val="22"/>
          <w:szCs w:val="22"/>
          <w:b w:val="1"/>
          <w:bCs w:val="1"/>
          <w:u w:val="single" w:color="auto"/>
          <w:color w:val="auto"/>
        </w:rPr>
        <w:t>Brian Lillie</w:t>
      </w:r>
      <w:r>
        <w:rPr>
          <w:rFonts w:ascii="Times New Roman" w:cs="Times New Roman" w:eastAsia="Times New Roman" w:hAnsi="Times New Roman"/>
          <w:sz w:val="22"/>
          <w:szCs w:val="22"/>
          <w:color w:val="auto"/>
        </w:rPr>
        <w:t xml:space="preserve"> (“Employee” or “You”) and Rackspace US, Inc. (“Rackspace” or the “Company”) together with the Employee, the “Parties”).</w:t>
      </w:r>
    </w:p>
    <w:p>
      <w:pPr>
        <w:spacing w:after="0" w:line="271" w:lineRule="exact"/>
        <w:rPr>
          <w:sz w:val="20"/>
          <w:szCs w:val="20"/>
          <w:color w:val="auto"/>
        </w:rPr>
      </w:pPr>
    </w:p>
    <w:p>
      <w:pPr>
        <w:jc w:val="both"/>
        <w:ind w:firstLine="8"/>
        <w:spacing w:after="0" w:line="253" w:lineRule="auto"/>
        <w:tabs>
          <w:tab w:leader="none" w:pos="418" w:val="left"/>
        </w:tabs>
        <w:numPr>
          <w:ilvl w:val="0"/>
          <w:numId w:val="3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End of Employment</w:t>
      </w:r>
      <w:r>
        <w:rPr>
          <w:rFonts w:ascii="Times New Roman" w:cs="Times New Roman" w:eastAsia="Times New Roman" w:hAnsi="Times New Roman"/>
          <w:sz w:val="22"/>
          <w:szCs w:val="22"/>
          <w:color w:val="auto"/>
        </w:rPr>
        <w:t>. The Parties agree that Employee’s last day as President, Private Cloud will be January 17, 2025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that Employee will continue serving the Company as an advisor through April 5, 2025, at which point the Company will terminate Employee’s employment with the Company without Cause (as defined in that certain employment agreement dated January 16, 2023).</w:t>
      </w:r>
    </w:p>
    <w:p>
      <w:pPr>
        <w:spacing w:after="0" w:line="175" w:lineRule="exact"/>
        <w:rPr>
          <w:rFonts w:ascii="Times New Roman" w:cs="Times New Roman" w:eastAsia="Times New Roman" w:hAnsi="Times New Roman"/>
          <w:sz w:val="22"/>
          <w:szCs w:val="22"/>
          <w:color w:val="auto"/>
        </w:rPr>
      </w:pPr>
    </w:p>
    <w:p>
      <w:pPr>
        <w:ind w:left="380" w:hanging="372"/>
        <w:spacing w:after="0"/>
        <w:tabs>
          <w:tab w:leader="none" w:pos="380" w:val="left"/>
        </w:tabs>
        <w:numPr>
          <w:ilvl w:val="0"/>
          <w:numId w:val="3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Payments.</w:t>
      </w:r>
    </w:p>
    <w:p>
      <w:pPr>
        <w:spacing w:after="0" w:line="233" w:lineRule="exact"/>
        <w:rPr>
          <w:rFonts w:ascii="Times New Roman" w:cs="Times New Roman" w:eastAsia="Times New Roman" w:hAnsi="Times New Roman"/>
          <w:sz w:val="22"/>
          <w:szCs w:val="22"/>
          <w:color w:val="auto"/>
        </w:rPr>
      </w:pPr>
    </w:p>
    <w:p>
      <w:pPr>
        <w:jc w:val="both"/>
        <w:ind w:firstLine="656"/>
        <w:spacing w:after="0" w:line="249" w:lineRule="auto"/>
        <w:tabs>
          <w:tab w:leader="none" w:pos="1108" w:val="left"/>
        </w:tabs>
        <w:numPr>
          <w:ilvl w:val="2"/>
          <w:numId w:val="3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Severance Amount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Rackspace will pay you $1,300,000, less applicable withholdings and other ordinary payroll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deductions (the “Severance Amount”). This Severance Amount does not include any unpaid wages or earned commissions, or any other payments outlined below, which will be paid separately. In addition, if, depending on where you are located, applicable law requires payment for any accrued but unused paid time off, this amount will be paid in accordance with applicable law and Company policy. The Severance Amount will be paid in 26 equal, biweekly installments, beginning on the first or second payroll date after the Effective Date of this Agreement. These installment payments will continue until all payments have been made unless you: (i) are in breach of or do not comply with any of the obligations set forth in this Agreement as determined by the Company or (ii) are rehired by Rackspace in any capacity during the payment period.</w:t>
      </w:r>
    </w:p>
    <w:p>
      <w:pPr>
        <w:spacing w:after="0" w:line="181" w:lineRule="exact"/>
        <w:rPr>
          <w:rFonts w:ascii="Times New Roman" w:cs="Times New Roman" w:eastAsia="Times New Roman" w:hAnsi="Times New Roman"/>
          <w:sz w:val="22"/>
          <w:szCs w:val="22"/>
          <w:color w:val="auto"/>
        </w:rPr>
      </w:pPr>
    </w:p>
    <w:p>
      <w:pPr>
        <w:jc w:val="both"/>
        <w:ind w:firstLine="575"/>
        <w:spacing w:after="0" w:line="252" w:lineRule="auto"/>
        <w:tabs>
          <w:tab w:leader="none" w:pos="958" w:val="left"/>
        </w:tabs>
        <w:numPr>
          <w:ilvl w:val="1"/>
          <w:numId w:val="3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Pro Rata Bonus for 2025</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Rackspace will pay you a pro-rata portion of the annual bonus, less applicable federal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state withholding and other ordinary payroll deductions, which represents a pro-rata portion of the annual bonus that you otherwise would have been entitled to receive (if you were employed at the time of the payout for the 2025 bonus plan), based on the number of full months of employment you completed prior to April 5, 2025, and based on the 2025 performance achievement levels, (the “2025 Bonus Payment”). This 2025 Bonus Payment will be paid in a lump sum when bonuses for 2025 are paid to other similarly situated employees.</w:t>
      </w:r>
    </w:p>
    <w:p>
      <w:pPr>
        <w:spacing w:after="0" w:line="174" w:lineRule="exact"/>
        <w:rPr>
          <w:rFonts w:ascii="Times New Roman" w:cs="Times New Roman" w:eastAsia="Times New Roman" w:hAnsi="Times New Roman"/>
          <w:sz w:val="22"/>
          <w:szCs w:val="22"/>
          <w:color w:val="auto"/>
        </w:rPr>
      </w:pPr>
    </w:p>
    <w:p>
      <w:pPr>
        <w:jc w:val="both"/>
        <w:ind w:firstLine="656"/>
        <w:spacing w:after="0" w:line="250" w:lineRule="auto"/>
        <w:tabs>
          <w:tab w:leader="none" w:pos="1054" w:val="left"/>
        </w:tabs>
        <w:numPr>
          <w:ilvl w:val="2"/>
          <w:numId w:val="3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Medical Benefit Payment</w:t>
      </w:r>
      <w:r>
        <w:rPr>
          <w:rFonts w:ascii="Times New Roman" w:cs="Times New Roman" w:eastAsia="Times New Roman" w:hAnsi="Times New Roman"/>
          <w:sz w:val="22"/>
          <w:szCs w:val="22"/>
          <w:color w:val="auto"/>
        </w:rPr>
        <w:t>. You will receive a lump sum cash payment of $24,576.58, less applicable withholdings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other ordinary payroll deductions, which is equal to the applicable premium cost for 12 months of continued Company group health coverage for you and any spouse and/or dependents (“Family Members”) pursuant to the Consolidated Omnibus Budget Reconciliation Act of 1986, as amended (“COBRA”), based on your elections with respect to health coverage for you and your Family Members in effect as of immediately prior to your termination. This lump sum payment will be on the first severance payment following 30 calendar days after your employment end date and will be paid regardless of whether you elect COBRA continuation coverage. If you choose to elect COBRA, you must do so within 60 days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40"/>
          </w:cols>
          <w:pgMar w:left="320" w:top="104" w:right="339" w:bottom="1440" w:gutter="0" w:footer="0" w:header="0"/>
        </w:sectPr>
      </w:pPr>
    </w:p>
    <w:bookmarkStart w:id="381" w:name="page382"/>
    <w:bookmarkEnd w:id="381"/>
    <w:p>
      <w:pPr>
        <w:spacing w:after="0" w:line="271" w:lineRule="auto"/>
        <w:rPr>
          <w:sz w:val="20"/>
          <w:szCs w:val="20"/>
          <w:color w:val="auto"/>
        </w:rPr>
      </w:pPr>
      <w:r>
        <w:rPr>
          <w:rFonts w:ascii="Times New Roman" w:cs="Times New Roman" w:eastAsia="Times New Roman" w:hAnsi="Times New Roman"/>
          <w:sz w:val="22"/>
          <w:szCs w:val="22"/>
          <w:color w:val="auto"/>
        </w:rPr>
        <w:t>of the later of the date you are furnished the election notice or the date you lose coverage, and you shall be solely responsible for payment of any premiums due with respect to such coverage.</w:t>
      </w:r>
    </w:p>
    <w:p>
      <w:pPr>
        <w:spacing w:after="0" w:line="154" w:lineRule="exact"/>
        <w:rPr>
          <w:sz w:val="20"/>
          <w:szCs w:val="20"/>
          <w:color w:val="auto"/>
        </w:rPr>
      </w:pPr>
    </w:p>
    <w:p>
      <w:pPr>
        <w:jc w:val="both"/>
        <w:ind w:firstLine="656"/>
        <w:spacing w:after="0" w:line="265" w:lineRule="auto"/>
        <w:tabs>
          <w:tab w:leader="none" w:pos="1107" w:val="left"/>
        </w:tabs>
        <w:numPr>
          <w:ilvl w:val="1"/>
          <w:numId w:val="3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Consideration for Non-Compete</w:t>
      </w:r>
      <w:r>
        <w:rPr>
          <w:rFonts w:ascii="Times New Roman" w:cs="Times New Roman" w:eastAsia="Times New Roman" w:hAnsi="Times New Roman"/>
          <w:sz w:val="22"/>
          <w:szCs w:val="22"/>
          <w:color w:val="auto"/>
        </w:rPr>
        <w:t>. As consideration for the non-competition provision outlined in Section 10,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agrees to grant you eligibility for any equity awards that vest prior to April 5, 2025, regardless of your date of exit from the Company if you are terminated without Cause, including, but not limited to your ACIP or PCASH awards, if any.</w:t>
      </w:r>
    </w:p>
    <w:p>
      <w:pPr>
        <w:spacing w:after="0" w:line="161" w:lineRule="exact"/>
        <w:rPr>
          <w:rFonts w:ascii="Times New Roman" w:cs="Times New Roman" w:eastAsia="Times New Roman" w:hAnsi="Times New Roman"/>
          <w:sz w:val="22"/>
          <w:szCs w:val="22"/>
          <w:color w:val="auto"/>
        </w:rPr>
      </w:pPr>
    </w:p>
    <w:p>
      <w:pPr>
        <w:jc w:val="both"/>
        <w:ind w:firstLine="8"/>
        <w:spacing w:after="0" w:line="252" w:lineRule="auto"/>
        <w:tabs>
          <w:tab w:leader="none" w:pos="432" w:val="left"/>
        </w:tabs>
        <w:numPr>
          <w:ilvl w:val="0"/>
          <w:numId w:val="3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No Other Payments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After the Company pays you the amounts outlined in this Agreement, Rackspace is not obligated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make any additional severance, bonus or wage-related payments to you in any amount or for any purpose, other than any unpaid wages, earned commissions, or payment for paid time off as may be required by applicable law. Both Parties irrevocably stipulate and agree that they have each received adequate consideration for the obligations they have undertaken pursuant to the Agreement. The consideration provided is deemed sufficient and fair, ensuring that each party’s commitments are legally binding and enforceable.</w:t>
      </w:r>
    </w:p>
    <w:p>
      <w:pPr>
        <w:spacing w:after="0" w:line="174" w:lineRule="exact"/>
        <w:rPr>
          <w:rFonts w:ascii="Times New Roman" w:cs="Times New Roman" w:eastAsia="Times New Roman" w:hAnsi="Times New Roman"/>
          <w:sz w:val="22"/>
          <w:szCs w:val="22"/>
          <w:color w:val="auto"/>
        </w:rPr>
      </w:pPr>
    </w:p>
    <w:p>
      <w:pPr>
        <w:jc w:val="both"/>
        <w:ind w:firstLine="8"/>
        <w:spacing w:after="0" w:line="264" w:lineRule="auto"/>
        <w:tabs>
          <w:tab w:leader="none" w:pos="445" w:val="left"/>
        </w:tabs>
        <w:numPr>
          <w:ilvl w:val="0"/>
          <w:numId w:val="3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Release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 exchange for the promises in this Agreement, you agree to irrevocably and unconditionally release all Claims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you may now have or that you could have asserted against the Released Parties as set forth in this section. The “Released Parties” are Rackspace US, Inc., Rackspace Hosting, Inc., Datapipe, Inc. and all of their respective affiliates, subsidiaries, related companies, partnerships, or joint ventures, and, with respect to each of them, their predecessors and successors; and with respect to each entity, all of its past and present employees, officers, directors, fiduciaries, agents, administrators, stockholders, owners, investors, and representatives, assigns, attorneys, agents, both in their individual and corporate capacities, and any other persons acting by, through, under or in concert with any of the persons or entities listed in this subsection.</w:t>
      </w:r>
    </w:p>
    <w:p>
      <w:pPr>
        <w:spacing w:after="0" w:line="17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 xml:space="preserve">You understand and agree that you are waiving and releasing all claims against the Released Parties, of any known and unknown claims, promises, causes of action, including but not limited to breach of contract, conversion, invasion of privacy, intentional infliction of emotional distress, promissory estoppel, equitable estoppel, assault, battery, defamation, disparagement, negligence, fraud, torts, and any and all similar rights of any type (“Released Claims” or “Claim(s)”) that you may have against any Released Party. You further understand that the Claims that you are releasing may arise under many different laws (including statutes, regulations, other administrative guidance, and common law doctrines), including, but not limited to: </w:t>
      </w:r>
      <w:r>
        <w:rPr>
          <w:rFonts w:ascii="Times New Roman" w:cs="Times New Roman" w:eastAsia="Times New Roman" w:hAnsi="Times New Roman"/>
          <w:sz w:val="22"/>
          <w:szCs w:val="22"/>
          <w:b w:val="1"/>
          <w:bCs w:val="1"/>
          <w:i w:val="1"/>
          <w:iCs w:val="1"/>
          <w:color w:val="auto"/>
        </w:rPr>
        <w:t>the Age Discrimination in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Employment Act</w:t>
      </w:r>
      <w:r>
        <w:rPr>
          <w:rFonts w:ascii="Times New Roman" w:cs="Times New Roman" w:eastAsia="Times New Roman" w:hAnsi="Times New Roman"/>
          <w:sz w:val="22"/>
          <w:szCs w:val="22"/>
          <w:color w:val="auto"/>
        </w:rPr>
        <w:t>; Title VII of the Civil Rights Act; Section 1981 of the Civil Rights Act; Executive Order 11246; the Equal Pay</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Act; Lilly Ledbetter Fair Pay Act; the Americans with Disabilities Act, as amended, Section 503 and 504 of the Rehabilitation Act; the Genetic Information Nondiscrimination Act; the Texas Workers’ Compensation Act; Chapter 21 of the Texas Labor Code; the Worker Adjustment and Retraining Notification Act; the Employee Retirement Income Security Act; the Fair Labor Standards Act; the National Labor Relations Act; the Family and Medical Leave Act; the Uniformed Services Employment and Reemployment Rights Act; the Defend Trade Secrets Act; any federal, state, or local laws restricting an employer’s right to terminate employees, or otherwise regulating employment;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21" w:right="339" w:bottom="1440" w:gutter="0" w:footer="0" w:header="0"/>
        </w:sectPr>
      </w:pPr>
    </w:p>
    <w:bookmarkStart w:id="382" w:name="page383"/>
    <w:bookmarkEnd w:id="382"/>
    <w:p>
      <w:pPr>
        <w:spacing w:after="0" w:line="19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rPr>
        <w:t>federal, state, or local law enforcing express or implied employment contracts or requiring an employer to deal with employees fairly or in good faith; Claims for physical or personal injury (including, but not limited to, Claims based on the negligence of the Released Parties), wrongful discharge, intentional infliction of emotional distress, fraud, fraud in the inducement, negligent misrepresentation, negligent infliction of emotional distress, defamation, invasion of privacy, conversion, theft, interference with contract or with prospective economic advantage, negligent investigation, claims for wages, severance, bonus, salary, commission and/or benefits, breach of express or implied contract, and breach of covenants of good faith and fair dealing, and similar or related Claims. Nothing in this section is intended to limit or restrict any rights that cannot, by express and unequivocal terms of law, be limited, waived, or extinguished.</w:t>
      </w:r>
    </w:p>
    <w:p>
      <w:pPr>
        <w:spacing w:after="0" w:line="189"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22"/>
          <w:szCs w:val="22"/>
          <w:b w:val="1"/>
          <w:bCs w:val="1"/>
          <w:i w:val="1"/>
          <w:iCs w:val="1"/>
          <w:u w:val="single" w:color="auto"/>
          <w:color w:val="auto"/>
        </w:rPr>
        <w:t>PLEASE NOTE THAT THIS RELEASE INCLUDES A RELEASE OF CLAIMS FOR NEGLIGENCE AND GROSS NEGLIGENCE. THIS DOCUMENT IS INTENDED TO BE A COMPLETE RELEASE OF ALL CLAIMS.</w:t>
      </w:r>
    </w:p>
    <w:p>
      <w:pPr>
        <w:spacing w:after="0" w:line="15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You understand that you are releasing Claims up to and including the date you sign this Agreement, including Claims that you may not know about. You affirm that this is your knowing and voluntary intent, even though you recognize that someday you might learn that some or all of the facts you currently believe to be true are untrue, and even though you might then regret having signed this Release. Nevertheless, you are assuming that risk, and you agree that this Release will remain effective in all respects in any such case. You expressly waive all rights you might have under any law that is intended to protect you from waiving unknown Claims. You understand the significance of doing so.</w:t>
      </w:r>
    </w:p>
    <w:p>
      <w:pPr>
        <w:spacing w:after="0" w:line="17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b w:val="1"/>
          <w:bCs w:val="1"/>
          <w:u w:val="single" w:color="auto"/>
          <w:color w:val="auto"/>
        </w:rPr>
        <w:t>Certain Actions Not Prohibited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Nothing in this Agreement is intended to interfere with your right to report possible violations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federal, state or local law or regulation to any governmental or law enforcement agency or entity, to respond to law enforcement inquiries or to make other disclosures that are protected under the whistleblower provisions of federal or state law or regulation. By signing this Agreement, you acknowledge that nothing in this Agreement shall affect any eligibility that you may have to receive a whistleblower award or bounty for information provided to the Securities and Exchange Commission (“</w:t>
      </w:r>
      <w:r>
        <w:rPr>
          <w:rFonts w:ascii="Times New Roman" w:cs="Times New Roman" w:eastAsia="Times New Roman" w:hAnsi="Times New Roman"/>
          <w:sz w:val="22"/>
          <w:szCs w:val="22"/>
          <w:u w:val="single" w:color="auto"/>
          <w:color w:val="auto"/>
        </w:rPr>
        <w:t>SEC</w:t>
      </w:r>
      <w:r>
        <w:rPr>
          <w:rFonts w:ascii="Times New Roman" w:cs="Times New Roman" w:eastAsia="Times New Roman" w:hAnsi="Times New Roman"/>
          <w:sz w:val="22"/>
          <w:szCs w:val="22"/>
          <w:color w:val="auto"/>
        </w:rPr>
        <w:t>”) or any other government agency or official. Nothing in this Agreement shall be construed to affect the rights and responsibilities of the Equal Employment Opportunity Commission (the “</w:t>
      </w:r>
      <w:r>
        <w:rPr>
          <w:rFonts w:ascii="Times New Roman" w:cs="Times New Roman" w:eastAsia="Times New Roman" w:hAnsi="Times New Roman"/>
          <w:sz w:val="22"/>
          <w:szCs w:val="22"/>
          <w:u w:val="single" w:color="auto"/>
          <w:color w:val="auto"/>
        </w:rPr>
        <w:t>EEOC</w:t>
      </w:r>
      <w:r>
        <w:rPr>
          <w:rFonts w:ascii="Times New Roman" w:cs="Times New Roman" w:eastAsia="Times New Roman" w:hAnsi="Times New Roman"/>
          <w:sz w:val="22"/>
          <w:szCs w:val="22"/>
          <w:color w:val="auto"/>
        </w:rPr>
        <w:t>”), the National Labor Relations Board (the “</w:t>
      </w:r>
      <w:r>
        <w:rPr>
          <w:rFonts w:ascii="Times New Roman" w:cs="Times New Roman" w:eastAsia="Times New Roman" w:hAnsi="Times New Roman"/>
          <w:sz w:val="22"/>
          <w:szCs w:val="22"/>
          <w:u w:val="single" w:color="auto"/>
          <w:color w:val="auto"/>
        </w:rPr>
        <w:t>NLRB</w:t>
      </w:r>
      <w:r>
        <w:rPr>
          <w:rFonts w:ascii="Times New Roman" w:cs="Times New Roman" w:eastAsia="Times New Roman" w:hAnsi="Times New Roman"/>
          <w:sz w:val="22"/>
          <w:szCs w:val="22"/>
          <w:color w:val="auto"/>
        </w:rPr>
        <w:t>”), the Occupational Safety and Health Commission (“</w:t>
      </w:r>
      <w:r>
        <w:rPr>
          <w:rFonts w:ascii="Times New Roman" w:cs="Times New Roman" w:eastAsia="Times New Roman" w:hAnsi="Times New Roman"/>
          <w:sz w:val="22"/>
          <w:szCs w:val="22"/>
          <w:u w:val="single" w:color="auto"/>
          <w:color w:val="auto"/>
        </w:rPr>
        <w:t>OSHA</w:t>
      </w:r>
      <w:r>
        <w:rPr>
          <w:rFonts w:ascii="Times New Roman" w:cs="Times New Roman" w:eastAsia="Times New Roman" w:hAnsi="Times New Roman"/>
          <w:sz w:val="22"/>
          <w:szCs w:val="22"/>
          <w:color w:val="auto"/>
        </w:rPr>
        <w:t>”) or any other federal, state or local agency with similar responsibilities. Likewise, this waiver will not be used to justify interfering with the protected right of any employee to file a charge or participate in an investigation or proceeding conducted by the EEOC, the NLRB, OSHA or any similar agency. However, to the fullest extent permitted by applicable law, you waive the right to receive or participate in any payment or benefits arising out of any such proceeding.</w:t>
      </w:r>
    </w:p>
    <w:p>
      <w:pPr>
        <w:spacing w:after="0" w:line="18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2"/>
          <w:szCs w:val="22"/>
          <w:b w:val="1"/>
          <w:bCs w:val="1"/>
          <w:u w:val="single" w:color="auto"/>
          <w:color w:val="auto"/>
        </w:rPr>
        <w:t>Future Claims; Counsel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Agreement does not release any claims or causes of action that accrue or arise after the date you</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sign this Agreement. You are advised to review this Agreement with an attorney, at your expense, concerning its effect prior to signing it.</w:t>
      </w:r>
    </w:p>
    <w:p>
      <w:pPr>
        <w:spacing w:after="0" w:line="161" w:lineRule="exact"/>
        <w:rPr>
          <w:sz w:val="20"/>
          <w:szCs w:val="20"/>
          <w:color w:val="auto"/>
        </w:rPr>
      </w:pPr>
    </w:p>
    <w:p>
      <w:pPr>
        <w:ind w:left="380" w:hanging="372"/>
        <w:spacing w:after="0"/>
        <w:tabs>
          <w:tab w:leader="none" w:pos="380" w:val="left"/>
        </w:tabs>
        <w:numPr>
          <w:ilvl w:val="0"/>
          <w:numId w:val="3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Confidential Information, Company Property</w:t>
      </w:r>
      <w:r>
        <w:rPr>
          <w:rFonts w:ascii="Times New Roman" w:cs="Times New Roman" w:eastAsia="Times New Roman" w:hAnsi="Times New Roman"/>
          <w:sz w:val="22"/>
          <w:szCs w:val="22"/>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40" w:right="339" w:bottom="1440" w:gutter="0" w:footer="0" w:header="0"/>
        </w:sectPr>
      </w:pPr>
    </w:p>
    <w:bookmarkStart w:id="383" w:name="page384"/>
    <w:bookmarkEnd w:id="383"/>
    <w:p>
      <w:pPr>
        <w:jc w:val="both"/>
        <w:ind w:firstLine="656"/>
        <w:spacing w:after="0" w:line="253" w:lineRule="auto"/>
        <w:tabs>
          <w:tab w:leader="none" w:pos="1062" w:val="left"/>
        </w:tabs>
        <w:numPr>
          <w:ilvl w:val="0"/>
          <w:numId w:val="3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will not, directly or indirectly, for your own benefit or for the benefit of another, reveal, use or disclose to any other person, firm, corporation, or other party, or make, directly or indirectly, any commercial or other use of any information not publicly known about Rackspace or its prospects, services, suppliers, products, customers, finances, data processing, purchasing, accounting or marketing systems, whether current or in development, such information being privileged, confidential business and/or trade secret information of Rackspace (“Confidential Information”).</w:t>
      </w:r>
    </w:p>
    <w:p>
      <w:pPr>
        <w:spacing w:after="0" w:line="178" w:lineRule="exact"/>
        <w:rPr>
          <w:rFonts w:ascii="Times New Roman" w:cs="Times New Roman" w:eastAsia="Times New Roman" w:hAnsi="Times New Roman"/>
          <w:sz w:val="22"/>
          <w:szCs w:val="22"/>
          <w:color w:val="auto"/>
        </w:rPr>
      </w:pPr>
    </w:p>
    <w:p>
      <w:pPr>
        <w:jc w:val="both"/>
        <w:ind w:firstLine="656"/>
        <w:spacing w:after="0" w:line="256" w:lineRule="auto"/>
        <w:tabs>
          <w:tab w:leader="none" w:pos="1061" w:val="left"/>
        </w:tabs>
        <w:numPr>
          <w:ilvl w:val="0"/>
          <w:numId w:val="3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a result of your employment by Rackspace, you may have had access to, or knowledge of, confidential business information or trade secrets of third parties. You also agree to preserve and protect the confidentiality of such third-party confidential information and trade secrets to the same extent, and on the same basis, as the privileged confidential business and/or trade secret information of Rackspace.</w:t>
      </w:r>
    </w:p>
    <w:p>
      <w:pPr>
        <w:spacing w:after="0" w:line="176" w:lineRule="exact"/>
        <w:rPr>
          <w:rFonts w:ascii="Times New Roman" w:cs="Times New Roman" w:eastAsia="Times New Roman" w:hAnsi="Times New Roman"/>
          <w:sz w:val="22"/>
          <w:szCs w:val="22"/>
          <w:color w:val="auto"/>
        </w:rPr>
      </w:pPr>
    </w:p>
    <w:p>
      <w:pPr>
        <w:jc w:val="both"/>
        <w:ind w:firstLine="656"/>
        <w:spacing w:after="0" w:line="252" w:lineRule="auto"/>
        <w:tabs>
          <w:tab w:leader="none" w:pos="1024" w:val="left"/>
        </w:tabs>
        <w:numPr>
          <w:ilvl w:val="0"/>
          <w:numId w:val="3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written materials, records, and other documents made by, or coming into the possession of, you during the period of your employment by Rackspace which contain or disclose Confidential Information will be and remain the property of Rackspace. Upon termination of your employment with Rackspace, you will promptly deliver the same, and all copies thereof, to Rackspace.</w:t>
      </w:r>
    </w:p>
    <w:p>
      <w:pPr>
        <w:spacing w:after="0" w:line="179" w:lineRule="exact"/>
        <w:rPr>
          <w:rFonts w:ascii="Times New Roman" w:cs="Times New Roman" w:eastAsia="Times New Roman" w:hAnsi="Times New Roman"/>
          <w:sz w:val="22"/>
          <w:szCs w:val="22"/>
          <w:color w:val="auto"/>
        </w:rPr>
      </w:pPr>
    </w:p>
    <w:p>
      <w:pPr>
        <w:jc w:val="both"/>
        <w:ind w:firstLine="737"/>
        <w:spacing w:after="0" w:line="252" w:lineRule="auto"/>
        <w:tabs>
          <w:tab w:leader="none" w:pos="1152" w:val="left"/>
        </w:tabs>
        <w:numPr>
          <w:ilvl w:val="1"/>
          <w:numId w:val="3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30 days following your employment end date you will return to the Company all property belonging to the Company that you possess or possessed but provided to a third party, including but not limited to, all equipment or other materials and all originals and copies of Company documents, files, memoranda, notes, computer-readable information (maintained on a removable drive, home computer, or in any other form) and video or tape recordings of any kind other than personal materials relating solely to you. You warrant and represent that you have not retained, distributed or caused to be distributed, and will not retain, distribute or cause to be distributed, any original or duplicates of any such Company property specified in this section.</w:t>
      </w:r>
    </w:p>
    <w:p>
      <w:pPr>
        <w:spacing w:after="0" w:line="179" w:lineRule="exact"/>
        <w:rPr>
          <w:sz w:val="20"/>
          <w:szCs w:val="20"/>
          <w:color w:val="auto"/>
        </w:rPr>
      </w:pPr>
    </w:p>
    <w:p>
      <w:pPr>
        <w:jc w:val="both"/>
        <w:ind w:firstLine="656"/>
        <w:spacing w:after="0" w:line="249" w:lineRule="auto"/>
        <w:tabs>
          <w:tab w:leader="none" w:pos="1019" w:val="left"/>
        </w:tabs>
        <w:numPr>
          <w:ilvl w:val="1"/>
          <w:numId w:val="3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are hereby notified in accordance with the Defend Trade Secrets Act of 2016 that you will not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that is filed under seal in a lawsuit or other proceeding. You are further notified that if you file a lawsuit for retaliation against the Company for reporting a suspected violation of law, you may disclose the Company’s trade secrets to your attorney and use the trade secret information in the court proceeding if you: (a) file any document containing the trade secret under seal; and (b) do not disclose the trade secret, except pursuant to court order.</w:t>
      </w:r>
    </w:p>
    <w:p>
      <w:pPr>
        <w:spacing w:after="0" w:line="285" w:lineRule="exact"/>
        <w:rPr>
          <w:rFonts w:ascii="Times New Roman" w:cs="Times New Roman" w:eastAsia="Times New Roman" w:hAnsi="Times New Roman"/>
          <w:sz w:val="22"/>
          <w:szCs w:val="22"/>
          <w:color w:val="auto"/>
        </w:rPr>
      </w:pPr>
    </w:p>
    <w:p>
      <w:pPr>
        <w:jc w:val="both"/>
        <w:ind w:firstLine="8"/>
        <w:spacing w:after="0" w:line="265" w:lineRule="auto"/>
        <w:tabs>
          <w:tab w:leader="none" w:pos="526" w:val="left"/>
        </w:tabs>
        <w:numPr>
          <w:ilvl w:val="0"/>
          <w:numId w:val="3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Litigation and Regulatory Cooperation</w:t>
      </w:r>
      <w:r>
        <w:rPr>
          <w:rFonts w:ascii="Times New Roman" w:cs="Times New Roman" w:eastAsia="Times New Roman" w:hAnsi="Times New Roman"/>
          <w:sz w:val="22"/>
          <w:szCs w:val="22"/>
          <w:color w:val="auto"/>
        </w:rPr>
        <w:t>. You agree to reasonably cooperate in the defense or prosecution of claims,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investigations, or other actions which relate to events or occurrences during employment. You agree, unless precluded by law, to promptly inform the Company if you are asked to participate (or otherwise become involved) in any such claim,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21" w:right="339" w:bottom="1440" w:gutter="0" w:footer="0" w:header="0"/>
        </w:sectPr>
      </w:pPr>
    </w:p>
    <w:bookmarkStart w:id="384" w:name="page385"/>
    <w:bookmarkEnd w:id="384"/>
    <w:p>
      <w:pPr>
        <w:jc w:val="both"/>
        <w:spacing w:after="0" w:line="257" w:lineRule="auto"/>
        <w:rPr>
          <w:sz w:val="20"/>
          <w:szCs w:val="20"/>
          <w:color w:val="auto"/>
        </w:rPr>
      </w:pPr>
      <w:r>
        <w:rPr>
          <w:rFonts w:ascii="Times New Roman" w:cs="Times New Roman" w:eastAsia="Times New Roman" w:hAnsi="Times New Roman"/>
          <w:sz w:val="22"/>
          <w:szCs w:val="22"/>
          <w:color w:val="auto"/>
        </w:rPr>
        <w:t>investigation or action. Your cooperation shall include being available to prepare for discovery or trial and to act as a witness. Company will pay an hourly rate (based on base salary as of the last day of employment) for cooperation that occurs after employment, and reimburse for reasonable expenses, including travel expenses, reasonable attorneys’ fees and costs.</w:t>
      </w:r>
    </w:p>
    <w:p>
      <w:pPr>
        <w:spacing w:after="0" w:line="182" w:lineRule="exact"/>
        <w:rPr>
          <w:sz w:val="20"/>
          <w:szCs w:val="20"/>
          <w:color w:val="auto"/>
        </w:rPr>
      </w:pPr>
    </w:p>
    <w:p>
      <w:pPr>
        <w:ind w:left="380" w:hanging="372"/>
        <w:spacing w:after="0"/>
        <w:tabs>
          <w:tab w:leader="none" w:pos="380" w:val="left"/>
        </w:tabs>
        <w:numPr>
          <w:ilvl w:val="0"/>
          <w:numId w:val="3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Non-Disparagement.</w:t>
      </w:r>
    </w:p>
    <w:p>
      <w:pPr>
        <w:spacing w:after="0" w:line="223" w:lineRule="exact"/>
        <w:rPr>
          <w:rFonts w:ascii="Times New Roman" w:cs="Times New Roman" w:eastAsia="Times New Roman" w:hAnsi="Times New Roman"/>
          <w:sz w:val="22"/>
          <w:szCs w:val="22"/>
          <w:color w:val="auto"/>
        </w:rPr>
      </w:pPr>
    </w:p>
    <w:p>
      <w:pPr>
        <w:jc w:val="both"/>
        <w:ind w:firstLine="648"/>
        <w:spacing w:after="0" w:line="252"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You and the Company mutually agree that neither party will, at any time following the execution of this Agreement, make, publish, or communicate to any person or entity, in any form or medium (including but not limited to orally, in writing, or via electronic communication or social media), any statement, remark, or representation, whether true or false, that disparages, denigrates, or maligns:</w:t>
      </w:r>
    </w:p>
    <w:p>
      <w:pPr>
        <w:spacing w:after="0" w:line="200" w:lineRule="exact"/>
        <w:rPr>
          <w:rFonts w:ascii="Times New Roman" w:cs="Times New Roman" w:eastAsia="Times New Roman" w:hAnsi="Times New Roman"/>
          <w:sz w:val="22"/>
          <w:szCs w:val="22"/>
          <w:color w:val="auto"/>
        </w:rPr>
      </w:pPr>
    </w:p>
    <w:p>
      <w:pPr>
        <w:spacing w:after="0" w:line="235" w:lineRule="exact"/>
        <w:rPr>
          <w:rFonts w:ascii="Times New Roman" w:cs="Times New Roman" w:eastAsia="Times New Roman" w:hAnsi="Times New Roman"/>
          <w:sz w:val="22"/>
          <w:szCs w:val="22"/>
          <w:color w:val="auto"/>
        </w:rPr>
      </w:pPr>
    </w:p>
    <w:p>
      <w:pPr>
        <w:ind w:left="640" w:hanging="308"/>
        <w:spacing w:after="0"/>
        <w:tabs>
          <w:tab w:leader="none" w:pos="640" w:val="left"/>
        </w:tabs>
        <w:numPr>
          <w:ilvl w:val="1"/>
          <w:numId w:val="344"/>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The other party, its affiliates, subsidiaries, predecessors, successors, or assigns;</w:t>
      </w:r>
    </w:p>
    <w:p>
      <w:pPr>
        <w:spacing w:after="0" w:line="27" w:lineRule="exact"/>
        <w:rPr>
          <w:rFonts w:ascii="Times New Roman" w:cs="Times New Roman" w:eastAsia="Times New Roman" w:hAnsi="Times New Roman"/>
          <w:sz w:val="20"/>
          <w:szCs w:val="20"/>
          <w:color w:val="auto"/>
        </w:rPr>
      </w:pPr>
    </w:p>
    <w:p>
      <w:pPr>
        <w:ind w:left="720" w:hanging="388"/>
        <w:spacing w:after="0"/>
        <w:tabs>
          <w:tab w:leader="none" w:pos="720" w:val="left"/>
        </w:tabs>
        <w:numPr>
          <w:ilvl w:val="1"/>
          <w:numId w:val="3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Its officers, directors, shareholders, employees, agents, or representatives; or</w:t>
      </w:r>
    </w:p>
    <w:p>
      <w:pPr>
        <w:spacing w:after="0" w:line="3" w:lineRule="exact"/>
        <w:rPr>
          <w:rFonts w:ascii="Times New Roman" w:cs="Times New Roman" w:eastAsia="Times New Roman" w:hAnsi="Times New Roman"/>
          <w:sz w:val="22"/>
          <w:szCs w:val="22"/>
          <w:color w:val="auto"/>
        </w:rPr>
      </w:pPr>
    </w:p>
    <w:p>
      <w:pPr>
        <w:ind w:left="780" w:hanging="448"/>
        <w:spacing w:after="0"/>
        <w:tabs>
          <w:tab w:leader="none" w:pos="780" w:val="left"/>
        </w:tabs>
        <w:numPr>
          <w:ilvl w:val="1"/>
          <w:numId w:val="3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Its products, services, reputation, practices, or business operations.</w:t>
      </w:r>
    </w:p>
    <w:p>
      <w:pPr>
        <w:spacing w:after="0" w:line="223"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22"/>
          <w:szCs w:val="22"/>
          <w:color w:val="auto"/>
        </w:rPr>
        <w:t>This restriction includes, but is not limited to, statements that could adversely affect the other party’s standing with current or prospective customers, vendors, employees, or the public.</w:t>
      </w:r>
    </w:p>
    <w:p>
      <w:pPr>
        <w:spacing w:after="0" w:line="171" w:lineRule="exact"/>
        <w:rPr>
          <w:sz w:val="20"/>
          <w:szCs w:val="20"/>
          <w:color w:val="auto"/>
        </w:rPr>
      </w:pPr>
    </w:p>
    <w:p>
      <w:pPr>
        <w:jc w:val="both"/>
        <w:ind w:firstLine="656"/>
        <w:spacing w:after="0" w:line="252" w:lineRule="auto"/>
        <w:tabs>
          <w:tab w:leader="none" w:pos="1235" w:val="left"/>
        </w:tabs>
        <w:numPr>
          <w:ilvl w:val="1"/>
          <w:numId w:val="3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and the Company acknowledge that this provision is a material condition of this Agreement and that any violation of this provision shall constitute a material breach, entitling the non-breaching party to pursue all available remedies, including but not limited to injunctive relief and monetary damages. Notwithstanding the foregoing, nothing in this Agreement shall be construed to prohibit or restrict you or the Company from:</w:t>
      </w:r>
    </w:p>
    <w:p>
      <w:pPr>
        <w:spacing w:after="0" w:line="219" w:lineRule="exact"/>
        <w:rPr>
          <w:rFonts w:ascii="Times New Roman" w:cs="Times New Roman" w:eastAsia="Times New Roman" w:hAnsi="Times New Roman"/>
          <w:sz w:val="22"/>
          <w:szCs w:val="22"/>
          <w:color w:val="auto"/>
        </w:rPr>
      </w:pPr>
    </w:p>
    <w:p>
      <w:pPr>
        <w:ind w:left="660" w:right="760" w:hanging="328"/>
        <w:spacing w:after="0" w:line="251" w:lineRule="auto"/>
        <w:tabs>
          <w:tab w:leader="none" w:pos="638" w:val="left"/>
        </w:tabs>
        <w:numPr>
          <w:ilvl w:val="0"/>
          <w:numId w:val="346"/>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Exercising rights under any applicable law, including but not limited to filing a charge with or participating in any investigation or proceeding conducted by the Equal Employment Opportunity Commission (EEOC) or any other governmental agency;</w:t>
      </w:r>
    </w:p>
    <w:p>
      <w:pPr>
        <w:spacing w:after="0" w:line="1" w:lineRule="exact"/>
        <w:rPr>
          <w:rFonts w:ascii="Times New Roman" w:cs="Times New Roman" w:eastAsia="Times New Roman" w:hAnsi="Times New Roman"/>
          <w:sz w:val="20"/>
          <w:szCs w:val="20"/>
          <w:color w:val="auto"/>
        </w:rPr>
      </w:pPr>
    </w:p>
    <w:p>
      <w:pPr>
        <w:ind w:left="680" w:hanging="348"/>
        <w:spacing w:after="0"/>
        <w:tabs>
          <w:tab w:leader="none" w:pos="680" w:val="left"/>
        </w:tabs>
        <w:numPr>
          <w:ilvl w:val="0"/>
          <w:numId w:val="346"/>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Reporting a violation of law to any government agency or entity; or</w:t>
      </w:r>
    </w:p>
    <w:p>
      <w:pPr>
        <w:spacing w:after="0" w:line="15" w:lineRule="exact"/>
        <w:rPr>
          <w:rFonts w:ascii="Times New Roman" w:cs="Times New Roman" w:eastAsia="Times New Roman" w:hAnsi="Times New Roman"/>
          <w:sz w:val="20"/>
          <w:szCs w:val="20"/>
          <w:color w:val="auto"/>
        </w:rPr>
      </w:pPr>
    </w:p>
    <w:p>
      <w:pPr>
        <w:ind w:left="740" w:hanging="408"/>
        <w:spacing w:after="0"/>
        <w:tabs>
          <w:tab w:leader="none" w:pos="740" w:val="left"/>
        </w:tabs>
        <w:numPr>
          <w:ilvl w:val="0"/>
          <w:numId w:val="346"/>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Making any other disclosures that are protected under applicable whistleblower laws.</w:t>
      </w:r>
    </w:p>
    <w:p>
      <w:pPr>
        <w:spacing w:after="0" w:line="236"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Further, this provision shall not prevent you or the Company from responding truthfully to legal process, governmental inquiries, or as otherwise required by law.</w:t>
      </w:r>
    </w:p>
    <w:p>
      <w:pPr>
        <w:spacing w:after="0" w:line="185" w:lineRule="exact"/>
        <w:rPr>
          <w:sz w:val="20"/>
          <w:szCs w:val="20"/>
          <w:color w:val="auto"/>
        </w:rPr>
      </w:pPr>
    </w:p>
    <w:p>
      <w:pPr>
        <w:ind w:left="1260" w:hanging="523"/>
        <w:spacing w:after="0"/>
        <w:tabs>
          <w:tab w:leader="none" w:pos="1260" w:val="left"/>
        </w:tabs>
        <w:numPr>
          <w:ilvl w:val="1"/>
          <w:numId w:val="3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non-disparagement obligation of the Company is limited to its Executive Leadership Team and Employee’s</w:t>
      </w:r>
    </w:p>
    <w:p>
      <w:pPr>
        <w:spacing w:after="0" w:line="2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successor.</w:t>
      </w:r>
    </w:p>
    <w:p>
      <w:pPr>
        <w:spacing w:after="0" w:line="232" w:lineRule="exact"/>
        <w:rPr>
          <w:rFonts w:ascii="Times New Roman" w:cs="Times New Roman" w:eastAsia="Times New Roman" w:hAnsi="Times New Roman"/>
          <w:sz w:val="22"/>
          <w:szCs w:val="22"/>
          <w:color w:val="auto"/>
        </w:rPr>
      </w:pPr>
    </w:p>
    <w:p>
      <w:pPr>
        <w:jc w:val="both"/>
        <w:ind w:firstLine="8"/>
        <w:spacing w:after="0" w:line="253" w:lineRule="auto"/>
        <w:tabs>
          <w:tab w:leader="none" w:pos="472" w:val="left"/>
        </w:tabs>
        <w:numPr>
          <w:ilvl w:val="0"/>
          <w:numId w:val="3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Non-Hire of Company Employees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further preserve the Confidential Information, twelve (12) months after April 5,</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2025(the “Restricted Period”), you will not, directly or indirectly, (i) solicit or encourage any employee to terminate employment or services with Company; or (ii) solicit or encourage any employee to accept employment with or provide services to you or any business associated with you. The restrictions set forth in this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21" w:right="339" w:bottom="1440" w:gutter="0" w:footer="0" w:header="0"/>
        </w:sectPr>
      </w:pPr>
    </w:p>
    <w:bookmarkStart w:id="385" w:name="page386"/>
    <w:bookmarkEnd w:id="385"/>
    <w:p>
      <w:pPr>
        <w:spacing w:after="0" w:line="271" w:lineRule="auto"/>
        <w:rPr>
          <w:sz w:val="20"/>
          <w:szCs w:val="20"/>
          <w:color w:val="auto"/>
        </w:rPr>
      </w:pPr>
      <w:r>
        <w:rPr>
          <w:rFonts w:ascii="Times New Roman" w:cs="Times New Roman" w:eastAsia="Times New Roman" w:hAnsi="Times New Roman"/>
          <w:sz w:val="22"/>
          <w:szCs w:val="22"/>
          <w:color w:val="auto"/>
        </w:rPr>
        <w:t>shall not apply to solicitation, hiring or receipt of services provided by employees engaged via general advertising that was not targeted at Company’s employees.</w:t>
      </w:r>
    </w:p>
    <w:p>
      <w:pPr>
        <w:spacing w:after="0" w:line="154" w:lineRule="exact"/>
        <w:rPr>
          <w:sz w:val="20"/>
          <w:szCs w:val="20"/>
          <w:color w:val="auto"/>
        </w:rPr>
      </w:pPr>
    </w:p>
    <w:p>
      <w:pPr>
        <w:jc w:val="both"/>
        <w:ind w:firstLine="8"/>
        <w:spacing w:after="0" w:line="258" w:lineRule="auto"/>
        <w:tabs>
          <w:tab w:leader="none" w:pos="499" w:val="left"/>
        </w:tabs>
        <w:numPr>
          <w:ilvl w:val="0"/>
          <w:numId w:val="3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Non-Solicitation of Customers and Suppliers</w:t>
      </w:r>
      <w:r>
        <w:rPr>
          <w:rFonts w:ascii="Times New Roman" w:cs="Times New Roman" w:eastAsia="Times New Roman" w:hAnsi="Times New Roman"/>
          <w:sz w:val="22"/>
          <w:szCs w:val="22"/>
          <w:color w:val="auto"/>
        </w:rPr>
        <w:t>. To further preserve the Confidential Information, during the Restricted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Period outlined above, you agree not to directly or indirectly, on your own behalf or on behalf of any other person or entity, recruit or otherwise solicit or induce any customer or supplier of the Company, to terminate its employment or arrangement with the Company or otherwise change its relationship with the Company.</w:t>
      </w:r>
    </w:p>
    <w:p>
      <w:pPr>
        <w:spacing w:after="0" w:line="167" w:lineRule="exact"/>
        <w:rPr>
          <w:rFonts w:ascii="Times New Roman" w:cs="Times New Roman" w:eastAsia="Times New Roman" w:hAnsi="Times New Roman"/>
          <w:sz w:val="22"/>
          <w:szCs w:val="22"/>
          <w:color w:val="auto"/>
        </w:rPr>
      </w:pPr>
    </w:p>
    <w:p>
      <w:pPr>
        <w:jc w:val="both"/>
        <w:ind w:firstLine="8"/>
        <w:spacing w:after="0" w:line="248" w:lineRule="auto"/>
        <w:tabs>
          <w:tab w:leader="none" w:pos="594" w:val="left"/>
        </w:tabs>
        <w:numPr>
          <w:ilvl w:val="0"/>
          <w:numId w:val="3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Non-Competition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further preserve the Confidential Information and in exchange for the consideration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outlined in Section 2(d), you agree that during the Restricted Period outlined above, you will not work, as an employee, contractor, officer, owner, consultant, or director (collectively, a “New Position”), in any business anywhere in the world that sells managed, dedicated or cloud computing services </w:t>
      </w:r>
      <w:r>
        <w:rPr>
          <w:rFonts w:ascii="Times New Roman" w:cs="Times New Roman" w:eastAsia="Times New Roman" w:hAnsi="Times New Roman"/>
          <w:sz w:val="22"/>
          <w:szCs w:val="22"/>
          <w:u w:val="single" w:color="auto"/>
          <w:color w:val="auto"/>
        </w:rPr>
        <w:t>substantially similar to those services provided by the Company</w:t>
      </w:r>
      <w:r>
        <w:rPr>
          <w:rFonts w:ascii="Times New Roman" w:cs="Times New Roman" w:eastAsia="Times New Roman" w:hAnsi="Times New Roman"/>
          <w:sz w:val="22"/>
          <w:szCs w:val="22"/>
          <w:color w:val="auto"/>
        </w:rPr>
        <w:t>, including but not limited to (i) professional advisory services for the migration, deployment or management of cloud technologies; (ii) provisioning, hosting, management, monitoring, supporting, or maintenance of applications, computer servers (whether dedicated, shared or virtual) and network connectivity in a datacenter for remote use via the Internet; (iii) hosted or managed email, storage, collaboration, compute, virtual networking, applications, and similar services, or (iv) any related IT services or products substantially similar to the Company’s products or services, all of the foregoing being defined for the purposes of this Agreement as “Competitive IT Services.” Notwithstanding the foregoing, you shall be permitted to acquire a passive stock or equity interest in such a business, provided that the stock or other equity interest acquired is not more than two percent (2%) of the outstanding interest in such business. Provided, that the forgoing restriction shall not prevent you from becoming an employee of or contractor for a division of any Competitive IT Services company so long as the division for which you will work does not provide Competitive IT Services, and as long as you do not, during the Restricted Period, perform services (including but not limited to providing information, advice, strategy, recruiting or any other interaction with regard to business matters) for any division of such company that provides Competitive IT Services.</w:t>
      </w:r>
    </w:p>
    <w:p>
      <w:pPr>
        <w:spacing w:after="0" w:line="18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During the Restricted Period, prior to accepting a New Position, you shall provide the Company with written notice requesting approval, which notice shall include sufficient detail to enable the Company to assess whether such New Position constitutes Competitive IT Services. The Company’s approval of such request shall not be unreasonably withheld or delayed.</w:t>
      </w:r>
    </w:p>
    <w:p>
      <w:pPr>
        <w:spacing w:after="0" w:line="275"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22"/>
          <w:szCs w:val="22"/>
          <w:color w:val="auto"/>
        </w:rPr>
        <w:t>The Restricted Period outlined above will be tolled and will not run during any such time that you are in breach of this Agreement or in violation of any of the covenants contained in this Agreement, and once tolled will not begin to run again until such time as all violations have ceased.</w:t>
      </w:r>
    </w:p>
    <w:p>
      <w:pPr>
        <w:spacing w:after="0" w:line="17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1"/>
          <w:szCs w:val="21"/>
          <w:color w:val="auto"/>
        </w:rPr>
        <w:t>You recognize that the restrictions in this section may substantially limit your future flexibility in many ways. You acknowledge you have received adequate consideration for the promises and restrictions set forth in this Agreement. You agree to waive any objection to the validity of these restrictions and acknowledge that these limited prohibitions are reasonable as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421" w:right="339" w:bottom="1440" w:gutter="0" w:footer="0" w:header="0"/>
        </w:sectPr>
      </w:pPr>
    </w:p>
    <w:bookmarkStart w:id="386" w:name="page387"/>
    <w:bookmarkEnd w:id="386"/>
    <w:p>
      <w:pPr>
        <w:jc w:val="both"/>
        <w:spacing w:after="0" w:line="256" w:lineRule="auto"/>
        <w:rPr>
          <w:sz w:val="20"/>
          <w:szCs w:val="20"/>
          <w:color w:val="auto"/>
        </w:rPr>
      </w:pPr>
      <w:r>
        <w:rPr>
          <w:rFonts w:ascii="Times New Roman" w:cs="Times New Roman" w:eastAsia="Times New Roman" w:hAnsi="Times New Roman"/>
          <w:sz w:val="22"/>
          <w:szCs w:val="22"/>
          <w:color w:val="auto"/>
        </w:rPr>
        <w:t>geographical area and scope of activities to be restrained and that these limited prohibitions do not impose a greater restraint than is necessary to protect Rackspace’s goodwill, proprietary information and other business interests. You further agree that any breach of these covenants will result in irreparable damage and injury to Rackspace and that Rackspace will be entitled to injunctive relief in any court of competent jurisdiction without the necessity of posting any bond.</w:t>
      </w:r>
    </w:p>
    <w:p>
      <w:pPr>
        <w:spacing w:after="0" w:line="172" w:lineRule="exact"/>
        <w:rPr>
          <w:sz w:val="20"/>
          <w:szCs w:val="20"/>
          <w:color w:val="auto"/>
        </w:rPr>
      </w:pPr>
    </w:p>
    <w:p>
      <w:pPr>
        <w:jc w:val="both"/>
        <w:ind w:firstLine="8"/>
        <w:spacing w:after="0" w:line="248" w:lineRule="auto"/>
        <w:tabs>
          <w:tab w:leader="none" w:pos="559" w:val="left"/>
        </w:tabs>
        <w:numPr>
          <w:ilvl w:val="0"/>
          <w:numId w:val="3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Section 409A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Agreement is intended to comply with, or otherwise be exempt from, Section 409A of the Internal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Revenue Code (“Code”). To the extent that any provision in this Agreement is ambiguous as to its compliance with Section 409A of the Code, the provision will be read in such a manner so that no payments due under this Agreement will be subject to an “additional tax” as defined in Section 409(a)(1)(B) of the Code. If the Company determines in good faith that any provision of this Agreement would cause you to incur an additional tax, penalty, or interest under Section 409A of the Code, you and the Company will use reasonable efforts to reform such provision, if possible, in a mutually agreeable fashion to maintain to the maximum extent practicable the original intent of the applicable provision without violating the provisions of Section 409A of the Code or causing the imposition of such additional tax, penalty, or interest under Section 409A of the Code. The preceding provisions, however, will not be construed as a guarantee by the Company of any particular tax effect to you under this Agreement.</w:t>
      </w:r>
    </w:p>
    <w:p>
      <w:pPr>
        <w:spacing w:after="0" w:line="193" w:lineRule="exact"/>
        <w:rPr>
          <w:rFonts w:ascii="Times New Roman" w:cs="Times New Roman" w:eastAsia="Times New Roman" w:hAnsi="Times New Roman"/>
          <w:sz w:val="22"/>
          <w:szCs w:val="22"/>
          <w:color w:val="auto"/>
        </w:rPr>
      </w:pPr>
    </w:p>
    <w:p>
      <w:pPr>
        <w:jc w:val="both"/>
        <w:ind w:firstLine="8"/>
        <w:spacing w:after="0" w:line="277" w:lineRule="auto"/>
        <w:tabs>
          <w:tab w:leader="none" w:pos="513" w:val="left"/>
        </w:tabs>
        <w:numPr>
          <w:ilvl w:val="0"/>
          <w:numId w:val="3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Tax Consequences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You acknowledge and agree that you are solely responsible for the tax consequences to you of any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benefits conferred on you, or any payments made to you or on your behalf, under the terms of this Agreement. Rackspace has not made any representations to you concerning any possible tax consequences of any payments made pursuant to this Agreement.</w:t>
      </w:r>
    </w:p>
    <w:p>
      <w:pPr>
        <w:spacing w:after="0" w:line="149" w:lineRule="exact"/>
        <w:rPr>
          <w:rFonts w:ascii="Times New Roman" w:cs="Times New Roman" w:eastAsia="Times New Roman" w:hAnsi="Times New Roman"/>
          <w:sz w:val="21"/>
          <w:szCs w:val="21"/>
          <w:color w:val="auto"/>
        </w:rPr>
      </w:pPr>
    </w:p>
    <w:p>
      <w:pPr>
        <w:jc w:val="both"/>
        <w:ind w:firstLine="8"/>
        <w:spacing w:after="0" w:line="251" w:lineRule="auto"/>
        <w:tabs>
          <w:tab w:leader="none" w:pos="580" w:val="left"/>
        </w:tabs>
        <w:numPr>
          <w:ilvl w:val="0"/>
          <w:numId w:val="3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Entire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Agreement represents the entire agreement by and between the parties and there are no other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agreements or understandings related to your employment with any of the Released Parties or the subject matter of this Agreement other than your equity grant agreement(s), if any, and your Confidentiality Agreement, which survive the end of your employment and continue in effect. You represent and acknowledge that: (a) in executing this Agreement, you are not relying, and have not relied, on any representation(s) by any of the Released Parties, except as expressly contained in this Agreement and that you relied on your own judgment; and (b) you have not transferred or assigned, to any person or entity, any claim involving any of the Released Parties or any portion thereof or interest therein. This Agreement may not be changed except by written agreement signed by the parties.</w:t>
      </w:r>
    </w:p>
    <w:p>
      <w:pPr>
        <w:spacing w:after="0" w:line="178" w:lineRule="exact"/>
        <w:rPr>
          <w:rFonts w:ascii="Times New Roman" w:cs="Times New Roman" w:eastAsia="Times New Roman" w:hAnsi="Times New Roman"/>
          <w:sz w:val="22"/>
          <w:szCs w:val="22"/>
          <w:color w:val="auto"/>
        </w:rPr>
      </w:pPr>
    </w:p>
    <w:p>
      <w:pPr>
        <w:ind w:firstLine="8"/>
        <w:spacing w:after="0" w:line="299" w:lineRule="auto"/>
        <w:tabs>
          <w:tab w:leader="none" w:pos="513" w:val="left"/>
        </w:tabs>
        <w:numPr>
          <w:ilvl w:val="0"/>
          <w:numId w:val="3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Binding Heirs, Successors and Assigns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Except as herein expressly provided, the terms and provisions of this Agreement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will inure to the benefit of and be binding upon the heirs, successors, assigns and legal representatives of the parties.</w:t>
      </w:r>
    </w:p>
    <w:p>
      <w:pPr>
        <w:spacing w:after="0" w:line="127" w:lineRule="exact"/>
        <w:rPr>
          <w:rFonts w:ascii="Times New Roman" w:cs="Times New Roman" w:eastAsia="Times New Roman" w:hAnsi="Times New Roman"/>
          <w:sz w:val="21"/>
          <w:szCs w:val="21"/>
          <w:color w:val="auto"/>
        </w:rPr>
      </w:pPr>
    </w:p>
    <w:p>
      <w:pPr>
        <w:jc w:val="both"/>
        <w:ind w:firstLine="8"/>
        <w:spacing w:after="0" w:line="258" w:lineRule="auto"/>
        <w:tabs>
          <w:tab w:leader="none" w:pos="594" w:val="left"/>
        </w:tabs>
        <w:numPr>
          <w:ilvl w:val="0"/>
          <w:numId w:val="3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Arbitration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All claims and matters in question arising out of this Agreement or the relationship between the Parties,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whether sounding in contract, tort, a statutory cause of action or otherwise, will be resolved by binding arbitration pursuant to the Federal Arbitration Act. Either Party, however, may bring an action in any court of competent jurisdiction to compel arbitration under this Agreement; enforce or vacate an arbitration award; or seek injunctive relief.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421" w:right="339" w:bottom="1440" w:gutter="0" w:footer="0" w:header="0"/>
        </w:sectPr>
      </w:pPr>
    </w:p>
    <w:bookmarkStart w:id="387" w:name="page388"/>
    <w:bookmarkEnd w:id="387"/>
    <w:p>
      <w:pPr>
        <w:jc w:val="both"/>
        <w:spacing w:after="0" w:line="253" w:lineRule="auto"/>
        <w:rPr>
          <w:sz w:val="20"/>
          <w:szCs w:val="20"/>
          <w:color w:val="auto"/>
        </w:rPr>
      </w:pPr>
      <w:r>
        <w:rPr>
          <w:rFonts w:ascii="Times New Roman" w:cs="Times New Roman" w:eastAsia="Times New Roman" w:hAnsi="Times New Roman"/>
          <w:sz w:val="22"/>
          <w:szCs w:val="22"/>
          <w:color w:val="auto"/>
        </w:rPr>
        <w:t>arbitration will be administered by the American Arbitration Association (“AAA”) in accordance with the National Rules for Resolution of Employment Disputes of the American Arbitration Association (“National Rules”) in effect at the time the dispute arose. There will be one arbitrator selected pursuant to the National Rules, unless the Parties agree on a different arbitration service. The arbitrator will issue a reasoned award within six (6) months of the filing of the arbitration notice. The Company will pay for your initial filing fee to the extent that it is more than a court filing.</w:t>
      </w:r>
    </w:p>
    <w:p>
      <w:pPr>
        <w:spacing w:after="0" w:line="175" w:lineRule="exact"/>
        <w:rPr>
          <w:sz w:val="20"/>
          <w:szCs w:val="20"/>
          <w:color w:val="auto"/>
        </w:rPr>
      </w:pPr>
    </w:p>
    <w:p>
      <w:pPr>
        <w:ind w:firstLine="8"/>
        <w:spacing w:after="0" w:line="275" w:lineRule="auto"/>
        <w:tabs>
          <w:tab w:leader="none" w:pos="567" w:val="left"/>
        </w:tabs>
        <w:numPr>
          <w:ilvl w:val="0"/>
          <w:numId w:val="3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Jurisdiction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substantive laws of Texas govern this Agreement, and exclusive venue for any dispute will be Bexar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County, Texas or in San Antonio, Texas.</w:t>
      </w:r>
    </w:p>
    <w:p>
      <w:pPr>
        <w:spacing w:after="0" w:line="149" w:lineRule="exact"/>
        <w:rPr>
          <w:rFonts w:ascii="Times New Roman" w:cs="Times New Roman" w:eastAsia="Times New Roman" w:hAnsi="Times New Roman"/>
          <w:sz w:val="22"/>
          <w:szCs w:val="22"/>
          <w:color w:val="auto"/>
        </w:rPr>
      </w:pPr>
    </w:p>
    <w:p>
      <w:pPr>
        <w:ind w:firstLine="8"/>
        <w:spacing w:after="0" w:line="287" w:lineRule="auto"/>
        <w:tabs>
          <w:tab w:leader="none" w:pos="648" w:val="left"/>
        </w:tabs>
        <w:numPr>
          <w:ilvl w:val="0"/>
          <w:numId w:val="3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Headings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headings in this Agreement were used for administrative convenience only and will not be used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interpreting or construing the meaning of any provision.</w:t>
      </w:r>
    </w:p>
    <w:p>
      <w:pPr>
        <w:spacing w:after="0" w:line="137" w:lineRule="exact"/>
        <w:rPr>
          <w:rFonts w:ascii="Times New Roman" w:cs="Times New Roman" w:eastAsia="Times New Roman" w:hAnsi="Times New Roman"/>
          <w:sz w:val="22"/>
          <w:szCs w:val="22"/>
          <w:color w:val="auto"/>
        </w:rPr>
      </w:pPr>
    </w:p>
    <w:p>
      <w:pPr>
        <w:jc w:val="both"/>
        <w:ind w:firstLine="8"/>
        <w:spacing w:after="0" w:line="253" w:lineRule="auto"/>
        <w:tabs>
          <w:tab w:leader="none" w:pos="513" w:val="left"/>
        </w:tabs>
        <w:numPr>
          <w:ilvl w:val="0"/>
          <w:numId w:val="3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Invalid Provision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If any provision of this Agreement is or may be held by a court of competent jurisdiction to be invalid,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void, or unenforceable to any extent, the validity of the remaining parts, terms or provision of this Agreement will not be affected thereby, and such illegal or invalid part, term, or provision will be deemed not to be part of this Agreement. The remaining provisions will nevertheless survive and continue in full force and effect.</w:t>
      </w:r>
    </w:p>
    <w:p>
      <w:pPr>
        <w:spacing w:after="0" w:line="175" w:lineRule="exact"/>
        <w:rPr>
          <w:rFonts w:ascii="Times New Roman" w:cs="Times New Roman" w:eastAsia="Times New Roman" w:hAnsi="Times New Roman"/>
          <w:sz w:val="22"/>
          <w:szCs w:val="22"/>
          <w:color w:val="auto"/>
        </w:rPr>
      </w:pPr>
    </w:p>
    <w:p>
      <w:pPr>
        <w:jc w:val="both"/>
        <w:ind w:firstLine="8"/>
        <w:spacing w:after="0" w:line="283" w:lineRule="auto"/>
        <w:tabs>
          <w:tab w:leader="none" w:pos="499" w:val="left"/>
        </w:tabs>
        <w:numPr>
          <w:ilvl w:val="0"/>
          <w:numId w:val="3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Interpretation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This Agreement will be construed as a whole according to its fair meaning. It will not be construed strictly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for or against you. Unless the context indicates otherwise, the singular or plural number will be deemed to include the other. Captions are intended solely for the convenience of reference and will not be used in the interpretation of this Agreement.</w:t>
      </w:r>
    </w:p>
    <w:p>
      <w:pPr>
        <w:spacing w:after="0" w:line="144" w:lineRule="exact"/>
        <w:rPr>
          <w:rFonts w:ascii="Times New Roman" w:cs="Times New Roman" w:eastAsia="Times New Roman" w:hAnsi="Times New Roman"/>
          <w:sz w:val="21"/>
          <w:szCs w:val="21"/>
          <w:color w:val="auto"/>
        </w:rPr>
      </w:pPr>
    </w:p>
    <w:p>
      <w:pPr>
        <w:jc w:val="both"/>
        <w:ind w:firstLine="8"/>
        <w:spacing w:after="0" w:line="250" w:lineRule="auto"/>
        <w:tabs>
          <w:tab w:leader="none" w:pos="648" w:val="left"/>
        </w:tabs>
        <w:numPr>
          <w:ilvl w:val="0"/>
          <w:numId w:val="3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Review of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You are advised that you should consult an attorney before accepting this Agreement. You</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understand that you have twenty-one (21) calendar days from the date this Agreement is provided to you to decide whether to sign it. If you fail to sign and return this Agreement within twenty-one (21) days from the date that it was provided to you, all payment amounts offered in this Agreement are withdrawn and revoked automatically, and you will not be entitled to any payment or benefits that you are not otherwise entitled to under law. You may decide to sign and return this Agreement prior to the expiration of the twenty-one (21) day period. However, if you choose to do so, then you affirm that this is your voluntary choice.</w:t>
      </w:r>
    </w:p>
    <w:p>
      <w:pPr>
        <w:spacing w:after="0" w:line="180" w:lineRule="exact"/>
        <w:rPr>
          <w:rFonts w:ascii="Times New Roman" w:cs="Times New Roman" w:eastAsia="Times New Roman" w:hAnsi="Times New Roman"/>
          <w:sz w:val="22"/>
          <w:szCs w:val="22"/>
          <w:color w:val="auto"/>
        </w:rPr>
      </w:pPr>
    </w:p>
    <w:p>
      <w:pPr>
        <w:jc w:val="both"/>
        <w:ind w:firstLine="8"/>
        <w:spacing w:after="0" w:line="258" w:lineRule="auto"/>
        <w:tabs>
          <w:tab w:leader="none" w:pos="540" w:val="left"/>
        </w:tabs>
        <w:numPr>
          <w:ilvl w:val="0"/>
          <w:numId w:val="3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Revocation Period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You understand and acknowledge that you have seven (7) calendar days following the date that you</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sign this Agreement to revoke your acceptance of the Agreement. This Agreement will not become effective and enforceable and the payment amounts offered in this Agreement will not become payable until after this revocation period has expired without revocation.</w:t>
      </w:r>
    </w:p>
    <w:p>
      <w:pPr>
        <w:spacing w:after="0" w:line="168" w:lineRule="exact"/>
        <w:rPr>
          <w:sz w:val="20"/>
          <w:szCs w:val="20"/>
          <w:color w:val="auto"/>
        </w:rPr>
      </w:pPr>
    </w:p>
    <w:p>
      <w:pPr>
        <w:ind w:firstLine="8"/>
        <w:spacing w:after="0" w:line="275" w:lineRule="auto"/>
        <w:tabs>
          <w:tab w:leader="none" w:pos="540" w:val="left"/>
        </w:tabs>
        <w:numPr>
          <w:ilvl w:val="0"/>
          <w:numId w:val="3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Counterparts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Agreement may be executed in a number of identical counterparts, each of which for all purposes 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deemed an original and all of which constitute collectively one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421" w:right="339" w:bottom="1440" w:gutter="0" w:footer="0" w:header="0"/>
        </w:sectPr>
      </w:pPr>
    </w:p>
    <w:bookmarkStart w:id="388" w:name="page389"/>
    <w:bookmarkEnd w:id="388"/>
    <w:p>
      <w:pPr>
        <w:jc w:val="both"/>
        <w:ind w:left="-8" w:firstLine="8"/>
        <w:spacing w:after="0" w:line="259" w:lineRule="auto"/>
        <w:tabs>
          <w:tab w:leader="none" w:pos="532" w:val="left"/>
        </w:tabs>
        <w:numPr>
          <w:ilvl w:val="0"/>
          <w:numId w:val="3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Effective Date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Agreement, if signed and returned to the Company, is effective and enforceable the later of (i) your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employment end date or (ii) seven (7) calendar days following the date it is signed and returned, if not revoked during the seven-day period (the “Effective Date”).</w:t>
      </w:r>
    </w:p>
    <w:p>
      <w:pPr>
        <w:spacing w:after="0" w:line="179" w:lineRule="exact"/>
        <w:rPr>
          <w:rFonts w:ascii="Times New Roman" w:cs="Times New Roman" w:eastAsia="Times New Roman" w:hAnsi="Times New Roman"/>
          <w:sz w:val="22"/>
          <w:szCs w:val="22"/>
          <w:color w:val="auto"/>
        </w:rPr>
      </w:pPr>
    </w:p>
    <w:p>
      <w:pPr>
        <w:ind w:left="492" w:hanging="492"/>
        <w:spacing w:after="0"/>
        <w:tabs>
          <w:tab w:leader="none" w:pos="492" w:val="left"/>
        </w:tabs>
        <w:numPr>
          <w:ilvl w:val="0"/>
          <w:numId w:val="3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Review by Employee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You acknowledge the following:</w:t>
      </w:r>
    </w:p>
    <w:p>
      <w:pPr>
        <w:spacing w:after="0" w:line="223" w:lineRule="exact"/>
        <w:rPr>
          <w:rFonts w:ascii="Times New Roman" w:cs="Times New Roman" w:eastAsia="Times New Roman" w:hAnsi="Times New Roman"/>
          <w:sz w:val="22"/>
          <w:szCs w:val="22"/>
          <w:color w:val="auto"/>
        </w:rPr>
      </w:pPr>
    </w:p>
    <w:p>
      <w:pPr>
        <w:ind w:left="1112" w:hanging="464"/>
        <w:spacing w:after="0"/>
        <w:tabs>
          <w:tab w:leader="none" w:pos="1112" w:val="left"/>
        </w:tabs>
        <w:numPr>
          <w:ilvl w:val="1"/>
          <w:numId w:val="3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you carefully read this Agreement, and that you understand it;</w:t>
      </w:r>
    </w:p>
    <w:p>
      <w:pPr>
        <w:spacing w:after="0" w:line="111" w:lineRule="exact"/>
        <w:rPr>
          <w:rFonts w:ascii="Times New Roman" w:cs="Times New Roman" w:eastAsia="Times New Roman" w:hAnsi="Times New Roman"/>
          <w:sz w:val="22"/>
          <w:szCs w:val="22"/>
          <w:color w:val="auto"/>
        </w:rPr>
      </w:pPr>
    </w:p>
    <w:p>
      <w:pPr>
        <w:ind w:left="1292" w:hanging="644"/>
        <w:spacing w:after="0" w:line="271" w:lineRule="auto"/>
        <w:tabs>
          <w:tab w:leader="none" w:pos="1117" w:val="left"/>
        </w:tabs>
        <w:numPr>
          <w:ilvl w:val="1"/>
          <w:numId w:val="3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you were advised and have had the opportunity to consult an attorney, at your expense, regarding the terms and meaning of this Agreement;</w:t>
      </w:r>
    </w:p>
    <w:p>
      <w:pPr>
        <w:spacing w:after="0" w:line="49" w:lineRule="exact"/>
        <w:rPr>
          <w:rFonts w:ascii="Times New Roman" w:cs="Times New Roman" w:eastAsia="Times New Roman" w:hAnsi="Times New Roman"/>
          <w:sz w:val="22"/>
          <w:szCs w:val="22"/>
          <w:color w:val="auto"/>
        </w:rPr>
      </w:pPr>
    </w:p>
    <w:p>
      <w:pPr>
        <w:ind w:left="1112" w:hanging="464"/>
        <w:spacing w:after="0"/>
        <w:tabs>
          <w:tab w:leader="none" w:pos="1112" w:val="left"/>
        </w:tabs>
        <w:numPr>
          <w:ilvl w:val="1"/>
          <w:numId w:val="3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you understand your deadline to consider whether to agree to and accept this Agreement;</w:t>
      </w:r>
    </w:p>
    <w:p>
      <w:pPr>
        <w:spacing w:after="0" w:line="125" w:lineRule="exact"/>
        <w:rPr>
          <w:rFonts w:ascii="Times New Roman" w:cs="Times New Roman" w:eastAsia="Times New Roman" w:hAnsi="Times New Roman"/>
          <w:sz w:val="22"/>
          <w:szCs w:val="22"/>
          <w:color w:val="auto"/>
        </w:rPr>
      </w:pPr>
    </w:p>
    <w:p>
      <w:pPr>
        <w:ind w:left="1112" w:hanging="464"/>
        <w:spacing w:after="0"/>
        <w:tabs>
          <w:tab w:leader="none" w:pos="1112" w:val="left"/>
        </w:tabs>
        <w:numPr>
          <w:ilvl w:val="1"/>
          <w:numId w:val="3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you understand that the Agreement is effective and enforceable on the Effective Date as defined above.</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4432"/>
        <w:spacing w:after="0"/>
        <w:rPr>
          <w:sz w:val="20"/>
          <w:szCs w:val="20"/>
          <w:color w:val="auto"/>
        </w:rPr>
      </w:pPr>
      <w:r>
        <w:rPr>
          <w:rFonts w:ascii="Times New Roman" w:cs="Times New Roman" w:eastAsia="Times New Roman" w:hAnsi="Times New Roman"/>
          <w:sz w:val="22"/>
          <w:szCs w:val="22"/>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32"/>
          </w:cols>
          <w:pgMar w:left="328" w:top="1417" w:right="339" w:bottom="1440" w:gutter="0" w:footer="0" w:header="0"/>
        </w:sectPr>
      </w:pPr>
    </w:p>
    <w:bookmarkStart w:id="389" w:name="page390"/>
    <w:bookmarkEnd w:id="38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199390</wp:posOffset>
            </wp:positionH>
            <wp:positionV relativeFrom="page">
              <wp:posOffset>1289050</wp:posOffset>
            </wp:positionV>
            <wp:extent cx="7149465" cy="10287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32">
                      <a:extLst>
                        <a:ext uri="{28A0092B-C50C-407E-A947-70E740481C1C}"/>
                      </a:extLst>
                    </a:blip>
                    <a:srcRect/>
                    <a:stretch>
                      <a:fillRect/>
                    </a:stretch>
                  </pic:blipFill>
                  <pic:spPr bwMode="auto">
                    <a:xfrm>
                      <a:off x="0" y="0"/>
                      <a:ext cx="7149465" cy="102870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both"/>
        <w:ind w:left="80"/>
        <w:spacing w:after="0" w:line="262" w:lineRule="auto"/>
        <w:rPr>
          <w:sz w:val="20"/>
          <w:szCs w:val="20"/>
          <w:color w:val="auto"/>
        </w:rPr>
      </w:pPr>
      <w:r>
        <w:rPr>
          <w:rFonts w:ascii="Times New Roman" w:cs="Times New Roman" w:eastAsia="Times New Roman" w:hAnsi="Times New Roman"/>
          <w:sz w:val="25"/>
          <w:szCs w:val="25"/>
          <w:color w:val="auto"/>
        </w:rPr>
        <w:t>PLEASE READ THIS AGREEMENT CAREFULLY AND CONSIDER ALL OF ITS PROVISIONS BEFORE SIGNING IT. IT INCLUDES A RELEASE OF KNOWN AND UNKNOWN CLAIMS, INCLUDING CLAIMS BASED ON NEGLIGENCE. IF YOU WISH, YOU SHOULD TAKE ADVANTAGE OF THE FULL REVIEW PERIOD AFFORDED UNDER THIS AGREEMENT AND YOU SHOULD CONSULT AN ATTORNEY OF YOUR CHOOSING.</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Employee:</w:t>
      </w:r>
    </w:p>
    <w:p>
      <w:pPr>
        <w:spacing w:after="0" w:line="247" w:lineRule="exact"/>
        <w:rPr>
          <w:sz w:val="20"/>
          <w:szCs w:val="20"/>
          <w:color w:val="auto"/>
        </w:rPr>
      </w:pPr>
    </w:p>
    <w:p>
      <w:pPr>
        <w:spacing w:after="0"/>
        <w:tabs>
          <w:tab w:leader="none" w:pos="3380" w:val="left"/>
        </w:tabs>
        <w:rPr>
          <w:sz w:val="20"/>
          <w:szCs w:val="20"/>
          <w:color w:val="auto"/>
        </w:rPr>
      </w:pPr>
      <w:r>
        <w:rPr>
          <w:rFonts w:ascii="Times New Roman" w:cs="Times New Roman" w:eastAsia="Times New Roman" w:hAnsi="Times New Roman"/>
          <w:sz w:val="22"/>
          <w:szCs w:val="22"/>
          <w:color w:val="auto"/>
        </w:rPr>
        <w:t>By:</w:t>
      </w:r>
      <w:r>
        <w:rPr>
          <w:rFonts w:ascii="Times New Roman" w:cs="Times New Roman" w:eastAsia="Times New Roman" w:hAnsi="Times New Roman"/>
          <w:sz w:val="22"/>
          <w:szCs w:val="22"/>
          <w:u w:val="single" w:color="auto"/>
          <w:color w:val="auto"/>
        </w:rPr>
        <w:t>______________________</w:t>
      </w:r>
      <w:r>
        <w:rPr>
          <w:sz w:val="20"/>
          <w:szCs w:val="20"/>
          <w:color w:val="auto"/>
        </w:rPr>
        <w:tab/>
      </w:r>
      <w:r>
        <w:rPr>
          <w:rFonts w:ascii="Times New Roman" w:cs="Times New Roman" w:eastAsia="Times New Roman" w:hAnsi="Times New Roman"/>
          <w:sz w:val="21"/>
          <w:szCs w:val="21"/>
          <w:color w:val="auto"/>
        </w:rPr>
        <w:t>Date: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Brian Lillie</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Rackspace:</w:t>
      </w:r>
    </w:p>
    <w:p>
      <w:pPr>
        <w:spacing w:after="0" w:line="247" w:lineRule="exact"/>
        <w:rPr>
          <w:sz w:val="20"/>
          <w:szCs w:val="20"/>
          <w:color w:val="auto"/>
        </w:rPr>
      </w:pPr>
    </w:p>
    <w:p>
      <w:pPr>
        <w:spacing w:after="0"/>
        <w:tabs>
          <w:tab w:leader="none" w:pos="3380" w:val="left"/>
        </w:tabs>
        <w:rPr>
          <w:sz w:val="20"/>
          <w:szCs w:val="20"/>
          <w:color w:val="auto"/>
        </w:rPr>
      </w:pPr>
      <w:r>
        <w:rPr>
          <w:rFonts w:ascii="Times New Roman" w:cs="Times New Roman" w:eastAsia="Times New Roman" w:hAnsi="Times New Roman"/>
          <w:sz w:val="22"/>
          <w:szCs w:val="22"/>
          <w:color w:val="auto"/>
        </w:rPr>
        <w:t>By:</w:t>
      </w:r>
      <w:r>
        <w:rPr>
          <w:rFonts w:ascii="Times New Roman" w:cs="Times New Roman" w:eastAsia="Times New Roman" w:hAnsi="Times New Roman"/>
          <w:sz w:val="22"/>
          <w:szCs w:val="22"/>
          <w:u w:val="single" w:color="auto"/>
          <w:color w:val="auto"/>
        </w:rPr>
        <w:t>______________________</w:t>
      </w:r>
      <w:r>
        <w:rPr>
          <w:sz w:val="20"/>
          <w:szCs w:val="20"/>
          <w:color w:val="auto"/>
        </w:rPr>
        <w:tab/>
      </w:r>
      <w:r>
        <w:rPr>
          <w:rFonts w:ascii="Times New Roman" w:cs="Times New Roman" w:eastAsia="Times New Roman" w:hAnsi="Times New Roman"/>
          <w:sz w:val="21"/>
          <w:szCs w:val="21"/>
          <w:color w:val="auto"/>
        </w:rPr>
        <w:t>Date: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Kellie Teal-Guess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On Behalf of Rackspace</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left="400" w:right="240"/>
        <w:spacing w:after="0" w:line="271" w:lineRule="auto"/>
        <w:rPr>
          <w:sz w:val="20"/>
          <w:szCs w:val="20"/>
          <w:color w:val="auto"/>
        </w:rPr>
      </w:pPr>
      <w:r>
        <w:rPr>
          <w:rFonts w:ascii="Times New Roman" w:cs="Times New Roman" w:eastAsia="Times New Roman" w:hAnsi="Times New Roman"/>
          <w:sz w:val="22"/>
          <w:szCs w:val="22"/>
          <w:color w:val="auto"/>
        </w:rPr>
        <w:t>IF YOU AGREE, PLEASE ELECTRONICALLY SIGN THIS AGREEMENT THROUGH DOCUSIGN PRIOR TO THE DEADLINE.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160"/>
          </w:cols>
          <w:pgMar w:left="320" w:top="1440" w:right="419" w:bottom="1440" w:gutter="0" w:footer="0" w:header="0"/>
        </w:sectPr>
      </w:pPr>
    </w:p>
    <w:bookmarkStart w:id="390" w:name="page391"/>
    <w:bookmarkEnd w:id="390"/>
    <w:p>
      <w:pPr>
        <w:jc w:val="right"/>
        <w:spacing w:after="0"/>
        <w:rPr>
          <w:sz w:val="20"/>
          <w:szCs w:val="20"/>
          <w:color w:val="auto"/>
        </w:rPr>
      </w:pPr>
      <w:r>
        <w:rPr>
          <w:rFonts w:ascii="Times New Roman" w:cs="Times New Roman" w:eastAsia="Times New Roman" w:hAnsi="Times New Roman"/>
          <w:sz w:val="18"/>
          <w:szCs w:val="18"/>
          <w:b w:val="1"/>
          <w:bCs w:val="1"/>
          <w:color w:val="auto"/>
        </w:rPr>
        <w:t>Exhibit 10.25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EMPLOYMENT AGREEMENT</w:t>
      </w:r>
    </w:p>
    <w:p>
      <w:pPr>
        <w:spacing w:after="0" w:line="26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This Employment Agreement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is dated this 18th day of November, 2021 by and between Rackspace US, Inc.</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and Mr. Srinivas Koushik ("</w:t>
      </w:r>
      <w:r>
        <w:rPr>
          <w:rFonts w:ascii="Times New Roman" w:cs="Times New Roman" w:eastAsia="Times New Roman" w:hAnsi="Times New Roman"/>
          <w:sz w:val="20"/>
          <w:szCs w:val="20"/>
          <w:u w:val="single" w:color="auto"/>
          <w:color w:val="auto"/>
        </w:rPr>
        <w:t>Employee</w:t>
      </w:r>
      <w:r>
        <w:rPr>
          <w:rFonts w:ascii="Times New Roman" w:cs="Times New Roman" w:eastAsia="Times New Roman" w:hAnsi="Times New Roman"/>
          <w:sz w:val="20"/>
          <w:szCs w:val="20"/>
          <w:color w:val="auto"/>
        </w:rPr>
        <w:t>").</w:t>
      </w:r>
    </w:p>
    <w:p>
      <w:pPr>
        <w:spacing w:after="0" w:line="230" w:lineRule="exact"/>
        <w:rPr>
          <w:sz w:val="20"/>
          <w:szCs w:val="20"/>
          <w:color w:val="auto"/>
        </w:rPr>
      </w:pPr>
    </w:p>
    <w:p>
      <w:pPr>
        <w:ind w:left="660" w:hanging="652"/>
        <w:spacing w:after="0"/>
        <w:tabs>
          <w:tab w:leader="none" w:pos="660" w:val="left"/>
        </w:tabs>
        <w:numPr>
          <w:ilvl w:val="0"/>
          <w:numId w:val="35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TERM.</w:t>
      </w:r>
    </w:p>
    <w:p>
      <w:pPr>
        <w:spacing w:after="0" w:line="246" w:lineRule="exact"/>
        <w:rPr>
          <w:rFonts w:ascii="Times New Roman" w:cs="Times New Roman" w:eastAsia="Times New Roman" w:hAnsi="Times New Roman"/>
          <w:sz w:val="20"/>
          <w:szCs w:val="20"/>
          <w:b w:val="1"/>
          <w:bCs w:val="1"/>
          <w:color w:val="auto"/>
        </w:rPr>
      </w:pPr>
    </w:p>
    <w:p>
      <w:pPr>
        <w:jc w:val="both"/>
        <w:ind w:left="660"/>
        <w:spacing w:after="0" w:line="253"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Employee's employment hereunder shall be effective as of December 15, 2021 (the "</w:t>
      </w:r>
      <w:r>
        <w:rPr>
          <w:rFonts w:ascii="Times New Roman" w:cs="Times New Roman" w:eastAsia="Times New Roman" w:hAnsi="Times New Roman"/>
          <w:sz w:val="20"/>
          <w:szCs w:val="20"/>
          <w:u w:val="single" w:color="auto"/>
          <w:color w:val="auto"/>
        </w:rPr>
        <w:t>Start Date</w:t>
      </w:r>
      <w:r>
        <w:rPr>
          <w:rFonts w:ascii="Times New Roman" w:cs="Times New Roman" w:eastAsia="Times New Roman" w:hAnsi="Times New Roman"/>
          <w:sz w:val="20"/>
          <w:szCs w:val="20"/>
          <w:color w:val="auto"/>
        </w:rPr>
        <w:t xml:space="preserve">") and shall continue until the third anniversary thereof, unless terminated earlier pursuant to </w:t>
      </w:r>
      <w:r>
        <w:rPr>
          <w:rFonts w:ascii="Times New Roman" w:cs="Times New Roman" w:eastAsia="Times New Roman" w:hAnsi="Times New Roman"/>
          <w:sz w:val="20"/>
          <w:szCs w:val="20"/>
          <w:u w:val="single" w:color="auto"/>
          <w:color w:val="auto"/>
        </w:rPr>
        <w:t>Section 5</w:t>
      </w:r>
      <w:r>
        <w:rPr>
          <w:rFonts w:ascii="Times New Roman" w:cs="Times New Roman" w:eastAsia="Times New Roman" w:hAnsi="Times New Roman"/>
          <w:sz w:val="20"/>
          <w:szCs w:val="20"/>
          <w:color w:val="auto"/>
        </w:rPr>
        <w:t xml:space="preserve"> of this Agreement; provided that, on such third anniversary of the Effective Date and each annual anniversary thereafter (such date and each annual anniversary thereof, a "</w:t>
      </w:r>
      <w:r>
        <w:rPr>
          <w:rFonts w:ascii="Times New Roman" w:cs="Times New Roman" w:eastAsia="Times New Roman" w:hAnsi="Times New Roman"/>
          <w:sz w:val="20"/>
          <w:szCs w:val="20"/>
          <w:u w:val="single" w:color="auto"/>
          <w:color w:val="auto"/>
        </w:rPr>
        <w:t>Renewal Date</w:t>
      </w:r>
      <w:r>
        <w:rPr>
          <w:rFonts w:ascii="Times New Roman" w:cs="Times New Roman" w:eastAsia="Times New Roman" w:hAnsi="Times New Roman"/>
          <w:sz w:val="20"/>
          <w:szCs w:val="20"/>
          <w:color w:val="auto"/>
        </w:rPr>
        <w:t>"), the Agreement shall be deemed to be automatically extended, upon the same terms and conditions, for successive periods of one year, unless either party provides written notice of its intention not to extend the term of the Agreement at least ninety days' prior to the applicable Renewal Date. The period during which the Employee is employed by Company hereunder is hereinafter referred to as the "</w:t>
      </w:r>
      <w:r>
        <w:rPr>
          <w:rFonts w:ascii="Times New Roman" w:cs="Times New Roman" w:eastAsia="Times New Roman" w:hAnsi="Times New Roman"/>
          <w:sz w:val="20"/>
          <w:szCs w:val="20"/>
          <w:u w:val="single" w:color="auto"/>
          <w:color w:val="auto"/>
        </w:rPr>
        <w:t>Employment Period</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b w:val="1"/>
          <w:bCs w:val="1"/>
          <w:color w:val="auto"/>
        </w:rPr>
      </w:pPr>
    </w:p>
    <w:p>
      <w:pPr>
        <w:ind w:left="660" w:hanging="652"/>
        <w:spacing w:after="0"/>
        <w:tabs>
          <w:tab w:leader="none" w:pos="660" w:val="left"/>
        </w:tabs>
        <w:numPr>
          <w:ilvl w:val="0"/>
          <w:numId w:val="35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TITLE AND EXCLUSIVE SERVICES</w:t>
      </w:r>
    </w:p>
    <w:p>
      <w:pPr>
        <w:spacing w:after="0" w:line="243" w:lineRule="exact"/>
        <w:rPr>
          <w:sz w:val="20"/>
          <w:szCs w:val="20"/>
          <w:color w:val="auto"/>
        </w:rPr>
      </w:pPr>
    </w:p>
    <w:p>
      <w:pPr>
        <w:jc w:val="both"/>
        <w:ind w:left="660" w:hanging="652"/>
        <w:spacing w:after="0" w:line="260" w:lineRule="auto"/>
        <w:tabs>
          <w:tab w:leader="none" w:pos="648" w:val="left"/>
        </w:tabs>
        <w:numPr>
          <w:ilvl w:val="0"/>
          <w:numId w:val="35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Title and Duties. </w:t>
      </w:r>
      <w:r>
        <w:rPr>
          <w:rFonts w:ascii="Times New Roman" w:cs="Times New Roman" w:eastAsia="Times New Roman" w:hAnsi="Times New Roman"/>
          <w:sz w:val="20"/>
          <w:szCs w:val="20"/>
          <w:color w:val="auto"/>
        </w:rPr>
        <w:t>Employee's title will be Executive Vice President &amp; Chief Technology Officer, and Employee will perform job</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duties that are usual and customary for this position. Company reserves the right to assign to the Employee duties of a different nature, either additional to, or instead of, those referred to above, it being understood that Employee will not be assigned duties which Employee cannot reasonably perform.</w:t>
      </w:r>
    </w:p>
    <w:p>
      <w:pPr>
        <w:spacing w:after="0" w:line="204" w:lineRule="exact"/>
        <w:rPr>
          <w:rFonts w:ascii="Times New Roman" w:cs="Times New Roman" w:eastAsia="Times New Roman" w:hAnsi="Times New Roman"/>
          <w:sz w:val="20"/>
          <w:szCs w:val="20"/>
          <w:b w:val="1"/>
          <w:bCs w:val="1"/>
          <w:color w:val="auto"/>
        </w:rPr>
      </w:pPr>
    </w:p>
    <w:p>
      <w:pPr>
        <w:jc w:val="both"/>
        <w:ind w:left="660" w:hanging="652"/>
        <w:spacing w:after="0" w:line="254" w:lineRule="auto"/>
        <w:tabs>
          <w:tab w:leader="none" w:pos="659" w:val="left"/>
        </w:tabs>
        <w:numPr>
          <w:ilvl w:val="0"/>
          <w:numId w:val="35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Exclusive Services. </w:t>
      </w:r>
      <w:r>
        <w:rPr>
          <w:rFonts w:ascii="Times New Roman" w:cs="Times New Roman" w:eastAsia="Times New Roman" w:hAnsi="Times New Roman"/>
          <w:sz w:val="20"/>
          <w:szCs w:val="20"/>
          <w:color w:val="auto"/>
        </w:rPr>
        <w:t>Employee shall not be employed or render services elsewhere during the Employment Period. Notwithstanding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foregoing provision of this Section, during the Employment Period, Employee may devote reasonable time to activities other than those required under this Agreement, including activities of a charitable, educational, religious or similar nature (including professional associations), or activities related to corporate board or advisory board positions for non-competitive companies, subject to Company's standard approval policy.</w:t>
      </w:r>
    </w:p>
    <w:p>
      <w:pPr>
        <w:spacing w:after="0" w:line="200" w:lineRule="exact"/>
        <w:rPr>
          <w:rFonts w:ascii="Times New Roman" w:cs="Times New Roman" w:eastAsia="Times New Roman" w:hAnsi="Times New Roman"/>
          <w:sz w:val="20"/>
          <w:szCs w:val="20"/>
          <w:b w:val="1"/>
          <w:bCs w:val="1"/>
          <w:color w:val="auto"/>
        </w:rPr>
      </w:pPr>
    </w:p>
    <w:p>
      <w:pPr>
        <w:jc w:val="both"/>
        <w:ind w:left="660" w:hanging="652"/>
        <w:spacing w:after="0" w:line="254" w:lineRule="auto"/>
        <w:tabs>
          <w:tab w:leader="none" w:pos="650" w:val="left"/>
        </w:tabs>
        <w:numPr>
          <w:ilvl w:val="0"/>
          <w:numId w:val="35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Place of Performance: </w:t>
      </w:r>
      <w:r>
        <w:rPr>
          <w:rFonts w:ascii="Times New Roman" w:cs="Times New Roman" w:eastAsia="Times New Roman" w:hAnsi="Times New Roman"/>
          <w:sz w:val="20"/>
          <w:szCs w:val="20"/>
          <w:color w:val="auto"/>
        </w:rPr>
        <w:t>Employee will be able to work from his home in New Albany, Ohio; provided, Employee commits that 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will travel to, and work from, Company's headquarters in San Antonio, Texas when requested by Chief Executive Officer or President. It is currently anticipated that Employee will work from Company's headquarters location two (2) weeks of every month (on an every-other-week basis). Employee further acknowledges that he may also be required to travel to locations other than the Company's headquarters on Company business during the Employment Period. Costs associated with all Company required travel will be reimbursed as contemplated in </w:t>
      </w:r>
      <w:r>
        <w:rPr>
          <w:rFonts w:ascii="Times New Roman" w:cs="Times New Roman" w:eastAsia="Times New Roman" w:hAnsi="Times New Roman"/>
          <w:sz w:val="20"/>
          <w:szCs w:val="20"/>
          <w:u w:val="single" w:color="auto"/>
          <w:color w:val="auto"/>
        </w:rPr>
        <w:t>Section 3(g)</w:t>
      </w:r>
      <w:r>
        <w:rPr>
          <w:rFonts w:ascii="Times New Roman" w:cs="Times New Roman" w:eastAsia="Times New Roman" w:hAnsi="Times New Roman"/>
          <w:sz w:val="20"/>
          <w:szCs w:val="20"/>
          <w:color w:val="auto"/>
        </w:rPr>
        <w:t>.</w:t>
      </w:r>
    </w:p>
    <w:p>
      <w:pPr>
        <w:spacing w:after="0" w:line="214" w:lineRule="exact"/>
        <w:rPr>
          <w:sz w:val="20"/>
          <w:szCs w:val="20"/>
          <w:color w:val="auto"/>
        </w:rPr>
      </w:pPr>
    </w:p>
    <w:p>
      <w:pPr>
        <w:ind w:left="660" w:hanging="652"/>
        <w:spacing w:after="0"/>
        <w:tabs>
          <w:tab w:leader="none" w:pos="660" w:val="left"/>
        </w:tabs>
        <w:numPr>
          <w:ilvl w:val="0"/>
          <w:numId w:val="35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COMPENSATION AND BENEFITS</w:t>
      </w:r>
    </w:p>
    <w:p>
      <w:pPr>
        <w:spacing w:after="0" w:line="256" w:lineRule="exact"/>
        <w:rPr>
          <w:sz w:val="20"/>
          <w:szCs w:val="20"/>
          <w:color w:val="auto"/>
        </w:rPr>
      </w:pPr>
    </w:p>
    <w:p>
      <w:pPr>
        <w:ind w:left="660" w:hanging="652"/>
        <w:spacing w:after="0" w:line="273" w:lineRule="auto"/>
        <w:tabs>
          <w:tab w:leader="none" w:pos="648" w:val="left"/>
        </w:tabs>
        <w:numPr>
          <w:ilvl w:val="0"/>
          <w:numId w:val="35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Base Salary. </w:t>
      </w:r>
      <w:r>
        <w:rPr>
          <w:rFonts w:ascii="Times New Roman" w:cs="Times New Roman" w:eastAsia="Times New Roman" w:hAnsi="Times New Roman"/>
          <w:sz w:val="20"/>
          <w:szCs w:val="20"/>
          <w:color w:val="auto"/>
        </w:rPr>
        <w:t>Employee shall be paid an annual base salary of $525,000 and shall be eligible for increases in base salary consistent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with Company's ordinary compensation cycles and process.</w:t>
      </w:r>
    </w:p>
    <w:p>
      <w:pPr>
        <w:spacing w:after="0" w:line="192" w:lineRule="exact"/>
        <w:rPr>
          <w:rFonts w:ascii="Times New Roman" w:cs="Times New Roman" w:eastAsia="Times New Roman" w:hAnsi="Times New Roman"/>
          <w:sz w:val="20"/>
          <w:szCs w:val="20"/>
          <w:b w:val="1"/>
          <w:bCs w:val="1"/>
          <w:color w:val="auto"/>
        </w:rPr>
      </w:pPr>
    </w:p>
    <w:p>
      <w:pPr>
        <w:ind w:left="660" w:hanging="652"/>
        <w:spacing w:after="0" w:line="273" w:lineRule="auto"/>
        <w:tabs>
          <w:tab w:leader="none" w:pos="659" w:val="left"/>
        </w:tabs>
        <w:numPr>
          <w:ilvl w:val="0"/>
          <w:numId w:val="35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Annual Corporate Bonus. </w:t>
      </w:r>
      <w:r>
        <w:rPr>
          <w:rFonts w:ascii="Times New Roman" w:cs="Times New Roman" w:eastAsia="Times New Roman" w:hAnsi="Times New Roman"/>
          <w:sz w:val="20"/>
          <w:szCs w:val="20"/>
          <w:color w:val="auto"/>
        </w:rPr>
        <w:t>Starting in 2022, Employee is eligible for an annualized on-target bonus of 75% of annual salary, subject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to the terms of Company's Annual Cash Incentive Plan.</w:t>
      </w:r>
    </w:p>
    <w:p>
      <w:pPr>
        <w:sectPr>
          <w:pgSz w:w="11900" w:h="16838" w:orient="portrait"/>
          <w:cols w:equalWidth="0" w:num="1">
            <w:col w:w="11240"/>
          </w:cols>
          <w:pgMar w:left="320" w:top="117" w:right="339" w:bottom="1440" w:gutter="0" w:footer="0" w:header="0"/>
        </w:sectPr>
      </w:pPr>
    </w:p>
    <w:bookmarkStart w:id="391" w:name="page392"/>
    <w:bookmarkEnd w:id="391"/>
    <w:p>
      <w:pPr>
        <w:jc w:val="both"/>
        <w:ind w:left="652" w:hanging="652"/>
        <w:spacing w:after="0" w:line="260" w:lineRule="auto"/>
        <w:tabs>
          <w:tab w:leader="none" w:pos="642" w:val="left"/>
        </w:tabs>
        <w:numPr>
          <w:ilvl w:val="0"/>
          <w:numId w:val="35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Bonus; Reimbursement Payment. </w:t>
      </w:r>
      <w:r>
        <w:rPr>
          <w:rFonts w:ascii="Times New Roman" w:cs="Times New Roman" w:eastAsia="Times New Roman" w:hAnsi="Times New Roman"/>
          <w:sz w:val="20"/>
          <w:szCs w:val="20"/>
          <w:color w:val="auto"/>
        </w:rPr>
        <w:t>In consideration of Employee entering into this Agreement and as an inducement to join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Company of the Effective Date, Company shall pay Employee (i) $450,000 within thirty (30) days from the Start Date of this Agreement (the "</w:t>
      </w:r>
      <w:r>
        <w:rPr>
          <w:rFonts w:ascii="Times New Roman" w:cs="Times New Roman" w:eastAsia="Times New Roman" w:hAnsi="Times New Roman"/>
          <w:sz w:val="20"/>
          <w:szCs w:val="20"/>
          <w:u w:val="single" w:color="auto"/>
          <w:color w:val="auto"/>
        </w:rPr>
        <w:t>Reimbursement Payment</w:t>
      </w:r>
      <w:r>
        <w:rPr>
          <w:rFonts w:ascii="Times New Roman" w:cs="Times New Roman" w:eastAsia="Times New Roman" w:hAnsi="Times New Roman"/>
          <w:sz w:val="20"/>
          <w:szCs w:val="20"/>
          <w:color w:val="auto"/>
        </w:rPr>
        <w:t>"), and (ii) $150,000 at the same time as bonuses are paid to similarly situated employees under the terms of Company's Annual Cash Incentive Plan (collectively, the "</w:t>
      </w:r>
      <w:r>
        <w:rPr>
          <w:rFonts w:ascii="Times New Roman" w:cs="Times New Roman" w:eastAsia="Times New Roman" w:hAnsi="Times New Roman"/>
          <w:sz w:val="20"/>
          <w:szCs w:val="20"/>
          <w:u w:val="single" w:color="auto"/>
          <w:color w:val="auto"/>
        </w:rPr>
        <w:t>Signing Bonuses</w:t>
      </w:r>
      <w:r>
        <w:rPr>
          <w:rFonts w:ascii="Times New Roman" w:cs="Times New Roman" w:eastAsia="Times New Roman" w:hAnsi="Times New Roman"/>
          <w:sz w:val="20"/>
          <w:szCs w:val="20"/>
          <w:color w:val="auto"/>
        </w:rPr>
        <w:t>").</w:t>
      </w:r>
    </w:p>
    <w:p>
      <w:pPr>
        <w:spacing w:after="0" w:line="195" w:lineRule="exact"/>
        <w:rPr>
          <w:rFonts w:ascii="Times New Roman" w:cs="Times New Roman" w:eastAsia="Times New Roman" w:hAnsi="Times New Roman"/>
          <w:sz w:val="20"/>
          <w:szCs w:val="20"/>
          <w:b w:val="1"/>
          <w:bCs w:val="1"/>
          <w:color w:val="auto"/>
        </w:rPr>
      </w:pPr>
    </w:p>
    <w:p>
      <w:pPr>
        <w:jc w:val="both"/>
        <w:ind w:left="652"/>
        <w:spacing w:after="0" w:line="253"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161616"/>
        </w:rPr>
        <w:t xml:space="preserve">The Reimbursement Payment is intended to reimburse Employee for amounts that Employee may be obligated to repay his current employer as a bonus and relocation "clawback" under his existing employment agreement. The Signing Bonuses will be treated as an advance payment that is earned over a one-year period. Therefore, entitlement to the Signing Bonuses is contingent upon Employee's continued employment with Company through the first anniversary of the Start Date. If, prior to the first anniversary of the Start Date, Employee voluntarily terminates Employee's employment as contemplated by </w:t>
      </w:r>
      <w:r>
        <w:rPr>
          <w:rFonts w:ascii="Times New Roman" w:cs="Times New Roman" w:eastAsia="Times New Roman" w:hAnsi="Times New Roman"/>
          <w:sz w:val="20"/>
          <w:szCs w:val="20"/>
          <w:u w:val="single" w:color="auto"/>
          <w:color w:val="161616"/>
        </w:rPr>
        <w:t>Section 5(d)</w:t>
      </w:r>
      <w:r>
        <w:rPr>
          <w:rFonts w:ascii="Times New Roman" w:cs="Times New Roman" w:eastAsia="Times New Roman" w:hAnsi="Times New Roman"/>
          <w:sz w:val="20"/>
          <w:szCs w:val="20"/>
          <w:color w:val="161616"/>
        </w:rPr>
        <w:t>, Employee agrees that Employee will reimburse Company for the unearned, pro rata portion of the Signing Bonuses based on Employee's actual length of employment. Employee acknowledges that payment of the Signing Bonuses will be subject to all employment-related taxes and withholdings.</w:t>
      </w:r>
    </w:p>
    <w:p>
      <w:pPr>
        <w:spacing w:after="0" w:line="203" w:lineRule="exact"/>
        <w:rPr>
          <w:rFonts w:ascii="Times New Roman" w:cs="Times New Roman" w:eastAsia="Times New Roman" w:hAnsi="Times New Roman"/>
          <w:sz w:val="20"/>
          <w:szCs w:val="20"/>
          <w:b w:val="1"/>
          <w:bCs w:val="1"/>
          <w:color w:val="auto"/>
        </w:rPr>
      </w:pPr>
    </w:p>
    <w:p>
      <w:pPr>
        <w:ind w:left="652" w:hanging="652"/>
        <w:spacing w:after="0"/>
        <w:tabs>
          <w:tab w:leader="none" w:pos="652" w:val="left"/>
        </w:tabs>
        <w:numPr>
          <w:ilvl w:val="0"/>
          <w:numId w:val="35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161616"/>
        </w:rPr>
        <w:t>Equity Award(s).</w:t>
      </w:r>
    </w:p>
    <w:p>
      <w:pPr>
        <w:spacing w:after="0" w:line="260" w:lineRule="exact"/>
        <w:rPr>
          <w:rFonts w:ascii="Times New Roman" w:cs="Times New Roman" w:eastAsia="Times New Roman" w:hAnsi="Times New Roman"/>
          <w:sz w:val="20"/>
          <w:szCs w:val="20"/>
          <w:b w:val="1"/>
          <w:bCs w:val="1"/>
          <w:color w:val="auto"/>
        </w:rPr>
      </w:pPr>
    </w:p>
    <w:p>
      <w:pPr>
        <w:ind w:left="1292" w:hanging="648"/>
        <w:spacing w:after="0" w:line="253"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w:t>
      </w:r>
      <w:r>
        <w:rPr>
          <w:rFonts w:ascii="Times New Roman" w:cs="Times New Roman" w:eastAsia="Times New Roman" w:hAnsi="Times New Roman"/>
          <w:sz w:val="20"/>
          <w:szCs w:val="20"/>
          <w:u w:val="single" w:color="auto"/>
          <w:color w:val="161616"/>
        </w:rPr>
        <w:t>One-Time Recruiting Award</w:t>
      </w:r>
      <w:r>
        <w:rPr>
          <w:rFonts w:ascii="Times New Roman" w:cs="Times New Roman" w:eastAsia="Times New Roman" w:hAnsi="Times New Roman"/>
          <w:sz w:val="20"/>
          <w:szCs w:val="20"/>
          <w:color w:val="161616"/>
        </w:rPr>
        <w:t>. Company will recommend for approval, in accordance with the process set forth by the</w:t>
      </w:r>
      <w:r>
        <w:rPr>
          <w:rFonts w:ascii="Times New Roman" w:cs="Times New Roman" w:eastAsia="Times New Roman" w:hAnsi="Times New Roman"/>
          <w:sz w:val="20"/>
          <w:szCs w:val="20"/>
          <w:u w:val="single" w:color="auto"/>
          <w:color w:val="161616"/>
        </w:rPr>
        <w:t xml:space="preserve"> </w:t>
      </w:r>
      <w:r>
        <w:rPr>
          <w:rFonts w:ascii="Times New Roman" w:cs="Times New Roman" w:eastAsia="Times New Roman" w:hAnsi="Times New Roman"/>
          <w:sz w:val="20"/>
          <w:szCs w:val="20"/>
          <w:color w:val="161616"/>
        </w:rPr>
        <w:t>Compensation Committee of the Board of Directors of Rackspace Technology, Inc. (the "</w:t>
      </w:r>
      <w:r>
        <w:rPr>
          <w:rFonts w:ascii="Times New Roman" w:cs="Times New Roman" w:eastAsia="Times New Roman" w:hAnsi="Times New Roman"/>
          <w:sz w:val="20"/>
          <w:szCs w:val="20"/>
          <w:u w:val="single" w:color="auto"/>
          <w:color w:val="161616"/>
        </w:rPr>
        <w:t>Compensation Committee</w:t>
      </w:r>
      <w:r>
        <w:rPr>
          <w:rFonts w:ascii="Times New Roman" w:cs="Times New Roman" w:eastAsia="Times New Roman" w:hAnsi="Times New Roman"/>
          <w:sz w:val="20"/>
          <w:szCs w:val="20"/>
          <w:color w:val="161616"/>
        </w:rPr>
        <w:t>"), a one-time recruiting grant of restricted stock units ("</w:t>
      </w:r>
      <w:r>
        <w:rPr>
          <w:rFonts w:ascii="Times New Roman" w:cs="Times New Roman" w:eastAsia="Times New Roman" w:hAnsi="Times New Roman"/>
          <w:sz w:val="20"/>
          <w:szCs w:val="20"/>
          <w:u w:val="single" w:color="auto"/>
          <w:color w:val="161616"/>
        </w:rPr>
        <w:t>RSUs</w:t>
      </w:r>
      <w:r>
        <w:rPr>
          <w:rFonts w:ascii="Times New Roman" w:cs="Times New Roman" w:eastAsia="Times New Roman" w:hAnsi="Times New Roman"/>
          <w:sz w:val="20"/>
          <w:szCs w:val="20"/>
          <w:color w:val="161616"/>
        </w:rPr>
        <w:t>") of Rackspace Technology, Inc. common stock, par value $.01 per share ("</w:t>
      </w:r>
      <w:r>
        <w:rPr>
          <w:rFonts w:ascii="Times New Roman" w:cs="Times New Roman" w:eastAsia="Times New Roman" w:hAnsi="Times New Roman"/>
          <w:sz w:val="20"/>
          <w:szCs w:val="20"/>
          <w:u w:val="single" w:color="auto"/>
          <w:color w:val="161616"/>
        </w:rPr>
        <w:t>Common Stock</w:t>
      </w:r>
      <w:r>
        <w:rPr>
          <w:rFonts w:ascii="Times New Roman" w:cs="Times New Roman" w:eastAsia="Times New Roman" w:hAnsi="Times New Roman"/>
          <w:sz w:val="20"/>
          <w:szCs w:val="20"/>
          <w:color w:val="161616"/>
        </w:rPr>
        <w:t>"). The number of RSUs granted shall be determined by dividing $2,000,000 by the 30-day volume weighted average price of Company's NASDAQ-traded Common Stock ending on the Grant Date (as defined below) (the "</w:t>
      </w:r>
      <w:r>
        <w:rPr>
          <w:rFonts w:ascii="Times New Roman" w:cs="Times New Roman" w:eastAsia="Times New Roman" w:hAnsi="Times New Roman"/>
          <w:sz w:val="20"/>
          <w:szCs w:val="20"/>
          <w:u w:val="single" w:color="auto"/>
          <w:color w:val="161616"/>
        </w:rPr>
        <w:t>VWAP</w:t>
      </w:r>
      <w:r>
        <w:rPr>
          <w:rFonts w:ascii="Times New Roman" w:cs="Times New Roman" w:eastAsia="Times New Roman" w:hAnsi="Times New Roman"/>
          <w:sz w:val="20"/>
          <w:szCs w:val="20"/>
          <w:color w:val="161616"/>
        </w:rPr>
        <w:t>") and will vest as follows:</w:t>
      </w:r>
    </w:p>
    <w:p>
      <w:pPr>
        <w:spacing w:after="0" w:line="236" w:lineRule="exact"/>
        <w:rPr>
          <w:sz w:val="20"/>
          <w:szCs w:val="20"/>
          <w:color w:val="auto"/>
        </w:rPr>
      </w:pPr>
    </w:p>
    <w:tbl>
      <w:tblPr>
        <w:tblLayout w:type="fixed"/>
        <w:tblInd w:w="1302" w:type="dxa"/>
        <w:tblCellMar>
          <w:top w:w="0" w:type="dxa"/>
          <w:left w:w="0" w:type="dxa"/>
          <w:bottom w:w="0" w:type="dxa"/>
          <w:right w:w="0" w:type="dxa"/>
        </w:tblCellMar>
      </w:tblPr>
      <w:tr>
        <w:trPr>
          <w:trHeight w:val="229"/>
        </w:trPr>
        <w:tc>
          <w:tcPr>
            <w:tcW w:w="140" w:type="dxa"/>
            <w:vAlign w:val="bottom"/>
            <w:tcBorders>
              <w:top w:val="single" w:sz="8" w:color="auto"/>
              <w:left w:val="single" w:sz="8" w:color="auto"/>
            </w:tcBorders>
          </w:tcPr>
          <w:p>
            <w:pPr>
              <w:spacing w:after="0"/>
              <w:rPr>
                <w:sz w:val="19"/>
                <w:szCs w:val="19"/>
                <w:color w:val="auto"/>
              </w:rPr>
            </w:pPr>
          </w:p>
        </w:tc>
        <w:tc>
          <w:tcPr>
            <w:tcW w:w="3060" w:type="dxa"/>
            <w:vAlign w:val="bottom"/>
            <w:tcBorders>
              <w:top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20"/>
                <w:szCs w:val="20"/>
                <w:b w:val="1"/>
                <w:bCs w:val="1"/>
                <w:color w:val="161616"/>
              </w:rPr>
              <w:t>Vesting Date</w:t>
            </w:r>
          </w:p>
        </w:tc>
        <w:tc>
          <w:tcPr>
            <w:tcW w:w="380" w:type="dxa"/>
            <w:vAlign w:val="bottom"/>
            <w:tcBorders>
              <w:top w:val="single" w:sz="8" w:color="auto"/>
              <w:right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3520" w:type="dxa"/>
            <w:vAlign w:val="bottom"/>
            <w:tcBorders>
              <w:top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20"/>
                <w:szCs w:val="20"/>
                <w:b w:val="1"/>
                <w:bCs w:val="1"/>
                <w:color w:val="161616"/>
              </w:rPr>
              <w:t>Percentage of RSUs Vesting</w:t>
            </w:r>
          </w:p>
        </w:tc>
      </w:tr>
      <w:tr>
        <w:trPr>
          <w:trHeight w:val="34"/>
        </w:trPr>
        <w:tc>
          <w:tcPr>
            <w:tcW w:w="140" w:type="dxa"/>
            <w:vAlign w:val="bottom"/>
            <w:tcBorders>
              <w:left w:val="single" w:sz="8" w:color="auto"/>
              <w:bottom w:val="single" w:sz="8" w:color="auto"/>
            </w:tcBorders>
          </w:tcPr>
          <w:p>
            <w:pPr>
              <w:spacing w:after="0"/>
              <w:rPr>
                <w:sz w:val="2"/>
                <w:szCs w:val="2"/>
                <w:color w:val="auto"/>
              </w:rPr>
            </w:pPr>
          </w:p>
        </w:tc>
        <w:tc>
          <w:tcPr>
            <w:tcW w:w="1060" w:type="dxa"/>
            <w:vAlign w:val="bottom"/>
            <w:tcBorders>
              <w:top w:val="single" w:sz="8" w:color="161616"/>
              <w:bottom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340" w:type="dxa"/>
            <w:vAlign w:val="bottom"/>
            <w:tcBorders>
              <w:top w:val="single" w:sz="8" w:color="161616"/>
              <w:bottom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r>
      <w:tr>
        <w:trPr>
          <w:trHeight w:val="260"/>
        </w:trPr>
        <w:tc>
          <w:tcPr>
            <w:tcW w:w="3200" w:type="dxa"/>
            <w:vAlign w:val="bottom"/>
            <w:tcBorders>
              <w:left w:val="single" w:sz="8" w:color="auto"/>
              <w:bottom w:val="single" w:sz="8" w:color="auto"/>
              <w:right w:val="single" w:sz="8" w:color="auto"/>
            </w:tcBorders>
            <w:gridSpan w:val="3"/>
          </w:tcPr>
          <w:p>
            <w:pPr>
              <w:ind w:left="140"/>
              <w:spacing w:after="0"/>
              <w:rPr>
                <w:sz w:val="20"/>
                <w:szCs w:val="20"/>
                <w:color w:val="auto"/>
              </w:rPr>
            </w:pPr>
            <w:r>
              <w:rPr>
                <w:rFonts w:ascii="Times New Roman" w:cs="Times New Roman" w:eastAsia="Times New Roman" w:hAnsi="Times New Roman"/>
                <w:sz w:val="20"/>
                <w:szCs w:val="20"/>
                <w:color w:val="161616"/>
              </w:rPr>
              <w:t>12-month anniversary of Grant</w:t>
            </w:r>
          </w:p>
        </w:tc>
        <w:tc>
          <w:tcPr>
            <w:tcW w:w="380" w:type="dxa"/>
            <w:vAlign w:val="bottom"/>
            <w:tcBorders>
              <w:bottom w:val="single" w:sz="8" w:color="auto"/>
              <w:right w:val="single" w:sz="8" w:color="auto"/>
            </w:tcBorders>
          </w:tcPr>
          <w:p>
            <w:pPr>
              <w:spacing w:after="0"/>
              <w:rPr>
                <w:sz w:val="22"/>
                <w:szCs w:val="22"/>
                <w:color w:val="auto"/>
              </w:rPr>
            </w:pPr>
          </w:p>
        </w:tc>
        <w:tc>
          <w:tcPr>
            <w:tcW w:w="246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20"/>
                <w:szCs w:val="20"/>
                <w:color w:val="161616"/>
              </w:rPr>
              <w:t>50%</w:t>
            </w:r>
          </w:p>
        </w:tc>
        <w:tc>
          <w:tcPr>
            <w:tcW w:w="1180" w:type="dxa"/>
            <w:vAlign w:val="bottom"/>
            <w:tcBorders>
              <w:bottom w:val="single" w:sz="8" w:color="auto"/>
              <w:right w:val="single" w:sz="8" w:color="auto"/>
            </w:tcBorders>
          </w:tcPr>
          <w:p>
            <w:pPr>
              <w:spacing w:after="0"/>
              <w:rPr>
                <w:sz w:val="22"/>
                <w:szCs w:val="22"/>
                <w:color w:val="auto"/>
              </w:rPr>
            </w:pPr>
          </w:p>
        </w:tc>
      </w:tr>
      <w:tr>
        <w:trPr>
          <w:trHeight w:val="264"/>
        </w:trPr>
        <w:tc>
          <w:tcPr>
            <w:tcW w:w="3200" w:type="dxa"/>
            <w:vAlign w:val="bottom"/>
            <w:tcBorders>
              <w:left w:val="single" w:sz="8" w:color="auto"/>
              <w:bottom w:val="single" w:sz="8" w:color="auto"/>
              <w:right w:val="single" w:sz="8" w:color="auto"/>
            </w:tcBorders>
            <w:gridSpan w:val="3"/>
          </w:tcPr>
          <w:p>
            <w:pPr>
              <w:ind w:left="140"/>
              <w:spacing w:after="0"/>
              <w:rPr>
                <w:sz w:val="20"/>
                <w:szCs w:val="20"/>
                <w:color w:val="auto"/>
              </w:rPr>
            </w:pPr>
            <w:r>
              <w:rPr>
                <w:rFonts w:ascii="Times New Roman" w:cs="Times New Roman" w:eastAsia="Times New Roman" w:hAnsi="Times New Roman"/>
                <w:sz w:val="20"/>
                <w:szCs w:val="20"/>
                <w:color w:val="161616"/>
              </w:rPr>
              <w:t>18-month anniversary of Grant</w:t>
            </w:r>
          </w:p>
        </w:tc>
        <w:tc>
          <w:tcPr>
            <w:tcW w:w="380" w:type="dxa"/>
            <w:vAlign w:val="bottom"/>
            <w:tcBorders>
              <w:bottom w:val="single" w:sz="8" w:color="auto"/>
              <w:right w:val="single" w:sz="8" w:color="auto"/>
            </w:tcBorders>
          </w:tcPr>
          <w:p>
            <w:pPr>
              <w:spacing w:after="0"/>
              <w:rPr>
                <w:sz w:val="22"/>
                <w:szCs w:val="22"/>
                <w:color w:val="auto"/>
              </w:rPr>
            </w:pPr>
          </w:p>
        </w:tc>
        <w:tc>
          <w:tcPr>
            <w:tcW w:w="246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20"/>
                <w:szCs w:val="20"/>
                <w:color w:val="161616"/>
              </w:rPr>
              <w:t>25%</w:t>
            </w:r>
          </w:p>
        </w:tc>
        <w:tc>
          <w:tcPr>
            <w:tcW w:w="1180" w:type="dxa"/>
            <w:vAlign w:val="bottom"/>
            <w:tcBorders>
              <w:bottom w:val="single" w:sz="8" w:color="auto"/>
              <w:right w:val="single" w:sz="8" w:color="auto"/>
            </w:tcBorders>
          </w:tcPr>
          <w:p>
            <w:pPr>
              <w:spacing w:after="0"/>
              <w:rPr>
                <w:sz w:val="22"/>
                <w:szCs w:val="22"/>
                <w:color w:val="auto"/>
              </w:rPr>
            </w:pPr>
          </w:p>
        </w:tc>
      </w:tr>
      <w:tr>
        <w:trPr>
          <w:trHeight w:val="263"/>
        </w:trPr>
        <w:tc>
          <w:tcPr>
            <w:tcW w:w="3200" w:type="dxa"/>
            <w:vAlign w:val="bottom"/>
            <w:tcBorders>
              <w:left w:val="single" w:sz="8" w:color="auto"/>
              <w:bottom w:val="single" w:sz="8" w:color="auto"/>
              <w:right w:val="single" w:sz="8" w:color="auto"/>
            </w:tcBorders>
            <w:gridSpan w:val="3"/>
          </w:tcPr>
          <w:p>
            <w:pPr>
              <w:ind w:left="140"/>
              <w:spacing w:after="0"/>
              <w:rPr>
                <w:sz w:val="20"/>
                <w:szCs w:val="20"/>
                <w:color w:val="auto"/>
              </w:rPr>
            </w:pPr>
            <w:r>
              <w:rPr>
                <w:rFonts w:ascii="Times New Roman" w:cs="Times New Roman" w:eastAsia="Times New Roman" w:hAnsi="Times New Roman"/>
                <w:sz w:val="20"/>
                <w:szCs w:val="20"/>
                <w:color w:val="161616"/>
              </w:rPr>
              <w:t>24-month anniversary of Grant</w:t>
            </w:r>
          </w:p>
        </w:tc>
        <w:tc>
          <w:tcPr>
            <w:tcW w:w="380" w:type="dxa"/>
            <w:vAlign w:val="bottom"/>
            <w:tcBorders>
              <w:bottom w:val="single" w:sz="8" w:color="auto"/>
              <w:right w:val="single" w:sz="8" w:color="auto"/>
            </w:tcBorders>
          </w:tcPr>
          <w:p>
            <w:pPr>
              <w:spacing w:after="0"/>
              <w:rPr>
                <w:sz w:val="22"/>
                <w:szCs w:val="22"/>
                <w:color w:val="auto"/>
              </w:rPr>
            </w:pPr>
          </w:p>
        </w:tc>
        <w:tc>
          <w:tcPr>
            <w:tcW w:w="246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20"/>
                <w:szCs w:val="20"/>
                <w:color w:val="161616"/>
              </w:rPr>
              <w:t>25%</w:t>
            </w:r>
          </w:p>
        </w:tc>
        <w:tc>
          <w:tcPr>
            <w:tcW w:w="1180" w:type="dxa"/>
            <w:vAlign w:val="bottom"/>
            <w:tcBorders>
              <w:bottom w:val="single" w:sz="8" w:color="auto"/>
              <w:right w:val="single" w:sz="8" w:color="auto"/>
            </w:tcBorders>
          </w:tcPr>
          <w:p>
            <w:pPr>
              <w:spacing w:after="0"/>
              <w:rPr>
                <w:sz w:val="22"/>
                <w:szCs w:val="22"/>
                <w:color w:val="auto"/>
              </w:rPr>
            </w:pPr>
          </w:p>
        </w:tc>
      </w:tr>
    </w:tbl>
    <w:p>
      <w:pPr>
        <w:spacing w:after="0" w:line="315" w:lineRule="exact"/>
        <w:rPr>
          <w:sz w:val="20"/>
          <w:szCs w:val="20"/>
          <w:color w:val="auto"/>
        </w:rPr>
      </w:pPr>
    </w:p>
    <w:p>
      <w:pPr>
        <w:jc w:val="both"/>
        <w:ind w:left="1292" w:hanging="644"/>
        <w:spacing w:after="0" w:line="253" w:lineRule="auto"/>
        <w:tabs>
          <w:tab w:leader="none" w:pos="1292" w:val="left"/>
        </w:tabs>
        <w:numPr>
          <w:ilvl w:val="0"/>
          <w:numId w:val="3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161616"/>
        </w:rPr>
        <w:t>Annual Equity Awards.</w:t>
      </w:r>
      <w:r>
        <w:rPr>
          <w:rFonts w:ascii="Times New Roman" w:cs="Times New Roman" w:eastAsia="Times New Roman" w:hAnsi="Times New Roman"/>
          <w:sz w:val="20"/>
          <w:szCs w:val="20"/>
          <w:color w:val="161616"/>
        </w:rPr>
        <w:t xml:space="preserve"> Starting in fiscal year 2022 and for each fiscal year of the Employment Period thereafter, Employee will be eligible to receive equity awards (the "</w:t>
      </w:r>
      <w:r>
        <w:rPr>
          <w:rFonts w:ascii="Times New Roman" w:cs="Times New Roman" w:eastAsia="Times New Roman" w:hAnsi="Times New Roman"/>
          <w:sz w:val="20"/>
          <w:szCs w:val="20"/>
          <w:u w:val="single" w:color="auto"/>
          <w:color w:val="161616"/>
        </w:rPr>
        <w:t>Annual Equity Award</w:t>
      </w:r>
      <w:r>
        <w:rPr>
          <w:rFonts w:ascii="Times New Roman" w:cs="Times New Roman" w:eastAsia="Times New Roman" w:hAnsi="Times New Roman"/>
          <w:sz w:val="20"/>
          <w:szCs w:val="20"/>
          <w:color w:val="161616"/>
        </w:rPr>
        <w:t>") on the same basis and terms (including form and mix of awards, vesting and forfeiture terms and date on which such awards are granted) no less favorable to him than those applicable to any other similarly situated employees subject to Employee's continued employment through the applicable Grant Date. In each of the years set forth below, Company will recommend that the Compensation Committee approve an Annual Equity Award with the recommended award value as set forth below:</w:t>
      </w:r>
    </w:p>
    <w:p>
      <w:pPr>
        <w:spacing w:after="0" w:line="249" w:lineRule="exact"/>
        <w:rPr>
          <w:sz w:val="20"/>
          <w:szCs w:val="20"/>
          <w:color w:val="auto"/>
        </w:rPr>
      </w:pPr>
    </w:p>
    <w:tbl>
      <w:tblPr>
        <w:tblLayout w:type="fixed"/>
        <w:tblInd w:w="1302" w:type="dxa"/>
        <w:tblCellMar>
          <w:top w:w="0" w:type="dxa"/>
          <w:left w:w="0" w:type="dxa"/>
          <w:bottom w:w="0" w:type="dxa"/>
          <w:right w:w="0" w:type="dxa"/>
        </w:tblCellMar>
      </w:tblPr>
      <w:tr>
        <w:trPr>
          <w:trHeight w:val="203"/>
        </w:trPr>
        <w:tc>
          <w:tcPr>
            <w:tcW w:w="140" w:type="dxa"/>
            <w:vAlign w:val="bottom"/>
            <w:tcBorders>
              <w:top w:val="single" w:sz="8" w:color="auto"/>
              <w:left w:val="single" w:sz="8" w:color="auto"/>
            </w:tcBorders>
          </w:tcPr>
          <w:p>
            <w:pPr>
              <w:spacing w:after="0"/>
              <w:rPr>
                <w:sz w:val="17"/>
                <w:szCs w:val="17"/>
                <w:color w:val="auto"/>
              </w:rPr>
            </w:pPr>
          </w:p>
        </w:tc>
        <w:tc>
          <w:tcPr>
            <w:tcW w:w="1520" w:type="dxa"/>
            <w:vAlign w:val="bottom"/>
            <w:tcBorders>
              <w:top w:val="single" w:sz="8" w:color="auto"/>
              <w:bottom w:val="single" w:sz="8" w:color="auto"/>
              <w:right w:val="single" w:sz="8" w:color="auto"/>
            </w:tcBorders>
            <w:gridSpan w:val="2"/>
          </w:tcPr>
          <w:p>
            <w:pPr>
              <w:spacing w:after="0" w:line="203" w:lineRule="exact"/>
              <w:rPr>
                <w:sz w:val="20"/>
                <w:szCs w:val="20"/>
                <w:color w:val="auto"/>
              </w:rPr>
            </w:pPr>
            <w:r>
              <w:rPr>
                <w:rFonts w:ascii="Times New Roman" w:cs="Times New Roman" w:eastAsia="Times New Roman" w:hAnsi="Times New Roman"/>
                <w:sz w:val="20"/>
                <w:szCs w:val="20"/>
                <w:b w:val="1"/>
                <w:bCs w:val="1"/>
                <w:color w:val="161616"/>
              </w:rPr>
              <w:t>Fiscal Year</w:t>
            </w:r>
          </w:p>
        </w:tc>
        <w:tc>
          <w:tcPr>
            <w:tcW w:w="380" w:type="dxa"/>
            <w:vAlign w:val="bottom"/>
            <w:tcBorders>
              <w:top w:val="single" w:sz="8" w:color="auto"/>
              <w:right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400" w:type="dxa"/>
            <w:vAlign w:val="bottom"/>
            <w:tcBorders>
              <w:top w:val="single" w:sz="8" w:color="auto"/>
              <w:bottom w:val="single" w:sz="8" w:color="161616"/>
            </w:tcBorders>
          </w:tcPr>
          <w:p>
            <w:pPr>
              <w:spacing w:after="0" w:line="189" w:lineRule="exact"/>
              <w:rPr>
                <w:sz w:val="20"/>
                <w:szCs w:val="20"/>
                <w:color w:val="auto"/>
              </w:rPr>
            </w:pPr>
            <w:r>
              <w:rPr>
                <w:rFonts w:ascii="Times New Roman" w:cs="Times New Roman" w:eastAsia="Times New Roman" w:hAnsi="Times New Roman"/>
                <w:sz w:val="20"/>
                <w:szCs w:val="20"/>
                <w:b w:val="1"/>
                <w:bCs w:val="1"/>
                <w:color w:val="161616"/>
                <w:w w:val="96"/>
              </w:rPr>
              <w:t>Recommended Award Value</w:t>
            </w:r>
          </w:p>
        </w:tc>
        <w:tc>
          <w:tcPr>
            <w:tcW w:w="1100" w:type="dxa"/>
            <w:vAlign w:val="bottom"/>
            <w:tcBorders>
              <w:top w:val="single" w:sz="8" w:color="auto"/>
              <w:bottom w:val="single" w:sz="8" w:color="auto"/>
              <w:right w:val="single" w:sz="8" w:color="auto"/>
            </w:tcBorders>
          </w:tcPr>
          <w:p>
            <w:pPr>
              <w:spacing w:after="0"/>
              <w:rPr>
                <w:sz w:val="17"/>
                <w:szCs w:val="17"/>
                <w:color w:val="auto"/>
              </w:rPr>
            </w:pPr>
          </w:p>
        </w:tc>
      </w:tr>
      <w:tr>
        <w:trPr>
          <w:trHeight w:val="20"/>
        </w:trPr>
        <w:tc>
          <w:tcPr>
            <w:tcW w:w="140" w:type="dxa"/>
            <w:vAlign w:val="bottom"/>
            <w:tcBorders>
              <w:left w:val="single" w:sz="8" w:color="auto"/>
            </w:tcBorders>
          </w:tcPr>
          <w:p>
            <w:pPr>
              <w:spacing w:after="0" w:line="20" w:lineRule="exact"/>
              <w:rPr>
                <w:sz w:val="1"/>
                <w:szCs w:val="1"/>
                <w:color w:val="auto"/>
              </w:rPr>
            </w:pPr>
          </w:p>
        </w:tc>
        <w:tc>
          <w:tcPr>
            <w:tcW w:w="940" w:type="dxa"/>
            <w:vAlign w:val="bottom"/>
            <w:tcBorders>
              <w:bottom w:val="single" w:sz="8" w:color="161616"/>
            </w:tcBorders>
          </w:tcPr>
          <w:p>
            <w:pPr>
              <w:spacing w:after="0" w:line="20" w:lineRule="exact"/>
              <w:rPr>
                <w:sz w:val="1"/>
                <w:szCs w:val="1"/>
                <w:color w:val="auto"/>
              </w:rPr>
            </w:pPr>
          </w:p>
        </w:tc>
        <w:tc>
          <w:tcPr>
            <w:tcW w:w="580" w:type="dxa"/>
            <w:vAlign w:val="bottom"/>
            <w:tcBorders>
              <w:right w:val="single" w:sz="8" w:color="auto"/>
            </w:tcBorders>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100" w:type="dxa"/>
            <w:vAlign w:val="bottom"/>
            <w:tcBorders>
              <w:right w:val="single" w:sz="8" w:color="auto"/>
            </w:tcBorders>
          </w:tcPr>
          <w:p>
            <w:pPr>
              <w:spacing w:after="0" w:line="20" w:lineRule="exact"/>
              <w:rPr>
                <w:sz w:val="1"/>
                <w:szCs w:val="1"/>
                <w:color w:val="auto"/>
              </w:rPr>
            </w:pPr>
          </w:p>
        </w:tc>
      </w:tr>
      <w:tr>
        <w:trPr>
          <w:trHeight w:val="21"/>
        </w:trPr>
        <w:tc>
          <w:tcPr>
            <w:tcW w:w="140" w:type="dxa"/>
            <w:vAlign w:val="bottom"/>
            <w:tcBorders>
              <w:left w:val="single" w:sz="8" w:color="auto"/>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right w:val="single" w:sz="8" w:color="auto"/>
            </w:tcBorders>
          </w:tcPr>
          <w:p>
            <w:pPr>
              <w:spacing w:after="0" w:line="20" w:lineRule="exact"/>
              <w:rPr>
                <w:sz w:val="1"/>
                <w:szCs w:val="1"/>
                <w:color w:val="auto"/>
              </w:rPr>
            </w:pPr>
          </w:p>
        </w:tc>
        <w:tc>
          <w:tcPr>
            <w:tcW w:w="380" w:type="dxa"/>
            <w:vAlign w:val="bottom"/>
            <w:tcBorders>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right w:val="single" w:sz="8" w:color="auto"/>
            </w:tcBorders>
          </w:tcPr>
          <w:p>
            <w:pPr>
              <w:spacing w:after="0" w:line="20" w:lineRule="exact"/>
              <w:rPr>
                <w:sz w:val="1"/>
                <w:szCs w:val="1"/>
                <w:color w:val="auto"/>
              </w:rPr>
            </w:pPr>
          </w:p>
        </w:tc>
      </w:tr>
      <w:tr>
        <w:trPr>
          <w:trHeight w:val="260"/>
        </w:trPr>
        <w:tc>
          <w:tcPr>
            <w:tcW w:w="1080" w:type="dxa"/>
            <w:vAlign w:val="bottom"/>
            <w:tcBorders>
              <w:left w:val="single" w:sz="8" w:color="auto"/>
              <w:bottom w:val="single" w:sz="8" w:color="auto"/>
            </w:tcBorders>
            <w:gridSpan w:val="2"/>
          </w:tcPr>
          <w:p>
            <w:pPr>
              <w:ind w:left="140"/>
              <w:spacing w:after="0"/>
              <w:rPr>
                <w:sz w:val="20"/>
                <w:szCs w:val="20"/>
                <w:color w:val="auto"/>
              </w:rPr>
            </w:pPr>
            <w:r>
              <w:rPr>
                <w:rFonts w:ascii="Times New Roman" w:cs="Times New Roman" w:eastAsia="Times New Roman" w:hAnsi="Times New Roman"/>
                <w:sz w:val="20"/>
                <w:szCs w:val="20"/>
                <w:color w:val="161616"/>
              </w:rPr>
              <w:t>2022</w:t>
            </w:r>
          </w:p>
        </w:tc>
        <w:tc>
          <w:tcPr>
            <w:tcW w:w="580" w:type="dxa"/>
            <w:vAlign w:val="bottom"/>
            <w:tcBorders>
              <w:bottom w:val="single" w:sz="8" w:color="auto"/>
              <w:right w:val="single" w:sz="8" w:color="auto"/>
            </w:tcBorders>
          </w:tcPr>
          <w:p>
            <w:pPr>
              <w:spacing w:after="0"/>
              <w:rPr>
                <w:sz w:val="22"/>
                <w:szCs w:val="22"/>
                <w:color w:val="auto"/>
              </w:rPr>
            </w:pPr>
          </w:p>
        </w:tc>
        <w:tc>
          <w:tcPr>
            <w:tcW w:w="380" w:type="dxa"/>
            <w:vAlign w:val="bottom"/>
            <w:tcBorders>
              <w:bottom w:val="single" w:sz="8" w:color="auto"/>
              <w:right w:val="single" w:sz="8" w:color="auto"/>
            </w:tcBorders>
          </w:tcPr>
          <w:p>
            <w:pPr>
              <w:spacing w:after="0"/>
              <w:rPr>
                <w:sz w:val="22"/>
                <w:szCs w:val="22"/>
                <w:color w:val="auto"/>
              </w:rPr>
            </w:pPr>
          </w:p>
        </w:tc>
        <w:tc>
          <w:tcPr>
            <w:tcW w:w="252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20"/>
                <w:szCs w:val="20"/>
                <w:color w:val="161616"/>
              </w:rPr>
              <w:t>$1,400,000</w:t>
            </w:r>
          </w:p>
        </w:tc>
        <w:tc>
          <w:tcPr>
            <w:tcW w:w="1100" w:type="dxa"/>
            <w:vAlign w:val="bottom"/>
            <w:tcBorders>
              <w:bottom w:val="single" w:sz="8" w:color="auto"/>
              <w:right w:val="single" w:sz="8" w:color="auto"/>
            </w:tcBorders>
          </w:tcPr>
          <w:p>
            <w:pPr>
              <w:spacing w:after="0"/>
              <w:rPr>
                <w:sz w:val="22"/>
                <w:szCs w:val="22"/>
                <w:color w:val="auto"/>
              </w:rPr>
            </w:pPr>
          </w:p>
        </w:tc>
      </w:tr>
      <w:tr>
        <w:trPr>
          <w:trHeight w:val="263"/>
        </w:trPr>
        <w:tc>
          <w:tcPr>
            <w:tcW w:w="1080" w:type="dxa"/>
            <w:vAlign w:val="bottom"/>
            <w:tcBorders>
              <w:left w:val="single" w:sz="8" w:color="auto"/>
              <w:bottom w:val="single" w:sz="8" w:color="auto"/>
            </w:tcBorders>
            <w:gridSpan w:val="2"/>
          </w:tcPr>
          <w:p>
            <w:pPr>
              <w:ind w:left="140"/>
              <w:spacing w:after="0"/>
              <w:rPr>
                <w:sz w:val="20"/>
                <w:szCs w:val="20"/>
                <w:color w:val="auto"/>
              </w:rPr>
            </w:pPr>
            <w:r>
              <w:rPr>
                <w:rFonts w:ascii="Times New Roman" w:cs="Times New Roman" w:eastAsia="Times New Roman" w:hAnsi="Times New Roman"/>
                <w:sz w:val="20"/>
                <w:szCs w:val="20"/>
                <w:color w:val="161616"/>
              </w:rPr>
              <w:t>2023</w:t>
            </w:r>
          </w:p>
        </w:tc>
        <w:tc>
          <w:tcPr>
            <w:tcW w:w="580" w:type="dxa"/>
            <w:vAlign w:val="bottom"/>
            <w:tcBorders>
              <w:bottom w:val="single" w:sz="8" w:color="auto"/>
              <w:right w:val="single" w:sz="8" w:color="auto"/>
            </w:tcBorders>
          </w:tcPr>
          <w:p>
            <w:pPr>
              <w:spacing w:after="0"/>
              <w:rPr>
                <w:sz w:val="22"/>
                <w:szCs w:val="22"/>
                <w:color w:val="auto"/>
              </w:rPr>
            </w:pPr>
          </w:p>
        </w:tc>
        <w:tc>
          <w:tcPr>
            <w:tcW w:w="380" w:type="dxa"/>
            <w:vAlign w:val="bottom"/>
            <w:tcBorders>
              <w:bottom w:val="single" w:sz="8" w:color="auto"/>
              <w:right w:val="single" w:sz="8" w:color="auto"/>
            </w:tcBorders>
          </w:tcPr>
          <w:p>
            <w:pPr>
              <w:spacing w:after="0"/>
              <w:rPr>
                <w:sz w:val="22"/>
                <w:szCs w:val="22"/>
                <w:color w:val="auto"/>
              </w:rPr>
            </w:pPr>
          </w:p>
        </w:tc>
        <w:tc>
          <w:tcPr>
            <w:tcW w:w="252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20"/>
                <w:szCs w:val="20"/>
                <w:color w:val="161616"/>
              </w:rPr>
              <w:t>$1,400,000</w:t>
            </w:r>
          </w:p>
        </w:tc>
        <w:tc>
          <w:tcPr>
            <w:tcW w:w="1100" w:type="dxa"/>
            <w:vAlign w:val="bottom"/>
            <w:tcBorders>
              <w:bottom w:val="single" w:sz="8" w:color="auto"/>
              <w:right w:val="single" w:sz="8" w:color="auto"/>
            </w:tcBorders>
          </w:tcPr>
          <w:p>
            <w:pPr>
              <w:spacing w:after="0"/>
              <w:rPr>
                <w:sz w:val="22"/>
                <w:szCs w:val="22"/>
                <w:color w:val="auto"/>
              </w:rPr>
            </w:pPr>
          </w:p>
        </w:tc>
      </w:tr>
    </w:tbl>
    <w:p>
      <w:pPr>
        <w:sectPr>
          <w:pgSz w:w="11900" w:h="16838" w:orient="portrait"/>
          <w:cols w:equalWidth="0" w:num="1">
            <w:col w:w="11232"/>
          </w:cols>
          <w:pgMar w:left="328" w:top="1409" w:right="339" w:bottom="1440" w:gutter="0" w:footer="0" w:header="0"/>
        </w:sectPr>
      </w:pPr>
    </w:p>
    <w:bookmarkStart w:id="392" w:name="page393"/>
    <w:bookmarkEnd w:id="392"/>
    <w:p>
      <w:pPr>
        <w:ind w:left="1292"/>
        <w:spacing w:after="0" w:line="283" w:lineRule="auto"/>
        <w:rPr>
          <w:sz w:val="20"/>
          <w:szCs w:val="20"/>
          <w:color w:val="auto"/>
        </w:rPr>
      </w:pPr>
      <w:r>
        <w:rPr>
          <w:rFonts w:ascii="Times New Roman" w:cs="Times New Roman" w:eastAsia="Times New Roman" w:hAnsi="Times New Roman"/>
          <w:sz w:val="20"/>
          <w:szCs w:val="20"/>
          <w:color w:val="161616"/>
        </w:rPr>
        <w:t>The number of RSUs granted to Employee for each of the grants in 2022 and 2023 will be determined by dividing the recommended award value by the VWAP ending on the applicable Grant Date.</w:t>
      </w:r>
    </w:p>
    <w:p>
      <w:pPr>
        <w:spacing w:after="0" w:line="173" w:lineRule="exact"/>
        <w:rPr>
          <w:sz w:val="20"/>
          <w:szCs w:val="20"/>
          <w:color w:val="auto"/>
        </w:rPr>
      </w:pPr>
    </w:p>
    <w:p>
      <w:pPr>
        <w:jc w:val="both"/>
        <w:ind w:left="1292" w:hanging="644"/>
        <w:spacing w:after="0" w:line="253" w:lineRule="auto"/>
        <w:tabs>
          <w:tab w:leader="none" w:pos="1281" w:val="left"/>
        </w:tabs>
        <w:numPr>
          <w:ilvl w:val="1"/>
          <w:numId w:val="3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161616"/>
        </w:rPr>
        <w:t xml:space="preserve">All equity awards contemplated by this </w:t>
      </w:r>
      <w:r>
        <w:rPr>
          <w:rFonts w:ascii="Times New Roman" w:cs="Times New Roman" w:eastAsia="Times New Roman" w:hAnsi="Times New Roman"/>
          <w:sz w:val="20"/>
          <w:szCs w:val="20"/>
          <w:u w:val="single" w:color="auto"/>
          <w:color w:val="161616"/>
        </w:rPr>
        <w:t>Section 3</w:t>
      </w:r>
      <w:r>
        <w:rPr>
          <w:rFonts w:ascii="Times New Roman" w:cs="Times New Roman" w:eastAsia="Times New Roman" w:hAnsi="Times New Roman"/>
          <w:sz w:val="20"/>
          <w:szCs w:val="20"/>
          <w:color w:val="161616"/>
        </w:rPr>
        <w:t xml:space="preserve"> will be subject to the terms of Company's Rackspace Technology, Inc. 2020 Equity Incentive Plan (or any successor plan) ("</w:t>
      </w:r>
      <w:r>
        <w:rPr>
          <w:rFonts w:ascii="Times New Roman" w:cs="Times New Roman" w:eastAsia="Times New Roman" w:hAnsi="Times New Roman"/>
          <w:sz w:val="20"/>
          <w:szCs w:val="20"/>
          <w:u w:val="single" w:color="auto"/>
          <w:color w:val="161616"/>
        </w:rPr>
        <w:t>Equity Plan</w:t>
      </w:r>
      <w:r>
        <w:rPr>
          <w:rFonts w:ascii="Times New Roman" w:cs="Times New Roman" w:eastAsia="Times New Roman" w:hAnsi="Times New Roman"/>
          <w:sz w:val="20"/>
          <w:szCs w:val="20"/>
          <w:color w:val="161616"/>
        </w:rPr>
        <w:t xml:space="preserve">") and the applicable grant agreement. Employee acknowledges that the </w:t>
      </w:r>
      <w:r>
        <w:rPr>
          <w:rFonts w:ascii="Times New Roman" w:cs="Times New Roman" w:eastAsia="Times New Roman" w:hAnsi="Times New Roman"/>
          <w:sz w:val="20"/>
          <w:szCs w:val="20"/>
          <w:color w:val="000000"/>
        </w:rPr>
        <w:t>Compensation Committee has ultimate authority over the recommended awards and must issue final</w:t>
      </w:r>
      <w:r>
        <w:rPr>
          <w:rFonts w:ascii="Times New Roman" w:cs="Times New Roman" w:eastAsia="Times New Roman" w:hAnsi="Times New Roman"/>
          <w:sz w:val="20"/>
          <w:szCs w:val="20"/>
          <w:color w:val="161616"/>
        </w:rPr>
        <w:t xml:space="preserve"> </w:t>
      </w:r>
      <w:r>
        <w:rPr>
          <w:rFonts w:ascii="Times New Roman" w:cs="Times New Roman" w:eastAsia="Times New Roman" w:hAnsi="Times New Roman"/>
          <w:sz w:val="20"/>
          <w:szCs w:val="20"/>
          <w:color w:val="000000"/>
        </w:rPr>
        <w:t>approval before such awards can be granted (the date of such approval, the "</w:t>
      </w:r>
      <w:r>
        <w:rPr>
          <w:rFonts w:ascii="Times New Roman" w:cs="Times New Roman" w:eastAsia="Times New Roman" w:hAnsi="Times New Roman"/>
          <w:sz w:val="20"/>
          <w:szCs w:val="20"/>
          <w:u w:val="single" w:color="auto"/>
          <w:color w:val="000000"/>
        </w:rPr>
        <w:t>Grant Date</w:t>
      </w:r>
      <w:r>
        <w:rPr>
          <w:rFonts w:ascii="Times New Roman" w:cs="Times New Roman" w:eastAsia="Times New Roman" w:hAnsi="Times New Roman"/>
          <w:sz w:val="20"/>
          <w:szCs w:val="20"/>
          <w:color w:val="000000"/>
        </w:rPr>
        <w:t xml:space="preserve">"; provided, however, for purposes of the one-time recruiting grant contemplated by </w:t>
      </w:r>
      <w:r>
        <w:rPr>
          <w:rFonts w:ascii="Times New Roman" w:cs="Times New Roman" w:eastAsia="Times New Roman" w:hAnsi="Times New Roman"/>
          <w:sz w:val="20"/>
          <w:szCs w:val="20"/>
          <w:u w:val="single" w:color="auto"/>
          <w:color w:val="000000"/>
        </w:rPr>
        <w:t>clause (a)</w:t>
      </w:r>
      <w:r>
        <w:rPr>
          <w:rFonts w:ascii="Times New Roman" w:cs="Times New Roman" w:eastAsia="Times New Roman" w:hAnsi="Times New Roman"/>
          <w:sz w:val="20"/>
          <w:szCs w:val="20"/>
          <w:color w:val="000000"/>
        </w:rPr>
        <w:t xml:space="preserve"> above, the "</w:t>
      </w:r>
      <w:r>
        <w:rPr>
          <w:rFonts w:ascii="Times New Roman" w:cs="Times New Roman" w:eastAsia="Times New Roman" w:hAnsi="Times New Roman"/>
          <w:sz w:val="20"/>
          <w:szCs w:val="20"/>
          <w:u w:val="single" w:color="auto"/>
          <w:color w:val="000000"/>
        </w:rPr>
        <w:t>Grant Date</w:t>
      </w:r>
      <w:r>
        <w:rPr>
          <w:rFonts w:ascii="Times New Roman" w:cs="Times New Roman" w:eastAsia="Times New Roman" w:hAnsi="Times New Roman"/>
          <w:sz w:val="20"/>
          <w:szCs w:val="20"/>
          <w:color w:val="000000"/>
        </w:rPr>
        <w:t>" shall be the latter of the date the grant is approved by the Compensation Committee or the Start Date). The recommended Recruiting Award is expected to be presented for review and approval within ninety (90) days of your Start Date.</w:t>
      </w:r>
    </w:p>
    <w:p>
      <w:pPr>
        <w:spacing w:after="0" w:line="202" w:lineRule="exact"/>
        <w:rPr>
          <w:rFonts w:ascii="Times New Roman" w:cs="Times New Roman" w:eastAsia="Times New Roman" w:hAnsi="Times New Roman"/>
          <w:sz w:val="20"/>
          <w:szCs w:val="20"/>
          <w:color w:val="auto"/>
        </w:rPr>
      </w:pPr>
    </w:p>
    <w:p>
      <w:pPr>
        <w:ind w:left="632" w:hanging="632"/>
        <w:spacing w:after="0"/>
        <w:tabs>
          <w:tab w:leader="none" w:pos="632" w:val="left"/>
        </w:tabs>
        <w:numPr>
          <w:ilvl w:val="0"/>
          <w:numId w:val="36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PTO. </w:t>
      </w:r>
      <w:r>
        <w:rPr>
          <w:rFonts w:ascii="Times New Roman" w:cs="Times New Roman" w:eastAsia="Times New Roman" w:hAnsi="Times New Roman"/>
          <w:sz w:val="20"/>
          <w:szCs w:val="20"/>
          <w:color w:val="auto"/>
        </w:rPr>
        <w:t>Employee is eligible for PTO (paid time off) subject to Company's policies.</w:t>
      </w:r>
    </w:p>
    <w:p>
      <w:pPr>
        <w:spacing w:after="0" w:line="256" w:lineRule="exact"/>
        <w:rPr>
          <w:rFonts w:ascii="Times New Roman" w:cs="Times New Roman" w:eastAsia="Times New Roman" w:hAnsi="Times New Roman"/>
          <w:sz w:val="20"/>
          <w:szCs w:val="20"/>
          <w:b w:val="1"/>
          <w:bCs w:val="1"/>
          <w:color w:val="auto"/>
        </w:rPr>
      </w:pPr>
    </w:p>
    <w:p>
      <w:pPr>
        <w:jc w:val="both"/>
        <w:ind w:left="652" w:right="180" w:hanging="652"/>
        <w:spacing w:after="0" w:line="263" w:lineRule="auto"/>
        <w:tabs>
          <w:tab w:leader="none" w:pos="647" w:val="left"/>
        </w:tabs>
        <w:numPr>
          <w:ilvl w:val="0"/>
          <w:numId w:val="36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Employment Benefit Plans. </w:t>
      </w:r>
      <w:r>
        <w:rPr>
          <w:rFonts w:ascii="Times New Roman" w:cs="Times New Roman" w:eastAsia="Times New Roman" w:hAnsi="Times New Roman"/>
          <w:sz w:val="20"/>
          <w:szCs w:val="20"/>
          <w:color w:val="auto"/>
        </w:rPr>
        <w:t>Employee may participate in employee benefit plans in which other similarly situated employees may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participate, according to the terms of applicable policies and as stated in the Employee Handbook. Employee acknowledges receipt of the Employee Handbook available on the intercompany website and will review and abide by its terms.</w:t>
      </w:r>
    </w:p>
    <w:p>
      <w:pPr>
        <w:spacing w:after="0" w:line="202" w:lineRule="exact"/>
        <w:rPr>
          <w:rFonts w:ascii="Times New Roman" w:cs="Times New Roman" w:eastAsia="Times New Roman" w:hAnsi="Times New Roman"/>
          <w:sz w:val="20"/>
          <w:szCs w:val="20"/>
          <w:b w:val="1"/>
          <w:bCs w:val="1"/>
          <w:color w:val="auto"/>
        </w:rPr>
      </w:pPr>
    </w:p>
    <w:p>
      <w:pPr>
        <w:ind w:left="652" w:right="600" w:hanging="652"/>
        <w:spacing w:after="0" w:line="273" w:lineRule="auto"/>
        <w:tabs>
          <w:tab w:leader="none" w:pos="640" w:val="left"/>
        </w:tabs>
        <w:numPr>
          <w:ilvl w:val="0"/>
          <w:numId w:val="36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Expenses. </w:t>
      </w:r>
      <w:r>
        <w:rPr>
          <w:rFonts w:ascii="Times New Roman" w:cs="Times New Roman" w:eastAsia="Times New Roman" w:hAnsi="Times New Roman"/>
          <w:sz w:val="20"/>
          <w:szCs w:val="20"/>
          <w:color w:val="auto"/>
        </w:rPr>
        <w:t>During the Employment Period, Company will reimburse Employee for pre-approved travel and business expenses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pursuant to Company policy.</w:t>
      </w:r>
    </w:p>
    <w:p>
      <w:pPr>
        <w:spacing w:after="0" w:line="192" w:lineRule="exact"/>
        <w:rPr>
          <w:sz w:val="20"/>
          <w:szCs w:val="20"/>
          <w:color w:val="auto"/>
        </w:rPr>
      </w:pPr>
    </w:p>
    <w:p>
      <w:pPr>
        <w:ind w:left="652" w:hanging="652"/>
        <w:spacing w:after="0"/>
        <w:tabs>
          <w:tab w:leader="none" w:pos="652" w:val="left"/>
        </w:tabs>
        <w:numPr>
          <w:ilvl w:val="0"/>
          <w:numId w:val="36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RESTRICTIVE COVENANTS.</w:t>
      </w:r>
    </w:p>
    <w:p>
      <w:pPr>
        <w:spacing w:after="0" w:line="256" w:lineRule="exact"/>
        <w:rPr>
          <w:sz w:val="20"/>
          <w:szCs w:val="20"/>
          <w:color w:val="auto"/>
        </w:rPr>
      </w:pPr>
    </w:p>
    <w:p>
      <w:pPr>
        <w:jc w:val="both"/>
        <w:ind w:left="652" w:hanging="652"/>
        <w:spacing w:after="0" w:line="250" w:lineRule="auto"/>
        <w:tabs>
          <w:tab w:leader="none" w:pos="640" w:val="left"/>
        </w:tabs>
        <w:numPr>
          <w:ilvl w:val="0"/>
          <w:numId w:val="36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Non-Solicitation; No Hire. </w:t>
      </w:r>
      <w:r>
        <w:rPr>
          <w:rFonts w:ascii="Times New Roman" w:cs="Times New Roman" w:eastAsia="Times New Roman" w:hAnsi="Times New Roman"/>
          <w:sz w:val="20"/>
          <w:szCs w:val="20"/>
          <w:color w:val="auto"/>
        </w:rPr>
        <w:t>To the fullest extent permitted by applicable law, the Employee agrees that during the Employment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Period or other service relationship with Company or its affiliated entities (the "</w:t>
      </w:r>
      <w:r>
        <w:rPr>
          <w:rFonts w:ascii="Times New Roman" w:cs="Times New Roman" w:eastAsia="Times New Roman" w:hAnsi="Times New Roman"/>
          <w:sz w:val="20"/>
          <w:szCs w:val="20"/>
          <w:u w:val="single" w:color="auto"/>
          <w:color w:val="auto"/>
        </w:rPr>
        <w:t>Company Group</w:t>
      </w:r>
      <w:r>
        <w:rPr>
          <w:rFonts w:ascii="Times New Roman" w:cs="Times New Roman" w:eastAsia="Times New Roman" w:hAnsi="Times New Roman"/>
          <w:sz w:val="20"/>
          <w:szCs w:val="20"/>
          <w:color w:val="auto"/>
        </w:rPr>
        <w:t>"), and for the one year period following the Employee's termination of such relationship for any reason, the Employee will not, directly or indirectly, on the Employee's own behalf or on behalf of another (a) solicit, induce or attempt to solicit or induce any officer, director or employee of the Company Group to terminate their relationship with or leave the employ of the Company Group, or in any way interfere with the relationship between any member of the Company Group, on the one hand, and any officer, director or employee thereof, on the other hand, (b) hire (or other similar arrangement) any person (in any capacity whether as an officer, director, employee or consultant) who is or at any time was an officer, director or employee of the Company Group until 6 months after such individual's relationship (whether as an officer, director or employee) with the Company Group has ended, or (c) induce or attempt to induce any customer, supplier, prospect, licensee or other business relation of the Company Group to cease doing business with the Company Group, or in any way interfere with the relationship between any such customer, supplier, prospect, licensee or business relation, on the one hand, and the Company Group, on the other hand.</w:t>
      </w:r>
    </w:p>
    <w:p>
      <w:pPr>
        <w:spacing w:after="0" w:line="216" w:lineRule="exact"/>
        <w:rPr>
          <w:rFonts w:ascii="Times New Roman" w:cs="Times New Roman" w:eastAsia="Times New Roman" w:hAnsi="Times New Roman"/>
          <w:sz w:val="20"/>
          <w:szCs w:val="20"/>
          <w:b w:val="1"/>
          <w:bCs w:val="1"/>
          <w:color w:val="auto"/>
        </w:rPr>
      </w:pPr>
    </w:p>
    <w:p>
      <w:pPr>
        <w:jc w:val="both"/>
        <w:ind w:left="652" w:hanging="652"/>
        <w:spacing w:after="0" w:line="255" w:lineRule="auto"/>
        <w:tabs>
          <w:tab w:leader="none" w:pos="651" w:val="left"/>
        </w:tabs>
        <w:numPr>
          <w:ilvl w:val="0"/>
          <w:numId w:val="36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Non-Competition. </w:t>
      </w:r>
      <w:r>
        <w:rPr>
          <w:rFonts w:ascii="Times New Roman" w:cs="Times New Roman" w:eastAsia="Times New Roman" w:hAnsi="Times New Roman"/>
          <w:sz w:val="20"/>
          <w:szCs w:val="20"/>
          <w:color w:val="auto"/>
        </w:rPr>
        <w:t>To the fullest extent permitted by applicable law and to further preserve the confidentiality of the Company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Group's confidential information, the Employee agrees that during the Employee's employment or other service relationship with the Company Group, and for the one year period following the Employee's termination of such relationship for any reason, the Employee will not, directly or indirectly, have any equity or equity-based interest, or work or</w:t>
      </w:r>
    </w:p>
    <w:p>
      <w:pPr>
        <w:sectPr>
          <w:pgSz w:w="11900" w:h="16838" w:orient="portrait"/>
          <w:cols w:equalWidth="0" w:num="1">
            <w:col w:w="11232"/>
          </w:cols>
          <w:pgMar w:left="328" w:top="1413" w:right="339" w:bottom="1440" w:gutter="0" w:footer="0" w:header="0"/>
        </w:sectPr>
      </w:pPr>
    </w:p>
    <w:bookmarkStart w:id="393" w:name="page394"/>
    <w:bookmarkEnd w:id="393"/>
    <w:p>
      <w:pPr>
        <w:jc w:val="both"/>
        <w:ind w:left="652"/>
        <w:spacing w:after="0" w:line="250" w:lineRule="auto"/>
        <w:rPr>
          <w:sz w:val="20"/>
          <w:szCs w:val="20"/>
          <w:color w:val="auto"/>
        </w:rPr>
      </w:pPr>
      <w:r>
        <w:rPr>
          <w:rFonts w:ascii="Times New Roman" w:cs="Times New Roman" w:eastAsia="Times New Roman" w:hAnsi="Times New Roman"/>
          <w:sz w:val="20"/>
          <w:szCs w:val="20"/>
          <w:color w:val="auto"/>
        </w:rPr>
        <w:t>otherwise provide services in a competitive capacity, directly or indirectly, as an employee, contractor, officer, owner, consultant, partner, director or otherwise, in any business anywhere in the world that sells managed dedicated or cloud computing services substantially similar to those services provided by the Company Group (a "Competitor"), including but not limited to (a) professional advisory services for the migration, deployment or management of cloud technologies; (b) provisioning, hosting, management, monitoring, supporting, or maintenance of applications, computer servers (whether dedicated, shared or virtual) and network connectivity in a datacenter for remote use via the Internet; (c) hosted or managed email, storage, collaboration, compute, virtual networking, applications, and similar services, or (d) any related IT services or products substantially similar to the Company Group's products or services. Notwithstanding the foregoing, the Employee shall be permitted to acquire a passive stock or equity interest in such a business, provided that the stock or other equity interest acquired is not more than 5% of the outstanding interest in such business.</w:t>
      </w:r>
    </w:p>
    <w:p>
      <w:pPr>
        <w:spacing w:after="0" w:line="219" w:lineRule="exact"/>
        <w:rPr>
          <w:sz w:val="20"/>
          <w:szCs w:val="20"/>
          <w:color w:val="auto"/>
        </w:rPr>
      </w:pPr>
    </w:p>
    <w:p>
      <w:pPr>
        <w:jc w:val="both"/>
        <w:ind w:left="652" w:hanging="652"/>
        <w:spacing w:after="0" w:line="249" w:lineRule="auto"/>
        <w:tabs>
          <w:tab w:leader="none" w:pos="642" w:val="left"/>
        </w:tabs>
        <w:numPr>
          <w:ilvl w:val="0"/>
          <w:numId w:val="36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Nondisclosure of Confidential Information; Return of Property. </w:t>
      </w:r>
      <w:r>
        <w:rPr>
          <w:rFonts w:ascii="Times New Roman" w:cs="Times New Roman" w:eastAsia="Times New Roman" w:hAnsi="Times New Roman"/>
          <w:sz w:val="20"/>
          <w:szCs w:val="20"/>
          <w:color w:val="auto"/>
        </w:rPr>
        <w:t>The Employee recognizes and acknowledges that Employee has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access to the confidential information and/or has had material contact with the Company Group's customers, suppliers, licensees, representatives, agents, partners, licensors, or business relations. The Employee agrees that at any time during or after the period of the Employee's employment or other service relationship with the Company Group, the Employee shall maintain in confidence and shall not directly, indirectly or otherwise, use, disseminate, disclose or publish, or use for the Employee's benefit or the benefit of any person, any confidential or proprietary information or trade secrets of or relating to the Company Group, including, without limitation, information with respect to the Company Group's operations, processes, products, inventions, business practices, finances, principals, vendors, suppliers, customers, potential customers, marketing methods, costs, prices, contractual relationships, regulatory status, compensation paid to employees or other terms of employment, or deliver to any person any document, record, notebook, computer program or similar repository of or containing any such confidential or proprietary information or trade secrets. Upon the Employee's termination of employment for any reason, the Employee shall promptly deliver to Company (with the cost of shipping reimbursed by Company) all correspondence, drawings, manuals, letters, notes, notebooks, reports, programs, plans, proposals, financial documents, or any other documents concerning the Company Group's customers, business plans, marketing strategies, products or processes. The Employee may respond to a lawful and valid subpoena or other legal process but shall give the Company Group the earliest possible notice thereof, shall, as much in advance of the return date as possible, make available to the Company Group and its counsel the documents and other information sought and, if requested by the Company Group, shall reasonably assist such counsel in resisting or otherwise responding to such process.</w:t>
      </w:r>
    </w:p>
    <w:p>
      <w:pPr>
        <w:spacing w:after="0" w:line="223" w:lineRule="exact"/>
        <w:rPr>
          <w:rFonts w:ascii="Times New Roman" w:cs="Times New Roman" w:eastAsia="Times New Roman" w:hAnsi="Times New Roman"/>
          <w:sz w:val="20"/>
          <w:szCs w:val="20"/>
          <w:b w:val="1"/>
          <w:bCs w:val="1"/>
          <w:color w:val="auto"/>
        </w:rPr>
      </w:pPr>
    </w:p>
    <w:p>
      <w:pPr>
        <w:jc w:val="both"/>
        <w:ind w:left="652" w:hanging="652"/>
        <w:spacing w:after="0" w:line="263" w:lineRule="auto"/>
        <w:tabs>
          <w:tab w:leader="none" w:pos="651" w:val="left"/>
        </w:tabs>
        <w:numPr>
          <w:ilvl w:val="0"/>
          <w:numId w:val="36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Non-Disparagement. </w:t>
      </w:r>
      <w:r>
        <w:rPr>
          <w:rFonts w:ascii="Times New Roman" w:cs="Times New Roman" w:eastAsia="Times New Roman" w:hAnsi="Times New Roman"/>
          <w:sz w:val="20"/>
          <w:szCs w:val="20"/>
          <w:color w:val="auto"/>
        </w:rPr>
        <w:t>The Employee shall not, at any time, directly or indirectly, knowingly disparage, criticize, or otherwise make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derogatory statements regarding the Company Group, or any of its successors, directors or officers. The foregoing shall not be violated by the Employee's truthful responses to legal process or inquiry by a governmental authority.</w:t>
      </w:r>
    </w:p>
    <w:p>
      <w:pPr>
        <w:spacing w:after="0" w:line="202" w:lineRule="exact"/>
        <w:rPr>
          <w:rFonts w:ascii="Times New Roman" w:cs="Times New Roman" w:eastAsia="Times New Roman" w:hAnsi="Times New Roman"/>
          <w:sz w:val="20"/>
          <w:szCs w:val="20"/>
          <w:b w:val="1"/>
          <w:bCs w:val="1"/>
          <w:color w:val="auto"/>
        </w:rPr>
      </w:pPr>
    </w:p>
    <w:p>
      <w:pPr>
        <w:jc w:val="both"/>
        <w:ind w:left="652" w:hanging="652"/>
        <w:spacing w:after="0" w:line="254" w:lineRule="auto"/>
        <w:tabs>
          <w:tab w:leader="none" w:pos="642" w:val="left"/>
        </w:tabs>
        <w:numPr>
          <w:ilvl w:val="0"/>
          <w:numId w:val="36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Restrictive Covenants Generally. </w:t>
      </w:r>
      <w:r>
        <w:rPr>
          <w:rFonts w:ascii="Times New Roman" w:cs="Times New Roman" w:eastAsia="Times New Roman" w:hAnsi="Times New Roman"/>
          <w:sz w:val="20"/>
          <w:szCs w:val="20"/>
          <w:color w:val="auto"/>
        </w:rPr>
        <w:t>If, at the time of enforcement of the covenants contained in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 4</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"Restrictive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Covenants"),</w:t>
      </w:r>
      <w:r>
        <w:rPr>
          <w:rFonts w:ascii="Times New Roman" w:cs="Times New Roman" w:eastAsia="Times New Roman" w:hAnsi="Times New Roman"/>
          <w:sz w:val="20"/>
          <w:szCs w:val="20"/>
          <w:color w:val="auto"/>
        </w:rPr>
        <w:t xml:space="preserve"> a court shall hold that the duration, scope or area restrictions stated herein are unreasonable under circumstances then existing, the parties agree that the maximum duration, scope or area reasonable under such circumstances shall be substituted for the stated duration, scope or area and that the court shall be allowed and directed to revise the restrictions contained herein to cover the maximum period, scope and area permitted</w:t>
      </w:r>
    </w:p>
    <w:p>
      <w:pPr>
        <w:sectPr>
          <w:pgSz w:w="11900" w:h="16838" w:orient="portrait"/>
          <w:cols w:equalWidth="0" w:num="1">
            <w:col w:w="11232"/>
          </w:cols>
          <w:pgMar w:left="328" w:top="1413" w:right="339" w:bottom="1440" w:gutter="0" w:footer="0" w:header="0"/>
        </w:sectPr>
      </w:pPr>
    </w:p>
    <w:bookmarkStart w:id="394" w:name="page395"/>
    <w:bookmarkEnd w:id="394"/>
    <w:p>
      <w:pPr>
        <w:jc w:val="both"/>
        <w:ind w:left="652"/>
        <w:spacing w:after="0" w:line="253" w:lineRule="auto"/>
        <w:rPr>
          <w:sz w:val="20"/>
          <w:szCs w:val="20"/>
          <w:color w:val="auto"/>
        </w:rPr>
      </w:pPr>
      <w:r>
        <w:rPr>
          <w:rFonts w:ascii="Times New Roman" w:cs="Times New Roman" w:eastAsia="Times New Roman" w:hAnsi="Times New Roman"/>
          <w:sz w:val="20"/>
          <w:szCs w:val="20"/>
          <w:color w:val="auto"/>
        </w:rPr>
        <w:t>by applicable law. The Employee hereby acknowledges that the Restrictive Covenants are reasonable in terms of duration, scope and area restrictions and are necessary to protect the goodwill of the Company Group. The Employee further acknowledges and agrees that the Restrictive Covenants are being agreed to by the Employee in connection with the Employee's entitlement to receive severance payments and benefits pursuant to the terms and conditions of this Agreement, and are in addition to, not in substitution for, any restrictive covenants to which the Employee is or may become subject in connection with any relationship with the Company Group.</w:t>
      </w:r>
    </w:p>
    <w:p>
      <w:pPr>
        <w:spacing w:after="0" w:line="215" w:lineRule="exact"/>
        <w:rPr>
          <w:sz w:val="20"/>
          <w:szCs w:val="20"/>
          <w:color w:val="auto"/>
        </w:rPr>
      </w:pPr>
    </w:p>
    <w:p>
      <w:pPr>
        <w:jc w:val="both"/>
        <w:ind w:left="652" w:hanging="652"/>
        <w:spacing w:after="0" w:line="251" w:lineRule="auto"/>
        <w:tabs>
          <w:tab w:leader="none" w:pos="647" w:val="left"/>
        </w:tabs>
        <w:numPr>
          <w:ilvl w:val="0"/>
          <w:numId w:val="36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Enforcement. </w:t>
      </w:r>
      <w:r>
        <w:rPr>
          <w:rFonts w:ascii="Times New Roman" w:cs="Times New Roman" w:eastAsia="Times New Roman" w:hAnsi="Times New Roman"/>
          <w:sz w:val="20"/>
          <w:szCs w:val="20"/>
          <w:color w:val="auto"/>
        </w:rPr>
        <w:t>If the Employee breaches, or threatens to commit a breach of, any of the Restrictive Covenants, the Company Group</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shall have the following rights and remedies, each of which rights and remedies shall be independent of the others and severally enforceable, and each of which is in addition to, and not in lieu of, any other rights and remedies available to the Company Group at law or in equity: (a) the right and remedy to seek to have the Restrictive Covenants specifically enforced by any court of competent jurisdiction (without posting a bond), it being agreed that any breach or threatened breach of the Restrictive Covenants would cause irreparable injury to the Company Group and that money damages would not provide an adequate remedy to the Company Group; and (b) the right and remedy to require the Employee to account for and pay over to Company any profits, monies, accruals, increments or other benefits derived or received by the Employee as the result of any transactions constituting a breach of the Restrictive Covenants. In the event of any breach or violation by the Employee of any of the Restrictive Covenants, the time period of such covenant with respect to the Employee shall, to the fullest extent permitted by law, be tolled until such breach or violation is resolved.</w:t>
      </w:r>
    </w:p>
    <w:p>
      <w:pPr>
        <w:spacing w:after="0" w:line="202" w:lineRule="exact"/>
        <w:rPr>
          <w:rFonts w:ascii="Times New Roman" w:cs="Times New Roman" w:eastAsia="Times New Roman" w:hAnsi="Times New Roman"/>
          <w:sz w:val="20"/>
          <w:szCs w:val="20"/>
          <w:b w:val="1"/>
          <w:bCs w:val="1"/>
          <w:color w:val="auto"/>
        </w:rPr>
      </w:pPr>
    </w:p>
    <w:p>
      <w:pPr>
        <w:jc w:val="both"/>
        <w:ind w:left="652" w:hanging="652"/>
        <w:spacing w:after="0" w:line="252" w:lineRule="auto"/>
        <w:tabs>
          <w:tab w:leader="none" w:pos="640" w:val="left"/>
        </w:tabs>
        <w:numPr>
          <w:ilvl w:val="0"/>
          <w:numId w:val="36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Defend Trade Secrets Act. </w:t>
      </w:r>
      <w:r>
        <w:rPr>
          <w:rFonts w:ascii="Times New Roman" w:cs="Times New Roman" w:eastAsia="Times New Roman" w:hAnsi="Times New Roman"/>
          <w:sz w:val="20"/>
          <w:szCs w:val="20"/>
          <w:color w:val="auto"/>
        </w:rPr>
        <w:t>Notwithstanding anything in this Agreement to the contrary, pursuant to the Defend Trade Secrets Act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2016, as may be amended from time to time, Employee shall not be held criminally or civilly liable under any Federal or State trade secret law for the disclosure of a trade secret that is (a) made in confidence to a Federal, State, or local government official, either directly or indirectly, or to an attorney; and solely for the purpose of reporting or investigating a suspected violation of law; or (b) in a complaint or other document filed in a lawsuit or other proceeding, if such filing is made under seal. Further, an individual who files a lawsuit for retaliation by an employer for reporting a suspected violation of law may disclose the employer's trade secrets to the attorney and use the trade secret information in the court proceeding if the individual: (i) files any document containing the trade secret under seal; and (ii) does not disclose the trade secret, except pursuant to court order.</w:t>
      </w:r>
    </w:p>
    <w:p>
      <w:pPr>
        <w:spacing w:after="0" w:line="215" w:lineRule="exact"/>
        <w:rPr>
          <w:sz w:val="20"/>
          <w:szCs w:val="20"/>
          <w:color w:val="auto"/>
        </w:rPr>
      </w:pPr>
    </w:p>
    <w:p>
      <w:pPr>
        <w:ind w:left="652" w:hanging="652"/>
        <w:spacing w:after="0"/>
        <w:tabs>
          <w:tab w:leader="none" w:pos="652" w:val="left"/>
        </w:tabs>
        <w:numPr>
          <w:ilvl w:val="0"/>
          <w:numId w:val="36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TERMINATION</w:t>
      </w:r>
    </w:p>
    <w:p>
      <w:pPr>
        <w:spacing w:after="0" w:line="246" w:lineRule="exact"/>
        <w:rPr>
          <w:rFonts w:ascii="Times New Roman" w:cs="Times New Roman" w:eastAsia="Times New Roman" w:hAnsi="Times New Roman"/>
          <w:sz w:val="20"/>
          <w:szCs w:val="20"/>
          <w:b w:val="1"/>
          <w:bCs w:val="1"/>
          <w:color w:val="auto"/>
        </w:rPr>
      </w:pPr>
    </w:p>
    <w:p>
      <w:pPr>
        <w:ind w:left="652"/>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Employee's employment may be terminated prior to the end of the term of this Agreement only by mutual written agreement or:</w:t>
      </w:r>
    </w:p>
    <w:p>
      <w:pPr>
        <w:spacing w:after="0" w:line="252" w:lineRule="exact"/>
        <w:rPr>
          <w:sz w:val="20"/>
          <w:szCs w:val="20"/>
          <w:color w:val="auto"/>
        </w:rPr>
      </w:pPr>
    </w:p>
    <w:p>
      <w:pPr>
        <w:ind w:left="632" w:hanging="632"/>
        <w:spacing w:after="0"/>
        <w:tabs>
          <w:tab w:leader="none" w:pos="632" w:val="left"/>
        </w:tabs>
        <w:numPr>
          <w:ilvl w:val="0"/>
          <w:numId w:val="36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Death. </w:t>
      </w:r>
      <w:r>
        <w:rPr>
          <w:rFonts w:ascii="Times New Roman" w:cs="Times New Roman" w:eastAsia="Times New Roman" w:hAnsi="Times New Roman"/>
          <w:sz w:val="20"/>
          <w:szCs w:val="20"/>
          <w:color w:val="auto"/>
        </w:rPr>
        <w:t>Upon the death of the Employee, in which case, the employment termination date shall be the date of the Employee's death.</w:t>
      </w:r>
    </w:p>
    <w:p>
      <w:pPr>
        <w:spacing w:after="0" w:line="256" w:lineRule="exact"/>
        <w:rPr>
          <w:rFonts w:ascii="Times New Roman" w:cs="Times New Roman" w:eastAsia="Times New Roman" w:hAnsi="Times New Roman"/>
          <w:sz w:val="20"/>
          <w:szCs w:val="20"/>
          <w:b w:val="1"/>
          <w:bCs w:val="1"/>
          <w:color w:val="auto"/>
        </w:rPr>
      </w:pPr>
    </w:p>
    <w:p>
      <w:pPr>
        <w:jc w:val="both"/>
        <w:ind w:left="652" w:hanging="652"/>
        <w:spacing w:after="0" w:line="255" w:lineRule="auto"/>
        <w:tabs>
          <w:tab w:leader="none" w:pos="651" w:val="left"/>
        </w:tabs>
        <w:numPr>
          <w:ilvl w:val="0"/>
          <w:numId w:val="36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Disability. </w:t>
      </w:r>
      <w:r>
        <w:rPr>
          <w:rFonts w:ascii="Times New Roman" w:cs="Times New Roman" w:eastAsia="Times New Roman" w:hAnsi="Times New Roman"/>
          <w:sz w:val="20"/>
          <w:szCs w:val="20"/>
          <w:color w:val="auto"/>
        </w:rPr>
        <w:t>Company may terminate this Agreement and/or Employee's employment if it is determined that Employee has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Disability (as defined in Rackspace Technology, Inc. 2020 Equity Incentive Plan, as may be amended from time to time, or any successor plan thereto), in which case, the employment termination date shall be the date that it is determined that the Employee has a Disability.</w:t>
      </w:r>
    </w:p>
    <w:p>
      <w:pPr>
        <w:sectPr>
          <w:pgSz w:w="11900" w:h="16838" w:orient="portrait"/>
          <w:cols w:equalWidth="0" w:num="1">
            <w:col w:w="11232"/>
          </w:cols>
          <w:pgMar w:left="328" w:top="1413" w:right="339" w:bottom="1440" w:gutter="0" w:footer="0" w:header="0"/>
        </w:sectPr>
      </w:pPr>
    </w:p>
    <w:bookmarkStart w:id="395" w:name="page396"/>
    <w:bookmarkEnd w:id="395"/>
    <w:p>
      <w:pPr>
        <w:spacing w:after="0" w:line="212" w:lineRule="exact"/>
        <w:rPr>
          <w:sz w:val="20"/>
          <w:szCs w:val="20"/>
          <w:color w:val="auto"/>
        </w:rPr>
      </w:pPr>
    </w:p>
    <w:p>
      <w:pPr>
        <w:jc w:val="both"/>
        <w:ind w:left="652" w:hanging="652"/>
        <w:spacing w:after="0" w:line="254" w:lineRule="auto"/>
        <w:tabs>
          <w:tab w:leader="none" w:pos="642" w:val="left"/>
        </w:tabs>
        <w:numPr>
          <w:ilvl w:val="0"/>
          <w:numId w:val="36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Termination By Employee For Good Reason. </w:t>
      </w:r>
      <w:r>
        <w:rPr>
          <w:rFonts w:ascii="Times New Roman" w:cs="Times New Roman" w:eastAsia="Times New Roman" w:hAnsi="Times New Roman"/>
          <w:sz w:val="20"/>
          <w:szCs w:val="20"/>
          <w:color w:val="auto"/>
        </w:rPr>
        <w:t>Employee may terminate Employee's employment at any time for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"Good Reason,"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which is: (i) Company's repeated failure to comply with a material term of this Agreement after written notice by Employee specifying the alleged failure; or (ii) a substantial and unusual reduction in responsibilities and authority. If Employee elects to terminate Employee's employment for "Good Reason," Employee must first provide Company written notice within thirty (30) days, after which Company shall have sixty (60) days to cure. If Company has not cured and Employee elects to terminate employment, Employee must do so within ten (10) days after the end of the cure period.</w:t>
      </w:r>
    </w:p>
    <w:p>
      <w:pPr>
        <w:spacing w:after="0" w:line="213" w:lineRule="exact"/>
        <w:rPr>
          <w:rFonts w:ascii="Times New Roman" w:cs="Times New Roman" w:eastAsia="Times New Roman" w:hAnsi="Times New Roman"/>
          <w:sz w:val="20"/>
          <w:szCs w:val="20"/>
          <w:b w:val="1"/>
          <w:bCs w:val="1"/>
          <w:color w:val="auto"/>
        </w:rPr>
      </w:pPr>
    </w:p>
    <w:p>
      <w:pPr>
        <w:jc w:val="both"/>
        <w:ind w:left="652" w:hanging="652"/>
        <w:spacing w:after="0" w:line="273" w:lineRule="auto"/>
        <w:tabs>
          <w:tab w:leader="none" w:pos="651" w:val="left"/>
        </w:tabs>
        <w:numPr>
          <w:ilvl w:val="0"/>
          <w:numId w:val="368"/>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Termination by Employee Without Good Reason. </w:t>
      </w:r>
      <w:r>
        <w:rPr>
          <w:rFonts w:ascii="Times New Roman" w:cs="Times New Roman" w:eastAsia="Times New Roman" w:hAnsi="Times New Roman"/>
          <w:sz w:val="19"/>
          <w:szCs w:val="19"/>
          <w:color w:val="auto"/>
        </w:rPr>
        <w:t>Employee may resign his employment without Good Reason any time (i) upon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sixty (60) days' advance written notice to Company if such notice is prior to the first anniversary of the Start Date and (ii) upon forty-five (45) days' advance written notice if such notice is given on or following the first anniversary of the Start Date. Employee's termination of his employment in accordance with this </w:t>
      </w:r>
      <w:r>
        <w:rPr>
          <w:rFonts w:ascii="Times New Roman" w:cs="Times New Roman" w:eastAsia="Times New Roman" w:hAnsi="Times New Roman"/>
          <w:sz w:val="19"/>
          <w:szCs w:val="19"/>
          <w:u w:val="single" w:color="auto"/>
          <w:color w:val="auto"/>
        </w:rPr>
        <w:t>Section 5(d)</w:t>
      </w:r>
      <w:r>
        <w:rPr>
          <w:rFonts w:ascii="Times New Roman" w:cs="Times New Roman" w:eastAsia="Times New Roman" w:hAnsi="Times New Roman"/>
          <w:sz w:val="19"/>
          <w:szCs w:val="19"/>
          <w:color w:val="auto"/>
        </w:rPr>
        <w:t xml:space="preserve"> shall not be deemed to be a breach of this Agreement.</w:t>
      </w:r>
    </w:p>
    <w:p>
      <w:pPr>
        <w:spacing w:after="0" w:line="193" w:lineRule="exact"/>
        <w:rPr>
          <w:rFonts w:ascii="Times New Roman" w:cs="Times New Roman" w:eastAsia="Times New Roman" w:hAnsi="Times New Roman"/>
          <w:sz w:val="19"/>
          <w:szCs w:val="19"/>
          <w:b w:val="1"/>
          <w:bCs w:val="1"/>
          <w:color w:val="auto"/>
        </w:rPr>
      </w:pPr>
    </w:p>
    <w:p>
      <w:pPr>
        <w:jc w:val="both"/>
        <w:ind w:left="652" w:hanging="652"/>
        <w:spacing w:after="0" w:line="250" w:lineRule="auto"/>
        <w:tabs>
          <w:tab w:leader="none" w:pos="642" w:val="left"/>
        </w:tabs>
        <w:numPr>
          <w:ilvl w:val="0"/>
          <w:numId w:val="36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Termination By Company. </w:t>
      </w:r>
      <w:r>
        <w:rPr>
          <w:rFonts w:ascii="Times New Roman" w:cs="Times New Roman" w:eastAsia="Times New Roman" w:hAnsi="Times New Roman"/>
          <w:sz w:val="20"/>
          <w:szCs w:val="20"/>
          <w:color w:val="auto"/>
        </w:rPr>
        <w:t>Company may terminate Employee's employment with or without Cause and determine the employment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termination date. For purposes of this Agreement, </w:t>
      </w:r>
      <w:r>
        <w:rPr>
          <w:rFonts w:ascii="Times New Roman" w:cs="Times New Roman" w:eastAsia="Times New Roman" w:hAnsi="Times New Roman"/>
          <w:sz w:val="20"/>
          <w:szCs w:val="20"/>
          <w:u w:val="single" w:color="auto"/>
          <w:color w:val="auto"/>
        </w:rPr>
        <w:t>"Cause"</w:t>
      </w:r>
      <w:r>
        <w:rPr>
          <w:rFonts w:ascii="Times New Roman" w:cs="Times New Roman" w:eastAsia="Times New Roman" w:hAnsi="Times New Roman"/>
          <w:sz w:val="20"/>
          <w:szCs w:val="20"/>
          <w:color w:val="auto"/>
        </w:rPr>
        <w:t xml:space="preserve"> means: (i) willful misconduct, including, without limitation, violation of sexual or other harassment policy, gross negligence, misappropriation of or material misrepresentation regarding property of the Company Group, other than customary and de minimis use of the Company Group property for personal purposes, as determined in the discretion of Company, or failure to take reasonable and appropriate action to prevent material injury to the financial condition, business or reputation of the Company Group; (ii) abandonment of duties (other than by reason of Disability); (iii) failure to follow lawful directives of Company (other than a failure resulting from incapacity due to physical or mental illness), or failure to meet reasonable performance objectives following a written warning and opportunity to cure for thirty (30) days; (iv) a felony conviction or indictment, a plea of guilty or nolo contendere by Employee, or other conduct by Employee that has or would result in material injury to any member of the Company Group's reputation, including indictment or conviction of fraud, theft, embezzlement, or a crime involving moral turpitude; (v) a material breach of this Agreement; or (vi) a significant violation of Company's employment and management policies.</w:t>
      </w:r>
    </w:p>
    <w:p>
      <w:pPr>
        <w:spacing w:after="0" w:line="217" w:lineRule="exact"/>
        <w:rPr>
          <w:sz w:val="20"/>
          <w:szCs w:val="20"/>
          <w:color w:val="auto"/>
        </w:rPr>
      </w:pPr>
    </w:p>
    <w:p>
      <w:pPr>
        <w:ind w:left="652" w:hanging="652"/>
        <w:spacing w:after="0"/>
        <w:tabs>
          <w:tab w:leader="none" w:pos="652" w:val="left"/>
        </w:tabs>
        <w:numPr>
          <w:ilvl w:val="0"/>
          <w:numId w:val="36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COMPENSATION UPON TERMINATION</w:t>
      </w:r>
    </w:p>
    <w:p>
      <w:pPr>
        <w:spacing w:after="0" w:line="256" w:lineRule="exact"/>
        <w:rPr>
          <w:sz w:val="20"/>
          <w:szCs w:val="20"/>
          <w:color w:val="auto"/>
        </w:rPr>
      </w:pPr>
    </w:p>
    <w:p>
      <w:pPr>
        <w:jc w:val="both"/>
        <w:ind w:left="652" w:hanging="652"/>
        <w:spacing w:after="0" w:line="254" w:lineRule="auto"/>
        <w:tabs>
          <w:tab w:leader="none" w:pos="640" w:val="left"/>
        </w:tabs>
        <w:numPr>
          <w:ilvl w:val="0"/>
          <w:numId w:val="37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Death. </w:t>
      </w:r>
      <w:r>
        <w:rPr>
          <w:rFonts w:ascii="Times New Roman" w:cs="Times New Roman" w:eastAsia="Times New Roman" w:hAnsi="Times New Roman"/>
          <w:sz w:val="20"/>
          <w:szCs w:val="20"/>
          <w:color w:val="auto"/>
        </w:rPr>
        <w:t>If the employment relationship is terminated as a result of the Employee's death, Company shall pay to Employee's designee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or, if no person is designated, to Employee's estate, (i) the Accrued Obligations (as defined below) within thirty (30) days of the employment termination date, (ii) the Pro-Rated Annual Bonus (as defined below) at the same time as annual bonuses for such fiscal year of the Company are paid to the Company's other similarly situated employees, and (iii) any payments required under applicable employee benefit plans as promptly following the date of employment termination as is reasonably feasible.</w:t>
      </w:r>
    </w:p>
    <w:p>
      <w:pPr>
        <w:spacing w:after="0" w:line="214" w:lineRule="exact"/>
        <w:rPr>
          <w:rFonts w:ascii="Times New Roman" w:cs="Times New Roman" w:eastAsia="Times New Roman" w:hAnsi="Times New Roman"/>
          <w:sz w:val="20"/>
          <w:szCs w:val="20"/>
          <w:b w:val="1"/>
          <w:bCs w:val="1"/>
          <w:color w:val="auto"/>
        </w:rPr>
      </w:pPr>
    </w:p>
    <w:p>
      <w:pPr>
        <w:jc w:val="both"/>
        <w:ind w:left="652" w:hanging="652"/>
        <w:spacing w:after="0" w:line="263" w:lineRule="auto"/>
        <w:tabs>
          <w:tab w:leader="none" w:pos="651" w:val="left"/>
        </w:tabs>
        <w:numPr>
          <w:ilvl w:val="0"/>
          <w:numId w:val="37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Disability. </w:t>
      </w:r>
      <w:r>
        <w:rPr>
          <w:rFonts w:ascii="Times New Roman" w:cs="Times New Roman" w:eastAsia="Times New Roman" w:hAnsi="Times New Roman"/>
          <w:sz w:val="20"/>
          <w:szCs w:val="20"/>
          <w:color w:val="auto"/>
        </w:rPr>
        <w:t>If the employment relationship is terminated as a result of the Employee's Disability, Company shall pay to Employee (i)</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Accrued Obligations within thirty (30) days of the employment termination date, (ii) the Pro-Rated Annual Bonus at the same time as annual bonuses for such fiscal year of the Company are paid to the Company's other similarly situated</w:t>
      </w:r>
    </w:p>
    <w:p>
      <w:pPr>
        <w:sectPr>
          <w:pgSz w:w="11900" w:h="16838" w:orient="portrait"/>
          <w:cols w:equalWidth="0" w:num="1">
            <w:col w:w="11232"/>
          </w:cols>
          <w:pgMar w:left="328" w:top="1440" w:right="339" w:bottom="1440" w:gutter="0" w:footer="0" w:header="0"/>
        </w:sectPr>
      </w:pPr>
    </w:p>
    <w:bookmarkStart w:id="396" w:name="page397"/>
    <w:bookmarkEnd w:id="396"/>
    <w:p>
      <w:pPr>
        <w:ind w:left="652"/>
        <w:spacing w:after="0" w:line="283" w:lineRule="auto"/>
        <w:rPr>
          <w:sz w:val="20"/>
          <w:szCs w:val="20"/>
          <w:color w:val="auto"/>
        </w:rPr>
      </w:pPr>
      <w:r>
        <w:rPr>
          <w:rFonts w:ascii="Times New Roman" w:cs="Times New Roman" w:eastAsia="Times New Roman" w:hAnsi="Times New Roman"/>
          <w:sz w:val="20"/>
          <w:szCs w:val="20"/>
          <w:color w:val="auto"/>
        </w:rPr>
        <w:t>employees, and (iii) any payments required under applicable employee benefit plans as promptly following the date of employment termination as is reasonably feasible.</w:t>
      </w:r>
    </w:p>
    <w:p>
      <w:pPr>
        <w:spacing w:after="0" w:line="169" w:lineRule="exact"/>
        <w:rPr>
          <w:sz w:val="20"/>
          <w:szCs w:val="20"/>
          <w:color w:val="auto"/>
        </w:rPr>
      </w:pPr>
    </w:p>
    <w:p>
      <w:pPr>
        <w:jc w:val="both"/>
        <w:ind w:left="652" w:hanging="652"/>
        <w:spacing w:after="0" w:line="258" w:lineRule="auto"/>
        <w:tabs>
          <w:tab w:leader="none" w:pos="642" w:val="left"/>
        </w:tabs>
        <w:numPr>
          <w:ilvl w:val="0"/>
          <w:numId w:val="37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Termination By Company For Cause or by Employee without Good Reason: </w:t>
      </w:r>
      <w:r>
        <w:rPr>
          <w:rFonts w:ascii="Times New Roman" w:cs="Times New Roman" w:eastAsia="Times New Roman" w:hAnsi="Times New Roman"/>
          <w:sz w:val="20"/>
          <w:szCs w:val="20"/>
          <w:color w:val="auto"/>
        </w:rPr>
        <w:t>If Company terminates Employee's employment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for Cause or Employee resigns his employment without Good Reason in accordance with </w:t>
      </w:r>
      <w:r>
        <w:rPr>
          <w:rFonts w:ascii="Times New Roman" w:cs="Times New Roman" w:eastAsia="Times New Roman" w:hAnsi="Times New Roman"/>
          <w:sz w:val="20"/>
          <w:szCs w:val="20"/>
          <w:u w:val="single" w:color="auto"/>
          <w:color w:val="auto"/>
        </w:rPr>
        <w:t>Section 5(d)</w:t>
      </w:r>
      <w:r>
        <w:rPr>
          <w:rFonts w:ascii="Times New Roman" w:cs="Times New Roman" w:eastAsia="Times New Roman" w:hAnsi="Times New Roman"/>
          <w:sz w:val="20"/>
          <w:szCs w:val="20"/>
          <w:color w:val="auto"/>
        </w:rPr>
        <w:t xml:space="preserve"> above, Company shall pay to Employee (i) the Accrued Obligations within thirty (30) days of the employment termination date, and (ii) any payments required under applicable employee benefit plans as promptly following the date of employment termination as is reasonably feasible (other than plans which provide for severance or termination payments or benefits).</w:t>
      </w:r>
    </w:p>
    <w:p>
      <w:pPr>
        <w:spacing w:after="0" w:line="194" w:lineRule="exact"/>
        <w:rPr>
          <w:rFonts w:ascii="Times New Roman" w:cs="Times New Roman" w:eastAsia="Times New Roman" w:hAnsi="Times New Roman"/>
          <w:sz w:val="20"/>
          <w:szCs w:val="20"/>
          <w:b w:val="1"/>
          <w:bCs w:val="1"/>
          <w:color w:val="auto"/>
        </w:rPr>
      </w:pPr>
    </w:p>
    <w:p>
      <w:pPr>
        <w:jc w:val="both"/>
        <w:ind w:left="652" w:hanging="652"/>
        <w:spacing w:after="0" w:line="252" w:lineRule="auto"/>
        <w:tabs>
          <w:tab w:leader="none" w:pos="651" w:val="left"/>
        </w:tabs>
        <w:numPr>
          <w:ilvl w:val="0"/>
          <w:numId w:val="37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Non-Renewal By Employee. </w:t>
      </w:r>
      <w:r>
        <w:rPr>
          <w:rFonts w:ascii="Times New Roman" w:cs="Times New Roman" w:eastAsia="Times New Roman" w:hAnsi="Times New Roman"/>
          <w:sz w:val="20"/>
          <w:szCs w:val="20"/>
          <w:color w:val="auto"/>
        </w:rPr>
        <w:t>If Employee gives notice of non-renewal under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 1</w:t>
      </w:r>
      <w:r>
        <w:rPr>
          <w:rFonts w:ascii="Times New Roman" w:cs="Times New Roman" w:eastAsia="Times New Roman" w:hAnsi="Times New Roman"/>
          <w:sz w:val="20"/>
          <w:szCs w:val="20"/>
          <w:color w:val="auto"/>
        </w:rPr>
        <w:t>, Company shall determine the employment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termination date and shall pay to Employee (i) the Accrued Obligations within thirty (30) days of the employment termination date, and (ii) any payments required under applicable employee benefit plans as promptly following the date of employment termination as is reasonably feasible (other than plans which provide for severance or termination payments or benefits). If the employment termination date is before the end of the then current Employment Period, and if Employee signs and does not revoke a Severance Agreement and General Release of claims in a form reasonably satisfactory to Company (a </w:t>
      </w:r>
      <w:r>
        <w:rPr>
          <w:rFonts w:ascii="Times New Roman" w:cs="Times New Roman" w:eastAsia="Times New Roman" w:hAnsi="Times New Roman"/>
          <w:sz w:val="20"/>
          <w:szCs w:val="20"/>
          <w:u w:val="single" w:color="auto"/>
          <w:color w:val="auto"/>
        </w:rPr>
        <w:t>"Release"),</w:t>
      </w:r>
      <w:r>
        <w:rPr>
          <w:rFonts w:ascii="Times New Roman" w:cs="Times New Roman" w:eastAsia="Times New Roman" w:hAnsi="Times New Roman"/>
          <w:sz w:val="20"/>
          <w:szCs w:val="20"/>
          <w:color w:val="auto"/>
        </w:rPr>
        <w:t xml:space="preserve"> then Company will (i) in periodic payments in accordance with ordinary payroll practices and deductions, pay Employee an amount equal to Employee's pro-rata base salary through the end of the then current Employment Period, and (ii) accelerate the vesting of any time-based equity awards that would have, but for the Employee's termination of employment, vested before the end of the then current Employment Period (or on the last day of the then current Employment Period).</w:t>
      </w:r>
    </w:p>
    <w:p>
      <w:pPr>
        <w:spacing w:after="0" w:line="204" w:lineRule="exact"/>
        <w:rPr>
          <w:rFonts w:ascii="Times New Roman" w:cs="Times New Roman" w:eastAsia="Times New Roman" w:hAnsi="Times New Roman"/>
          <w:sz w:val="20"/>
          <w:szCs w:val="20"/>
          <w:b w:val="1"/>
          <w:bCs w:val="1"/>
          <w:color w:val="auto"/>
        </w:rPr>
      </w:pPr>
    </w:p>
    <w:p>
      <w:pPr>
        <w:ind w:left="632" w:hanging="632"/>
        <w:spacing w:after="0"/>
        <w:tabs>
          <w:tab w:leader="none" w:pos="632" w:val="left"/>
        </w:tabs>
        <w:numPr>
          <w:ilvl w:val="0"/>
          <w:numId w:val="37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Termination With Severance.</w:t>
      </w:r>
    </w:p>
    <w:p>
      <w:pPr>
        <w:spacing w:after="0" w:line="260" w:lineRule="exact"/>
        <w:rPr>
          <w:rFonts w:ascii="Times New Roman" w:cs="Times New Roman" w:eastAsia="Times New Roman" w:hAnsi="Times New Roman"/>
          <w:sz w:val="20"/>
          <w:szCs w:val="20"/>
          <w:b w:val="1"/>
          <w:bCs w:val="1"/>
          <w:color w:val="auto"/>
        </w:rPr>
      </w:pPr>
    </w:p>
    <w:p>
      <w:pPr>
        <w:ind w:left="1292" w:hanging="644"/>
        <w:spacing w:after="0" w:line="254" w:lineRule="auto"/>
        <w:tabs>
          <w:tab w:leader="none" w:pos="1280" w:val="left"/>
        </w:tabs>
        <w:numPr>
          <w:ilvl w:val="1"/>
          <w:numId w:val="3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Termination By Company Without Cause; Termination by Employee for Good Reason - Severance and Non-Renewal By Company:</w:t>
      </w:r>
    </w:p>
    <w:p>
      <w:pPr>
        <w:spacing w:after="0" w:line="1" w:lineRule="exact"/>
        <w:rPr>
          <w:rFonts w:ascii="Times New Roman" w:cs="Times New Roman" w:eastAsia="Times New Roman" w:hAnsi="Times New Roman"/>
          <w:sz w:val="20"/>
          <w:szCs w:val="20"/>
          <w:color w:val="auto"/>
        </w:rPr>
      </w:pPr>
    </w:p>
    <w:p>
      <w:pPr>
        <w:jc w:val="both"/>
        <w:ind w:left="1952" w:hanging="436"/>
        <w:spacing w:after="0" w:line="247" w:lineRule="auto"/>
        <w:tabs>
          <w:tab w:leader="none" w:pos="1952" w:val="left"/>
        </w:tabs>
        <w:numPr>
          <w:ilvl w:val="2"/>
          <w:numId w:val="3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(x) Company terminates Employee's employment without Cause (and not by reason of death or Disability), (y) Employee's employment ends because Company gives notice of non-renewal under </w:t>
      </w:r>
      <w:r>
        <w:rPr>
          <w:rFonts w:ascii="Times New Roman" w:cs="Times New Roman" w:eastAsia="Times New Roman" w:hAnsi="Times New Roman"/>
          <w:sz w:val="20"/>
          <w:szCs w:val="20"/>
          <w:u w:val="single" w:color="auto"/>
          <w:color w:val="auto"/>
        </w:rPr>
        <w:t>Section 1</w:t>
      </w:r>
      <w:r>
        <w:rPr>
          <w:rFonts w:ascii="Times New Roman" w:cs="Times New Roman" w:eastAsia="Times New Roman" w:hAnsi="Times New Roman"/>
          <w:sz w:val="20"/>
          <w:szCs w:val="20"/>
          <w:color w:val="auto"/>
        </w:rPr>
        <w:t>, or (z) if Employee terminates for Good Reason, Company shall pay to Employee (i) the Accrued Obligations within thirty (30) days of the employment termination date and (ii) any payments required under applicable employee benefit plans as promptly following the date of employment termination as is reasonably feasible (other than plans which provide for severance or termination payments or benefits).</w:t>
      </w:r>
    </w:p>
    <w:p>
      <w:pPr>
        <w:spacing w:after="0" w:line="4" w:lineRule="exact"/>
        <w:rPr>
          <w:rFonts w:ascii="Times New Roman" w:cs="Times New Roman" w:eastAsia="Times New Roman" w:hAnsi="Times New Roman"/>
          <w:sz w:val="20"/>
          <w:szCs w:val="20"/>
          <w:color w:val="auto"/>
        </w:rPr>
      </w:pPr>
    </w:p>
    <w:p>
      <w:pPr>
        <w:jc w:val="both"/>
        <w:ind w:left="1952" w:hanging="491"/>
        <w:spacing w:after="0" w:line="251" w:lineRule="auto"/>
        <w:tabs>
          <w:tab w:leader="none" w:pos="1952" w:val="left"/>
        </w:tabs>
        <w:numPr>
          <w:ilvl w:val="2"/>
          <w:numId w:val="3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addition, if Employee signs and does not revoke a Release, Company will pay Employee, (i) in periodic payments in accordance with ordinary payroll practices and deductions, Employee's current base salary for eighteen (18) months, and (ii) the Pro-Rated Annual Bonus at the same time as annual bonuses for such fiscal year of the Company are paid to the Company's other similarly situated employees. The payment made pursuant to this section are referred to as (the </w:t>
      </w:r>
      <w:r>
        <w:rPr>
          <w:rFonts w:ascii="Times New Roman" w:cs="Times New Roman" w:eastAsia="Times New Roman" w:hAnsi="Times New Roman"/>
          <w:sz w:val="20"/>
          <w:szCs w:val="20"/>
          <w:u w:val="single" w:color="auto"/>
          <w:color w:val="auto"/>
        </w:rPr>
        <w:t>"Severance Payments"</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"Severance Pay Period").</w:t>
      </w:r>
    </w:p>
    <w:p>
      <w:pPr>
        <w:spacing w:after="0" w:line="206" w:lineRule="exact"/>
        <w:rPr>
          <w:rFonts w:ascii="Times New Roman" w:cs="Times New Roman" w:eastAsia="Times New Roman" w:hAnsi="Times New Roman"/>
          <w:sz w:val="20"/>
          <w:szCs w:val="20"/>
          <w:color w:val="auto"/>
        </w:rPr>
      </w:pPr>
    </w:p>
    <w:p>
      <w:pPr>
        <w:jc w:val="both"/>
        <w:ind w:left="1292" w:hanging="644"/>
        <w:spacing w:after="0" w:line="268" w:lineRule="auto"/>
        <w:tabs>
          <w:tab w:leader="none" w:pos="1280" w:val="left"/>
        </w:tabs>
        <w:numPr>
          <w:ilvl w:val="1"/>
          <w:numId w:val="3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Breach of Agreement; Re-hire:</w:t>
      </w:r>
      <w:r>
        <w:rPr>
          <w:rFonts w:ascii="Times New Roman" w:cs="Times New Roman" w:eastAsia="Times New Roman" w:hAnsi="Times New Roman"/>
          <w:sz w:val="20"/>
          <w:szCs w:val="20"/>
          <w:color w:val="auto"/>
        </w:rPr>
        <w:t xml:space="preserve"> If Employee (i) breaches the Restrictive Covenants, the Company shall provide Employee with written notice of the event or events giving rise to such breach and if Employee fails to cure such breach within ten (10) days after receipt of</w:t>
      </w:r>
    </w:p>
    <w:p>
      <w:pPr>
        <w:sectPr>
          <w:pgSz w:w="11900" w:h="16838" w:orient="portrait"/>
          <w:cols w:equalWidth="0" w:num="1">
            <w:col w:w="11232"/>
          </w:cols>
          <w:pgMar w:left="328" w:top="1413" w:right="339" w:bottom="1440" w:gutter="0" w:footer="0" w:header="0"/>
        </w:sectPr>
      </w:pPr>
    </w:p>
    <w:bookmarkStart w:id="397" w:name="page398"/>
    <w:bookmarkEnd w:id="397"/>
    <w:p>
      <w:pPr>
        <w:jc w:val="both"/>
        <w:ind w:left="1300"/>
        <w:spacing w:after="0" w:line="253" w:lineRule="auto"/>
        <w:rPr>
          <w:sz w:val="20"/>
          <w:szCs w:val="20"/>
          <w:color w:val="auto"/>
        </w:rPr>
      </w:pPr>
      <w:r>
        <w:rPr>
          <w:rFonts w:ascii="Times New Roman" w:cs="Times New Roman" w:eastAsia="Times New Roman" w:hAnsi="Times New Roman"/>
          <w:sz w:val="20"/>
          <w:szCs w:val="20"/>
          <w:color w:val="auto"/>
        </w:rPr>
        <w:t>written notice from the Company describing such breach or such breach is not curable, or (ii) is rehired by Company with Employee's express consent during the Severance Pay Period, the Severance Payments shall cease immediately. The foregoing shall not affect Company's right to enforce the provisions of this Agreement by injunctive relief or otherwise. Employee agrees to immediately notify the Company upon the occurrence of any event specified in clause (ii) of the first sentence of this paragraph.</w:t>
      </w:r>
    </w:p>
    <w:p>
      <w:pPr>
        <w:spacing w:after="0" w:line="215" w:lineRule="exact"/>
        <w:rPr>
          <w:sz w:val="20"/>
          <w:szCs w:val="20"/>
          <w:color w:val="auto"/>
        </w:rPr>
      </w:pPr>
    </w:p>
    <w:p>
      <w:pPr>
        <w:ind w:left="400" w:hanging="392"/>
        <w:spacing w:after="0"/>
        <w:tabs>
          <w:tab w:leader="none" w:pos="400" w:val="left"/>
        </w:tabs>
        <w:numPr>
          <w:ilvl w:val="0"/>
          <w:numId w:val="37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Termination Definitions. </w:t>
      </w:r>
      <w:r>
        <w:rPr>
          <w:rFonts w:ascii="Times New Roman" w:cs="Times New Roman" w:eastAsia="Times New Roman" w:hAnsi="Times New Roman"/>
          <w:sz w:val="20"/>
          <w:szCs w:val="20"/>
          <w:color w:val="auto"/>
        </w:rPr>
        <w:t>For purposes of this Agreement:</w:t>
      </w:r>
    </w:p>
    <w:p>
      <w:pPr>
        <w:spacing w:after="0" w:line="260" w:lineRule="exact"/>
        <w:rPr>
          <w:rFonts w:ascii="Times New Roman" w:cs="Times New Roman" w:eastAsia="Times New Roman" w:hAnsi="Times New Roman"/>
          <w:sz w:val="20"/>
          <w:szCs w:val="20"/>
          <w:b w:val="1"/>
          <w:bCs w:val="1"/>
          <w:color w:val="auto"/>
        </w:rPr>
      </w:pPr>
    </w:p>
    <w:p>
      <w:pPr>
        <w:jc w:val="both"/>
        <w:ind w:left="660" w:hanging="328"/>
        <w:spacing w:after="0" w:line="261" w:lineRule="auto"/>
        <w:tabs>
          <w:tab w:leader="none" w:pos="648" w:val="left"/>
        </w:tabs>
        <w:numPr>
          <w:ilvl w:val="1"/>
          <w:numId w:val="3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"Accrued Obligations"</w:t>
      </w:r>
      <w:r>
        <w:rPr>
          <w:rFonts w:ascii="Times New Roman" w:cs="Times New Roman" w:eastAsia="Times New Roman" w:hAnsi="Times New Roman"/>
          <w:sz w:val="20"/>
          <w:szCs w:val="20"/>
          <w:color w:val="auto"/>
        </w:rPr>
        <w:t xml:space="preserve"> means, with respect to Employee, the sum of (i) any earned but unpaid base salary through the employment termination date, (ii) subject to submission by Employee of supporting documentation, any unreimbursed business expenses incurred by the Employee through employment termination date in accordance with the Company's reimbursement policy.</w:t>
      </w:r>
    </w:p>
    <w:p>
      <w:pPr>
        <w:spacing w:after="0" w:line="194" w:lineRule="exact"/>
        <w:rPr>
          <w:rFonts w:ascii="Times New Roman" w:cs="Times New Roman" w:eastAsia="Times New Roman" w:hAnsi="Times New Roman"/>
          <w:sz w:val="20"/>
          <w:szCs w:val="20"/>
          <w:color w:val="auto"/>
        </w:rPr>
      </w:pPr>
    </w:p>
    <w:p>
      <w:pPr>
        <w:jc w:val="both"/>
        <w:ind w:left="660" w:hanging="328"/>
        <w:spacing w:after="0" w:line="258" w:lineRule="auto"/>
        <w:tabs>
          <w:tab w:leader="none" w:pos="648" w:val="left"/>
        </w:tabs>
        <w:numPr>
          <w:ilvl w:val="1"/>
          <w:numId w:val="3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"Pro-Rated Annual Bonus"</w:t>
      </w:r>
      <w:r>
        <w:rPr>
          <w:rFonts w:ascii="Times New Roman" w:cs="Times New Roman" w:eastAsia="Times New Roman" w:hAnsi="Times New Roman"/>
          <w:sz w:val="20"/>
          <w:szCs w:val="20"/>
          <w:color w:val="auto"/>
        </w:rPr>
        <w:t xml:space="preserve"> means a lump-sum payment (less applicable withholding taxes) equal to the product obtained by multiplying (x) the Target Bonus by (y) the fraction obtained by dividing (A) the number of days from the beginning of the fiscal year in which Employee's employment termination date occurs until the date of Employee's employment termination (including the date of employment termination), by (B) 365 or 366, as applicable.</w:t>
      </w:r>
    </w:p>
    <w:p>
      <w:pPr>
        <w:spacing w:after="0" w:line="212" w:lineRule="exact"/>
        <w:rPr>
          <w:rFonts w:ascii="Times New Roman" w:cs="Times New Roman" w:eastAsia="Times New Roman" w:hAnsi="Times New Roman"/>
          <w:sz w:val="20"/>
          <w:szCs w:val="20"/>
          <w:color w:val="auto"/>
        </w:rPr>
      </w:pPr>
    </w:p>
    <w:p>
      <w:pPr>
        <w:jc w:val="both"/>
        <w:ind w:left="660" w:hanging="328"/>
        <w:spacing w:after="0" w:line="253" w:lineRule="auto"/>
        <w:tabs>
          <w:tab w:leader="none" w:pos="648" w:val="left"/>
        </w:tabs>
        <w:numPr>
          <w:ilvl w:val="1"/>
          <w:numId w:val="3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"Target Bonus"</w:t>
      </w:r>
      <w:r>
        <w:rPr>
          <w:rFonts w:ascii="Times New Roman" w:cs="Times New Roman" w:eastAsia="Times New Roman" w:hAnsi="Times New Roman"/>
          <w:sz w:val="20"/>
          <w:szCs w:val="20"/>
          <w:color w:val="auto"/>
        </w:rPr>
        <w:t xml:space="preserve"> means the sum of the Employee's annual target bonus, commission and annual performance bonus opportunity, as applicable, pursuant to any cash incentive plan or program maintained by the Rackspace Technology, Inc. or its subsidiaries (including the Company) in which the Employee is eligible to participate for the Company's fiscal year in which the Employee's termination of employment occurs, and calculated on the basis that any applicable individual performance goals or goals based on subjective criteria have been attained in full.</w:t>
      </w:r>
    </w:p>
    <w:p>
      <w:pPr>
        <w:spacing w:after="0" w:line="215"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7.</w:t>
      </w:r>
      <w:r>
        <w:rPr>
          <w:sz w:val="20"/>
          <w:szCs w:val="20"/>
          <w:color w:val="auto"/>
        </w:rPr>
        <w:tab/>
      </w:r>
      <w:r>
        <w:rPr>
          <w:rFonts w:ascii="Times New Roman" w:cs="Times New Roman" w:eastAsia="Times New Roman" w:hAnsi="Times New Roman"/>
          <w:sz w:val="19"/>
          <w:szCs w:val="19"/>
          <w:b w:val="1"/>
          <w:bCs w:val="1"/>
          <w:color w:val="auto"/>
        </w:rPr>
        <w:t>OWNERSHIP OF MATERIALS</w:t>
      </w:r>
    </w:p>
    <w:p>
      <w:pPr>
        <w:spacing w:after="0" w:line="247" w:lineRule="exact"/>
        <w:rPr>
          <w:sz w:val="20"/>
          <w:szCs w:val="20"/>
          <w:color w:val="auto"/>
        </w:rPr>
      </w:pPr>
    </w:p>
    <w:p>
      <w:pPr>
        <w:jc w:val="both"/>
        <w:ind w:left="660"/>
        <w:spacing w:after="0" w:line="251" w:lineRule="auto"/>
        <w:rPr>
          <w:sz w:val="20"/>
          <w:szCs w:val="20"/>
          <w:color w:val="auto"/>
        </w:rPr>
      </w:pPr>
      <w:r>
        <w:rPr>
          <w:rFonts w:ascii="Times New Roman" w:cs="Times New Roman" w:eastAsia="Times New Roman" w:hAnsi="Times New Roman"/>
          <w:sz w:val="20"/>
          <w:szCs w:val="20"/>
          <w:color w:val="auto"/>
        </w:rPr>
        <w:t>Employee agrees that all inventions, improvements, discoveries, designs, technology, and works of authorship (including but not limited to computer software) made, created, conceived, or reduced to practice by Employee, whether alone or in cooperation with others, during employment, together with all patent, trademark, copyright, trade secret, and other intellectual property rights related to any of the foregoing throughout the world, are among other things works made for hire and belong exclusively to Company, and Employee hereby assigns all such rights to Company. Employee agrees to execute any documents, testify in any legal proceedings, and do all things necessary or desirable to secure Company's rights to the foregoing, including without limitation executing inventors' declarations and assignment forms. If there is a separate signed agreement between Employee and Company including terms directly related to intellectual property rights, then the intellectual property terms of that agreement shall control.</w:t>
      </w:r>
    </w:p>
    <w:p>
      <w:pPr>
        <w:spacing w:after="0" w:line="218"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8.</w:t>
      </w:r>
      <w:r>
        <w:rPr>
          <w:sz w:val="20"/>
          <w:szCs w:val="20"/>
          <w:color w:val="auto"/>
        </w:rPr>
        <w:tab/>
      </w:r>
      <w:r>
        <w:rPr>
          <w:rFonts w:ascii="Times New Roman" w:cs="Times New Roman" w:eastAsia="Times New Roman" w:hAnsi="Times New Roman"/>
          <w:sz w:val="19"/>
          <w:szCs w:val="19"/>
          <w:b w:val="1"/>
          <w:bCs w:val="1"/>
          <w:color w:val="auto"/>
        </w:rPr>
        <w:t>PARTIES BENEFITED; ASSIGNMENTS</w:t>
      </w:r>
    </w:p>
    <w:p>
      <w:pPr>
        <w:spacing w:after="0" w:line="260" w:lineRule="exact"/>
        <w:rPr>
          <w:sz w:val="20"/>
          <w:szCs w:val="20"/>
          <w:color w:val="auto"/>
        </w:rPr>
      </w:pPr>
    </w:p>
    <w:p>
      <w:pPr>
        <w:jc w:val="both"/>
        <w:ind w:left="660"/>
        <w:spacing w:after="0" w:line="271" w:lineRule="auto"/>
        <w:rPr>
          <w:sz w:val="20"/>
          <w:szCs w:val="20"/>
          <w:color w:val="auto"/>
        </w:rPr>
      </w:pPr>
      <w:r>
        <w:rPr>
          <w:rFonts w:ascii="Times New Roman" w:cs="Times New Roman" w:eastAsia="Times New Roman" w:hAnsi="Times New Roman"/>
          <w:sz w:val="19"/>
          <w:szCs w:val="19"/>
          <w:color w:val="auto"/>
        </w:rPr>
        <w:t>This Agreement shall be binding upon Employee, Employee's heirs and Employee's personal representative or representatives, and upon Company and its respective successors and assigns. Neither this Agreement nor any rights or obligations hereunder may be assigned by Employee, other than by will or by the laws of descent and distribution. Company may assign its rights and obligation under this Agreement to any entity, including any successor to all or substantially all the assets of Company, by merger or otherwise.</w:t>
      </w:r>
    </w:p>
    <w:p>
      <w:pPr>
        <w:sectPr>
          <w:pgSz w:w="11900" w:h="16838" w:orient="portrait"/>
          <w:cols w:equalWidth="0" w:num="1">
            <w:col w:w="11240"/>
          </w:cols>
          <w:pgMar w:left="320" w:top="1413" w:right="339" w:bottom="1440" w:gutter="0" w:footer="0" w:header="0"/>
        </w:sectPr>
      </w:pPr>
    </w:p>
    <w:bookmarkStart w:id="398" w:name="page399"/>
    <w:bookmarkEnd w:id="398"/>
    <w:p>
      <w:pPr>
        <w:spacing w:after="0" w:line="212"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9.</w:t>
      </w:r>
      <w:r>
        <w:rPr>
          <w:sz w:val="20"/>
          <w:szCs w:val="20"/>
          <w:color w:val="auto"/>
        </w:rPr>
        <w:tab/>
      </w:r>
      <w:r>
        <w:rPr>
          <w:rFonts w:ascii="Times New Roman" w:cs="Times New Roman" w:eastAsia="Times New Roman" w:hAnsi="Times New Roman"/>
          <w:sz w:val="19"/>
          <w:szCs w:val="19"/>
          <w:b w:val="1"/>
          <w:bCs w:val="1"/>
          <w:color w:val="auto"/>
        </w:rPr>
        <w:t>GOVERNING LAW; SUBMISSION TO JURISDICTION</w:t>
      </w:r>
    </w:p>
    <w:p>
      <w:pPr>
        <w:spacing w:after="0" w:line="256" w:lineRule="exact"/>
        <w:rPr>
          <w:sz w:val="20"/>
          <w:szCs w:val="20"/>
          <w:color w:val="auto"/>
        </w:rPr>
      </w:pPr>
    </w:p>
    <w:p>
      <w:pPr>
        <w:ind w:left="660" w:hanging="652"/>
        <w:spacing w:after="0" w:line="254" w:lineRule="auto"/>
        <w:tabs>
          <w:tab w:leader="none" w:pos="441" w:val="left"/>
        </w:tabs>
        <w:numPr>
          <w:ilvl w:val="0"/>
          <w:numId w:val="37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Governing Law. </w:t>
      </w:r>
      <w:r>
        <w:rPr>
          <w:rFonts w:ascii="Times New Roman" w:cs="Times New Roman" w:eastAsia="Times New Roman" w:hAnsi="Times New Roman"/>
          <w:sz w:val="20"/>
          <w:szCs w:val="20"/>
          <w:color w:val="auto"/>
        </w:rPr>
        <w:t>This Agreement shall be governed, construed, interpreted, and enforced in accordance with the substantive laws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State of Texas, without reference to the principles of conflicts of law of Texas or any other jurisdiction, and where applicable, the laws of the United States. Each of Company and Employee (on behalf of itself and its affiliates) expressly consents to the personal jurisdiction of the Texas state and federal courts for any lawsuit relating to this Agreement, waives any other requirement (whether imposed by statute, rule of court, or otherwise) with respect to such personal jurisdiction or service of process, and waives any objection to jurisdiction based on improper venue or improper jurisdiction.</w:t>
      </w:r>
    </w:p>
    <w:p>
      <w:pPr>
        <w:spacing w:after="0" w:line="200" w:lineRule="exact"/>
        <w:rPr>
          <w:rFonts w:ascii="Times New Roman" w:cs="Times New Roman" w:eastAsia="Times New Roman" w:hAnsi="Times New Roman"/>
          <w:sz w:val="20"/>
          <w:szCs w:val="20"/>
          <w:b w:val="1"/>
          <w:bCs w:val="1"/>
          <w:color w:val="auto"/>
        </w:rPr>
      </w:pPr>
    </w:p>
    <w:p>
      <w:pPr>
        <w:ind w:left="660" w:hanging="652"/>
        <w:spacing w:after="0" w:line="258" w:lineRule="auto"/>
        <w:tabs>
          <w:tab w:leader="none" w:pos="462" w:val="left"/>
        </w:tabs>
        <w:numPr>
          <w:ilvl w:val="0"/>
          <w:numId w:val="37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Jurisdiction. </w:t>
      </w:r>
      <w:r>
        <w:rPr>
          <w:rFonts w:ascii="Times New Roman" w:cs="Times New Roman" w:eastAsia="Times New Roman" w:hAnsi="Times New Roman"/>
          <w:sz w:val="20"/>
          <w:szCs w:val="20"/>
          <w:color w:val="auto"/>
        </w:rPr>
        <w:t>Each party hereto hereby waives, to the fullest extent permitted by applicable law, any right it may have to a trial by jury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 respect of any suit, action, or proceeding arising out of or relating to this Agreement. Each party hereto (i) certifies that no representative, agent, or attorney of any other party has represented, expressly or otherwise, that such party would not, in the event of any action, suit, or proceeding, seek to enforce the foregoing waiver and (ii) acknowledges that it and the other party hereto have been induced to enter into this Agreement by, among other things, the mutual waiver and certifications in this Section.</w:t>
      </w:r>
    </w:p>
    <w:p>
      <w:pPr>
        <w:spacing w:after="0" w:line="194" w:lineRule="exact"/>
        <w:rPr>
          <w:rFonts w:ascii="Times New Roman" w:cs="Times New Roman" w:eastAsia="Times New Roman" w:hAnsi="Times New Roman"/>
          <w:sz w:val="20"/>
          <w:szCs w:val="20"/>
          <w:b w:val="1"/>
          <w:bCs w:val="1"/>
          <w:color w:val="auto"/>
        </w:rPr>
      </w:pPr>
    </w:p>
    <w:p>
      <w:pPr>
        <w:ind w:left="660" w:hanging="652"/>
        <w:spacing w:after="0" w:line="263" w:lineRule="auto"/>
        <w:tabs>
          <w:tab w:leader="none" w:pos="537" w:val="left"/>
        </w:tabs>
        <w:numPr>
          <w:ilvl w:val="0"/>
          <w:numId w:val="37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Representation and No Condition. </w:t>
      </w:r>
      <w:r>
        <w:rPr>
          <w:rFonts w:ascii="Times New Roman" w:cs="Times New Roman" w:eastAsia="Times New Roman" w:hAnsi="Times New Roman"/>
          <w:sz w:val="20"/>
          <w:szCs w:val="20"/>
          <w:color w:val="auto"/>
        </w:rPr>
        <w:t>Employee acknowledges that it is advisable to be represented by counsel in connection with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Employee's review and agreement to all terms and conditions of this Agreement. Employee acknowledges and agrees that entering into this Agreement is not a condition of Employee's employment with Company or its affiliates.</w:t>
      </w:r>
    </w:p>
    <w:p>
      <w:pPr>
        <w:spacing w:after="0" w:line="202"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b w:val="1"/>
          <w:bCs w:val="1"/>
          <w:color w:val="auto"/>
        </w:rPr>
        <w:t>10.</w:t>
      </w:r>
      <w:r>
        <w:rPr>
          <w:sz w:val="20"/>
          <w:szCs w:val="20"/>
          <w:color w:val="auto"/>
        </w:rPr>
        <w:tab/>
      </w:r>
      <w:r>
        <w:rPr>
          <w:rFonts w:ascii="Times New Roman" w:cs="Times New Roman" w:eastAsia="Times New Roman" w:hAnsi="Times New Roman"/>
          <w:sz w:val="19"/>
          <w:szCs w:val="19"/>
          <w:b w:val="1"/>
          <w:bCs w:val="1"/>
          <w:color w:val="auto"/>
        </w:rPr>
        <w:t>LITIGATION AND REGULATORY COOPERATION</w:t>
      </w:r>
    </w:p>
    <w:p>
      <w:pPr>
        <w:spacing w:after="0" w:line="260" w:lineRule="exact"/>
        <w:rPr>
          <w:sz w:val="20"/>
          <w:szCs w:val="20"/>
          <w:color w:val="auto"/>
        </w:rPr>
      </w:pPr>
    </w:p>
    <w:p>
      <w:pPr>
        <w:jc w:val="both"/>
        <w:ind w:left="660"/>
        <w:spacing w:after="0" w:line="251" w:lineRule="auto"/>
        <w:rPr>
          <w:sz w:val="20"/>
          <w:szCs w:val="20"/>
          <w:color w:val="auto"/>
        </w:rPr>
      </w:pPr>
      <w:r>
        <w:rPr>
          <w:rFonts w:ascii="Times New Roman" w:cs="Times New Roman" w:eastAsia="Times New Roman" w:hAnsi="Times New Roman"/>
          <w:sz w:val="20"/>
          <w:szCs w:val="20"/>
          <w:color w:val="auto"/>
        </w:rPr>
        <w:t>During and after employment, Employee shall reasonably cooperate in the defense or prosecution of claims, investigations, or other actions which relate to events or occurrences during employment. Employee agrees, unless precluded by law, to promptly inform Company if Employee is asked to participate (or otherwise become involved) in any such claim, investigation or action. Employee's cooperation shall include being available to prepare for discovery or trial and to act as a witness. Company will pay an hourly rate (based on base salary as of the last day of employment) for cooperation that occurs after employment, and reimburse for reasonable expenses, including travel expenses, reasonable attorneys' fees and costs.</w:t>
      </w:r>
    </w:p>
    <w:p>
      <w:pPr>
        <w:spacing w:after="0" w:line="213"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0"/>
          <w:szCs w:val="20"/>
          <w:b w:val="1"/>
          <w:bCs w:val="1"/>
          <w:color w:val="auto"/>
        </w:rPr>
        <w:t>11.</w:t>
      </w:r>
      <w:r>
        <w:rPr>
          <w:sz w:val="20"/>
          <w:szCs w:val="20"/>
          <w:color w:val="auto"/>
        </w:rPr>
        <w:tab/>
      </w:r>
      <w:r>
        <w:rPr>
          <w:rFonts w:ascii="Times New Roman" w:cs="Times New Roman" w:eastAsia="Times New Roman" w:hAnsi="Times New Roman"/>
          <w:sz w:val="19"/>
          <w:szCs w:val="19"/>
          <w:b w:val="1"/>
          <w:bCs w:val="1"/>
          <w:color w:val="auto"/>
        </w:rPr>
        <w:t>DISPUTE RESOLUTION</w:t>
      </w:r>
    </w:p>
    <w:p>
      <w:pPr>
        <w:spacing w:after="0" w:line="256" w:lineRule="exact"/>
        <w:rPr>
          <w:sz w:val="20"/>
          <w:szCs w:val="20"/>
          <w:color w:val="auto"/>
        </w:rPr>
      </w:pPr>
    </w:p>
    <w:p>
      <w:pPr>
        <w:ind w:left="660" w:hanging="652"/>
        <w:spacing w:after="0" w:line="250" w:lineRule="auto"/>
        <w:tabs>
          <w:tab w:leader="none" w:pos="549" w:val="left"/>
        </w:tabs>
        <w:numPr>
          <w:ilvl w:val="0"/>
          <w:numId w:val="37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Injunctive Relief: </w:t>
      </w:r>
      <w:r>
        <w:rPr>
          <w:rFonts w:ascii="Times New Roman" w:cs="Times New Roman" w:eastAsia="Times New Roman" w:hAnsi="Times New Roman"/>
          <w:sz w:val="20"/>
          <w:szCs w:val="20"/>
          <w:color w:val="auto"/>
        </w:rPr>
        <w:t>Employee agrees that irreparable damages to Company will result from Employee's breach of this Agreement,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including loss of revenue, loss of goodwill associated with Employee as a result of employment, and/or loss of the benefit to Company of any training, confidential, and/or trade secret information provided to Employee, and any other tangible and intangible investments made to and on behalf of Employee. A breach or threat of breach of this Agreement shall give the non-breaching party the right to seek a temporary restraining order and a preliminary or permanent injunction enjoining the breaching party from violating this Agreement in order to prevent immediate and irreparable harm. The breaching party shall pay to the non­ breaching party reasonable attorneys' fees and costs associated with enforcement of this Agreement, including any appeals. Pursuit of equitable relief under this Agreement shall have no effect regarding the continued enforceability of the Arbitration Section below. Remedies for</w:t>
      </w:r>
    </w:p>
    <w:p>
      <w:pPr>
        <w:sectPr>
          <w:pgSz w:w="11900" w:h="16838" w:orient="portrait"/>
          <w:cols w:equalWidth="0" w:num="1">
            <w:col w:w="11240"/>
          </w:cols>
          <w:pgMar w:left="320" w:top="1440" w:right="339" w:bottom="1440" w:gutter="0" w:footer="0" w:header="0"/>
        </w:sectPr>
      </w:pPr>
    </w:p>
    <w:bookmarkStart w:id="399" w:name="page400"/>
    <w:bookmarkEnd w:id="399"/>
    <w:p>
      <w:pPr>
        <w:ind w:left="660"/>
        <w:spacing w:after="0" w:line="283" w:lineRule="auto"/>
        <w:rPr>
          <w:sz w:val="20"/>
          <w:szCs w:val="20"/>
          <w:color w:val="auto"/>
        </w:rPr>
      </w:pPr>
      <w:r>
        <w:rPr>
          <w:rFonts w:ascii="Times New Roman" w:cs="Times New Roman" w:eastAsia="Times New Roman" w:hAnsi="Times New Roman"/>
          <w:sz w:val="20"/>
          <w:szCs w:val="20"/>
          <w:color w:val="auto"/>
        </w:rPr>
        <w:t>breach under this Section are cumulative and not exclusive; the parties may elect to pursue any remedies available under this Agreement.</w:t>
      </w:r>
    </w:p>
    <w:p>
      <w:pPr>
        <w:spacing w:after="0" w:line="169" w:lineRule="exact"/>
        <w:rPr>
          <w:sz w:val="20"/>
          <w:szCs w:val="20"/>
          <w:color w:val="auto"/>
        </w:rPr>
      </w:pPr>
    </w:p>
    <w:p>
      <w:pPr>
        <w:ind w:left="660" w:hanging="652"/>
        <w:spacing w:after="0" w:line="249" w:lineRule="auto"/>
        <w:tabs>
          <w:tab w:leader="none" w:pos="473" w:val="left"/>
        </w:tabs>
        <w:numPr>
          <w:ilvl w:val="0"/>
          <w:numId w:val="37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Arbitration: </w:t>
      </w:r>
      <w:r>
        <w:rPr>
          <w:rFonts w:ascii="Times New Roman" w:cs="Times New Roman" w:eastAsia="Times New Roman" w:hAnsi="Times New Roman"/>
          <w:sz w:val="20"/>
          <w:szCs w:val="20"/>
          <w:color w:val="auto"/>
        </w:rPr>
        <w:t>The parties agree that any dispute or claim, that could be brought in court including discrimination or retaliation claims,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relating to this Agreement or arising out of Employee's employment or termination of employment, shall, upon timely written request of either party, be submitted to binding arbitration, except claims regarding: (i) workers' compensation benefits; (ii) unemployment benefits; (iii) Company's employee welfare benefit plans, if the plan contains a final and binding appeal procedure for the resolution of disputes under the plan; (iv) wage and hour disputes within the jurisdiction of any state Labor Commissioner; and (v) issues that could be brought before the National Labor Relations Board or covered by the National Labor Relations Act. </w:t>
      </w:r>
      <w:r>
        <w:rPr>
          <w:rFonts w:ascii="Times New Roman" w:cs="Times New Roman" w:eastAsia="Times New Roman" w:hAnsi="Times New Roman"/>
          <w:sz w:val="20"/>
          <w:szCs w:val="20"/>
          <w:i w:val="1"/>
          <w:iCs w:val="1"/>
          <w:color w:val="auto"/>
        </w:rPr>
        <w:t>This Agreement is not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intended to prohibit the Employee from filing a claim or communicating with any governmental agency including the Equal Employment Opportunity Commission, the National Labor Relations Board or the Department of Labor. </w:t>
      </w:r>
      <w:r>
        <w:rPr>
          <w:rFonts w:ascii="Times New Roman" w:cs="Times New Roman" w:eastAsia="Times New Roman" w:hAnsi="Times New Roman"/>
          <w:sz w:val="20"/>
          <w:szCs w:val="20"/>
          <w:color w:val="auto"/>
        </w:rPr>
        <w:t>The arbitration shall be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conducted in San Antonio, Texas. The arbitration shall proceed in accordance with the </w:t>
      </w:r>
      <w:r>
        <w:rPr>
          <w:rFonts w:ascii="Times New Roman" w:cs="Times New Roman" w:eastAsia="Times New Roman" w:hAnsi="Times New Roman"/>
          <w:sz w:val="20"/>
          <w:szCs w:val="20"/>
          <w:i w:val="1"/>
          <w:iCs w:val="1"/>
          <w:color w:val="auto"/>
        </w:rPr>
        <w:t>National Rules for Resolution of Employment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Disputes of the American Arbitration Association </w:t>
      </w:r>
      <w:r>
        <w:rPr>
          <w:rFonts w:ascii="Times New Roman" w:cs="Times New Roman" w:eastAsia="Times New Roman" w:hAnsi="Times New Roman"/>
          <w:sz w:val="20"/>
          <w:szCs w:val="20"/>
          <w:color w:val="auto"/>
        </w:rPr>
        <w:t>("AAA") in effect at the time the claim or dispute arose, unless other rules are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agreed upon by the parties. Unless agreed to in writing, the arbitration shall be conducted by one arbitrator from AAA or a comparable arbitration service, and who is selected pursuant to the National Rules for Resolution of Employment Disputes of the AAA, or other rules as the parties may agree to in writing. Any claims received after the applicable statute of limitations period shall be deemed null and void. The parties further agree that by entering into this Agreement, the right to participate in a class or collective action is waived. CLAIMS MAY BE ASSERTED AGAINST THE OTHER PARTY ONLY IN AN INDIVIDUAL CAPACITY AND NOT AS A PLAINTIFF OR CLASS MEMBER IN ANY PURPORTED CLASS OR REPRESENTATIVE PROCEEDING. Further, unless the parties agree otherwise, the arbitrator may not consolidate more than one person's claims, and may not otherwise preside over any form of a representative, collective or class proceeding. If this specific provision is found to be unenforceable, then the entirety of this arbitration provision shall be null and void.</w:t>
      </w:r>
    </w:p>
    <w:p>
      <w:pPr>
        <w:spacing w:after="0" w:line="223" w:lineRule="exact"/>
        <w:rPr>
          <w:sz w:val="20"/>
          <w:szCs w:val="20"/>
          <w:color w:val="auto"/>
        </w:rPr>
      </w:pPr>
    </w:p>
    <w:p>
      <w:pPr>
        <w:jc w:val="both"/>
        <w:ind w:left="660"/>
        <w:spacing w:after="0" w:line="253" w:lineRule="auto"/>
        <w:rPr>
          <w:sz w:val="20"/>
          <w:szCs w:val="20"/>
          <w:color w:val="auto"/>
        </w:rPr>
      </w:pPr>
      <w:r>
        <w:rPr>
          <w:rFonts w:ascii="Times New Roman" w:cs="Times New Roman" w:eastAsia="Times New Roman" w:hAnsi="Times New Roman"/>
          <w:sz w:val="20"/>
          <w:szCs w:val="20"/>
          <w:color w:val="auto"/>
        </w:rPr>
        <w:t>The arbitrator shall issue a reasoned award with findings of fact and conclusions of law. Either party may bring an action in any court of competent jurisdiction to compel arbitration under this Agreement, or to enforce or vacate an arbitration award. However, in actions seeking to vacate an award, the standard of review to be applied by said court to the arbitrator's findings of fact and conclusions of law will be the same as that applied by an appellate court reviewing a decision of a trial court sitting without a jury, unless state law requires otherwise. Company will pay the actual fee for the arbitrator and the claimant's filing fee; unless otherwise provided by law and awarded by the arbitrator, each party will pay their own attorneys' fees and other expenses.</w:t>
      </w:r>
    </w:p>
    <w:p>
      <w:pPr>
        <w:spacing w:after="0" w:line="215"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b w:val="1"/>
          <w:bCs w:val="1"/>
          <w:color w:val="auto"/>
        </w:rPr>
        <w:t>12.</w:t>
      </w:r>
      <w:r>
        <w:rPr>
          <w:sz w:val="20"/>
          <w:szCs w:val="20"/>
          <w:color w:val="auto"/>
        </w:rPr>
        <w:tab/>
      </w:r>
      <w:r>
        <w:rPr>
          <w:rFonts w:ascii="Times New Roman" w:cs="Times New Roman" w:eastAsia="Times New Roman" w:hAnsi="Times New Roman"/>
          <w:sz w:val="19"/>
          <w:szCs w:val="19"/>
          <w:b w:val="1"/>
          <w:bCs w:val="1"/>
          <w:color w:val="auto"/>
        </w:rPr>
        <w:t>REPRESENTATIONS AND WARRANTIES OF EMPLOYEE</w:t>
      </w:r>
    </w:p>
    <w:p>
      <w:pPr>
        <w:spacing w:after="0" w:line="260" w:lineRule="exact"/>
        <w:rPr>
          <w:sz w:val="20"/>
          <w:szCs w:val="20"/>
          <w:color w:val="auto"/>
        </w:rPr>
      </w:pPr>
    </w:p>
    <w:p>
      <w:pPr>
        <w:jc w:val="both"/>
        <w:ind w:left="660"/>
        <w:spacing w:after="0" w:line="270" w:lineRule="auto"/>
        <w:rPr>
          <w:sz w:val="20"/>
          <w:szCs w:val="20"/>
          <w:color w:val="auto"/>
        </w:rPr>
      </w:pPr>
      <w:r>
        <w:rPr>
          <w:rFonts w:ascii="Times New Roman" w:cs="Times New Roman" w:eastAsia="Times New Roman" w:hAnsi="Times New Roman"/>
          <w:sz w:val="19"/>
          <w:szCs w:val="19"/>
          <w:color w:val="auto"/>
        </w:rPr>
        <w:t>Employee shall keep all terms of this Agreement confidential, except as may be disclosed to Employee's spouse, accountants or attorneys, each of whom shall agree to keep all terms of this Agreement confidential. Employee represents that Employee is under no contractual or other restriction inconsistent with the execution of this Agreement, the performance of Employee's duties hereunder, or the rights of Company. Employee authorizes Company to inform any prospective employer of the existence and terms of this Agreement without liability for interference with Employee's prospective employment. Employee represents that Employee is</w:t>
      </w:r>
    </w:p>
    <w:p>
      <w:pPr>
        <w:sectPr>
          <w:pgSz w:w="11900" w:h="16838" w:orient="portrait"/>
          <w:cols w:equalWidth="0" w:num="1">
            <w:col w:w="11240"/>
          </w:cols>
          <w:pgMar w:left="320" w:top="1413" w:right="339" w:bottom="1440" w:gutter="0" w:footer="0" w:header="0"/>
        </w:sectPr>
      </w:pPr>
    </w:p>
    <w:bookmarkStart w:id="400" w:name="page401"/>
    <w:bookmarkEnd w:id="400"/>
    <w:p>
      <w:pPr>
        <w:ind w:left="660"/>
        <w:spacing w:after="0" w:line="283" w:lineRule="auto"/>
        <w:rPr>
          <w:sz w:val="20"/>
          <w:szCs w:val="20"/>
          <w:color w:val="auto"/>
        </w:rPr>
      </w:pPr>
      <w:r>
        <w:rPr>
          <w:rFonts w:ascii="Times New Roman" w:cs="Times New Roman" w:eastAsia="Times New Roman" w:hAnsi="Times New Roman"/>
          <w:sz w:val="20"/>
          <w:szCs w:val="20"/>
          <w:color w:val="auto"/>
        </w:rPr>
        <w:t>under no disability that prevents Employee from performing the essential functions of Employee's position, with or without reasonable accommodation.</w:t>
      </w:r>
    </w:p>
    <w:p>
      <w:pPr>
        <w:spacing w:after="0" w:line="169"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b w:val="1"/>
          <w:bCs w:val="1"/>
          <w:color w:val="auto"/>
        </w:rPr>
        <w:t>13.</w:t>
      </w:r>
      <w:r>
        <w:rPr>
          <w:sz w:val="20"/>
          <w:szCs w:val="20"/>
          <w:color w:val="auto"/>
        </w:rPr>
        <w:tab/>
      </w:r>
      <w:r>
        <w:rPr>
          <w:rFonts w:ascii="Times New Roman" w:cs="Times New Roman" w:eastAsia="Times New Roman" w:hAnsi="Times New Roman"/>
          <w:sz w:val="19"/>
          <w:szCs w:val="19"/>
          <w:b w:val="1"/>
          <w:bCs w:val="1"/>
          <w:color w:val="auto"/>
        </w:rPr>
        <w:t>SECTION 409A COMPLIANCE</w:t>
      </w:r>
    </w:p>
    <w:p>
      <w:pPr>
        <w:spacing w:after="0" w:line="256" w:lineRule="exact"/>
        <w:rPr>
          <w:sz w:val="20"/>
          <w:szCs w:val="20"/>
          <w:color w:val="auto"/>
        </w:rPr>
      </w:pPr>
    </w:p>
    <w:p>
      <w:pPr>
        <w:ind w:left="660" w:hanging="652"/>
        <w:spacing w:after="0" w:line="264" w:lineRule="auto"/>
        <w:tabs>
          <w:tab w:leader="none" w:pos="505" w:val="left"/>
        </w:tabs>
        <w:numPr>
          <w:ilvl w:val="0"/>
          <w:numId w:val="376"/>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General. </w:t>
      </w:r>
      <w:r>
        <w:rPr>
          <w:rFonts w:ascii="Times New Roman" w:cs="Times New Roman" w:eastAsia="Times New Roman" w:hAnsi="Times New Roman"/>
          <w:sz w:val="19"/>
          <w:szCs w:val="19"/>
          <w:color w:val="auto"/>
        </w:rPr>
        <w:t>The parties hereto acknowledge and agree that, to the extent applicable, this Agreement shall be interpreted in accordance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with, and incorporate the terms and conditions required by, Section 409A of the Internal Revenue Code of 1986, as amended (the </w:t>
      </w:r>
      <w:r>
        <w:rPr>
          <w:rFonts w:ascii="Times New Roman" w:cs="Times New Roman" w:eastAsia="Times New Roman" w:hAnsi="Times New Roman"/>
          <w:sz w:val="19"/>
          <w:szCs w:val="19"/>
          <w:u w:val="single" w:color="auto"/>
          <w:color w:val="auto"/>
        </w:rPr>
        <w:t>"Code")</w:t>
      </w:r>
      <w:r>
        <w:rPr>
          <w:rFonts w:ascii="Times New Roman" w:cs="Times New Roman" w:eastAsia="Times New Roman" w:hAnsi="Times New Roman"/>
          <w:sz w:val="19"/>
          <w:szCs w:val="19"/>
          <w:color w:val="auto"/>
        </w:rPr>
        <w:t xml:space="preserve"> and the Department of Treasury Regulations and other interpretive guidance issued thereunder, including without limitation any such regulations or other guidance that may be issued after the date hereof. Notwithstanding any provision of this Agreement to the contrary, in the event that Company determines that any amounts payable hereunder will be taxable currently to the Employee under Section 409A(a)(l)(A) of the Code and related Department of Treasury guidance, Company and the Employee shall cooperate in good faith to (i) adopt such amendments to this Agreement and appropriate policies and procedures, including amendments and policies with retroactive effect, that they mutually determine to be necessary or appropriate to preserve the intended tax treatment of the benefits provided by this Agreement, to preserve the economic benefits of this Agreement, and to avoid less-favorable accounting or tax consequences for Company, and/or (ii) take such other actions as mutually determined to be necessary or appropriate to exempt the amounts payable hereunder from Section 409A of the Code or to comply with the requirements of Section 409A of the Code and thereby avoid the application of penalty taxes thereunder; provided, however, that this Section does not create an obligation on the part of Company to modify this Agreement or any other agreement, arrangement or plan and does not guarantee that the amounts payable hereunder will not be subject to interest or penalties under Section 409A, and in no event whatsoever shall Company or any of its affiliates be liable for any additional tax, interest, or penalties that may be imposed on Employee as a result of Section 409A of the Code or any damages for failing to comply with Section 409A of the Code.</w:t>
      </w:r>
    </w:p>
    <w:p>
      <w:pPr>
        <w:spacing w:after="0" w:line="191" w:lineRule="exact"/>
        <w:rPr>
          <w:rFonts w:ascii="Times New Roman" w:cs="Times New Roman" w:eastAsia="Times New Roman" w:hAnsi="Times New Roman"/>
          <w:sz w:val="19"/>
          <w:szCs w:val="19"/>
          <w:b w:val="1"/>
          <w:bCs w:val="1"/>
          <w:color w:val="auto"/>
        </w:rPr>
      </w:pPr>
    </w:p>
    <w:p>
      <w:pPr>
        <w:ind w:left="660" w:hanging="652"/>
        <w:spacing w:after="0" w:line="250" w:lineRule="auto"/>
        <w:tabs>
          <w:tab w:leader="none" w:pos="527" w:val="left"/>
        </w:tabs>
        <w:numPr>
          <w:ilvl w:val="0"/>
          <w:numId w:val="37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Separation from Service under Section 409A. </w:t>
      </w:r>
      <w:r>
        <w:rPr>
          <w:rFonts w:ascii="Times New Roman" w:cs="Times New Roman" w:eastAsia="Times New Roman" w:hAnsi="Times New Roman"/>
          <w:sz w:val="20"/>
          <w:szCs w:val="20"/>
          <w:color w:val="auto"/>
        </w:rPr>
        <w:t>Notwithstanding any provision to the contrary in this Agreement: (i) no Severance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Payments shall be payable unless the termination of the Employee's employment constitutes a "separation from service" within the meaning of Section l.409A-l(h) of the Department of Treasury Regulations; (ii) if the Employee is deemed at the time of Employee's separation from service to be a "specified employee" for purposes of Section 409A(a)(2)(B)(i) of the Code, to the extent that delayed commencement of any portion of the Severance Payments (after taking into account all exclusions applicable to such Severance Payment under Section 409A) is required in order to avoid a prohibited distribution under Section 409A(a)(2)(B)(i) of the Code, such portion of the Severance Payments shall not be provided to the Employee prior to the earlier of (A) the expiration of the six-month period measured from the date of the Employee's "separation from service" with Company (as such term is defined in the Department of Treasury Regulations issued under Section 409A) and (B) the date of the Employee's death; provided, that upon the earlier of such dates, all payments deferred pursuant to this Section 18(b) shall be paid to the Employee in a lump sum, and any remaining Severance Payments shall be paid as otherwise provided herein; (iii) the determination of whether the Employee is a "specified employee" for purposes of Section 409A(a)(2)(B)(i) of the Code as of the time of Employee's separation from service shall be made by Company in accordance with the terms of Section 409A of the Code and applicable guidance thereunder (including, without limitation, Section 1.409A-l(i) of the Department of Treasury Regulations and any successor provision thereto); (iv) for purposes of Section 409A of the Code, the Employee's right to receive installment payments of the Severance Payments shall be treated as a right to receive a series of</w:t>
      </w:r>
    </w:p>
    <w:p>
      <w:pPr>
        <w:sectPr>
          <w:pgSz w:w="11900" w:h="16838" w:orient="portrait"/>
          <w:cols w:equalWidth="0" w:num="1">
            <w:col w:w="11240"/>
          </w:cols>
          <w:pgMar w:left="320" w:top="1413" w:right="339" w:bottom="1440" w:gutter="0" w:footer="0" w:header="0"/>
        </w:sectPr>
      </w:pPr>
    </w:p>
    <w:bookmarkStart w:id="401" w:name="page402"/>
    <w:bookmarkEnd w:id="401"/>
    <w:p>
      <w:pPr>
        <w:jc w:val="both"/>
        <w:ind w:left="660"/>
        <w:spacing w:after="0" w:line="253" w:lineRule="auto"/>
        <w:rPr>
          <w:sz w:val="20"/>
          <w:szCs w:val="20"/>
          <w:color w:val="auto"/>
        </w:rPr>
      </w:pPr>
      <w:r>
        <w:rPr>
          <w:rFonts w:ascii="Times New Roman" w:cs="Times New Roman" w:eastAsia="Times New Roman" w:hAnsi="Times New Roman"/>
          <w:sz w:val="20"/>
          <w:szCs w:val="20"/>
          <w:color w:val="auto"/>
        </w:rPr>
        <w:t>separate and distinct payments; and (v) to the extent that any reimbursement of expenses or in-kind benefits constitutes "deferred compensation" under Section 409A, such reimbursement or benefit shall be provided no later than December 31 of the year following the year in which the expense was incurred. The amount of expenses reimbursed in one year shall not affect the amount eligible for reimbursement in any subsequent year. The amount of any in-kind benefits provided in one year shall not affect the amount of in-kind benefits provided in any other year. Reimbursements and in-kind benefits are not subject to liquidation or exchange for another benefit.</w:t>
      </w:r>
    </w:p>
    <w:p>
      <w:pPr>
        <w:spacing w:after="0" w:line="215"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0"/>
          <w:szCs w:val="20"/>
          <w:b w:val="1"/>
          <w:bCs w:val="1"/>
          <w:color w:val="auto"/>
        </w:rPr>
        <w:t>14.</w:t>
      </w:r>
      <w:r>
        <w:rPr>
          <w:sz w:val="20"/>
          <w:szCs w:val="20"/>
          <w:color w:val="auto"/>
        </w:rPr>
        <w:tab/>
      </w:r>
      <w:r>
        <w:rPr>
          <w:rFonts w:ascii="Times New Roman" w:cs="Times New Roman" w:eastAsia="Times New Roman" w:hAnsi="Times New Roman"/>
          <w:sz w:val="19"/>
          <w:szCs w:val="19"/>
          <w:b w:val="1"/>
          <w:bCs w:val="1"/>
          <w:color w:val="auto"/>
        </w:rPr>
        <w:t>WITHHOLDING</w:t>
      </w:r>
    </w:p>
    <w:p>
      <w:pPr>
        <w:spacing w:after="0" w:line="247"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20"/>
          <w:szCs w:val="20"/>
          <w:color w:val="auto"/>
        </w:rPr>
        <w:t>Company shall be entitled to withhold from any amounts payable under this Agreement any federal, state, local, and foreign withholding and other taxes and charges that Company is required to withhold. Company shall be entitled to rely on an opinion of counsel if any questions as to the amount or requirement of withholding shall arise.</w:t>
      </w:r>
    </w:p>
    <w:p>
      <w:pPr>
        <w:spacing w:after="0" w:line="204"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b w:val="1"/>
          <w:bCs w:val="1"/>
          <w:color w:val="auto"/>
        </w:rPr>
        <w:t>15.</w:t>
      </w:r>
      <w:r>
        <w:rPr>
          <w:sz w:val="20"/>
          <w:szCs w:val="20"/>
          <w:color w:val="auto"/>
        </w:rPr>
        <w:tab/>
      </w:r>
      <w:r>
        <w:rPr>
          <w:rFonts w:ascii="Times New Roman" w:cs="Times New Roman" w:eastAsia="Times New Roman" w:hAnsi="Times New Roman"/>
          <w:sz w:val="19"/>
          <w:szCs w:val="19"/>
          <w:b w:val="1"/>
          <w:bCs w:val="1"/>
          <w:color w:val="auto"/>
        </w:rPr>
        <w:t>EXCESS PARACHUTE PAYMENTS</w:t>
      </w:r>
    </w:p>
    <w:p>
      <w:pPr>
        <w:spacing w:after="0" w:line="260" w:lineRule="exact"/>
        <w:rPr>
          <w:sz w:val="20"/>
          <w:szCs w:val="20"/>
          <w:color w:val="auto"/>
        </w:rPr>
      </w:pPr>
    </w:p>
    <w:p>
      <w:pPr>
        <w:jc w:val="both"/>
        <w:ind w:left="660"/>
        <w:spacing w:after="0" w:line="249" w:lineRule="auto"/>
        <w:rPr>
          <w:sz w:val="20"/>
          <w:szCs w:val="20"/>
          <w:color w:val="auto"/>
        </w:rPr>
      </w:pPr>
      <w:r>
        <w:rPr>
          <w:rFonts w:ascii="Times New Roman" w:cs="Times New Roman" w:eastAsia="Times New Roman" w:hAnsi="Times New Roman"/>
          <w:sz w:val="20"/>
          <w:szCs w:val="20"/>
          <w:color w:val="auto"/>
        </w:rPr>
        <w:t xml:space="preserve">If it is determined (as hereafter provided) that any payment or distribution by Company to or for the benefit of Employee, whether paid or payable or distributed or distributable pursuant to the terms of this Agreement or otherwise pursuant to or by reason of any other agreement, policy, plan, program, or arrangement, including without limitation any stock option, stock appreciation right, or similar right, or the lapse or termination of any restriction on or the vesting or exercisability of any of the foregoing (a </w:t>
      </w:r>
      <w:r>
        <w:rPr>
          <w:rFonts w:ascii="Times New Roman" w:cs="Times New Roman" w:eastAsia="Times New Roman" w:hAnsi="Times New Roman"/>
          <w:sz w:val="20"/>
          <w:szCs w:val="20"/>
          <w:u w:val="single" w:color="auto"/>
          <w:color w:val="auto"/>
        </w:rPr>
        <w:t>"Payment"),</w:t>
      </w:r>
      <w:r>
        <w:rPr>
          <w:rFonts w:ascii="Times New Roman" w:cs="Times New Roman" w:eastAsia="Times New Roman" w:hAnsi="Times New Roman"/>
          <w:sz w:val="20"/>
          <w:szCs w:val="20"/>
          <w:color w:val="auto"/>
        </w:rPr>
        <w:t xml:space="preserve"> would be subject to the excise tax imposed by Section 4999 of the Code (or any successor provision thereto) by reason of being contingent on a change in ownership or effective control of Company or of a substantial portion of the assets of Company, within the meaning of Section 280G of the Code (or any successor provision thereto), or to any similar tax imposed by state or local law, or any interest or penalties with respect to such excise tax (such tax or taxes, together with any such interest or penalties, are hereafter collectively referred to as the </w:t>
      </w:r>
      <w:r>
        <w:rPr>
          <w:rFonts w:ascii="Times New Roman" w:cs="Times New Roman" w:eastAsia="Times New Roman" w:hAnsi="Times New Roman"/>
          <w:sz w:val="20"/>
          <w:szCs w:val="20"/>
          <w:u w:val="single" w:color="auto"/>
          <w:color w:val="auto"/>
        </w:rPr>
        <w:t>"Excise Tax"),</w:t>
      </w:r>
      <w:r>
        <w:rPr>
          <w:rFonts w:ascii="Times New Roman" w:cs="Times New Roman" w:eastAsia="Times New Roman" w:hAnsi="Times New Roman"/>
          <w:sz w:val="20"/>
          <w:szCs w:val="20"/>
          <w:color w:val="auto"/>
        </w:rPr>
        <w:t xml:space="preserve"> then, in the event that the after-tax value of all Payments to Employee (such after-tax value to reflect the reduction for the Excise Tax and all federal, state, and local income, employment, and other taxes on such Payments) would, in the aggregate, be less than the after-tax value to Employee (reflecting a reduction for all such taxes in a like manner) of the amount that is 2.99 times Employee's "base amount" within the meaning of Section 280G(b)(3) of the Code (the </w:t>
      </w:r>
      <w:r>
        <w:rPr>
          <w:rFonts w:ascii="Times New Roman" w:cs="Times New Roman" w:eastAsia="Times New Roman" w:hAnsi="Times New Roman"/>
          <w:sz w:val="20"/>
          <w:szCs w:val="20"/>
          <w:u w:val="single" w:color="auto"/>
          <w:color w:val="auto"/>
        </w:rPr>
        <w:t>"Safe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Harbor Amount"),</w:t>
      </w:r>
      <w:r>
        <w:rPr>
          <w:rFonts w:ascii="Times New Roman" w:cs="Times New Roman" w:eastAsia="Times New Roman" w:hAnsi="Times New Roman"/>
          <w:sz w:val="20"/>
          <w:szCs w:val="20"/>
          <w:color w:val="auto"/>
        </w:rPr>
        <w:t xml:space="preserve"> (a) the cash portions of the Payments payable to Employee under this Agreement shall be reduced, in the reverse order in which they are due to be paid commencing with the latest such payment, until the Parachute Value (as defined below) of all Payments paid to Employee, in the aggregate, equals the Safe Harbor Amount, and (b) if the reduction of the cash portions of the Payments, payable under this Agreement, to zero would not be sufficient to reduce the Parachute Value of all Payments to the Safe Harbor Amount, then any cash portions of the Payments payable to Employee under any other agreements, policies, plans, programs, or arrangements shall be reduced, in the reverse order in which they are due to be paid commencing with the latest such payment, until the Parachute Value of all Payments paid to Employee, in the aggregate, equals the Safe Harbor Amount, and (c) if the reduction of all cash portions of the Payments, payable pursuant to this Agreement or otherwise, to zero would not be sufficient to reduce the Parachute Value of all Payments to the Safe Harbor Amount, then non-cash portions of the Payments shall be reduced, in the reverse order in which they are due to be paid commencing with the latest such payment, until the Parachute Value of all Payments paid to Employee, in the aggregate, equals the Safe</w:t>
      </w:r>
    </w:p>
    <w:p>
      <w:pPr>
        <w:sectPr>
          <w:pgSz w:w="11900" w:h="16838" w:orient="portrait"/>
          <w:cols w:equalWidth="0" w:num="1">
            <w:col w:w="11240"/>
          </w:cols>
          <w:pgMar w:left="320" w:top="1413" w:right="339" w:bottom="1440" w:gutter="0" w:footer="0" w:header="0"/>
        </w:sectPr>
      </w:pPr>
    </w:p>
    <w:bookmarkStart w:id="402" w:name="page403"/>
    <w:bookmarkEnd w:id="402"/>
    <w:p>
      <w:pPr>
        <w:jc w:val="both"/>
        <w:ind w:left="660"/>
        <w:spacing w:after="0" w:line="253" w:lineRule="auto"/>
        <w:rPr>
          <w:sz w:val="20"/>
          <w:szCs w:val="20"/>
          <w:color w:val="auto"/>
        </w:rPr>
      </w:pPr>
      <w:r>
        <w:rPr>
          <w:rFonts w:ascii="Times New Roman" w:cs="Times New Roman" w:eastAsia="Times New Roman" w:hAnsi="Times New Roman"/>
          <w:sz w:val="20"/>
          <w:szCs w:val="20"/>
          <w:color w:val="auto"/>
        </w:rPr>
        <w:t xml:space="preserve">Harbor Amount. All calculations under this Section shall be determined by a national accounting firm selected by Company (which may include Company's outside auditors). Company shall pay all costs to obtain and provide such calculations to Employee and Company. For purposes of this Agreement, the </w:t>
      </w:r>
      <w:r>
        <w:rPr>
          <w:rFonts w:ascii="Times New Roman" w:cs="Times New Roman" w:eastAsia="Times New Roman" w:hAnsi="Times New Roman"/>
          <w:sz w:val="20"/>
          <w:szCs w:val="20"/>
          <w:u w:val="single" w:color="auto"/>
          <w:color w:val="auto"/>
        </w:rPr>
        <w:t>"Parachute Value"</w:t>
      </w:r>
      <w:r>
        <w:rPr>
          <w:rFonts w:ascii="Times New Roman" w:cs="Times New Roman" w:eastAsia="Times New Roman" w:hAnsi="Times New Roman"/>
          <w:sz w:val="20"/>
          <w:szCs w:val="20"/>
          <w:color w:val="auto"/>
        </w:rPr>
        <w:t xml:space="preserve"> of a Payment shall mean the present value as of the date of the change in ownership or effective control, within the meaning of Section 280G of the Code, of the portion of such Payment that constitutes a "parachute payment" under Section 280G(b)(2) of the Code, as determined for purposes of determining whether and to what extent the Excise Tax will apply to such Payment.</w:t>
      </w:r>
    </w:p>
    <w:p>
      <w:pPr>
        <w:spacing w:after="0" w:line="215"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b w:val="1"/>
          <w:bCs w:val="1"/>
          <w:color w:val="auto"/>
        </w:rPr>
        <w:t>16.</w:t>
      </w:r>
      <w:r>
        <w:rPr>
          <w:sz w:val="20"/>
          <w:szCs w:val="20"/>
          <w:color w:val="auto"/>
        </w:rPr>
        <w:tab/>
      </w:r>
      <w:r>
        <w:rPr>
          <w:rFonts w:ascii="Times New Roman" w:cs="Times New Roman" w:eastAsia="Times New Roman" w:hAnsi="Times New Roman"/>
          <w:sz w:val="19"/>
          <w:szCs w:val="19"/>
          <w:b w:val="1"/>
          <w:bCs w:val="1"/>
          <w:color w:val="auto"/>
        </w:rPr>
        <w:t>MISCELLANEOUS</w:t>
      </w:r>
    </w:p>
    <w:p>
      <w:pPr>
        <w:spacing w:after="0" w:line="247" w:lineRule="exact"/>
        <w:rPr>
          <w:sz w:val="20"/>
          <w:szCs w:val="20"/>
          <w:color w:val="auto"/>
        </w:rPr>
      </w:pPr>
    </w:p>
    <w:p>
      <w:pPr>
        <w:jc w:val="both"/>
        <w:ind w:left="660"/>
        <w:spacing w:after="0" w:line="249" w:lineRule="auto"/>
        <w:rPr>
          <w:sz w:val="20"/>
          <w:szCs w:val="20"/>
          <w:color w:val="auto"/>
        </w:rPr>
      </w:pPr>
      <w:r>
        <w:rPr>
          <w:rFonts w:ascii="Times New Roman" w:cs="Times New Roman" w:eastAsia="Times New Roman" w:hAnsi="Times New Roman"/>
          <w:sz w:val="20"/>
          <w:szCs w:val="20"/>
          <w:color w:val="auto"/>
        </w:rPr>
        <w:t>This Agreement is not effective unless fully executed by all parties, including by an authorized officer of Company, and approved by the Compensation Committee as required by Company or its affiliates. This Agreement may not be modified, amended, or terminated except by an instrument in writing signed by Employee and an authorized officer of Company that expressly identifies the amended provision of this Agreement. This Agreement contains the entire agreement of the parties on the subject matters in this agreement and supersedes any prior written or oral agreements or understandings between the parties. No modification shall be valid unless in writing and signed by the parties. This Agreement may be executed in counterparts, a counterpart transmitted via electronic means, and all executed counterparts, when taken together, shall constitute sufficient proof of the parties' entry into this Agreement. The parties agree to execute any further or future documents which may be necessary to allow the full performance of this Agreement. The failure of a party to require performance of any provision of this Agreement shall not affect the right of such party to later enforce any provision. A waiver of the breach of any term or condition of this Agreement shall not be deemed a waiver of any subsequent breach of the same or any other term or condition. The headings in this Agreement are inserted for convenience of reference only and shall not control the meaning of any provision hereof. If any provision of this Agreement is held to be illegal, invalid, or unenforceable under present or future laws effective during the term of this Agreement, such provision shall be fully severable, this Agreement shall be construed and enforced as if such illegal, invalid, or unenforceable provision were never a part of this Agreement, and the remaining provisions of this Agreement shall remain in full force and effect and shall not be affected by the illegal, invalid, or unenforceable provision or by its severance from this Agreement. Furthermore, in lieu of such illegal, invalid, or unenforceable provision, there shall be added automatically as part of this Agreement a provision as similar in terms to such illegal, invalid, or unenforceable provision as may be possible and be legal, valid, and enforceable.</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[SIGNATURE PAGE FOLLOWS]</w:t>
      </w:r>
    </w:p>
    <w:p>
      <w:pPr>
        <w:sectPr>
          <w:pgSz w:w="11900" w:h="16838" w:orient="portrait"/>
          <w:cols w:equalWidth="0" w:num="1">
            <w:col w:w="11240"/>
          </w:cols>
          <w:pgMar w:left="320" w:top="1413" w:right="339" w:bottom="1440" w:gutter="0" w:footer="0" w:header="0"/>
        </w:sectPr>
      </w:pPr>
    </w:p>
    <w:bookmarkStart w:id="403" w:name="page404"/>
    <w:bookmarkEnd w:id="403"/>
    <w:p>
      <w:pPr>
        <w:ind w:left="660"/>
        <w:spacing w:after="0"/>
        <w:rPr>
          <w:sz w:val="20"/>
          <w:szCs w:val="20"/>
          <w:color w:val="auto"/>
        </w:rPr>
      </w:pPr>
      <w:r>
        <w:rPr>
          <w:rFonts w:ascii="Times New Roman" w:cs="Times New Roman" w:eastAsia="Times New Roman" w:hAnsi="Times New Roman"/>
          <w:sz w:val="19"/>
          <w:szCs w:val="19"/>
          <w:color w:val="151515"/>
        </w:rPr>
        <w:t>Upon full execution by all parties, this Agreement shall be effective on the date set forth above.</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51515"/>
        </w:rPr>
        <w:t>EMPLOYEE:</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151515"/>
        </w:rPr>
        <w:t>/s/ Srinivas Koushik</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51515"/>
        </w:rPr>
        <w:t>SRINIVAS KOUSHIK</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51515"/>
        </w:rPr>
        <w:t>COMPANY:</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51515"/>
        </w:rPr>
        <w:t>Rackspace US, Inc.</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151515"/>
        </w:rPr>
        <w:t>/s/ Holly B. Windham</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51515"/>
        </w:rPr>
        <w:t>Holly B. Windham</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51515"/>
        </w:rPr>
        <w:t>EVP, Chief People and Legal Officer</w:t>
      </w:r>
    </w:p>
    <w:p>
      <w:pPr>
        <w:sectPr>
          <w:pgSz w:w="11900" w:h="16838" w:orient="portrait"/>
          <w:cols w:equalWidth="0" w:num="1">
            <w:col w:w="10019"/>
          </w:cols>
          <w:pgMar w:left="440" w:top="1413" w:right="1440" w:bottom="1440" w:gutter="0" w:footer="0" w:header="0"/>
        </w:sectPr>
      </w:pPr>
    </w:p>
    <w:bookmarkStart w:id="404" w:name="page405"/>
    <w:bookmarkEnd w:id="404"/>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Exhibit 10.41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41910</wp:posOffset>
            </wp:positionV>
            <wp:extent cx="565785" cy="7118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33">
                      <a:extLst>
                        <a:ext uri="{28A0092B-C50C-407E-A947-70E740481C1C}"/>
                      </a:extLst>
                    </a:blip>
                    <a:srcRect/>
                    <a:stretch>
                      <a:fillRect/>
                    </a:stretch>
                  </pic:blipFill>
                  <pic:spPr bwMode="auto">
                    <a:xfrm>
                      <a:off x="0" y="0"/>
                      <a:ext cx="565785" cy="711835"/>
                    </a:xfrm>
                    <a:prstGeom prst="rect">
                      <a:avLst/>
                    </a:prstGeom>
                    <a:noFill/>
                  </pic:spPr>
                </pic:pic>
              </a:graphicData>
            </a:graphic>
          </wp:anchor>
        </w:drawing>
      </w:r>
    </w:p>
    <w:p>
      <w:pPr>
        <w:spacing w:after="0" w:line="382" w:lineRule="exact"/>
        <w:rPr>
          <w:sz w:val="20"/>
          <w:szCs w:val="20"/>
          <w:color w:val="auto"/>
        </w:rPr>
      </w:pPr>
    </w:p>
    <w:p>
      <w:pPr>
        <w:jc w:val="right"/>
        <w:ind w:right="40"/>
        <w:spacing w:after="0"/>
        <w:rPr>
          <w:sz w:val="20"/>
          <w:szCs w:val="20"/>
          <w:color w:val="auto"/>
        </w:rPr>
      </w:pPr>
      <w:r>
        <w:rPr>
          <w:rFonts w:ascii="Arial" w:cs="Arial" w:eastAsia="Arial" w:hAnsi="Arial"/>
          <w:sz w:val="22"/>
          <w:szCs w:val="22"/>
          <w:b w:val="1"/>
          <w:bCs w:val="1"/>
          <w:color w:val="auto"/>
        </w:rPr>
        <w:t>RACKSPACE TECHNOLOGY, INC.</w:t>
      </w:r>
    </w:p>
    <w:p>
      <w:pPr>
        <w:spacing w:after="0" w:line="26" w:lineRule="exact"/>
        <w:rPr>
          <w:sz w:val="20"/>
          <w:szCs w:val="20"/>
          <w:color w:val="auto"/>
        </w:rPr>
      </w:pPr>
    </w:p>
    <w:p>
      <w:pPr>
        <w:ind w:left="5620"/>
        <w:spacing w:after="0"/>
        <w:rPr>
          <w:sz w:val="20"/>
          <w:szCs w:val="20"/>
          <w:color w:val="auto"/>
        </w:rPr>
      </w:pPr>
      <w:r>
        <w:rPr>
          <w:rFonts w:ascii="Arial" w:cs="Arial" w:eastAsia="Arial" w:hAnsi="Arial"/>
          <w:sz w:val="21"/>
          <w:szCs w:val="21"/>
          <w:b w:val="1"/>
          <w:bCs w:val="1"/>
          <w:color w:val="auto"/>
        </w:rPr>
        <w:t>NON-EMPLOYEE DIRECTOR COMPENSATION POLICY</w:t>
      </w:r>
    </w:p>
    <w:p>
      <w:pPr>
        <w:sectPr>
          <w:pgSz w:w="11900" w:h="16838" w:orient="portrait"/>
          <w:cols w:equalWidth="0" w:num="1">
            <w:col w:w="11260"/>
          </w:cols>
          <w:pgMar w:left="320" w:top="114"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Policy Number:</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Effective Date:</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Last Review:</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Document Owner: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January 1, 2025</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February 26, 2025</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w:t>
      </w:r>
    </w:p>
    <w:p>
      <w:pPr>
        <w:spacing w:after="0" w:line="207" w:lineRule="exact"/>
        <w:rPr>
          <w:sz w:val="20"/>
          <w:szCs w:val="20"/>
          <w:color w:val="auto"/>
        </w:rPr>
      </w:pPr>
    </w:p>
    <w:p>
      <w:pPr>
        <w:sectPr>
          <w:pgSz w:w="11900" w:h="16838" w:orient="portrait"/>
          <w:cols w:equalWidth="0" w:num="2">
            <w:col w:w="1580" w:space="680"/>
            <w:col w:w="9000"/>
          </w:cols>
          <w:pgMar w:left="320" w:top="114" w:right="319" w:bottom="1440" w:gutter="0" w:footer="0" w:header="0"/>
          <w:type w:val="continuous"/>
        </w:sectPr>
      </w:pPr>
    </w:p>
    <w:p>
      <w:pPr>
        <w:spacing w:after="0" w:line="120" w:lineRule="exact"/>
        <w:rPr>
          <w:sz w:val="20"/>
          <w:szCs w:val="20"/>
          <w:color w:val="auto"/>
        </w:rPr>
      </w:pPr>
    </w:p>
    <w:p>
      <w:pPr>
        <w:ind w:left="660" w:hanging="652"/>
        <w:spacing w:after="0"/>
        <w:tabs>
          <w:tab w:leader="none" w:pos="660" w:val="left"/>
        </w:tabs>
        <w:numPr>
          <w:ilvl w:val="0"/>
          <w:numId w:val="377"/>
        </w:numPr>
        <w:rPr>
          <w:rFonts w:ascii="Arial" w:cs="Arial" w:eastAsia="Arial" w:hAnsi="Arial"/>
          <w:sz w:val="22"/>
          <w:szCs w:val="22"/>
          <w:b w:val="1"/>
          <w:bCs w:val="1"/>
          <w:color w:val="auto"/>
        </w:rPr>
      </w:pPr>
      <w:r>
        <w:rPr>
          <w:rFonts w:ascii="Arial" w:cs="Arial" w:eastAsia="Arial" w:hAnsi="Arial"/>
          <w:sz w:val="22"/>
          <w:szCs w:val="22"/>
          <w:b w:val="1"/>
          <w:bCs w:val="1"/>
          <w:color w:val="auto"/>
        </w:rPr>
        <w:t>General</w:t>
      </w:r>
    </w:p>
    <w:p>
      <w:pPr>
        <w:spacing w:after="0" w:line="240"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20"/>
          <w:szCs w:val="20"/>
          <w:color w:val="auto"/>
        </w:rPr>
        <w:t>This Non-Employee Director Compensation Policy (the “Policy”), sets forth the cash and equity-based compensation that has been approved by the board of directors (the “Board”) of Rackspace Technology, Inc., a Delaware corporation (the “Company”), as payable to eligible non-employee members of the board of directors of the Company (“Non-Employee Directors”).</w:t>
      </w:r>
    </w:p>
    <w:p>
      <w:pPr>
        <w:spacing w:after="0" w:line="209" w:lineRule="exact"/>
        <w:rPr>
          <w:sz w:val="20"/>
          <w:szCs w:val="20"/>
          <w:color w:val="auto"/>
        </w:rPr>
      </w:pPr>
    </w:p>
    <w:p>
      <w:pPr>
        <w:jc w:val="both"/>
        <w:ind w:right="40" w:firstLine="648"/>
        <w:spacing w:after="0" w:line="298" w:lineRule="auto"/>
        <w:rPr>
          <w:sz w:val="20"/>
          <w:szCs w:val="20"/>
          <w:color w:val="auto"/>
        </w:rPr>
      </w:pPr>
      <w:r>
        <w:rPr>
          <w:rFonts w:ascii="Arial" w:cs="Arial" w:eastAsia="Arial" w:hAnsi="Arial"/>
          <w:sz w:val="19"/>
          <w:szCs w:val="19"/>
          <w:color w:val="auto"/>
        </w:rPr>
        <w:t>The cash and equity-based compensation described in this Policy shall be paid or be made, as applicable, automatically and without further action of the Board, to each Non-Employee Director who is eligible to receive such compensation.</w:t>
      </w:r>
    </w:p>
    <w:p>
      <w:pPr>
        <w:spacing w:after="0" w:line="173" w:lineRule="exact"/>
        <w:rPr>
          <w:sz w:val="20"/>
          <w:szCs w:val="20"/>
          <w:color w:val="auto"/>
        </w:rPr>
      </w:pPr>
    </w:p>
    <w:p>
      <w:pPr>
        <w:jc w:val="both"/>
        <w:ind w:right="20" w:firstLine="648"/>
        <w:spacing w:after="0" w:line="254" w:lineRule="auto"/>
        <w:rPr>
          <w:sz w:val="20"/>
          <w:szCs w:val="20"/>
          <w:color w:val="auto"/>
        </w:rPr>
      </w:pPr>
      <w:r>
        <w:rPr>
          <w:rFonts w:ascii="Arial" w:cs="Arial" w:eastAsia="Arial" w:hAnsi="Arial"/>
          <w:sz w:val="20"/>
          <w:szCs w:val="20"/>
          <w:color w:val="auto"/>
        </w:rPr>
        <w:t>Any member of the Board who is employed by a party who was a stockholder of the Company prior to the date of the initial public offering of the Company’s common stock to the public pursuant to an effective registration statement under the U.S. Securities Act of 1933, as amended (the “IPO Date”) shall not be considered an eligible Non-Employee Director and shall not be entitled to receipt of compensation under this Policy. This Policy shall remain in effect until it is revised or rescinded by further action of the Board.</w:t>
      </w:r>
    </w:p>
    <w:p>
      <w:pPr>
        <w:spacing w:after="0" w:line="221" w:lineRule="exact"/>
        <w:rPr>
          <w:sz w:val="20"/>
          <w:szCs w:val="20"/>
          <w:color w:val="auto"/>
        </w:rPr>
      </w:pPr>
    </w:p>
    <w:p>
      <w:pPr>
        <w:ind w:left="640" w:hanging="632"/>
        <w:spacing w:after="0"/>
        <w:tabs>
          <w:tab w:leader="none" w:pos="640" w:val="left"/>
        </w:tabs>
        <w:numPr>
          <w:ilvl w:val="0"/>
          <w:numId w:val="378"/>
        </w:numPr>
        <w:rPr>
          <w:rFonts w:ascii="Arial" w:cs="Arial" w:eastAsia="Arial" w:hAnsi="Arial"/>
          <w:sz w:val="22"/>
          <w:szCs w:val="22"/>
          <w:b w:val="1"/>
          <w:bCs w:val="1"/>
          <w:color w:val="auto"/>
        </w:rPr>
      </w:pPr>
      <w:r>
        <w:rPr>
          <w:rFonts w:ascii="Arial" w:cs="Arial" w:eastAsia="Arial" w:hAnsi="Arial"/>
          <w:sz w:val="22"/>
          <w:szCs w:val="22"/>
          <w:b w:val="1"/>
          <w:bCs w:val="1"/>
          <w:color w:val="auto"/>
        </w:rPr>
        <w:t>Cash Compensation</w:t>
      </w:r>
    </w:p>
    <w:p>
      <w:pPr>
        <w:spacing w:after="0" w:line="240" w:lineRule="exact"/>
        <w:rPr>
          <w:sz w:val="20"/>
          <w:szCs w:val="20"/>
          <w:color w:val="auto"/>
        </w:rPr>
      </w:pPr>
    </w:p>
    <w:p>
      <w:pPr>
        <w:ind w:left="660" w:right="40" w:hanging="652"/>
        <w:spacing w:after="0" w:line="286" w:lineRule="auto"/>
        <w:tabs>
          <w:tab w:leader="none" w:pos="649" w:val="left"/>
        </w:tabs>
        <w:numPr>
          <w:ilvl w:val="0"/>
          <w:numId w:val="379"/>
        </w:numPr>
        <w:rPr>
          <w:rFonts w:ascii="Arial" w:cs="Arial" w:eastAsia="Arial" w:hAnsi="Arial"/>
          <w:sz w:val="20"/>
          <w:szCs w:val="20"/>
          <w:color w:val="auto"/>
        </w:rPr>
      </w:pPr>
      <w:r>
        <w:rPr>
          <w:rFonts w:ascii="Arial" w:cs="Arial" w:eastAsia="Arial" w:hAnsi="Arial"/>
          <w:sz w:val="20"/>
          <w:szCs w:val="20"/>
          <w:u w:val="single" w:color="auto"/>
          <w:color w:val="auto"/>
        </w:rPr>
        <w:t>Annual Cash Retainers</w:t>
      </w:r>
      <w:r>
        <w:rPr>
          <w:rFonts w:ascii="Arial" w:cs="Arial" w:eastAsia="Arial" w:hAnsi="Arial"/>
          <w:sz w:val="20"/>
          <w:szCs w:val="20"/>
          <w:color w:val="auto"/>
        </w:rPr>
        <w:t>. Each Non-Employee Director shall receive an annual cash retainer of $100,000 for service on the Board.</w:t>
      </w:r>
    </w:p>
    <w:p>
      <w:pPr>
        <w:spacing w:after="0" w:line="167" w:lineRule="exact"/>
        <w:rPr>
          <w:rFonts w:ascii="Arial" w:cs="Arial" w:eastAsia="Arial" w:hAnsi="Arial"/>
          <w:sz w:val="20"/>
          <w:szCs w:val="20"/>
          <w:color w:val="auto"/>
        </w:rPr>
      </w:pPr>
    </w:p>
    <w:p>
      <w:pPr>
        <w:ind w:left="660" w:right="40" w:hanging="652"/>
        <w:spacing w:after="0" w:line="286" w:lineRule="auto"/>
        <w:tabs>
          <w:tab w:leader="none" w:pos="649" w:val="left"/>
        </w:tabs>
        <w:numPr>
          <w:ilvl w:val="0"/>
          <w:numId w:val="379"/>
        </w:numPr>
        <w:rPr>
          <w:rFonts w:ascii="Arial" w:cs="Arial" w:eastAsia="Arial" w:hAnsi="Arial"/>
          <w:sz w:val="20"/>
          <w:szCs w:val="20"/>
          <w:color w:val="auto"/>
        </w:rPr>
      </w:pPr>
      <w:r>
        <w:rPr>
          <w:rFonts w:ascii="Arial" w:cs="Arial" w:eastAsia="Arial" w:hAnsi="Arial"/>
          <w:sz w:val="20"/>
          <w:szCs w:val="20"/>
          <w:u w:val="single" w:color="auto"/>
          <w:color w:val="auto"/>
        </w:rPr>
        <w:t>Additional Cash Retainers</w:t>
      </w:r>
      <w:r>
        <w:rPr>
          <w:rFonts w:ascii="Arial" w:cs="Arial" w:eastAsia="Arial" w:hAnsi="Arial"/>
          <w:sz w:val="20"/>
          <w:szCs w:val="20"/>
          <w:color w:val="auto"/>
        </w:rPr>
        <w:t>. In addition, Non-Employee Directors shall receive the following additional annual cash retainers corresponding to each position they hold:</w:t>
      </w:r>
    </w:p>
    <w:p>
      <w:pPr>
        <w:spacing w:after="0" w:line="196" w:lineRule="exact"/>
        <w:rPr>
          <w:sz w:val="20"/>
          <w:szCs w:val="20"/>
          <w:color w:val="auto"/>
        </w:rPr>
      </w:pPr>
    </w:p>
    <w:tbl>
      <w:tblPr>
        <w:tblLayout w:type="fixed"/>
        <w:tblInd w:w="810" w:type="dxa"/>
        <w:tblCellMar>
          <w:top w:w="0" w:type="dxa"/>
          <w:left w:w="0" w:type="dxa"/>
          <w:bottom w:w="0" w:type="dxa"/>
          <w:right w:w="0" w:type="dxa"/>
        </w:tblCellMar>
      </w:tblPr>
      <w:tr>
        <w:trPr>
          <w:trHeight w:val="206"/>
        </w:trPr>
        <w:tc>
          <w:tcPr>
            <w:tcW w:w="8080" w:type="dxa"/>
            <w:vAlign w:val="bottom"/>
            <w:tcBorders>
              <w:top w:val="single" w:sz="8" w:color="auto"/>
              <w:left w:val="single" w:sz="8" w:color="auto"/>
              <w:right w:val="single" w:sz="8" w:color="auto"/>
            </w:tcBorders>
            <w:vMerge w:val="restart"/>
          </w:tcPr>
          <w:p>
            <w:pPr>
              <w:ind w:left="40"/>
              <w:spacing w:after="0"/>
              <w:rPr>
                <w:sz w:val="20"/>
                <w:szCs w:val="20"/>
                <w:color w:val="auto"/>
              </w:rPr>
            </w:pPr>
            <w:r>
              <w:rPr>
                <w:rFonts w:ascii="Arial" w:cs="Arial" w:eastAsia="Arial" w:hAnsi="Arial"/>
                <w:sz w:val="20"/>
                <w:szCs w:val="20"/>
                <w:b w:val="1"/>
                <w:bCs w:val="1"/>
                <w:color w:val="auto"/>
              </w:rPr>
              <w:t>Non-Employee Director Position</w:t>
            </w:r>
          </w:p>
        </w:tc>
        <w:tc>
          <w:tcPr>
            <w:tcW w:w="2380" w:type="dxa"/>
            <w:vAlign w:val="bottom"/>
            <w:tcBorders>
              <w:top w:val="single" w:sz="8" w:color="auto"/>
              <w:right w:val="single" w:sz="8" w:color="auto"/>
            </w:tcBorders>
          </w:tcPr>
          <w:p>
            <w:pPr>
              <w:jc w:val="center"/>
              <w:spacing w:after="0" w:line="206" w:lineRule="exact"/>
              <w:rPr>
                <w:sz w:val="20"/>
                <w:szCs w:val="20"/>
                <w:color w:val="auto"/>
              </w:rPr>
            </w:pPr>
            <w:r>
              <w:rPr>
                <w:rFonts w:ascii="Arial" w:cs="Arial" w:eastAsia="Arial" w:hAnsi="Arial"/>
                <w:sz w:val="20"/>
                <w:szCs w:val="20"/>
                <w:b w:val="1"/>
                <w:bCs w:val="1"/>
                <w:color w:val="auto"/>
              </w:rPr>
              <w:t>Additional</w:t>
            </w:r>
          </w:p>
        </w:tc>
        <w:tc>
          <w:tcPr>
            <w:tcW w:w="0" w:type="dxa"/>
            <w:vAlign w:val="bottom"/>
          </w:tcPr>
          <w:p>
            <w:pPr>
              <w:spacing w:after="0"/>
              <w:rPr>
                <w:sz w:val="1"/>
                <w:szCs w:val="1"/>
                <w:color w:val="auto"/>
              </w:rPr>
            </w:pPr>
          </w:p>
        </w:tc>
      </w:tr>
      <w:tr>
        <w:trPr>
          <w:trHeight w:val="202"/>
        </w:trPr>
        <w:tc>
          <w:tcPr>
            <w:tcW w:w="8080" w:type="dxa"/>
            <w:vAlign w:val="bottom"/>
            <w:tcBorders>
              <w:left w:val="single" w:sz="8" w:color="auto"/>
              <w:right w:val="single" w:sz="8" w:color="auto"/>
            </w:tcBorders>
            <w:vMerge w:val="continue"/>
          </w:tcPr>
          <w:p>
            <w:pPr>
              <w:spacing w:after="0"/>
              <w:rPr>
                <w:sz w:val="17"/>
                <w:szCs w:val="17"/>
                <w:color w:val="auto"/>
              </w:rPr>
            </w:pPr>
          </w:p>
        </w:tc>
        <w:tc>
          <w:tcPr>
            <w:tcW w:w="2380" w:type="dxa"/>
            <w:vAlign w:val="bottom"/>
            <w:tcBorders>
              <w:right w:val="single" w:sz="8" w:color="auto"/>
            </w:tcBorders>
          </w:tcPr>
          <w:p>
            <w:pPr>
              <w:jc w:val="center"/>
              <w:spacing w:after="0" w:line="203" w:lineRule="exact"/>
              <w:rPr>
                <w:sz w:val="20"/>
                <w:szCs w:val="20"/>
                <w:color w:val="auto"/>
              </w:rPr>
            </w:pPr>
            <w:r>
              <w:rPr>
                <w:rFonts w:ascii="Arial" w:cs="Arial" w:eastAsia="Arial" w:hAnsi="Arial"/>
                <w:sz w:val="20"/>
                <w:szCs w:val="20"/>
                <w:b w:val="1"/>
                <w:bCs w:val="1"/>
                <w:color w:val="auto"/>
                <w:w w:val="97"/>
              </w:rPr>
              <w:t>Annual</w:t>
            </w:r>
          </w:p>
        </w:tc>
        <w:tc>
          <w:tcPr>
            <w:tcW w:w="0" w:type="dxa"/>
            <w:vAlign w:val="bottom"/>
          </w:tcPr>
          <w:p>
            <w:pPr>
              <w:spacing w:after="0"/>
              <w:rPr>
                <w:sz w:val="1"/>
                <w:szCs w:val="1"/>
                <w:color w:val="auto"/>
              </w:rPr>
            </w:pPr>
          </w:p>
        </w:tc>
      </w:tr>
      <w:tr>
        <w:trPr>
          <w:trHeight w:val="253"/>
        </w:trPr>
        <w:tc>
          <w:tcPr>
            <w:tcW w:w="8080" w:type="dxa"/>
            <w:vAlign w:val="bottom"/>
            <w:tcBorders>
              <w:left w:val="single" w:sz="8" w:color="auto"/>
              <w:bottom w:val="single" w:sz="8" w:color="auto"/>
              <w:right w:val="single" w:sz="8" w:color="auto"/>
            </w:tcBorders>
          </w:tcPr>
          <w:p>
            <w:pPr>
              <w:spacing w:after="0"/>
              <w:rPr>
                <w:sz w:val="22"/>
                <w:szCs w:val="22"/>
                <w:color w:val="auto"/>
              </w:rPr>
            </w:pP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7"/>
              </w:rPr>
              <w:t>Retainer</w:t>
            </w:r>
          </w:p>
        </w:tc>
        <w:tc>
          <w:tcPr>
            <w:tcW w:w="0" w:type="dxa"/>
            <w:vAlign w:val="bottom"/>
          </w:tcPr>
          <w:p>
            <w:pPr>
              <w:spacing w:after="0"/>
              <w:rPr>
                <w:sz w:val="1"/>
                <w:szCs w:val="1"/>
                <w:color w:val="auto"/>
              </w:rPr>
            </w:pPr>
          </w:p>
        </w:tc>
      </w:tr>
      <w:tr>
        <w:trPr>
          <w:trHeight w:val="250"/>
        </w:trPr>
        <w:tc>
          <w:tcPr>
            <w:tcW w:w="80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Non-Executive Chairman (if CEO is not Chairman of the Board)</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6"/>
              </w:rPr>
              <w:t>$70,000</w:t>
            </w:r>
          </w:p>
        </w:tc>
        <w:tc>
          <w:tcPr>
            <w:tcW w:w="0" w:type="dxa"/>
            <w:vAlign w:val="bottom"/>
          </w:tcPr>
          <w:p>
            <w:pPr>
              <w:spacing w:after="0"/>
              <w:rPr>
                <w:sz w:val="1"/>
                <w:szCs w:val="1"/>
                <w:color w:val="auto"/>
              </w:rPr>
            </w:pPr>
          </w:p>
        </w:tc>
      </w:tr>
      <w:tr>
        <w:trPr>
          <w:trHeight w:val="250"/>
        </w:trPr>
        <w:tc>
          <w:tcPr>
            <w:tcW w:w="80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Lead Director (if CEO is Chairman of the of the Board)</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6"/>
              </w:rPr>
              <w:t>$30,000</w:t>
            </w:r>
          </w:p>
        </w:tc>
        <w:tc>
          <w:tcPr>
            <w:tcW w:w="0" w:type="dxa"/>
            <w:vAlign w:val="bottom"/>
          </w:tcPr>
          <w:p>
            <w:pPr>
              <w:spacing w:after="0"/>
              <w:rPr>
                <w:sz w:val="1"/>
                <w:szCs w:val="1"/>
                <w:color w:val="auto"/>
              </w:rPr>
            </w:pPr>
          </w:p>
        </w:tc>
      </w:tr>
      <w:tr>
        <w:trPr>
          <w:trHeight w:val="250"/>
        </w:trPr>
        <w:tc>
          <w:tcPr>
            <w:tcW w:w="80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Audit Committee Chair Fee</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6"/>
              </w:rPr>
              <w:t>$30,000</w:t>
            </w:r>
          </w:p>
        </w:tc>
        <w:tc>
          <w:tcPr>
            <w:tcW w:w="0" w:type="dxa"/>
            <w:vAlign w:val="bottom"/>
          </w:tcPr>
          <w:p>
            <w:pPr>
              <w:spacing w:after="0"/>
              <w:rPr>
                <w:sz w:val="1"/>
                <w:szCs w:val="1"/>
                <w:color w:val="auto"/>
              </w:rPr>
            </w:pPr>
          </w:p>
        </w:tc>
      </w:tr>
      <w:tr>
        <w:trPr>
          <w:trHeight w:val="250"/>
        </w:trPr>
        <w:tc>
          <w:tcPr>
            <w:tcW w:w="80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Compensation Committee Chair Fee</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6"/>
              </w:rPr>
              <w:t>$20,000</w:t>
            </w:r>
          </w:p>
        </w:tc>
        <w:tc>
          <w:tcPr>
            <w:tcW w:w="0" w:type="dxa"/>
            <w:vAlign w:val="bottom"/>
          </w:tcPr>
          <w:p>
            <w:pPr>
              <w:spacing w:after="0"/>
              <w:rPr>
                <w:sz w:val="1"/>
                <w:szCs w:val="1"/>
                <w:color w:val="auto"/>
              </w:rPr>
            </w:pPr>
          </w:p>
        </w:tc>
      </w:tr>
      <w:tr>
        <w:trPr>
          <w:trHeight w:val="250"/>
        </w:trPr>
        <w:tc>
          <w:tcPr>
            <w:tcW w:w="80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Nominating and Corporate Governance Committee Chair Fee</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6"/>
              </w:rPr>
              <w:t>$15,000</w:t>
            </w:r>
          </w:p>
        </w:tc>
        <w:tc>
          <w:tcPr>
            <w:tcW w:w="0" w:type="dxa"/>
            <w:vAlign w:val="bottom"/>
          </w:tcPr>
          <w:p>
            <w:pPr>
              <w:spacing w:after="0"/>
              <w:rPr>
                <w:sz w:val="1"/>
                <w:szCs w:val="1"/>
                <w:color w:val="auto"/>
              </w:rPr>
            </w:pPr>
          </w:p>
        </w:tc>
      </w:tr>
      <w:tr>
        <w:trPr>
          <w:trHeight w:val="250"/>
        </w:trPr>
        <w:tc>
          <w:tcPr>
            <w:tcW w:w="80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Executive Committee Chair Fee</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6"/>
              </w:rPr>
              <w:t>$20,000</w:t>
            </w:r>
          </w:p>
        </w:tc>
        <w:tc>
          <w:tcPr>
            <w:tcW w:w="0" w:type="dxa"/>
            <w:vAlign w:val="bottom"/>
          </w:tcPr>
          <w:p>
            <w:pPr>
              <w:spacing w:after="0"/>
              <w:rPr>
                <w:sz w:val="1"/>
                <w:szCs w:val="1"/>
                <w:color w:val="auto"/>
              </w:rPr>
            </w:pPr>
          </w:p>
        </w:tc>
      </w:tr>
      <w:tr>
        <w:trPr>
          <w:trHeight w:val="250"/>
        </w:trPr>
        <w:tc>
          <w:tcPr>
            <w:tcW w:w="80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Audit Committee Member Fee</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6"/>
              </w:rPr>
              <w:t>$20,000</w:t>
            </w:r>
          </w:p>
        </w:tc>
        <w:tc>
          <w:tcPr>
            <w:tcW w:w="0" w:type="dxa"/>
            <w:vAlign w:val="bottom"/>
          </w:tcPr>
          <w:p>
            <w:pPr>
              <w:spacing w:after="0"/>
              <w:rPr>
                <w:sz w:val="1"/>
                <w:szCs w:val="1"/>
                <w:color w:val="auto"/>
              </w:rPr>
            </w:pPr>
          </w:p>
        </w:tc>
      </w:tr>
      <w:tr>
        <w:trPr>
          <w:trHeight w:val="250"/>
        </w:trPr>
        <w:tc>
          <w:tcPr>
            <w:tcW w:w="80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Compensation Committee Member Fee</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6"/>
              </w:rPr>
              <w:t>$15,000</w:t>
            </w:r>
          </w:p>
        </w:tc>
        <w:tc>
          <w:tcPr>
            <w:tcW w:w="0" w:type="dxa"/>
            <w:vAlign w:val="bottom"/>
          </w:tcPr>
          <w:p>
            <w:pPr>
              <w:spacing w:after="0"/>
              <w:rPr>
                <w:sz w:val="1"/>
                <w:szCs w:val="1"/>
                <w:color w:val="auto"/>
              </w:rPr>
            </w:pPr>
          </w:p>
        </w:tc>
      </w:tr>
      <w:tr>
        <w:trPr>
          <w:trHeight w:val="250"/>
        </w:trPr>
        <w:tc>
          <w:tcPr>
            <w:tcW w:w="80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Nominating and Corporate Governance Committee Member Fee</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6"/>
              </w:rPr>
              <w:t>$15,000</w:t>
            </w:r>
          </w:p>
        </w:tc>
        <w:tc>
          <w:tcPr>
            <w:tcW w:w="0" w:type="dxa"/>
            <w:vAlign w:val="bottom"/>
          </w:tcPr>
          <w:p>
            <w:pPr>
              <w:spacing w:after="0"/>
              <w:rPr>
                <w:sz w:val="1"/>
                <w:szCs w:val="1"/>
                <w:color w:val="auto"/>
              </w:rPr>
            </w:pPr>
          </w:p>
        </w:tc>
      </w:tr>
      <w:tr>
        <w:trPr>
          <w:trHeight w:val="250"/>
        </w:trPr>
        <w:tc>
          <w:tcPr>
            <w:tcW w:w="80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Executive Committee Member Fee</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6"/>
              </w:rPr>
              <w:t>$10,000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wp:posOffset>
            </wp:positionH>
            <wp:positionV relativeFrom="paragraph">
              <wp:posOffset>557530</wp:posOffset>
            </wp:positionV>
            <wp:extent cx="1183005" cy="3600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34">
                      <a:extLst>
                        <a:ext uri="{28A0092B-C50C-407E-A947-70E740481C1C}"/>
                      </a:extLst>
                    </a:blip>
                    <a:srcRect/>
                    <a:stretch>
                      <a:fillRect/>
                    </a:stretch>
                  </pic:blipFill>
                  <pic:spPr bwMode="auto">
                    <a:xfrm>
                      <a:off x="0" y="0"/>
                      <a:ext cx="1183005"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1120"/>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260"/>
          </w:cols>
          <w:pgMar w:left="320" w:top="114" w:right="319" w:bottom="1440" w:gutter="0" w:footer="0" w:header="0"/>
          <w:type w:val="continuous"/>
        </w:sectPr>
      </w:pPr>
    </w:p>
    <w:bookmarkStart w:id="405" w:name="page406"/>
    <w:bookmarkEnd w:id="405"/>
    <w:p>
      <w:pPr>
        <w:jc w:val="both"/>
        <w:ind w:left="660" w:hanging="652"/>
        <w:spacing w:after="0" w:line="254" w:lineRule="auto"/>
        <w:tabs>
          <w:tab w:leader="none" w:pos="652" w:val="left"/>
        </w:tabs>
        <w:numPr>
          <w:ilvl w:val="0"/>
          <w:numId w:val="380"/>
        </w:numPr>
        <w:rPr>
          <w:rFonts w:ascii="Arial" w:cs="Arial" w:eastAsia="Arial" w:hAnsi="Arial"/>
          <w:sz w:val="20"/>
          <w:szCs w:val="20"/>
          <w:color w:val="auto"/>
        </w:rPr>
      </w:pPr>
      <w:r>
        <w:rPr>
          <w:rFonts w:ascii="Arial" w:cs="Arial" w:eastAsia="Arial" w:hAnsi="Arial"/>
          <w:sz w:val="20"/>
          <w:szCs w:val="20"/>
          <w:u w:val="single" w:color="auto"/>
          <w:color w:val="auto"/>
        </w:rPr>
        <w:t>Payment of Cash Retainers</w:t>
      </w:r>
      <w:r>
        <w:rPr>
          <w:rFonts w:ascii="Arial" w:cs="Arial" w:eastAsia="Arial" w:hAnsi="Arial"/>
          <w:sz w:val="20"/>
          <w:szCs w:val="20"/>
          <w:color w:val="auto"/>
        </w:rPr>
        <w:t>. The annual retainer fees and additional annual retainer fees described in Section II shall be earned on a quarterly basis based on a calendar quarter and shall be paid by the Company in arrears within ten (10) days following the end of the applicable quarter. In the event that a Non-Employee Director does not serve as a Non-Employee Director, or in the applicable position or on the applicable committee described in Section II for an entire calendar quarter, the retainer paid to such Non-Employee Director shall be prorated for the portion of such calendar quarter actually served as a Non-Employee Director, in such position or on such committee, as applicable.</w:t>
      </w:r>
    </w:p>
    <w:p>
      <w:pPr>
        <w:spacing w:after="0" w:line="220" w:lineRule="exact"/>
        <w:rPr>
          <w:sz w:val="20"/>
          <w:szCs w:val="20"/>
          <w:color w:val="auto"/>
        </w:rPr>
      </w:pPr>
    </w:p>
    <w:p>
      <w:pPr>
        <w:ind w:left="660" w:hanging="652"/>
        <w:spacing w:after="0"/>
        <w:tabs>
          <w:tab w:leader="none" w:pos="660" w:val="left"/>
        </w:tabs>
        <w:numPr>
          <w:ilvl w:val="0"/>
          <w:numId w:val="381"/>
        </w:numPr>
        <w:rPr>
          <w:rFonts w:ascii="Arial" w:cs="Arial" w:eastAsia="Arial" w:hAnsi="Arial"/>
          <w:sz w:val="22"/>
          <w:szCs w:val="22"/>
          <w:b w:val="1"/>
          <w:bCs w:val="1"/>
          <w:color w:val="auto"/>
        </w:rPr>
      </w:pPr>
      <w:r>
        <w:rPr>
          <w:rFonts w:ascii="Arial" w:cs="Arial" w:eastAsia="Arial" w:hAnsi="Arial"/>
          <w:sz w:val="22"/>
          <w:szCs w:val="22"/>
          <w:b w:val="1"/>
          <w:bCs w:val="1"/>
          <w:color w:val="auto"/>
        </w:rPr>
        <w:t>Equity Compensation</w:t>
      </w:r>
    </w:p>
    <w:p>
      <w:pPr>
        <w:spacing w:after="0" w:line="24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0"/>
          <w:szCs w:val="20"/>
          <w:color w:val="auto"/>
        </w:rPr>
        <w:t>Non-Employee Directors shall be granted the equity awards described below in this Section III. The awards shall be granted under and shall be subject to the terms and provisions of the Rackspace Technology, Inc. 2020 Equity Incentive Plan (the “Equity Plan”) and shall be granted subject to an award agreement in substantially the same form approved by the Board prior to or as of the grant date, setting forth the terms of the award (the “Award Terms”), consistent with the Equity Plan, which may include provisions for accelerated vesting of the equity award in certain circumstances. For purposes of this Section III, the number of shares subject to any restricted stock unit award will be determined by dividing the grant date dollar value specified under subsection (a), (b) or (c) hereof by the volume weighted average closing price (“VWAP”) of the Company’s common stock as reported for the thirty (30) consecutive trading days prior to and including the grant date (rounded down to the nearest whole number of units).</w:t>
      </w:r>
    </w:p>
    <w:p>
      <w:pPr>
        <w:spacing w:after="0" w:line="203" w:lineRule="exact"/>
        <w:rPr>
          <w:sz w:val="20"/>
          <w:szCs w:val="20"/>
          <w:color w:val="auto"/>
        </w:rPr>
      </w:pPr>
    </w:p>
    <w:p>
      <w:pPr>
        <w:jc w:val="both"/>
        <w:ind w:left="660" w:hanging="652"/>
        <w:spacing w:after="0" w:line="254" w:lineRule="auto"/>
        <w:tabs>
          <w:tab w:leader="none" w:pos="649" w:val="left"/>
        </w:tabs>
        <w:numPr>
          <w:ilvl w:val="0"/>
          <w:numId w:val="382"/>
        </w:numPr>
        <w:rPr>
          <w:rFonts w:ascii="Arial" w:cs="Arial" w:eastAsia="Arial" w:hAnsi="Arial"/>
          <w:sz w:val="20"/>
          <w:szCs w:val="20"/>
          <w:color w:val="auto"/>
        </w:rPr>
      </w:pPr>
      <w:r>
        <w:rPr>
          <w:rFonts w:ascii="Arial" w:cs="Arial" w:eastAsia="Arial" w:hAnsi="Arial"/>
          <w:sz w:val="20"/>
          <w:szCs w:val="20"/>
          <w:u w:val="single" w:color="auto"/>
          <w:color w:val="auto"/>
        </w:rPr>
        <w:t>Annual Equity Award</w:t>
      </w:r>
      <w:r>
        <w:rPr>
          <w:rFonts w:ascii="Arial" w:cs="Arial" w:eastAsia="Arial" w:hAnsi="Arial"/>
          <w:sz w:val="20"/>
          <w:szCs w:val="20"/>
          <w:color w:val="auto"/>
        </w:rPr>
        <w:t>. On the day of each annual meeting of the Company’s stockholders, each person elected to serve as a Non-Employee Director shall be automatically granted a restricted stock unit award with a grant date value equal to $200,000 (the “Annual Equity Award”). The Annual Equity Award shall vest on the date of the Company’s next subsequent annual meeting of stockholders following the applicable grant date, or the one-year anniversary of the award (whichever comes first).</w:t>
      </w:r>
    </w:p>
    <w:p>
      <w:pPr>
        <w:spacing w:after="0" w:line="214" w:lineRule="exact"/>
        <w:rPr>
          <w:rFonts w:ascii="Arial" w:cs="Arial" w:eastAsia="Arial" w:hAnsi="Arial"/>
          <w:sz w:val="20"/>
          <w:szCs w:val="20"/>
          <w:color w:val="auto"/>
        </w:rPr>
      </w:pPr>
    </w:p>
    <w:p>
      <w:pPr>
        <w:jc w:val="both"/>
        <w:ind w:left="660" w:hanging="652"/>
        <w:spacing w:after="0" w:line="252" w:lineRule="auto"/>
        <w:tabs>
          <w:tab w:leader="none" w:pos="649" w:val="left"/>
        </w:tabs>
        <w:numPr>
          <w:ilvl w:val="0"/>
          <w:numId w:val="382"/>
        </w:numPr>
        <w:rPr>
          <w:rFonts w:ascii="Arial" w:cs="Arial" w:eastAsia="Arial" w:hAnsi="Arial"/>
          <w:sz w:val="20"/>
          <w:szCs w:val="20"/>
          <w:color w:val="auto"/>
        </w:rPr>
      </w:pPr>
      <w:r>
        <w:rPr>
          <w:rFonts w:ascii="Arial" w:cs="Arial" w:eastAsia="Arial" w:hAnsi="Arial"/>
          <w:sz w:val="20"/>
          <w:szCs w:val="20"/>
          <w:u w:val="single" w:color="auto"/>
          <w:color w:val="auto"/>
        </w:rPr>
        <w:t>Pro-Rated Annual Equity Award</w:t>
      </w:r>
      <w:r>
        <w:rPr>
          <w:rFonts w:ascii="Arial" w:cs="Arial" w:eastAsia="Arial" w:hAnsi="Arial"/>
          <w:sz w:val="20"/>
          <w:szCs w:val="20"/>
          <w:color w:val="auto"/>
        </w:rPr>
        <w:t>. On the day of a person's initial appointment as a Non-Employee Director, and provided such person has not otherwise received an Annual Equity Award for the relevant year under Section 3(a), the Non-Employee Director shall be automatically granted a restricted stock unit award with a grant date value equal to $200,000, multiplied by a fraction, the numerator of which is 365 less the number of days that have elapsed between the date of the Company's last annual meeting of stockholders and the date of the Non-Employee Director's initial appointment, and the denominator of which is 365 (the "Pro-Rated Award"). The Pro-Rated Award shall vest on the date of the Company's next subsequent annual meeting of stockholders following the date of the Non-Employee Director's appointment to the Board.</w:t>
      </w:r>
    </w:p>
    <w:p>
      <w:pPr>
        <w:spacing w:after="0" w:line="214" w:lineRule="exact"/>
        <w:rPr>
          <w:rFonts w:ascii="Arial" w:cs="Arial" w:eastAsia="Arial" w:hAnsi="Arial"/>
          <w:sz w:val="20"/>
          <w:szCs w:val="20"/>
          <w:color w:val="auto"/>
        </w:rPr>
      </w:pPr>
    </w:p>
    <w:p>
      <w:pPr>
        <w:jc w:val="both"/>
        <w:ind w:left="660" w:hanging="652"/>
        <w:spacing w:after="0" w:line="254" w:lineRule="auto"/>
        <w:tabs>
          <w:tab w:leader="none" w:pos="652" w:val="left"/>
        </w:tabs>
        <w:numPr>
          <w:ilvl w:val="0"/>
          <w:numId w:val="382"/>
        </w:numPr>
        <w:rPr>
          <w:rFonts w:ascii="Arial" w:cs="Arial" w:eastAsia="Arial" w:hAnsi="Arial"/>
          <w:sz w:val="20"/>
          <w:szCs w:val="20"/>
          <w:color w:val="auto"/>
        </w:rPr>
      </w:pPr>
      <w:r>
        <w:rPr>
          <w:rFonts w:ascii="Arial" w:cs="Arial" w:eastAsia="Arial" w:hAnsi="Arial"/>
          <w:sz w:val="20"/>
          <w:szCs w:val="20"/>
          <w:u w:val="single" w:color="auto"/>
          <w:color w:val="auto"/>
        </w:rPr>
        <w:t>Non-Executive Chairman Equity Award</w:t>
      </w:r>
      <w:r>
        <w:rPr>
          <w:rFonts w:ascii="Arial" w:cs="Arial" w:eastAsia="Arial" w:hAnsi="Arial"/>
          <w:sz w:val="20"/>
          <w:szCs w:val="20"/>
          <w:color w:val="auto"/>
        </w:rPr>
        <w:t>. In the event that the Chairman of the Board is an eligible Non-Employee Director (and is not the Company’s Chief Executive Officer), on the day following such Non-Employee Director’s election to serve as Chairman of the Board, the Non-Employee Director shall be automatically granted an additional restricted stock unit award with a grant date value equal to $50,000 (the “Non-Executive Chairman Equity Award”); provided, however, that if the Non- Employee Director’s election to serve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wp:posOffset>
            </wp:positionH>
            <wp:positionV relativeFrom="paragraph">
              <wp:posOffset>338455</wp:posOffset>
            </wp:positionV>
            <wp:extent cx="1183005" cy="3600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35">
                      <a:extLst>
                        <a:ext uri="{28A0092B-C50C-407E-A947-70E740481C1C}"/>
                      </a:extLst>
                    </a:blip>
                    <a:srcRect/>
                    <a:stretch>
                      <a:fillRect/>
                    </a:stretch>
                  </pic:blipFill>
                  <pic:spPr bwMode="auto">
                    <a:xfrm>
                      <a:off x="0" y="0"/>
                      <a:ext cx="1183005"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1120"/>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40"/>
          </w:cols>
          <w:pgMar w:left="320" w:top="1414" w:right="339" w:bottom="1440" w:gutter="0" w:footer="0" w:header="0"/>
        </w:sectPr>
      </w:pPr>
    </w:p>
    <w:bookmarkStart w:id="406" w:name="page407"/>
    <w:bookmarkEnd w:id="406"/>
    <w:p>
      <w:pPr>
        <w:jc w:val="both"/>
        <w:ind w:left="660"/>
        <w:spacing w:after="0" w:line="286" w:lineRule="auto"/>
        <w:rPr>
          <w:sz w:val="20"/>
          <w:szCs w:val="20"/>
          <w:color w:val="auto"/>
        </w:rPr>
      </w:pPr>
      <w:r>
        <w:rPr>
          <w:rFonts w:ascii="Arial" w:cs="Arial" w:eastAsia="Arial" w:hAnsi="Arial"/>
          <w:sz w:val="20"/>
          <w:szCs w:val="20"/>
          <w:color w:val="auto"/>
        </w:rPr>
        <w:t>as Chairman of the Board occurs at a time other than at the Company’s annual meeting of stockholders, the Non-Executive Chairman Equity Award shall be pro-rated in the same manner as provided for under Section 3(b).</w:t>
      </w:r>
    </w:p>
    <w:p>
      <w:pPr>
        <w:spacing w:after="0" w:line="167" w:lineRule="exact"/>
        <w:rPr>
          <w:sz w:val="20"/>
          <w:szCs w:val="20"/>
          <w:color w:val="auto"/>
        </w:rPr>
      </w:pPr>
    </w:p>
    <w:p>
      <w:pPr>
        <w:jc w:val="both"/>
        <w:ind w:left="660"/>
        <w:spacing w:after="0" w:line="258" w:lineRule="auto"/>
        <w:rPr>
          <w:sz w:val="20"/>
          <w:szCs w:val="20"/>
          <w:color w:val="auto"/>
        </w:rPr>
      </w:pPr>
      <w:r>
        <w:rPr>
          <w:rFonts w:ascii="Arial" w:cs="Arial" w:eastAsia="Arial" w:hAnsi="Arial"/>
          <w:sz w:val="20"/>
          <w:szCs w:val="20"/>
          <w:color w:val="auto"/>
        </w:rPr>
        <w:t>For each year that the Non-Employee Director continues to serve as Chairman of the Board, he or she will automatically receive an additional Non- Executive Chairman Equity Award on the day of the Company’s annual meeting of stockholders. Each Non-Executive Chairman Equity Award shall vest on the date of the Company’s next subsequent annual meeting of stockholders following the applicable grant date, or the one-year anniversary of the award (whichever comes first).</w:t>
      </w:r>
    </w:p>
    <w:p>
      <w:pPr>
        <w:spacing w:after="0" w:line="201" w:lineRule="exact"/>
        <w:rPr>
          <w:sz w:val="20"/>
          <w:szCs w:val="20"/>
          <w:color w:val="auto"/>
        </w:rPr>
      </w:pPr>
    </w:p>
    <w:p>
      <w:pPr>
        <w:spacing w:after="0"/>
        <w:tabs>
          <w:tab w:leader="none" w:pos="620" w:val="left"/>
        </w:tabs>
        <w:rPr>
          <w:sz w:val="20"/>
          <w:szCs w:val="20"/>
          <w:color w:val="auto"/>
        </w:rPr>
      </w:pPr>
      <w:r>
        <w:rPr>
          <w:rFonts w:ascii="Arial" w:cs="Arial" w:eastAsia="Arial" w:hAnsi="Arial"/>
          <w:sz w:val="22"/>
          <w:szCs w:val="22"/>
          <w:b w:val="1"/>
          <w:bCs w:val="1"/>
          <w:color w:val="auto"/>
        </w:rPr>
        <w:t>IV.</w:t>
      </w:r>
      <w:r>
        <w:rPr>
          <w:sz w:val="20"/>
          <w:szCs w:val="20"/>
          <w:color w:val="auto"/>
        </w:rPr>
        <w:tab/>
      </w:r>
      <w:r>
        <w:rPr>
          <w:rFonts w:ascii="Arial" w:cs="Arial" w:eastAsia="Arial" w:hAnsi="Arial"/>
          <w:sz w:val="22"/>
          <w:szCs w:val="22"/>
          <w:b w:val="1"/>
          <w:bCs w:val="1"/>
          <w:color w:val="auto"/>
        </w:rPr>
        <w:t>Optional Director Equity Election</w:t>
      </w:r>
    </w:p>
    <w:p>
      <w:pPr>
        <w:spacing w:after="0" w:line="24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0"/>
          <w:szCs w:val="20"/>
          <w:color w:val="auto"/>
        </w:rPr>
        <w:t>In connection with the annual meeting of stockholders each year, the Company will offer each Non-Employee Director the opportunity to elect to receive the cash compensation described in Section II in the form of common stock for the upcoming annual term (the “Optional Director Equity Election”).</w:t>
      </w:r>
    </w:p>
    <w:p>
      <w:pPr>
        <w:spacing w:after="0" w:line="18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9"/>
          <w:szCs w:val="19"/>
          <w:color w:val="auto"/>
        </w:rPr>
        <w:t>To make the Optional Director Equity Election, a Non-Employee Director shall execute and return to the Company his or her election substantially in the form of Exhibit A on or prior to the annual stockholder meeting each year, or as may otherwise be specified by the Company from time to time. If an election form is not received on or prior to the annual stockholder meeting, the cash compensation for the upcoming annual term will be paid to each director in accordance with Section II.</w:t>
      </w:r>
    </w:p>
    <w:p>
      <w:pPr>
        <w:spacing w:after="0" w:line="193"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0"/>
          <w:szCs w:val="20"/>
          <w:color w:val="auto"/>
        </w:rPr>
        <w:t>If a Non-Employee Director makes the Optional Director Equity Election, the grant date dollar value of each award of common stock shall be equal to the amount of cash compensation otherwise payable to the Non-Employee Director in accordance with Section II for each applicable quarter, payable quarterly in arrears according to the following schedule:</w:t>
      </w:r>
    </w:p>
    <w:p>
      <w:pPr>
        <w:spacing w:after="0" w:line="230" w:lineRule="exact"/>
        <w:rPr>
          <w:sz w:val="20"/>
          <w:szCs w:val="20"/>
          <w:color w:val="auto"/>
        </w:rPr>
      </w:pPr>
    </w:p>
    <w:tbl>
      <w:tblPr>
        <w:tblLayout w:type="fixed"/>
        <w:tblInd w:w="660" w:type="dxa"/>
        <w:tblCellMar>
          <w:top w:w="0" w:type="dxa"/>
          <w:left w:w="0" w:type="dxa"/>
          <w:bottom w:w="0" w:type="dxa"/>
          <w:right w:w="0" w:type="dxa"/>
        </w:tblCellMar>
      </w:tblPr>
      <w:tr>
        <w:trPr>
          <w:trHeight w:val="267"/>
        </w:trPr>
        <w:tc>
          <w:tcPr>
            <w:tcW w:w="3800" w:type="dxa"/>
            <w:vAlign w:val="bottom"/>
            <w:tcBorders>
              <w:bottom w:val="single" w:sz="8" w:color="auto"/>
            </w:tcBorders>
            <w:gridSpan w:val="2"/>
          </w:tcPr>
          <w:p>
            <w:pPr>
              <w:ind w:left="20"/>
              <w:spacing w:after="0"/>
              <w:rPr>
                <w:sz w:val="20"/>
                <w:szCs w:val="20"/>
                <w:color w:val="auto"/>
              </w:rPr>
            </w:pPr>
            <w:r>
              <w:rPr>
                <w:rFonts w:ascii="Arial" w:cs="Arial" w:eastAsia="Arial" w:hAnsi="Arial"/>
                <w:sz w:val="20"/>
                <w:szCs w:val="20"/>
                <w:b w:val="1"/>
                <w:bCs w:val="1"/>
                <w:color w:val="auto"/>
              </w:rPr>
              <w:t>Quarter</w:t>
            </w:r>
          </w:p>
        </w:tc>
        <w:tc>
          <w:tcPr>
            <w:tcW w:w="4100" w:type="dxa"/>
            <w:vAlign w:val="bottom"/>
            <w:tcBorders>
              <w:bottom w:val="single" w:sz="8" w:color="auto"/>
            </w:tcBorders>
          </w:tcPr>
          <w:p>
            <w:pPr>
              <w:ind w:left="1020"/>
              <w:spacing w:after="0"/>
              <w:rPr>
                <w:sz w:val="20"/>
                <w:szCs w:val="20"/>
                <w:color w:val="auto"/>
              </w:rPr>
            </w:pPr>
            <w:r>
              <w:rPr>
                <w:rFonts w:ascii="Arial" w:cs="Arial" w:eastAsia="Arial" w:hAnsi="Arial"/>
                <w:sz w:val="20"/>
                <w:szCs w:val="20"/>
                <w:b w:val="1"/>
                <w:bCs w:val="1"/>
                <w:color w:val="auto"/>
              </w:rPr>
              <w:t>Grant Date</w:t>
            </w:r>
          </w:p>
        </w:tc>
      </w:tr>
      <w:tr>
        <w:trPr>
          <w:trHeight w:val="242"/>
        </w:trPr>
        <w:tc>
          <w:tcPr>
            <w:tcW w:w="300" w:type="dxa"/>
            <w:vAlign w:val="bottom"/>
          </w:tcPr>
          <w:p>
            <w:pPr>
              <w:ind w:left="20"/>
              <w:spacing w:after="0"/>
              <w:rPr>
                <w:sz w:val="20"/>
                <w:szCs w:val="20"/>
                <w:color w:val="auto"/>
              </w:rPr>
            </w:pPr>
            <w:r>
              <w:rPr>
                <w:rFonts w:ascii="Arial" w:cs="Arial" w:eastAsia="Arial" w:hAnsi="Arial"/>
                <w:sz w:val="20"/>
                <w:szCs w:val="20"/>
                <w:color w:val="auto"/>
                <w:w w:val="97"/>
              </w:rPr>
              <w:t>Q2</w:t>
            </w:r>
          </w:p>
        </w:tc>
        <w:tc>
          <w:tcPr>
            <w:tcW w:w="3500" w:type="dxa"/>
            <w:vAlign w:val="bottom"/>
          </w:tcPr>
          <w:p>
            <w:pPr>
              <w:ind w:left="40"/>
              <w:spacing w:after="0"/>
              <w:rPr>
                <w:sz w:val="20"/>
                <w:szCs w:val="20"/>
                <w:color w:val="auto"/>
              </w:rPr>
            </w:pPr>
            <w:r>
              <w:rPr>
                <w:rFonts w:ascii="Arial" w:cs="Arial" w:eastAsia="Arial" w:hAnsi="Arial"/>
                <w:sz w:val="20"/>
                <w:szCs w:val="20"/>
                <w:color w:val="auto"/>
              </w:rPr>
              <w:t>20XX (April - June)</w:t>
            </w:r>
          </w:p>
        </w:tc>
        <w:tc>
          <w:tcPr>
            <w:tcW w:w="4100" w:type="dxa"/>
            <w:vAlign w:val="bottom"/>
          </w:tcPr>
          <w:p>
            <w:pPr>
              <w:ind w:left="1020"/>
              <w:spacing w:after="0"/>
              <w:rPr>
                <w:sz w:val="20"/>
                <w:szCs w:val="20"/>
                <w:color w:val="auto"/>
              </w:rPr>
            </w:pPr>
            <w:r>
              <w:rPr>
                <w:rFonts w:ascii="Arial" w:cs="Arial" w:eastAsia="Arial" w:hAnsi="Arial"/>
                <w:sz w:val="20"/>
                <w:szCs w:val="20"/>
                <w:color w:val="auto"/>
              </w:rPr>
              <w:t>June 30, 20XX</w:t>
            </w:r>
          </w:p>
        </w:tc>
      </w:tr>
      <w:tr>
        <w:trPr>
          <w:trHeight w:val="257"/>
        </w:trPr>
        <w:tc>
          <w:tcPr>
            <w:tcW w:w="300" w:type="dxa"/>
            <w:vAlign w:val="bottom"/>
          </w:tcPr>
          <w:p>
            <w:pPr>
              <w:ind w:left="20"/>
              <w:spacing w:after="0"/>
              <w:rPr>
                <w:sz w:val="20"/>
                <w:szCs w:val="20"/>
                <w:color w:val="auto"/>
              </w:rPr>
            </w:pPr>
            <w:r>
              <w:rPr>
                <w:rFonts w:ascii="Arial" w:cs="Arial" w:eastAsia="Arial" w:hAnsi="Arial"/>
                <w:sz w:val="20"/>
                <w:szCs w:val="20"/>
                <w:color w:val="auto"/>
                <w:w w:val="97"/>
              </w:rPr>
              <w:t>Q3</w:t>
            </w:r>
          </w:p>
        </w:tc>
        <w:tc>
          <w:tcPr>
            <w:tcW w:w="3500" w:type="dxa"/>
            <w:vAlign w:val="bottom"/>
          </w:tcPr>
          <w:p>
            <w:pPr>
              <w:ind w:left="40"/>
              <w:spacing w:after="0"/>
              <w:rPr>
                <w:sz w:val="20"/>
                <w:szCs w:val="20"/>
                <w:color w:val="auto"/>
              </w:rPr>
            </w:pPr>
            <w:r>
              <w:rPr>
                <w:rFonts w:ascii="Arial" w:cs="Arial" w:eastAsia="Arial" w:hAnsi="Arial"/>
                <w:sz w:val="20"/>
                <w:szCs w:val="20"/>
                <w:color w:val="auto"/>
              </w:rPr>
              <w:t>20XX (July - September)</w:t>
            </w:r>
          </w:p>
        </w:tc>
        <w:tc>
          <w:tcPr>
            <w:tcW w:w="4100" w:type="dxa"/>
            <w:vAlign w:val="bottom"/>
          </w:tcPr>
          <w:p>
            <w:pPr>
              <w:ind w:left="1020"/>
              <w:spacing w:after="0"/>
              <w:rPr>
                <w:sz w:val="20"/>
                <w:szCs w:val="20"/>
                <w:color w:val="auto"/>
              </w:rPr>
            </w:pPr>
            <w:r>
              <w:rPr>
                <w:rFonts w:ascii="Arial" w:cs="Arial" w:eastAsia="Arial" w:hAnsi="Arial"/>
                <w:sz w:val="20"/>
                <w:szCs w:val="20"/>
                <w:color w:val="auto"/>
              </w:rPr>
              <w:t>September 30, 20XX</w:t>
            </w:r>
          </w:p>
        </w:tc>
      </w:tr>
      <w:tr>
        <w:trPr>
          <w:trHeight w:val="256"/>
        </w:trPr>
        <w:tc>
          <w:tcPr>
            <w:tcW w:w="300" w:type="dxa"/>
            <w:vAlign w:val="bottom"/>
          </w:tcPr>
          <w:p>
            <w:pPr>
              <w:ind w:left="20"/>
              <w:spacing w:after="0"/>
              <w:rPr>
                <w:sz w:val="20"/>
                <w:szCs w:val="20"/>
                <w:color w:val="auto"/>
              </w:rPr>
            </w:pPr>
            <w:r>
              <w:rPr>
                <w:rFonts w:ascii="Arial" w:cs="Arial" w:eastAsia="Arial" w:hAnsi="Arial"/>
                <w:sz w:val="20"/>
                <w:szCs w:val="20"/>
                <w:color w:val="auto"/>
                <w:w w:val="97"/>
              </w:rPr>
              <w:t>Q4</w:t>
            </w:r>
          </w:p>
        </w:tc>
        <w:tc>
          <w:tcPr>
            <w:tcW w:w="3500" w:type="dxa"/>
            <w:vAlign w:val="bottom"/>
          </w:tcPr>
          <w:p>
            <w:pPr>
              <w:ind w:left="40"/>
              <w:spacing w:after="0"/>
              <w:rPr>
                <w:sz w:val="20"/>
                <w:szCs w:val="20"/>
                <w:color w:val="auto"/>
              </w:rPr>
            </w:pPr>
            <w:r>
              <w:rPr>
                <w:rFonts w:ascii="Arial" w:cs="Arial" w:eastAsia="Arial" w:hAnsi="Arial"/>
                <w:sz w:val="20"/>
                <w:szCs w:val="20"/>
                <w:color w:val="auto"/>
              </w:rPr>
              <w:t>20XX (October - December)</w:t>
            </w:r>
          </w:p>
        </w:tc>
        <w:tc>
          <w:tcPr>
            <w:tcW w:w="4100" w:type="dxa"/>
            <w:vAlign w:val="bottom"/>
          </w:tcPr>
          <w:p>
            <w:pPr>
              <w:ind w:left="1020"/>
              <w:spacing w:after="0"/>
              <w:rPr>
                <w:sz w:val="20"/>
                <w:szCs w:val="20"/>
                <w:color w:val="auto"/>
              </w:rPr>
            </w:pPr>
            <w:r>
              <w:rPr>
                <w:rFonts w:ascii="Arial" w:cs="Arial" w:eastAsia="Arial" w:hAnsi="Arial"/>
                <w:sz w:val="20"/>
                <w:szCs w:val="20"/>
                <w:color w:val="auto"/>
              </w:rPr>
              <w:t>December 31, 20XX</w:t>
            </w:r>
          </w:p>
        </w:tc>
      </w:tr>
      <w:tr>
        <w:trPr>
          <w:trHeight w:val="261"/>
        </w:trPr>
        <w:tc>
          <w:tcPr>
            <w:tcW w:w="300" w:type="dxa"/>
            <w:vAlign w:val="bottom"/>
          </w:tcPr>
          <w:p>
            <w:pPr>
              <w:ind w:left="20"/>
              <w:spacing w:after="0"/>
              <w:rPr>
                <w:sz w:val="20"/>
                <w:szCs w:val="20"/>
                <w:color w:val="auto"/>
              </w:rPr>
            </w:pPr>
            <w:r>
              <w:rPr>
                <w:rFonts w:ascii="Arial" w:cs="Arial" w:eastAsia="Arial" w:hAnsi="Arial"/>
                <w:sz w:val="20"/>
                <w:szCs w:val="20"/>
                <w:color w:val="auto"/>
                <w:w w:val="97"/>
              </w:rPr>
              <w:t>Q1</w:t>
            </w:r>
          </w:p>
        </w:tc>
        <w:tc>
          <w:tcPr>
            <w:tcW w:w="3500" w:type="dxa"/>
            <w:vAlign w:val="bottom"/>
          </w:tcPr>
          <w:p>
            <w:pPr>
              <w:ind w:left="40"/>
              <w:spacing w:after="0"/>
              <w:rPr>
                <w:sz w:val="20"/>
                <w:szCs w:val="20"/>
                <w:color w:val="auto"/>
              </w:rPr>
            </w:pPr>
            <w:r>
              <w:rPr>
                <w:rFonts w:ascii="Arial" w:cs="Arial" w:eastAsia="Arial" w:hAnsi="Arial"/>
                <w:sz w:val="20"/>
                <w:szCs w:val="20"/>
                <w:color w:val="auto"/>
              </w:rPr>
              <w:t>20XX (January - March)</w:t>
            </w:r>
          </w:p>
        </w:tc>
        <w:tc>
          <w:tcPr>
            <w:tcW w:w="4100" w:type="dxa"/>
            <w:vAlign w:val="bottom"/>
          </w:tcPr>
          <w:p>
            <w:pPr>
              <w:ind w:left="1020"/>
              <w:spacing w:after="0"/>
              <w:rPr>
                <w:sz w:val="20"/>
                <w:szCs w:val="20"/>
                <w:color w:val="auto"/>
              </w:rPr>
            </w:pPr>
            <w:r>
              <w:rPr>
                <w:rFonts w:ascii="Arial" w:cs="Arial" w:eastAsia="Arial" w:hAnsi="Arial"/>
                <w:sz w:val="20"/>
                <w:szCs w:val="20"/>
                <w:color w:val="auto"/>
              </w:rPr>
              <w:t>March 31, 20XX</w:t>
            </w:r>
          </w:p>
        </w:tc>
      </w:tr>
    </w:tbl>
    <w:p>
      <w:pPr>
        <w:spacing w:after="0" w:line="31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0"/>
          <w:szCs w:val="20"/>
          <w:color w:val="auto"/>
        </w:rPr>
        <w:t>After a Non-Employee Director submits the Optional Director Equity Election, each award of common stock granted pursuant to the Optional Director Equity Election shall be made automatically and without further action of the Board. The Optional Director Equity Election is payable in arrears for services already performed and is therefore immediately vested and not subject to any service conditions. The number of shares subject to the Optional Director Equity Election shall be determined on each grant date by dividing the grant date dollar value by the volume weighted average closing price (“VWAP”) of the Company’s common stock as reported for the thirty (30) consecutive trading days prior to and including the grant date (rounded down to the nearest whole number of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wp:posOffset>
            </wp:positionH>
            <wp:positionV relativeFrom="paragraph">
              <wp:posOffset>483235</wp:posOffset>
            </wp:positionV>
            <wp:extent cx="1183005" cy="3600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36">
                      <a:extLst>
                        <a:ext uri="{28A0092B-C50C-407E-A947-70E740481C1C}"/>
                      </a:extLst>
                    </a:blip>
                    <a:srcRect/>
                    <a:stretch>
                      <a:fillRect/>
                    </a:stretch>
                  </pic:blipFill>
                  <pic:spPr bwMode="auto">
                    <a:xfrm>
                      <a:off x="0" y="0"/>
                      <a:ext cx="1183005"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11120"/>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40"/>
          </w:cols>
          <w:pgMar w:left="320" w:top="1414" w:right="339" w:bottom="1440" w:gutter="0" w:footer="0" w:header="0"/>
        </w:sectPr>
      </w:pPr>
    </w:p>
    <w:bookmarkStart w:id="407" w:name="page408"/>
    <w:bookmarkEnd w:id="407"/>
    <w:p>
      <w:pPr>
        <w:jc w:val="both"/>
        <w:ind w:firstLine="648"/>
        <w:spacing w:after="0" w:line="259" w:lineRule="auto"/>
        <w:rPr>
          <w:sz w:val="20"/>
          <w:szCs w:val="20"/>
          <w:color w:val="auto"/>
        </w:rPr>
      </w:pPr>
      <w:r>
        <w:rPr>
          <w:rFonts w:ascii="Arial" w:cs="Arial" w:eastAsia="Arial" w:hAnsi="Arial"/>
          <w:sz w:val="20"/>
          <w:szCs w:val="20"/>
          <w:color w:val="auto"/>
        </w:rPr>
        <w:t>In the event that a Non-Employee Director does not serve as a Non-Employee Director, or in the applicable position or on the applicable committee described in Section II for an entire calendar quarter, the grant date dollar value of the Optional Director Equity Election shall be prorated in the same manner as the cash compensation would have been in accordance with Section II.</w:t>
      </w:r>
    </w:p>
    <w:p>
      <w:pPr>
        <w:spacing w:after="0" w:line="202" w:lineRule="exact"/>
        <w:rPr>
          <w:sz w:val="20"/>
          <w:szCs w:val="20"/>
          <w:color w:val="auto"/>
        </w:rPr>
      </w:pPr>
    </w:p>
    <w:p>
      <w:pPr>
        <w:ind w:left="620" w:hanging="612"/>
        <w:spacing w:after="0"/>
        <w:tabs>
          <w:tab w:leader="none" w:pos="620" w:val="left"/>
        </w:tabs>
        <w:numPr>
          <w:ilvl w:val="0"/>
          <w:numId w:val="383"/>
        </w:numPr>
        <w:rPr>
          <w:rFonts w:ascii="Arial" w:cs="Arial" w:eastAsia="Arial" w:hAnsi="Arial"/>
          <w:sz w:val="22"/>
          <w:szCs w:val="22"/>
          <w:b w:val="1"/>
          <w:bCs w:val="1"/>
          <w:color w:val="auto"/>
        </w:rPr>
      </w:pPr>
      <w:r>
        <w:rPr>
          <w:rFonts w:ascii="Arial" w:cs="Arial" w:eastAsia="Arial" w:hAnsi="Arial"/>
          <w:sz w:val="22"/>
          <w:szCs w:val="22"/>
          <w:b w:val="1"/>
          <w:bCs w:val="1"/>
          <w:color w:val="auto"/>
        </w:rPr>
        <w:t>Stock Ownership Guideline</w:t>
      </w:r>
    </w:p>
    <w:p>
      <w:pPr>
        <w:spacing w:after="0" w:line="25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20"/>
          <w:szCs w:val="20"/>
          <w:color w:val="auto"/>
        </w:rPr>
        <w:t>Within a period of four (4) years from the later of (a) the IPO Date or (b) the date of a person’s initial appointment as a Non-Employee Director, each Non-Employee Director is required to attain ownership of at least $350,000 in the Company’s common stock and must maintain such ownership until retirement from the Board as set forth in the Company’s Stock Ownership Guidelines.</w:t>
      </w:r>
    </w:p>
    <w:p>
      <w:pPr>
        <w:spacing w:after="0" w:line="217"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VI.</w:t>
      </w:r>
      <w:r>
        <w:rPr>
          <w:sz w:val="20"/>
          <w:szCs w:val="20"/>
          <w:color w:val="auto"/>
        </w:rPr>
        <w:tab/>
      </w:r>
      <w:r>
        <w:rPr>
          <w:rFonts w:ascii="Arial" w:cs="Arial" w:eastAsia="Arial" w:hAnsi="Arial"/>
          <w:sz w:val="22"/>
          <w:szCs w:val="22"/>
          <w:b w:val="1"/>
          <w:bCs w:val="1"/>
          <w:color w:val="auto"/>
        </w:rPr>
        <w:t>Director Compensation Limit</w:t>
      </w:r>
    </w:p>
    <w:p>
      <w:pPr>
        <w:spacing w:after="0" w:line="240"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0"/>
          <w:szCs w:val="20"/>
          <w:color w:val="auto"/>
        </w:rPr>
        <w:t>As further set forth in the Equity Plan, the sum of the grant date value of all equity awards granted and all cash compensation paid by the Company to a Non-Employee Director as compensation for services as a Non-Employee Director shall not exceed $750,000 during any calendar year, provided that the foregoing limitation shall not apply in respect of any compensation payable in the year of a Non-Employee Director’s initial appointment or election to the Board. For avoidance of doubt, compensation shall count towards this limit for the calendar year in which it is granted or earned.</w:t>
      </w:r>
    </w:p>
    <w:p>
      <w:pPr>
        <w:spacing w:after="0" w:line="201"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VII.</w:t>
        <w:tab/>
        <w:t>Policy Subject to Amendment, Modification and Termination</w:t>
      </w:r>
    </w:p>
    <w:p>
      <w:pPr>
        <w:spacing w:after="0" w:line="24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0"/>
          <w:szCs w:val="20"/>
          <w:color w:val="auto"/>
        </w:rPr>
        <w:t>This Policy may be amended, modified or terminated by the Board in the future at its sole discretion, provided that no such action that would materially and adversely impact the rights with respect to annual retainers payable in the calendar quarter during which a Non-Employee Director is then performing services shall be effective without the consent of the affected Non-Employee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wp:posOffset>
            </wp:positionH>
            <wp:positionV relativeFrom="paragraph">
              <wp:posOffset>643890</wp:posOffset>
            </wp:positionV>
            <wp:extent cx="1183005" cy="3600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37">
                      <a:extLst>
                        <a:ext uri="{28A0092B-C50C-407E-A947-70E740481C1C}"/>
                      </a:extLst>
                    </a:blip>
                    <a:srcRect/>
                    <a:stretch>
                      <a:fillRect/>
                    </a:stretch>
                  </pic:blipFill>
                  <pic:spPr bwMode="auto">
                    <a:xfrm>
                      <a:off x="0" y="0"/>
                      <a:ext cx="1183005"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11120"/>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40"/>
          </w:cols>
          <w:pgMar w:left="320" w:top="1414" w:right="339" w:bottom="1440" w:gutter="0" w:footer="0" w:header="0"/>
        </w:sectPr>
      </w:pPr>
    </w:p>
    <w:bookmarkStart w:id="408" w:name="page409"/>
    <w:bookmarkEnd w:id="408"/>
    <w:p>
      <w:pPr>
        <w:jc w:val="center"/>
        <w:ind w:left="640"/>
        <w:spacing w:after="0"/>
        <w:rPr>
          <w:sz w:val="20"/>
          <w:szCs w:val="20"/>
          <w:color w:val="auto"/>
        </w:rPr>
      </w:pPr>
      <w:r>
        <w:rPr>
          <w:rFonts w:ascii="Arial" w:cs="Arial" w:eastAsia="Arial" w:hAnsi="Arial"/>
          <w:sz w:val="25"/>
          <w:szCs w:val="25"/>
          <w:b w:val="1"/>
          <w:bCs w:val="1"/>
          <w:color w:val="auto"/>
        </w:rPr>
        <w:t>EXHIBIT A</w:t>
      </w:r>
    </w:p>
    <w:p>
      <w:pPr>
        <w:spacing w:after="0" w:line="253" w:lineRule="exact"/>
        <w:rPr>
          <w:sz w:val="20"/>
          <w:szCs w:val="20"/>
          <w:color w:val="auto"/>
        </w:rPr>
      </w:pPr>
    </w:p>
    <w:p>
      <w:pPr>
        <w:jc w:val="center"/>
        <w:ind w:left="640"/>
        <w:spacing w:after="0"/>
        <w:rPr>
          <w:sz w:val="20"/>
          <w:szCs w:val="20"/>
          <w:color w:val="auto"/>
        </w:rPr>
      </w:pPr>
      <w:r>
        <w:rPr>
          <w:rFonts w:ascii="Arial" w:cs="Arial" w:eastAsia="Arial" w:hAnsi="Arial"/>
          <w:sz w:val="20"/>
          <w:szCs w:val="20"/>
          <w:b w:val="1"/>
          <w:bCs w:val="1"/>
          <w:color w:val="auto"/>
        </w:rPr>
        <w:t>Optional Director Equity Election Form</w:t>
      </w:r>
    </w:p>
    <w:p>
      <w:pPr>
        <w:spacing w:after="0" w:line="33" w:lineRule="exact"/>
        <w:rPr>
          <w:sz w:val="20"/>
          <w:szCs w:val="20"/>
          <w:color w:val="auto"/>
        </w:rPr>
      </w:pPr>
    </w:p>
    <w:p>
      <w:pPr>
        <w:jc w:val="center"/>
        <w:ind w:left="640"/>
        <w:spacing w:after="0"/>
        <w:rPr>
          <w:sz w:val="20"/>
          <w:szCs w:val="20"/>
          <w:color w:val="auto"/>
        </w:rPr>
      </w:pPr>
      <w:r>
        <w:rPr>
          <w:rFonts w:ascii="Arial" w:cs="Arial" w:eastAsia="Arial" w:hAnsi="Arial"/>
          <w:sz w:val="20"/>
          <w:szCs w:val="20"/>
          <w:b w:val="1"/>
          <w:bCs w:val="1"/>
          <w:color w:val="auto"/>
        </w:rPr>
        <w:t>for the 20XX - 20XY Term</w:t>
      </w:r>
    </w:p>
    <w:p>
      <w:pPr>
        <w:spacing w:after="0" w:line="238"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0"/>
          <w:szCs w:val="20"/>
          <w:color w:val="auto"/>
        </w:rPr>
        <w:t>In accordance with Section IV of the Rackspace Technology, Inc. Non-Employee Director Compensation Policy (the “Policy”), as amended effective January 1, 2025, I hereby elect to receive the cash compensation payable to me under Section II of the Policy in the form of equity for the 20XX - 20XY term.</w:t>
      </w:r>
    </w:p>
    <w:p>
      <w:pPr>
        <w:spacing w:after="0" w:line="19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0"/>
          <w:szCs w:val="20"/>
          <w:color w:val="auto"/>
        </w:rPr>
        <w:t>I understand that the cash compensation otherwise payable to me pursuant to Section II of the Policy will automatically be made in the form of immediately vested common stock according to the following schedule and as otherwise described in Section IV of the Policy:</w:t>
      </w:r>
    </w:p>
    <w:p>
      <w:pPr>
        <w:spacing w:after="0" w:line="224" w:lineRule="exact"/>
        <w:rPr>
          <w:sz w:val="20"/>
          <w:szCs w:val="20"/>
          <w:color w:val="auto"/>
        </w:rPr>
      </w:pPr>
    </w:p>
    <w:tbl>
      <w:tblPr>
        <w:tblLayout w:type="fixed"/>
        <w:tblInd w:w="660" w:type="dxa"/>
        <w:tblCellMar>
          <w:top w:w="0" w:type="dxa"/>
          <w:left w:w="0" w:type="dxa"/>
          <w:bottom w:w="0" w:type="dxa"/>
          <w:right w:w="0" w:type="dxa"/>
        </w:tblCellMar>
      </w:tblPr>
      <w:tr>
        <w:trPr>
          <w:trHeight w:val="267"/>
        </w:trPr>
        <w:tc>
          <w:tcPr>
            <w:tcW w:w="3800" w:type="dxa"/>
            <w:vAlign w:val="bottom"/>
            <w:tcBorders>
              <w:bottom w:val="single" w:sz="8" w:color="auto"/>
            </w:tcBorders>
            <w:gridSpan w:val="2"/>
          </w:tcPr>
          <w:p>
            <w:pPr>
              <w:ind w:left="20"/>
              <w:spacing w:after="0"/>
              <w:rPr>
                <w:sz w:val="20"/>
                <w:szCs w:val="20"/>
                <w:color w:val="auto"/>
              </w:rPr>
            </w:pPr>
            <w:r>
              <w:rPr>
                <w:rFonts w:ascii="Arial" w:cs="Arial" w:eastAsia="Arial" w:hAnsi="Arial"/>
                <w:sz w:val="20"/>
                <w:szCs w:val="20"/>
                <w:b w:val="1"/>
                <w:bCs w:val="1"/>
                <w:color w:val="auto"/>
              </w:rPr>
              <w:t>Quarter</w:t>
            </w:r>
          </w:p>
        </w:tc>
        <w:tc>
          <w:tcPr>
            <w:tcW w:w="4580" w:type="dxa"/>
            <w:vAlign w:val="bottom"/>
            <w:tcBorders>
              <w:bottom w:val="single" w:sz="8" w:color="auto"/>
            </w:tcBorders>
          </w:tcPr>
          <w:p>
            <w:pPr>
              <w:ind w:left="1000"/>
              <w:spacing w:after="0"/>
              <w:rPr>
                <w:sz w:val="20"/>
                <w:szCs w:val="20"/>
                <w:color w:val="auto"/>
              </w:rPr>
            </w:pPr>
            <w:r>
              <w:rPr>
                <w:rFonts w:ascii="Arial" w:cs="Arial" w:eastAsia="Arial" w:hAnsi="Arial"/>
                <w:sz w:val="20"/>
                <w:szCs w:val="20"/>
                <w:b w:val="1"/>
                <w:bCs w:val="1"/>
                <w:color w:val="auto"/>
              </w:rPr>
              <w:t>Grant Date</w:t>
            </w:r>
          </w:p>
        </w:tc>
      </w:tr>
      <w:tr>
        <w:trPr>
          <w:trHeight w:val="242"/>
        </w:trPr>
        <w:tc>
          <w:tcPr>
            <w:tcW w:w="300" w:type="dxa"/>
            <w:vAlign w:val="bottom"/>
          </w:tcPr>
          <w:p>
            <w:pPr>
              <w:ind w:left="20"/>
              <w:spacing w:after="0"/>
              <w:rPr>
                <w:sz w:val="20"/>
                <w:szCs w:val="20"/>
                <w:color w:val="auto"/>
              </w:rPr>
            </w:pPr>
            <w:r>
              <w:rPr>
                <w:rFonts w:ascii="Arial" w:cs="Arial" w:eastAsia="Arial" w:hAnsi="Arial"/>
                <w:sz w:val="20"/>
                <w:szCs w:val="20"/>
                <w:color w:val="auto"/>
                <w:w w:val="97"/>
              </w:rPr>
              <w:t>Q2</w:t>
            </w:r>
          </w:p>
        </w:tc>
        <w:tc>
          <w:tcPr>
            <w:tcW w:w="3500" w:type="dxa"/>
            <w:vAlign w:val="bottom"/>
          </w:tcPr>
          <w:p>
            <w:pPr>
              <w:ind w:left="40"/>
              <w:spacing w:after="0"/>
              <w:rPr>
                <w:sz w:val="20"/>
                <w:szCs w:val="20"/>
                <w:color w:val="auto"/>
              </w:rPr>
            </w:pPr>
            <w:r>
              <w:rPr>
                <w:rFonts w:ascii="Arial" w:cs="Arial" w:eastAsia="Arial" w:hAnsi="Arial"/>
                <w:sz w:val="20"/>
                <w:szCs w:val="20"/>
                <w:color w:val="auto"/>
              </w:rPr>
              <w:t>20XX (April - June)</w:t>
            </w:r>
          </w:p>
        </w:tc>
        <w:tc>
          <w:tcPr>
            <w:tcW w:w="4580" w:type="dxa"/>
            <w:vAlign w:val="bottom"/>
          </w:tcPr>
          <w:p>
            <w:pPr>
              <w:ind w:left="1000"/>
              <w:spacing w:after="0"/>
              <w:rPr>
                <w:sz w:val="20"/>
                <w:szCs w:val="20"/>
                <w:color w:val="auto"/>
              </w:rPr>
            </w:pPr>
            <w:r>
              <w:rPr>
                <w:rFonts w:ascii="Arial" w:cs="Arial" w:eastAsia="Arial" w:hAnsi="Arial"/>
                <w:sz w:val="20"/>
                <w:szCs w:val="20"/>
                <w:color w:val="auto"/>
              </w:rPr>
              <w:t>June 30, 20XX</w:t>
            </w:r>
          </w:p>
        </w:tc>
      </w:tr>
      <w:tr>
        <w:trPr>
          <w:trHeight w:val="256"/>
        </w:trPr>
        <w:tc>
          <w:tcPr>
            <w:tcW w:w="300" w:type="dxa"/>
            <w:vAlign w:val="bottom"/>
          </w:tcPr>
          <w:p>
            <w:pPr>
              <w:ind w:left="20"/>
              <w:spacing w:after="0"/>
              <w:rPr>
                <w:sz w:val="20"/>
                <w:szCs w:val="20"/>
                <w:color w:val="auto"/>
              </w:rPr>
            </w:pPr>
            <w:r>
              <w:rPr>
                <w:rFonts w:ascii="Arial" w:cs="Arial" w:eastAsia="Arial" w:hAnsi="Arial"/>
                <w:sz w:val="20"/>
                <w:szCs w:val="20"/>
                <w:color w:val="auto"/>
                <w:w w:val="97"/>
              </w:rPr>
              <w:t>Q3</w:t>
            </w:r>
          </w:p>
        </w:tc>
        <w:tc>
          <w:tcPr>
            <w:tcW w:w="3500" w:type="dxa"/>
            <w:vAlign w:val="bottom"/>
          </w:tcPr>
          <w:p>
            <w:pPr>
              <w:ind w:left="40"/>
              <w:spacing w:after="0"/>
              <w:rPr>
                <w:sz w:val="20"/>
                <w:szCs w:val="20"/>
                <w:color w:val="auto"/>
              </w:rPr>
            </w:pPr>
            <w:r>
              <w:rPr>
                <w:rFonts w:ascii="Arial" w:cs="Arial" w:eastAsia="Arial" w:hAnsi="Arial"/>
                <w:sz w:val="20"/>
                <w:szCs w:val="20"/>
                <w:color w:val="auto"/>
              </w:rPr>
              <w:t>20XX (July - September)</w:t>
            </w:r>
          </w:p>
        </w:tc>
        <w:tc>
          <w:tcPr>
            <w:tcW w:w="4580" w:type="dxa"/>
            <w:vAlign w:val="bottom"/>
          </w:tcPr>
          <w:p>
            <w:pPr>
              <w:ind w:left="1000"/>
              <w:spacing w:after="0"/>
              <w:rPr>
                <w:sz w:val="20"/>
                <w:szCs w:val="20"/>
                <w:color w:val="auto"/>
              </w:rPr>
            </w:pPr>
            <w:r>
              <w:rPr>
                <w:rFonts w:ascii="Arial" w:cs="Arial" w:eastAsia="Arial" w:hAnsi="Arial"/>
                <w:sz w:val="20"/>
                <w:szCs w:val="20"/>
                <w:color w:val="auto"/>
              </w:rPr>
              <w:t>September 30, 20XX</w:t>
            </w:r>
          </w:p>
        </w:tc>
      </w:tr>
      <w:tr>
        <w:trPr>
          <w:trHeight w:val="257"/>
        </w:trPr>
        <w:tc>
          <w:tcPr>
            <w:tcW w:w="300" w:type="dxa"/>
            <w:vAlign w:val="bottom"/>
          </w:tcPr>
          <w:p>
            <w:pPr>
              <w:ind w:left="20"/>
              <w:spacing w:after="0"/>
              <w:rPr>
                <w:sz w:val="20"/>
                <w:szCs w:val="20"/>
                <w:color w:val="auto"/>
              </w:rPr>
            </w:pPr>
            <w:r>
              <w:rPr>
                <w:rFonts w:ascii="Arial" w:cs="Arial" w:eastAsia="Arial" w:hAnsi="Arial"/>
                <w:sz w:val="20"/>
                <w:szCs w:val="20"/>
                <w:color w:val="auto"/>
                <w:w w:val="97"/>
              </w:rPr>
              <w:t>Q4</w:t>
            </w:r>
          </w:p>
        </w:tc>
        <w:tc>
          <w:tcPr>
            <w:tcW w:w="3500" w:type="dxa"/>
            <w:vAlign w:val="bottom"/>
          </w:tcPr>
          <w:p>
            <w:pPr>
              <w:ind w:left="40"/>
              <w:spacing w:after="0"/>
              <w:rPr>
                <w:sz w:val="20"/>
                <w:szCs w:val="20"/>
                <w:color w:val="auto"/>
              </w:rPr>
            </w:pPr>
            <w:r>
              <w:rPr>
                <w:rFonts w:ascii="Arial" w:cs="Arial" w:eastAsia="Arial" w:hAnsi="Arial"/>
                <w:sz w:val="20"/>
                <w:szCs w:val="20"/>
                <w:color w:val="auto"/>
              </w:rPr>
              <w:t>20XX (October - December)</w:t>
            </w:r>
          </w:p>
        </w:tc>
        <w:tc>
          <w:tcPr>
            <w:tcW w:w="4580" w:type="dxa"/>
            <w:vAlign w:val="bottom"/>
          </w:tcPr>
          <w:p>
            <w:pPr>
              <w:ind w:left="1000"/>
              <w:spacing w:after="0"/>
              <w:rPr>
                <w:sz w:val="20"/>
                <w:szCs w:val="20"/>
                <w:color w:val="auto"/>
              </w:rPr>
            </w:pPr>
            <w:r>
              <w:rPr>
                <w:rFonts w:ascii="Arial" w:cs="Arial" w:eastAsia="Arial" w:hAnsi="Arial"/>
                <w:sz w:val="20"/>
                <w:szCs w:val="20"/>
                <w:color w:val="auto"/>
              </w:rPr>
              <w:t>December 31, 20XX</w:t>
            </w:r>
          </w:p>
        </w:tc>
      </w:tr>
      <w:tr>
        <w:trPr>
          <w:trHeight w:val="261"/>
        </w:trPr>
        <w:tc>
          <w:tcPr>
            <w:tcW w:w="300" w:type="dxa"/>
            <w:vAlign w:val="bottom"/>
          </w:tcPr>
          <w:p>
            <w:pPr>
              <w:ind w:left="20"/>
              <w:spacing w:after="0"/>
              <w:rPr>
                <w:sz w:val="20"/>
                <w:szCs w:val="20"/>
                <w:color w:val="auto"/>
              </w:rPr>
            </w:pPr>
            <w:r>
              <w:rPr>
                <w:rFonts w:ascii="Arial" w:cs="Arial" w:eastAsia="Arial" w:hAnsi="Arial"/>
                <w:sz w:val="20"/>
                <w:szCs w:val="20"/>
                <w:color w:val="auto"/>
                <w:w w:val="97"/>
              </w:rPr>
              <w:t>Q1</w:t>
            </w:r>
          </w:p>
        </w:tc>
        <w:tc>
          <w:tcPr>
            <w:tcW w:w="3500" w:type="dxa"/>
            <w:vAlign w:val="bottom"/>
          </w:tcPr>
          <w:p>
            <w:pPr>
              <w:ind w:left="40"/>
              <w:spacing w:after="0"/>
              <w:rPr>
                <w:sz w:val="20"/>
                <w:szCs w:val="20"/>
                <w:color w:val="auto"/>
              </w:rPr>
            </w:pPr>
            <w:r>
              <w:rPr>
                <w:rFonts w:ascii="Arial" w:cs="Arial" w:eastAsia="Arial" w:hAnsi="Arial"/>
                <w:sz w:val="20"/>
                <w:szCs w:val="20"/>
                <w:color w:val="auto"/>
              </w:rPr>
              <w:t>20XY (January - March)</w:t>
            </w:r>
          </w:p>
        </w:tc>
        <w:tc>
          <w:tcPr>
            <w:tcW w:w="4580" w:type="dxa"/>
            <w:vAlign w:val="bottom"/>
          </w:tcPr>
          <w:p>
            <w:pPr>
              <w:ind w:left="1000"/>
              <w:spacing w:after="0"/>
              <w:rPr>
                <w:sz w:val="20"/>
                <w:szCs w:val="20"/>
                <w:color w:val="auto"/>
              </w:rPr>
            </w:pPr>
            <w:r>
              <w:rPr>
                <w:rFonts w:ascii="Arial" w:cs="Arial" w:eastAsia="Arial" w:hAnsi="Arial"/>
                <w:sz w:val="20"/>
                <w:szCs w:val="20"/>
                <w:color w:val="auto"/>
              </w:rPr>
              <w:t>March 31, 20XY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4580"/>
        <w:spacing w:after="0"/>
        <w:rPr>
          <w:sz w:val="20"/>
          <w:szCs w:val="20"/>
          <w:color w:val="auto"/>
        </w:rPr>
      </w:pPr>
      <w:r>
        <w:rPr>
          <w:rFonts w:ascii="Arial" w:cs="Arial" w:eastAsia="Arial" w:hAnsi="Arial"/>
          <w:sz w:val="20"/>
          <w:szCs w:val="20"/>
          <w:color w:val="auto"/>
        </w:rPr>
        <w:t>Signature:</w:t>
      </w:r>
    </w:p>
    <w:p>
      <w:pPr>
        <w:spacing w:after="0" w:line="31" w:lineRule="exact"/>
        <w:rPr>
          <w:sz w:val="20"/>
          <w:szCs w:val="20"/>
          <w:color w:val="auto"/>
        </w:rPr>
      </w:pPr>
    </w:p>
    <w:p>
      <w:pPr>
        <w:ind w:left="4580"/>
        <w:spacing w:after="0"/>
        <w:rPr>
          <w:sz w:val="20"/>
          <w:szCs w:val="20"/>
          <w:color w:val="auto"/>
        </w:rPr>
      </w:pPr>
      <w:r>
        <w:rPr>
          <w:rFonts w:ascii="Arial" w:cs="Arial" w:eastAsia="Arial" w:hAnsi="Arial"/>
          <w:sz w:val="20"/>
          <w:szCs w:val="20"/>
          <w:color w:val="auto"/>
        </w:rPr>
        <w:t>Printed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4205605</wp:posOffset>
            </wp:positionH>
            <wp:positionV relativeFrom="paragraph">
              <wp:posOffset>-142875</wp:posOffset>
            </wp:positionV>
            <wp:extent cx="293179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38">
                      <a:extLst>
                        <a:ext uri="{28A0092B-C50C-407E-A947-70E740481C1C}"/>
                      </a:extLst>
                    </a:blip>
                    <a:srcRect/>
                    <a:stretch>
                      <a:fillRect/>
                    </a:stretch>
                  </pic:blipFill>
                  <pic:spPr bwMode="auto">
                    <a:xfrm>
                      <a:off x="0" y="0"/>
                      <a:ext cx="2931795" cy="8890"/>
                    </a:xfrm>
                    <a:prstGeom prst="rect">
                      <a:avLst/>
                    </a:prstGeom>
                    <a:noFill/>
                  </pic:spPr>
                </pic:pic>
              </a:graphicData>
            </a:graphic>
          </wp:anchor>
        </w:drawing>
      </w:r>
    </w:p>
    <w:p>
      <w:pPr>
        <w:spacing w:after="0" w:line="7" w:lineRule="exact"/>
        <w:rPr>
          <w:sz w:val="20"/>
          <w:szCs w:val="20"/>
          <w:color w:val="auto"/>
        </w:rPr>
      </w:pPr>
    </w:p>
    <w:p>
      <w:pPr>
        <w:ind w:left="4580"/>
        <w:spacing w:after="0"/>
        <w:rPr>
          <w:sz w:val="20"/>
          <w:szCs w:val="20"/>
          <w:color w:val="auto"/>
        </w:rPr>
      </w:pPr>
      <w:r>
        <w:rPr>
          <w:rFonts w:ascii="Arial" w:cs="Arial" w:eastAsia="Arial" w:hAnsi="Arial"/>
          <w:sz w:val="20"/>
          <w:szCs w:val="20"/>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280" w:firstLine="648"/>
        <w:spacing w:after="0" w:line="286" w:lineRule="auto"/>
        <w:rPr>
          <w:sz w:val="20"/>
          <w:szCs w:val="20"/>
          <w:color w:val="auto"/>
        </w:rPr>
      </w:pPr>
      <w:r>
        <w:rPr>
          <w:rFonts w:ascii="Arial" w:cs="Arial" w:eastAsia="Arial" w:hAnsi="Arial"/>
          <w:sz w:val="20"/>
          <w:szCs w:val="20"/>
          <w:color w:val="auto"/>
        </w:rPr>
        <w:t>This form should be executed and returned to the Company’s Corporate Secretary or Assistant Secretary on or before the annual stockholder meeting annually to make the Optional Director Equity Election for the upcoming annual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wp:posOffset>
            </wp:positionH>
            <wp:positionV relativeFrom="paragraph">
              <wp:posOffset>317500</wp:posOffset>
            </wp:positionV>
            <wp:extent cx="1183005" cy="3600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39">
                      <a:extLst>
                        <a:ext uri="{28A0092B-C50C-407E-A947-70E740481C1C}"/>
                      </a:extLst>
                    </a:blip>
                    <a:srcRect/>
                    <a:stretch>
                      <a:fillRect/>
                    </a:stretch>
                  </pic:blipFill>
                  <pic:spPr bwMode="auto">
                    <a:xfrm>
                      <a:off x="0" y="0"/>
                      <a:ext cx="1183005"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11120"/>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240"/>
          </w:cols>
          <w:pgMar w:left="320" w:top="1411" w:right="339" w:bottom="1440" w:gutter="0" w:footer="0" w:header="0"/>
        </w:sectPr>
      </w:pPr>
    </w:p>
    <w:bookmarkStart w:id="409" w:name="page410"/>
    <w:bookmarkEnd w:id="409"/>
    <w:p>
      <w:pPr>
        <w:jc w:val="right"/>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216535</wp:posOffset>
            </wp:positionH>
            <wp:positionV relativeFrom="page">
              <wp:posOffset>106045</wp:posOffset>
            </wp:positionV>
            <wp:extent cx="565785" cy="7112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40">
                      <a:clrChange>
                        <a:clrFrom>
                          <a:srgbClr val="FFFFFF"/>
                        </a:clrFrom>
                        <a:clrTo>
                          <a:srgbClr val="FFFFFF">
                            <a:alpha val="0"/>
                          </a:srgbClr>
                        </a:clrTo>
                      </a:clrChange>
                      <a:extLst>
                        <a:ext uri="{28A0092B-C50C-407E-A947-70E740481C1C}"/>
                      </a:extLst>
                    </a:blip>
                    <a:srcRect/>
                    <a:stretch>
                      <a:fillRect/>
                    </a:stretch>
                  </pic:blipFill>
                  <pic:spPr bwMode="auto">
                    <a:xfrm>
                      <a:off x="0" y="0"/>
                      <a:ext cx="565785" cy="711200"/>
                    </a:xfrm>
                    <a:prstGeom prst="rect">
                      <a:avLst/>
                    </a:prstGeom>
                    <a:noFill/>
                  </pic:spPr>
                </pic:pic>
              </a:graphicData>
            </a:graphic>
          </wp:anchor>
        </w:drawing>
        <w:t>Exhibit 19.1</w:t>
      </w:r>
    </w:p>
    <w:p>
      <w:pPr>
        <w:spacing w:after="0" w:line="259" w:lineRule="exact"/>
        <w:rPr>
          <w:sz w:val="20"/>
          <w:szCs w:val="20"/>
          <w:color w:val="auto"/>
        </w:rPr>
      </w:pPr>
    </w:p>
    <w:p>
      <w:pPr>
        <w:jc w:val="right"/>
        <w:ind w:right="20"/>
        <w:spacing w:after="0"/>
        <w:rPr>
          <w:sz w:val="20"/>
          <w:szCs w:val="20"/>
          <w:color w:val="auto"/>
        </w:rPr>
      </w:pPr>
      <w:r>
        <w:rPr>
          <w:rFonts w:ascii="Arial" w:cs="Arial" w:eastAsia="Arial" w:hAnsi="Arial"/>
          <w:sz w:val="21"/>
          <w:szCs w:val="21"/>
          <w:b w:val="1"/>
          <w:bCs w:val="1"/>
          <w:color w:val="auto"/>
        </w:rPr>
        <w:t>RACKSPACE TECHNOLOGY, INC.</w:t>
      </w:r>
    </w:p>
    <w:p>
      <w:pPr>
        <w:spacing w:after="0" w:line="37" w:lineRule="exact"/>
        <w:rPr>
          <w:sz w:val="20"/>
          <w:szCs w:val="20"/>
          <w:color w:val="auto"/>
        </w:rPr>
      </w:pPr>
    </w:p>
    <w:p>
      <w:pPr>
        <w:jc w:val="right"/>
        <w:ind w:right="20"/>
        <w:spacing w:after="0"/>
        <w:rPr>
          <w:sz w:val="20"/>
          <w:szCs w:val="20"/>
          <w:color w:val="auto"/>
        </w:rPr>
      </w:pPr>
      <w:r>
        <w:rPr>
          <w:rFonts w:ascii="Arial" w:cs="Arial" w:eastAsia="Arial" w:hAnsi="Arial"/>
          <w:sz w:val="22"/>
          <w:szCs w:val="22"/>
          <w:b w:val="1"/>
          <w:bCs w:val="1"/>
          <w:color w:val="auto"/>
        </w:rPr>
        <w:t>SECURITIES TRADING POLICY</w:t>
      </w:r>
    </w:p>
    <w:p>
      <w:pPr>
        <w:sectPr>
          <w:pgSz w:w="11900" w:h="16838" w:orient="portrait"/>
          <w:cols w:equalWidth="0" w:num="1">
            <w:col w:w="11240"/>
          </w:cols>
          <w:pgMar w:left="320" w:top="266" w:right="339" w:bottom="1440" w:gutter="0" w:footer="0" w:header="0"/>
        </w:sectPr>
      </w:pPr>
    </w:p>
    <w:p>
      <w:pPr>
        <w:spacing w:after="0" w:line="200" w:lineRule="exact"/>
        <w:rPr>
          <w:sz w:val="20"/>
          <w:szCs w:val="20"/>
          <w:color w:val="auto"/>
        </w:rPr>
      </w:pPr>
    </w:p>
    <w:p>
      <w:pPr>
        <w:spacing w:after="0" w:line="27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Policy Number:</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Effective Date:</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Document Owner: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P-GL-CL-007</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December 5, 2023</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Compensation Committee</w:t>
      </w:r>
    </w:p>
    <w:p>
      <w:pPr>
        <w:spacing w:after="0" w:line="219" w:lineRule="exact"/>
        <w:rPr>
          <w:sz w:val="20"/>
          <w:szCs w:val="20"/>
          <w:color w:val="auto"/>
        </w:rPr>
      </w:pPr>
    </w:p>
    <w:p>
      <w:pPr>
        <w:sectPr>
          <w:pgSz w:w="11900" w:h="16838" w:orient="portrait"/>
          <w:cols w:equalWidth="0" w:num="2">
            <w:col w:w="1580" w:space="680"/>
            <w:col w:w="8980"/>
          </w:cols>
          <w:pgMar w:left="320" w:top="266" w:right="339" w:bottom="1440" w:gutter="0" w:footer="0" w:header="0"/>
          <w:type w:val="continuous"/>
        </w:sectPr>
      </w:pPr>
    </w:p>
    <w:p>
      <w:pPr>
        <w:spacing w:after="0" w:line="106" w:lineRule="exact"/>
        <w:rPr>
          <w:sz w:val="20"/>
          <w:szCs w:val="20"/>
          <w:color w:val="auto"/>
        </w:rPr>
      </w:pPr>
    </w:p>
    <w:p>
      <w:pPr>
        <w:ind w:left="660" w:hanging="652"/>
        <w:spacing w:after="0"/>
        <w:tabs>
          <w:tab w:leader="none" w:pos="660" w:val="left"/>
        </w:tabs>
        <w:numPr>
          <w:ilvl w:val="0"/>
          <w:numId w:val="384"/>
        </w:numPr>
        <w:rPr>
          <w:rFonts w:ascii="Arial" w:cs="Arial" w:eastAsia="Arial" w:hAnsi="Arial"/>
          <w:sz w:val="22"/>
          <w:szCs w:val="22"/>
          <w:b w:val="1"/>
          <w:bCs w:val="1"/>
          <w:color w:val="auto"/>
        </w:rPr>
      </w:pPr>
      <w:r>
        <w:rPr>
          <w:rFonts w:ascii="Arial" w:cs="Arial" w:eastAsia="Arial" w:hAnsi="Arial"/>
          <w:sz w:val="22"/>
          <w:szCs w:val="22"/>
          <w:b w:val="1"/>
          <w:bCs w:val="1"/>
          <w:color w:val="auto"/>
        </w:rPr>
        <w:t>Purpose</w:t>
      </w:r>
    </w:p>
    <w:p>
      <w:pPr>
        <w:spacing w:after="0" w:line="253" w:lineRule="exact"/>
        <w:rPr>
          <w:sz w:val="20"/>
          <w:szCs w:val="20"/>
          <w:color w:val="auto"/>
        </w:rPr>
      </w:pPr>
    </w:p>
    <w:p>
      <w:pPr>
        <w:jc w:val="both"/>
        <w:spacing w:after="0"/>
        <w:rPr>
          <w:sz w:val="20"/>
          <w:szCs w:val="20"/>
          <w:color w:val="auto"/>
        </w:rPr>
      </w:pPr>
      <w:r>
        <w:rPr>
          <w:rFonts w:ascii="Arial" w:cs="Arial" w:eastAsia="Arial" w:hAnsi="Arial"/>
          <w:sz w:val="20"/>
          <w:szCs w:val="20"/>
          <w:color w:val="auto"/>
        </w:rPr>
        <w:t>The Board of Directors (the “Board”) of Rackspace Technology, Inc., a Delaware corporation (the “Company”) has adopted this Securities Trading Policy (this “Policy”) which outlines the Company’s standards concerning the handling of nonpublic information (i) relating to Rackspace Technology, Inc. and its subsidiaries (the “Company”) and the buying and selling of securities of the Company, and (ii) relating to any other company and the buying and selling of securities of any such company.</w:t>
      </w:r>
    </w:p>
    <w:p>
      <w:pPr>
        <w:spacing w:after="0" w:line="201"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This Policy will be administered by the Compensation Committee of the Board (the “Committee”), as well as the Legal Department. Any determinations made by the Committee shall be final and binding on all affected individuals.</w:t>
      </w:r>
    </w:p>
    <w:p>
      <w:pPr>
        <w:spacing w:after="0" w:line="176" w:lineRule="exact"/>
        <w:rPr>
          <w:sz w:val="20"/>
          <w:szCs w:val="20"/>
          <w:color w:val="auto"/>
        </w:rPr>
      </w:pPr>
    </w:p>
    <w:p>
      <w:pPr>
        <w:ind w:left="640" w:hanging="632"/>
        <w:spacing w:after="0"/>
        <w:tabs>
          <w:tab w:leader="none" w:pos="640" w:val="left"/>
        </w:tabs>
        <w:numPr>
          <w:ilvl w:val="0"/>
          <w:numId w:val="385"/>
        </w:numPr>
        <w:rPr>
          <w:rFonts w:ascii="Arial" w:cs="Arial" w:eastAsia="Arial" w:hAnsi="Arial"/>
          <w:sz w:val="22"/>
          <w:szCs w:val="22"/>
          <w:b w:val="1"/>
          <w:bCs w:val="1"/>
          <w:color w:val="auto"/>
        </w:rPr>
      </w:pPr>
      <w:r>
        <w:rPr>
          <w:rFonts w:ascii="Arial" w:cs="Arial" w:eastAsia="Arial" w:hAnsi="Arial"/>
          <w:sz w:val="22"/>
          <w:szCs w:val="22"/>
          <w:b w:val="1"/>
          <w:bCs w:val="1"/>
          <w:color w:val="auto"/>
        </w:rPr>
        <w:t>Affected Parties</w:t>
      </w:r>
    </w:p>
    <w:p>
      <w:pPr>
        <w:spacing w:after="0" w:line="240"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The general prohibitions of this Policy apply to all directors, officers, employees and independent contractors of the Company, while the restrictions set forth in the Pre-Clearance of Securities Transactions section below apply only to directors, executive officers</w:t>
      </w:r>
      <w:r>
        <w:rPr>
          <w:rFonts w:ascii="Arial" w:cs="Arial" w:eastAsia="Arial" w:hAnsi="Arial"/>
          <w:sz w:val="25"/>
          <w:szCs w:val="25"/>
          <w:color w:val="auto"/>
          <w:vertAlign w:val="superscript"/>
        </w:rPr>
        <w:t>1</w:t>
      </w:r>
      <w:r>
        <w:rPr>
          <w:rFonts w:ascii="Arial" w:cs="Arial" w:eastAsia="Arial" w:hAnsi="Arial"/>
          <w:sz w:val="20"/>
          <w:szCs w:val="20"/>
          <w:color w:val="auto"/>
        </w:rPr>
        <w:t xml:space="preserve"> and certain designated employees who routinely have access to material, non-public information (“MNPI”). If you are unsure whether you are subject to the restrictions set forth in the Pre-Clearance of Securities Transactions section, please contact precleartrade@rackspace.com.</w:t>
      </w:r>
    </w:p>
    <w:p>
      <w:pPr>
        <w:spacing w:after="0" w:line="211"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 xml:space="preserve">The same restrictions described in this Policy also apply to your spouse, minor children and anyone else living in your household, partnerships in which you are a general partner, trusts of which you are a trustee, estates of which you are an executor and investment funds or other similar vehicles with which you are affiliated (collectively “Related Parties”). </w:t>
      </w:r>
      <w:r>
        <w:rPr>
          <w:rFonts w:ascii="Arial" w:cs="Arial" w:eastAsia="Arial" w:hAnsi="Arial"/>
          <w:sz w:val="20"/>
          <w:szCs w:val="20"/>
          <w:b w:val="1"/>
          <w:bCs w:val="1"/>
          <w:u w:val="single" w:color="auto"/>
          <w:color w:val="auto"/>
        </w:rPr>
        <w:t>You are</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responsible for compliance with this Policy by your Related Parties.</w:t>
      </w:r>
    </w:p>
    <w:p>
      <w:pPr>
        <w:spacing w:after="0" w:line="211"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For purposes of this Policy, references to “trading” or to “transactions in securities of the Company” include purchases or sales of Company stock, bonds and other debt securities, options, puts and calls, derivative securities based on securities of the Company, gifts of Company securities, loans of Company securities, hedging transactions involving or referencing Company securities, contributions of Company securities to a trust, sales of Company stock acquired upon the exercise of stock options, broker-assisted cashless exercises of stock options, market sales to raise cash to fund the exercise of stock options and trades in Company stock made under an employee benefit plan, such as a 401(k) plan.</w:t>
      </w:r>
    </w:p>
    <w:p>
      <w:pPr>
        <w:spacing w:after="0" w:line="224" w:lineRule="exact"/>
        <w:rPr>
          <w:sz w:val="20"/>
          <w:szCs w:val="20"/>
          <w:color w:val="auto"/>
        </w:rPr>
      </w:pPr>
    </w:p>
    <w:p>
      <w:pPr>
        <w:ind w:left="660" w:hanging="652"/>
        <w:spacing w:after="0"/>
        <w:tabs>
          <w:tab w:leader="none" w:pos="660" w:val="left"/>
        </w:tabs>
        <w:numPr>
          <w:ilvl w:val="0"/>
          <w:numId w:val="386"/>
        </w:numPr>
        <w:rPr>
          <w:rFonts w:ascii="Arial" w:cs="Arial" w:eastAsia="Arial" w:hAnsi="Arial"/>
          <w:sz w:val="22"/>
          <w:szCs w:val="22"/>
          <w:b w:val="1"/>
          <w:bCs w:val="1"/>
          <w:color w:val="auto"/>
        </w:rPr>
      </w:pPr>
      <w:r>
        <w:rPr>
          <w:rFonts w:ascii="Arial" w:cs="Arial" w:eastAsia="Arial" w:hAnsi="Arial"/>
          <w:sz w:val="22"/>
          <w:szCs w:val="22"/>
          <w:b w:val="1"/>
          <w:bCs w:val="1"/>
          <w:color w:val="auto"/>
        </w:rPr>
        <w:t>Policy Statement</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color w:val="auto"/>
        </w:rPr>
        <w:t>If you possess MNPI (as further discussed below) relating to the Company, neither you nor any Related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279400</wp:posOffset>
            </wp:positionV>
            <wp:extent cx="226314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41">
                      <a:extLst>
                        <a:ext uri="{28A0092B-C50C-407E-A947-70E740481C1C}"/>
                      </a:extLst>
                    </a:blip>
                    <a:srcRect/>
                    <a:stretch>
                      <a:fillRect/>
                    </a:stretch>
                  </pic:blipFill>
                  <pic:spPr bwMode="auto">
                    <a:xfrm>
                      <a:off x="0" y="0"/>
                      <a:ext cx="2263140" cy="825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ind w:right="100" w:firstLine="8"/>
        <w:spacing w:after="0" w:line="227" w:lineRule="auto"/>
        <w:tabs>
          <w:tab w:leader="none" w:pos="103" w:val="left"/>
        </w:tabs>
        <w:numPr>
          <w:ilvl w:val="0"/>
          <w:numId w:val="387"/>
        </w:numPr>
        <w:rPr>
          <w:rFonts w:ascii="Arial" w:cs="Arial" w:eastAsia="Arial" w:hAnsi="Arial"/>
          <w:sz w:val="21"/>
          <w:szCs w:val="21"/>
          <w:color w:val="auto"/>
          <w:vertAlign w:val="superscript"/>
        </w:rPr>
      </w:pPr>
      <w:r>
        <w:rPr>
          <w:rFonts w:ascii="Arial" w:cs="Arial" w:eastAsia="Arial" w:hAnsi="Arial"/>
          <w:sz w:val="16"/>
          <w:szCs w:val="16"/>
          <w:color w:val="auto"/>
        </w:rPr>
        <w:t>Executive officers for purposes of this Policy are all executive officers of the Company identified in its public filings and any other officer of the Company or any subsidiary that is subject to Section 16(b) of the Securities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wp:posOffset>
            </wp:positionH>
            <wp:positionV relativeFrom="paragraph">
              <wp:posOffset>336550</wp:posOffset>
            </wp:positionV>
            <wp:extent cx="1183005" cy="3600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42">
                      <a:extLst>
                        <a:ext uri="{28A0092B-C50C-407E-A947-70E740481C1C}"/>
                      </a:extLst>
                    </a:blip>
                    <a:srcRect/>
                    <a:stretch>
                      <a:fillRect/>
                    </a:stretch>
                  </pic:blipFill>
                  <pic:spPr bwMode="auto">
                    <a:xfrm>
                      <a:off x="0" y="0"/>
                      <a:ext cx="1183005"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11120"/>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240"/>
          </w:cols>
          <w:pgMar w:left="320" w:top="266" w:right="339" w:bottom="1440" w:gutter="0" w:footer="0" w:header="0"/>
          <w:type w:val="continuous"/>
        </w:sectPr>
      </w:pPr>
    </w:p>
    <w:bookmarkStart w:id="410" w:name="page411"/>
    <w:bookmarkEnd w:id="410"/>
    <w:p>
      <w:pPr>
        <w:jc w:val="both"/>
        <w:ind w:left="660" w:hanging="328"/>
        <w:spacing w:after="0" w:line="227" w:lineRule="auto"/>
        <w:tabs>
          <w:tab w:leader="none" w:pos="648" w:val="left"/>
        </w:tabs>
        <w:numPr>
          <w:ilvl w:val="0"/>
          <w:numId w:val="388"/>
        </w:numPr>
        <w:rPr>
          <w:rFonts w:ascii="Arial" w:cs="Arial" w:eastAsia="Arial" w:hAnsi="Arial"/>
          <w:sz w:val="20"/>
          <w:szCs w:val="20"/>
          <w:color w:val="auto"/>
        </w:rPr>
      </w:pPr>
      <w:r>
        <w:rPr>
          <w:rFonts w:ascii="Arial" w:cs="Arial" w:eastAsia="Arial" w:hAnsi="Arial"/>
          <w:sz w:val="20"/>
          <w:szCs w:val="20"/>
          <w:i w:val="1"/>
          <w:iCs w:val="1"/>
          <w:color w:val="auto"/>
        </w:rPr>
        <w:t>may transact in securities of the Company (other than pursuant to a pre-arranged trading plan that complies with Rule 10b5-1 (“Rule 10b5-1”) under the Securities Exchange Act of 1934, as amended (the “Exchange Act”), as described in the 10b5-1 Plans section below) or engage in any other activity that takes advantage of such MNPI;</w:t>
      </w:r>
    </w:p>
    <w:p>
      <w:pPr>
        <w:spacing w:after="0" w:line="170" w:lineRule="exact"/>
        <w:rPr>
          <w:rFonts w:ascii="Arial" w:cs="Arial" w:eastAsia="Arial" w:hAnsi="Arial"/>
          <w:sz w:val="20"/>
          <w:szCs w:val="20"/>
          <w:color w:val="auto"/>
        </w:rPr>
      </w:pPr>
    </w:p>
    <w:p>
      <w:pPr>
        <w:ind w:left="660" w:hanging="328"/>
        <w:spacing w:after="0" w:line="234" w:lineRule="auto"/>
        <w:tabs>
          <w:tab w:leader="none" w:pos="648" w:val="left"/>
        </w:tabs>
        <w:numPr>
          <w:ilvl w:val="0"/>
          <w:numId w:val="388"/>
        </w:numPr>
        <w:rPr>
          <w:rFonts w:ascii="Arial" w:cs="Arial" w:eastAsia="Arial" w:hAnsi="Arial"/>
          <w:sz w:val="20"/>
          <w:szCs w:val="20"/>
          <w:color w:val="auto"/>
        </w:rPr>
      </w:pPr>
      <w:r>
        <w:rPr>
          <w:rFonts w:ascii="Arial" w:cs="Arial" w:eastAsia="Arial" w:hAnsi="Arial"/>
          <w:sz w:val="20"/>
          <w:szCs w:val="20"/>
          <w:i w:val="1"/>
          <w:iCs w:val="1"/>
          <w:color w:val="auto"/>
        </w:rPr>
        <w:t>may pass such MNPI on to any person outside the Company, except as permitted under applicable Company policies and procedures;</w:t>
      </w:r>
    </w:p>
    <w:p>
      <w:pPr>
        <w:spacing w:after="0" w:line="186" w:lineRule="exact"/>
        <w:rPr>
          <w:rFonts w:ascii="Arial" w:cs="Arial" w:eastAsia="Arial" w:hAnsi="Arial"/>
          <w:sz w:val="20"/>
          <w:szCs w:val="20"/>
          <w:color w:val="auto"/>
        </w:rPr>
      </w:pPr>
    </w:p>
    <w:p>
      <w:pPr>
        <w:ind w:left="660" w:right="20" w:hanging="328"/>
        <w:spacing w:after="0" w:line="234" w:lineRule="auto"/>
        <w:tabs>
          <w:tab w:leader="none" w:pos="648" w:val="left"/>
        </w:tabs>
        <w:numPr>
          <w:ilvl w:val="0"/>
          <w:numId w:val="388"/>
        </w:numPr>
        <w:rPr>
          <w:rFonts w:ascii="Arial" w:cs="Arial" w:eastAsia="Arial" w:hAnsi="Arial"/>
          <w:sz w:val="20"/>
          <w:szCs w:val="20"/>
          <w:color w:val="auto"/>
        </w:rPr>
      </w:pPr>
      <w:r>
        <w:rPr>
          <w:rFonts w:ascii="Arial" w:cs="Arial" w:eastAsia="Arial" w:hAnsi="Arial"/>
          <w:sz w:val="20"/>
          <w:szCs w:val="20"/>
          <w:i w:val="1"/>
          <w:iCs w:val="1"/>
          <w:color w:val="auto"/>
        </w:rPr>
        <w:t>suggest or otherwise recommend that any person effect a transaction in securities of the Company or engage in any other activity that takes advantage of such MNPI; or</w:t>
      </w:r>
    </w:p>
    <w:p>
      <w:pPr>
        <w:spacing w:after="0" w:line="186" w:lineRule="exact"/>
        <w:rPr>
          <w:rFonts w:ascii="Arial" w:cs="Arial" w:eastAsia="Arial" w:hAnsi="Arial"/>
          <w:sz w:val="20"/>
          <w:szCs w:val="20"/>
          <w:color w:val="auto"/>
        </w:rPr>
      </w:pPr>
    </w:p>
    <w:p>
      <w:pPr>
        <w:ind w:left="660" w:hanging="328"/>
        <w:spacing w:after="0" w:line="234" w:lineRule="auto"/>
        <w:tabs>
          <w:tab w:leader="none" w:pos="648" w:val="left"/>
        </w:tabs>
        <w:numPr>
          <w:ilvl w:val="0"/>
          <w:numId w:val="388"/>
        </w:numPr>
        <w:rPr>
          <w:rFonts w:ascii="Arial" w:cs="Arial" w:eastAsia="Arial" w:hAnsi="Arial"/>
          <w:sz w:val="20"/>
          <w:szCs w:val="20"/>
          <w:color w:val="auto"/>
        </w:rPr>
      </w:pPr>
      <w:r>
        <w:rPr>
          <w:rFonts w:ascii="Arial" w:cs="Arial" w:eastAsia="Arial" w:hAnsi="Arial"/>
          <w:sz w:val="20"/>
          <w:szCs w:val="20"/>
          <w:i w:val="1"/>
          <w:iCs w:val="1"/>
          <w:color w:val="auto"/>
        </w:rPr>
        <w:t>assist anyone to engage in any of the foregoing activities or have any person do so on your behalf or for your benefit (or on behalf or for the benefit of a Related Party).</w:t>
      </w:r>
    </w:p>
    <w:p>
      <w:pPr>
        <w:spacing w:after="0" w:line="186"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Further, neither you nor any Related Party may transact in the securities of any other company while in possession of MNPI concerning such company, including MNPI obtained in the course of your employment with or service to the Company. Such other companies may include:</w:t>
      </w:r>
    </w:p>
    <w:p>
      <w:pPr>
        <w:spacing w:after="0" w:line="205" w:lineRule="exact"/>
        <w:rPr>
          <w:sz w:val="20"/>
          <w:szCs w:val="20"/>
          <w:color w:val="auto"/>
        </w:rPr>
      </w:pPr>
    </w:p>
    <w:p>
      <w:pPr>
        <w:ind w:left="640" w:hanging="308"/>
        <w:spacing w:after="0"/>
        <w:tabs>
          <w:tab w:leader="none" w:pos="640" w:val="left"/>
        </w:tabs>
        <w:numPr>
          <w:ilvl w:val="0"/>
          <w:numId w:val="389"/>
        </w:numPr>
        <w:rPr>
          <w:rFonts w:ascii="Arial" w:cs="Arial" w:eastAsia="Arial" w:hAnsi="Arial"/>
          <w:sz w:val="20"/>
          <w:szCs w:val="20"/>
          <w:color w:val="auto"/>
        </w:rPr>
      </w:pPr>
      <w:r>
        <w:rPr>
          <w:rFonts w:ascii="Arial" w:cs="Arial" w:eastAsia="Arial" w:hAnsi="Arial"/>
          <w:sz w:val="20"/>
          <w:szCs w:val="20"/>
          <w:i w:val="1"/>
          <w:iCs w:val="1"/>
          <w:color w:val="auto"/>
        </w:rPr>
        <w:t>our customers, clients or suppliers;</w:t>
      </w:r>
    </w:p>
    <w:p>
      <w:pPr>
        <w:spacing w:after="0" w:line="229" w:lineRule="exact"/>
        <w:rPr>
          <w:rFonts w:ascii="Arial" w:cs="Arial" w:eastAsia="Arial" w:hAnsi="Arial"/>
          <w:sz w:val="20"/>
          <w:szCs w:val="20"/>
          <w:color w:val="auto"/>
        </w:rPr>
      </w:pPr>
    </w:p>
    <w:p>
      <w:pPr>
        <w:ind w:left="640" w:hanging="308"/>
        <w:spacing w:after="0"/>
        <w:tabs>
          <w:tab w:leader="none" w:pos="640" w:val="left"/>
        </w:tabs>
        <w:numPr>
          <w:ilvl w:val="0"/>
          <w:numId w:val="389"/>
        </w:numPr>
        <w:rPr>
          <w:rFonts w:ascii="Arial" w:cs="Arial" w:eastAsia="Arial" w:hAnsi="Arial"/>
          <w:sz w:val="20"/>
          <w:szCs w:val="20"/>
          <w:color w:val="auto"/>
        </w:rPr>
      </w:pPr>
      <w:r>
        <w:rPr>
          <w:rFonts w:ascii="Arial" w:cs="Arial" w:eastAsia="Arial" w:hAnsi="Arial"/>
          <w:sz w:val="20"/>
          <w:szCs w:val="20"/>
          <w:i w:val="1"/>
          <w:iCs w:val="1"/>
          <w:color w:val="auto"/>
        </w:rPr>
        <w:t>any entity with which we may be negotiating a major transaction or business combination; or</w:t>
      </w:r>
    </w:p>
    <w:p>
      <w:pPr>
        <w:spacing w:after="0" w:line="215" w:lineRule="exact"/>
        <w:rPr>
          <w:rFonts w:ascii="Arial" w:cs="Arial" w:eastAsia="Arial" w:hAnsi="Arial"/>
          <w:sz w:val="20"/>
          <w:szCs w:val="20"/>
          <w:color w:val="auto"/>
        </w:rPr>
      </w:pPr>
    </w:p>
    <w:p>
      <w:pPr>
        <w:ind w:left="640" w:hanging="308"/>
        <w:spacing w:after="0"/>
        <w:tabs>
          <w:tab w:leader="none" w:pos="640" w:val="left"/>
        </w:tabs>
        <w:numPr>
          <w:ilvl w:val="0"/>
          <w:numId w:val="389"/>
        </w:numPr>
        <w:rPr>
          <w:rFonts w:ascii="Arial" w:cs="Arial" w:eastAsia="Arial" w:hAnsi="Arial"/>
          <w:sz w:val="20"/>
          <w:szCs w:val="20"/>
          <w:color w:val="auto"/>
        </w:rPr>
      </w:pPr>
      <w:r>
        <w:rPr>
          <w:rFonts w:ascii="Arial" w:cs="Arial" w:eastAsia="Arial" w:hAnsi="Arial"/>
          <w:sz w:val="20"/>
          <w:szCs w:val="20"/>
          <w:i w:val="1"/>
          <w:iCs w:val="1"/>
          <w:color w:val="auto"/>
        </w:rPr>
        <w:t>any entity as to which we have an indirect or direct control relationship or a designee on the board of directors.</w:t>
      </w:r>
    </w:p>
    <w:p>
      <w:pPr>
        <w:spacing w:after="0" w:line="229"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Transactions that may be necessary or justifiable for independent reasons (such as the need to raise money for an emergency expenditure) are no exception. Even the appearance of an improper transaction must be avoided to preserve our reputation for adhering to the highest standards of conduct.</w:t>
      </w:r>
    </w:p>
    <w:p>
      <w:pPr>
        <w:spacing w:after="0" w:line="190" w:lineRule="exact"/>
        <w:rPr>
          <w:sz w:val="20"/>
          <w:szCs w:val="20"/>
          <w:color w:val="auto"/>
        </w:rPr>
      </w:pPr>
    </w:p>
    <w:p>
      <w:pPr>
        <w:jc w:val="both"/>
        <w:spacing w:after="0" w:line="241" w:lineRule="auto"/>
        <w:rPr>
          <w:sz w:val="20"/>
          <w:szCs w:val="20"/>
          <w:color w:val="auto"/>
        </w:rPr>
      </w:pPr>
      <w:r>
        <w:rPr>
          <w:rFonts w:ascii="Arial" w:cs="Arial" w:eastAsia="Arial" w:hAnsi="Arial"/>
          <w:sz w:val="20"/>
          <w:szCs w:val="20"/>
          <w:b w:val="1"/>
          <w:bCs w:val="1"/>
          <w:color w:val="auto"/>
        </w:rPr>
        <w:t xml:space="preserve">What Information is Material Information. </w:t>
      </w:r>
      <w:r>
        <w:rPr>
          <w:rFonts w:ascii="Arial" w:cs="Arial" w:eastAsia="Arial" w:hAnsi="Arial"/>
          <w:sz w:val="20"/>
          <w:szCs w:val="20"/>
          <w:color w:val="auto"/>
        </w:rPr>
        <w:t>“Material information” is any information that a reasonable investor would consider</w:t>
      </w:r>
      <w:r>
        <w:rPr>
          <w:rFonts w:ascii="Arial" w:cs="Arial" w:eastAsia="Arial" w:hAnsi="Arial"/>
          <w:sz w:val="20"/>
          <w:szCs w:val="20"/>
          <w:b w:val="1"/>
          <w:bCs w:val="1"/>
          <w:color w:val="auto"/>
        </w:rPr>
        <w:t xml:space="preserve"> </w:t>
      </w:r>
      <w:r>
        <w:rPr>
          <w:rFonts w:ascii="Arial" w:cs="Arial" w:eastAsia="Arial" w:hAnsi="Arial"/>
          <w:sz w:val="20"/>
          <w:szCs w:val="20"/>
          <w:color w:val="auto"/>
        </w:rPr>
        <w:t>important in a decision to effect a transaction in securities or that could reasonably affect the price of such securities. Either positive or negative information may be material. Common examples of information that will frequently be regarded as material are:</w:t>
      </w:r>
    </w:p>
    <w:p>
      <w:pPr>
        <w:spacing w:after="0" w:line="212" w:lineRule="exact"/>
        <w:rPr>
          <w:sz w:val="20"/>
          <w:szCs w:val="20"/>
          <w:color w:val="auto"/>
        </w:rPr>
      </w:pPr>
    </w:p>
    <w:p>
      <w:pPr>
        <w:ind w:left="640" w:hanging="308"/>
        <w:spacing w:after="0"/>
        <w:tabs>
          <w:tab w:leader="none" w:pos="640" w:val="left"/>
        </w:tabs>
        <w:numPr>
          <w:ilvl w:val="0"/>
          <w:numId w:val="390"/>
        </w:numPr>
        <w:rPr>
          <w:rFonts w:ascii="Arial" w:cs="Arial" w:eastAsia="Arial" w:hAnsi="Arial"/>
          <w:sz w:val="20"/>
          <w:szCs w:val="20"/>
          <w:color w:val="auto"/>
        </w:rPr>
      </w:pPr>
      <w:r>
        <w:rPr>
          <w:rFonts w:ascii="Arial" w:cs="Arial" w:eastAsia="Arial" w:hAnsi="Arial"/>
          <w:sz w:val="20"/>
          <w:szCs w:val="20"/>
          <w:i w:val="1"/>
          <w:iCs w:val="1"/>
          <w:color w:val="auto"/>
        </w:rPr>
        <w:t>projections of future earnings or losses, or other guidance concerning earnings;</w:t>
      </w:r>
    </w:p>
    <w:p>
      <w:pPr>
        <w:spacing w:after="0" w:line="229" w:lineRule="exact"/>
        <w:rPr>
          <w:rFonts w:ascii="Arial" w:cs="Arial" w:eastAsia="Arial" w:hAnsi="Arial"/>
          <w:sz w:val="20"/>
          <w:szCs w:val="20"/>
          <w:color w:val="auto"/>
        </w:rPr>
      </w:pPr>
    </w:p>
    <w:p>
      <w:pPr>
        <w:ind w:left="640" w:hanging="308"/>
        <w:spacing w:after="0"/>
        <w:tabs>
          <w:tab w:leader="none" w:pos="640" w:val="left"/>
        </w:tabs>
        <w:numPr>
          <w:ilvl w:val="0"/>
          <w:numId w:val="390"/>
        </w:numPr>
        <w:rPr>
          <w:rFonts w:ascii="Arial" w:cs="Arial" w:eastAsia="Arial" w:hAnsi="Arial"/>
          <w:sz w:val="20"/>
          <w:szCs w:val="20"/>
          <w:color w:val="auto"/>
        </w:rPr>
      </w:pPr>
      <w:r>
        <w:rPr>
          <w:rFonts w:ascii="Arial" w:cs="Arial" w:eastAsia="Arial" w:hAnsi="Arial"/>
          <w:sz w:val="20"/>
          <w:szCs w:val="20"/>
          <w:i w:val="1"/>
          <w:iCs w:val="1"/>
          <w:color w:val="auto"/>
        </w:rPr>
        <w:t>the fact that earnings are inconsistent with consensus expectations;</w:t>
      </w:r>
    </w:p>
    <w:p>
      <w:pPr>
        <w:spacing w:after="0" w:line="242" w:lineRule="exact"/>
        <w:rPr>
          <w:rFonts w:ascii="Arial" w:cs="Arial" w:eastAsia="Arial" w:hAnsi="Arial"/>
          <w:sz w:val="20"/>
          <w:szCs w:val="20"/>
          <w:color w:val="auto"/>
        </w:rPr>
      </w:pPr>
    </w:p>
    <w:p>
      <w:pPr>
        <w:ind w:left="640" w:hanging="308"/>
        <w:spacing w:after="0"/>
        <w:tabs>
          <w:tab w:leader="none" w:pos="640" w:val="left"/>
        </w:tabs>
        <w:numPr>
          <w:ilvl w:val="0"/>
          <w:numId w:val="390"/>
        </w:numPr>
        <w:rPr>
          <w:rFonts w:ascii="Arial" w:cs="Arial" w:eastAsia="Arial" w:hAnsi="Arial"/>
          <w:sz w:val="20"/>
          <w:szCs w:val="20"/>
          <w:color w:val="auto"/>
        </w:rPr>
      </w:pPr>
      <w:r>
        <w:rPr>
          <w:rFonts w:ascii="Arial" w:cs="Arial" w:eastAsia="Arial" w:hAnsi="Arial"/>
          <w:sz w:val="20"/>
          <w:szCs w:val="20"/>
          <w:i w:val="1"/>
          <w:iCs w:val="1"/>
          <w:color w:val="auto"/>
        </w:rPr>
        <w:t>a pending or proposed merger, joint venture, acquisition or tender offer;</w:t>
      </w:r>
    </w:p>
    <w:p>
      <w:pPr>
        <w:spacing w:after="0" w:line="229" w:lineRule="exact"/>
        <w:rPr>
          <w:rFonts w:ascii="Arial" w:cs="Arial" w:eastAsia="Arial" w:hAnsi="Arial"/>
          <w:sz w:val="20"/>
          <w:szCs w:val="20"/>
          <w:color w:val="auto"/>
        </w:rPr>
      </w:pPr>
    </w:p>
    <w:p>
      <w:pPr>
        <w:ind w:left="640" w:hanging="308"/>
        <w:spacing w:after="0"/>
        <w:tabs>
          <w:tab w:leader="none" w:pos="640" w:val="left"/>
        </w:tabs>
        <w:numPr>
          <w:ilvl w:val="0"/>
          <w:numId w:val="390"/>
        </w:numPr>
        <w:rPr>
          <w:rFonts w:ascii="Arial" w:cs="Arial" w:eastAsia="Arial" w:hAnsi="Arial"/>
          <w:sz w:val="20"/>
          <w:szCs w:val="20"/>
          <w:color w:val="auto"/>
        </w:rPr>
      </w:pPr>
      <w:r>
        <w:rPr>
          <w:rFonts w:ascii="Arial" w:cs="Arial" w:eastAsia="Arial" w:hAnsi="Arial"/>
          <w:sz w:val="20"/>
          <w:szCs w:val="20"/>
          <w:i w:val="1"/>
          <w:iCs w:val="1"/>
          <w:color w:val="auto"/>
        </w:rPr>
        <w:t>a significant sale of assets or the disposition of a subsidiary or business unit;</w:t>
      </w:r>
    </w:p>
    <w:p>
      <w:pPr>
        <w:spacing w:after="0" w:line="215" w:lineRule="exact"/>
        <w:rPr>
          <w:rFonts w:ascii="Arial" w:cs="Arial" w:eastAsia="Arial" w:hAnsi="Arial"/>
          <w:sz w:val="20"/>
          <w:szCs w:val="20"/>
          <w:color w:val="auto"/>
        </w:rPr>
      </w:pPr>
    </w:p>
    <w:p>
      <w:pPr>
        <w:ind w:left="640" w:hanging="308"/>
        <w:spacing w:after="0"/>
        <w:tabs>
          <w:tab w:leader="none" w:pos="640" w:val="left"/>
        </w:tabs>
        <w:numPr>
          <w:ilvl w:val="0"/>
          <w:numId w:val="390"/>
        </w:numPr>
        <w:rPr>
          <w:rFonts w:ascii="Arial" w:cs="Arial" w:eastAsia="Arial" w:hAnsi="Arial"/>
          <w:sz w:val="20"/>
          <w:szCs w:val="20"/>
          <w:color w:val="auto"/>
        </w:rPr>
      </w:pPr>
      <w:r>
        <w:rPr>
          <w:rFonts w:ascii="Arial" w:cs="Arial" w:eastAsia="Arial" w:hAnsi="Arial"/>
          <w:sz w:val="20"/>
          <w:szCs w:val="20"/>
          <w:i w:val="1"/>
          <w:iCs w:val="1"/>
          <w:color w:val="auto"/>
        </w:rPr>
        <w:t>changes in dividend policies or the declaration of a stock split or the offering of additional securities;</w:t>
      </w:r>
    </w:p>
    <w:p>
      <w:pPr>
        <w:spacing w:after="0" w:line="229" w:lineRule="exact"/>
        <w:rPr>
          <w:rFonts w:ascii="Arial" w:cs="Arial" w:eastAsia="Arial" w:hAnsi="Arial"/>
          <w:sz w:val="20"/>
          <w:szCs w:val="20"/>
          <w:color w:val="auto"/>
        </w:rPr>
      </w:pPr>
    </w:p>
    <w:p>
      <w:pPr>
        <w:ind w:left="640" w:hanging="308"/>
        <w:spacing w:after="0"/>
        <w:tabs>
          <w:tab w:leader="none" w:pos="640" w:val="left"/>
        </w:tabs>
        <w:numPr>
          <w:ilvl w:val="0"/>
          <w:numId w:val="390"/>
        </w:numPr>
        <w:rPr>
          <w:rFonts w:ascii="Arial" w:cs="Arial" w:eastAsia="Arial" w:hAnsi="Arial"/>
          <w:sz w:val="20"/>
          <w:szCs w:val="20"/>
          <w:color w:val="auto"/>
        </w:rPr>
      </w:pPr>
      <w:r>
        <w:rPr>
          <w:rFonts w:ascii="Arial" w:cs="Arial" w:eastAsia="Arial" w:hAnsi="Arial"/>
          <w:sz w:val="20"/>
          <w:szCs w:val="20"/>
          <w:i w:val="1"/>
          <w:iCs w:val="1"/>
          <w:color w:val="auto"/>
        </w:rPr>
        <w:t>changes in senior management or other key employees;</w:t>
      </w:r>
    </w:p>
    <w:p>
      <w:pPr>
        <w:spacing w:after="0" w:line="229" w:lineRule="exact"/>
        <w:rPr>
          <w:rFonts w:ascii="Arial" w:cs="Arial" w:eastAsia="Arial" w:hAnsi="Arial"/>
          <w:sz w:val="20"/>
          <w:szCs w:val="20"/>
          <w:color w:val="auto"/>
        </w:rPr>
      </w:pPr>
    </w:p>
    <w:p>
      <w:pPr>
        <w:ind w:left="640" w:hanging="308"/>
        <w:spacing w:after="0"/>
        <w:tabs>
          <w:tab w:leader="none" w:pos="640" w:val="left"/>
        </w:tabs>
        <w:numPr>
          <w:ilvl w:val="0"/>
          <w:numId w:val="390"/>
        </w:numPr>
        <w:rPr>
          <w:rFonts w:ascii="Arial" w:cs="Arial" w:eastAsia="Arial" w:hAnsi="Arial"/>
          <w:sz w:val="20"/>
          <w:szCs w:val="20"/>
          <w:color w:val="auto"/>
        </w:rPr>
      </w:pPr>
      <w:r>
        <w:rPr>
          <w:rFonts w:ascii="Arial" w:cs="Arial" w:eastAsia="Arial" w:hAnsi="Arial"/>
          <w:sz w:val="20"/>
          <w:szCs w:val="20"/>
          <w:i w:val="1"/>
          <w:iCs w:val="1"/>
          <w:color w:val="auto"/>
        </w:rPr>
        <w:t>significant new products or services;</w:t>
      </w:r>
    </w:p>
    <w:p>
      <w:pPr>
        <w:spacing w:after="0" w:line="242" w:lineRule="exact"/>
        <w:rPr>
          <w:rFonts w:ascii="Arial" w:cs="Arial" w:eastAsia="Arial" w:hAnsi="Arial"/>
          <w:sz w:val="20"/>
          <w:szCs w:val="20"/>
          <w:color w:val="auto"/>
        </w:rPr>
      </w:pPr>
    </w:p>
    <w:p>
      <w:pPr>
        <w:ind w:left="640" w:hanging="308"/>
        <w:spacing w:after="0"/>
        <w:tabs>
          <w:tab w:leader="none" w:pos="640" w:val="left"/>
        </w:tabs>
        <w:numPr>
          <w:ilvl w:val="0"/>
          <w:numId w:val="390"/>
        </w:numPr>
        <w:rPr>
          <w:rFonts w:ascii="Arial" w:cs="Arial" w:eastAsia="Arial" w:hAnsi="Arial"/>
          <w:sz w:val="20"/>
          <w:szCs w:val="20"/>
          <w:color w:val="auto"/>
        </w:rPr>
      </w:pPr>
      <w:r>
        <w:rPr>
          <w:rFonts w:ascii="Arial" w:cs="Arial" w:eastAsia="Arial" w:hAnsi="Arial"/>
          <w:sz w:val="20"/>
          <w:szCs w:val="20"/>
          <w:i w:val="1"/>
          <w:iCs w:val="1"/>
          <w:color w:val="auto"/>
        </w:rPr>
        <w:t>significant legal or regulatory exposure due to a pending or threatened lawsuit or investigation;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wp:posOffset>
            </wp:positionH>
            <wp:positionV relativeFrom="paragraph">
              <wp:posOffset>347980</wp:posOffset>
            </wp:positionV>
            <wp:extent cx="1183005" cy="3600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43">
                      <a:extLst>
                        <a:ext uri="{28A0092B-C50C-407E-A947-70E740481C1C}"/>
                      </a:extLst>
                    </a:blip>
                    <a:srcRect/>
                    <a:stretch>
                      <a:fillRect/>
                    </a:stretch>
                  </pic:blipFill>
                  <pic:spPr bwMode="auto">
                    <a:xfrm>
                      <a:off x="0" y="0"/>
                      <a:ext cx="1183005"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11120"/>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40"/>
          </w:cols>
          <w:pgMar w:left="320" w:top="1400" w:right="339" w:bottom="1440" w:gutter="0" w:footer="0" w:header="0"/>
        </w:sectPr>
      </w:pPr>
    </w:p>
    <w:bookmarkStart w:id="411" w:name="page412"/>
    <w:bookmarkEnd w:id="411"/>
    <w:p>
      <w:pPr>
        <w:spacing w:after="0" w:line="217" w:lineRule="exact"/>
        <w:rPr>
          <w:sz w:val="20"/>
          <w:szCs w:val="20"/>
          <w:color w:val="auto"/>
        </w:rPr>
      </w:pPr>
    </w:p>
    <w:p>
      <w:pPr>
        <w:ind w:left="640" w:hanging="308"/>
        <w:spacing w:after="0"/>
        <w:tabs>
          <w:tab w:leader="none" w:pos="640" w:val="left"/>
        </w:tabs>
        <w:numPr>
          <w:ilvl w:val="0"/>
          <w:numId w:val="391"/>
        </w:numPr>
        <w:rPr>
          <w:rFonts w:ascii="Arial" w:cs="Arial" w:eastAsia="Arial" w:hAnsi="Arial"/>
          <w:sz w:val="20"/>
          <w:szCs w:val="20"/>
          <w:color w:val="auto"/>
        </w:rPr>
      </w:pPr>
      <w:r>
        <w:rPr>
          <w:rFonts w:ascii="Arial" w:cs="Arial" w:eastAsia="Arial" w:hAnsi="Arial"/>
          <w:sz w:val="20"/>
          <w:szCs w:val="20"/>
          <w:i w:val="1"/>
          <w:iCs w:val="1"/>
          <w:color w:val="auto"/>
        </w:rPr>
        <w:t>impending bankruptcy or other financial liquidity problems;</w:t>
      </w:r>
    </w:p>
    <w:p>
      <w:pPr>
        <w:spacing w:after="0" w:line="229" w:lineRule="exact"/>
        <w:rPr>
          <w:rFonts w:ascii="Arial" w:cs="Arial" w:eastAsia="Arial" w:hAnsi="Arial"/>
          <w:sz w:val="20"/>
          <w:szCs w:val="20"/>
          <w:color w:val="auto"/>
        </w:rPr>
      </w:pPr>
    </w:p>
    <w:p>
      <w:pPr>
        <w:ind w:left="640" w:hanging="308"/>
        <w:spacing w:after="0"/>
        <w:tabs>
          <w:tab w:leader="none" w:pos="640" w:val="left"/>
        </w:tabs>
        <w:numPr>
          <w:ilvl w:val="0"/>
          <w:numId w:val="391"/>
        </w:numPr>
        <w:rPr>
          <w:rFonts w:ascii="Arial" w:cs="Arial" w:eastAsia="Arial" w:hAnsi="Arial"/>
          <w:sz w:val="20"/>
          <w:szCs w:val="20"/>
          <w:color w:val="auto"/>
        </w:rPr>
      </w:pPr>
      <w:r>
        <w:rPr>
          <w:rFonts w:ascii="Arial" w:cs="Arial" w:eastAsia="Arial" w:hAnsi="Arial"/>
          <w:sz w:val="20"/>
          <w:szCs w:val="20"/>
          <w:i w:val="1"/>
          <w:iCs w:val="1"/>
          <w:color w:val="auto"/>
        </w:rPr>
        <w:t>a cyber incident that has not been disclosed;</w:t>
      </w:r>
    </w:p>
    <w:p>
      <w:pPr>
        <w:spacing w:after="0" w:line="242" w:lineRule="exact"/>
        <w:rPr>
          <w:rFonts w:ascii="Arial" w:cs="Arial" w:eastAsia="Arial" w:hAnsi="Arial"/>
          <w:sz w:val="20"/>
          <w:szCs w:val="20"/>
          <w:color w:val="auto"/>
        </w:rPr>
      </w:pPr>
    </w:p>
    <w:p>
      <w:pPr>
        <w:ind w:left="640" w:hanging="308"/>
        <w:spacing w:after="0"/>
        <w:tabs>
          <w:tab w:leader="none" w:pos="640" w:val="left"/>
        </w:tabs>
        <w:numPr>
          <w:ilvl w:val="0"/>
          <w:numId w:val="391"/>
        </w:numPr>
        <w:rPr>
          <w:rFonts w:ascii="Arial" w:cs="Arial" w:eastAsia="Arial" w:hAnsi="Arial"/>
          <w:sz w:val="20"/>
          <w:szCs w:val="20"/>
          <w:color w:val="auto"/>
        </w:rPr>
      </w:pPr>
      <w:r>
        <w:rPr>
          <w:rFonts w:ascii="Arial" w:cs="Arial" w:eastAsia="Arial" w:hAnsi="Arial"/>
          <w:sz w:val="20"/>
          <w:szCs w:val="20"/>
          <w:i w:val="1"/>
          <w:iCs w:val="1"/>
          <w:color w:val="auto"/>
        </w:rPr>
        <w:t>changes in legislation affecting our business; and</w:t>
      </w:r>
    </w:p>
    <w:p>
      <w:pPr>
        <w:spacing w:after="0" w:line="229" w:lineRule="exact"/>
        <w:rPr>
          <w:rFonts w:ascii="Arial" w:cs="Arial" w:eastAsia="Arial" w:hAnsi="Arial"/>
          <w:sz w:val="20"/>
          <w:szCs w:val="20"/>
          <w:color w:val="auto"/>
        </w:rPr>
      </w:pPr>
    </w:p>
    <w:p>
      <w:pPr>
        <w:ind w:left="640" w:hanging="308"/>
        <w:spacing w:after="0"/>
        <w:tabs>
          <w:tab w:leader="none" w:pos="640" w:val="left"/>
        </w:tabs>
        <w:numPr>
          <w:ilvl w:val="0"/>
          <w:numId w:val="391"/>
        </w:numPr>
        <w:rPr>
          <w:rFonts w:ascii="Arial" w:cs="Arial" w:eastAsia="Arial" w:hAnsi="Arial"/>
          <w:sz w:val="20"/>
          <w:szCs w:val="20"/>
          <w:color w:val="auto"/>
        </w:rPr>
      </w:pPr>
      <w:r>
        <w:rPr>
          <w:rFonts w:ascii="Arial" w:cs="Arial" w:eastAsia="Arial" w:hAnsi="Arial"/>
          <w:sz w:val="20"/>
          <w:szCs w:val="20"/>
          <w:i w:val="1"/>
          <w:iCs w:val="1"/>
          <w:color w:val="auto"/>
        </w:rPr>
        <w:t>the gain or loss of a substantial customer, client or supplier.</w:t>
      </w:r>
    </w:p>
    <w:p>
      <w:pPr>
        <w:spacing w:after="0" w:line="241" w:lineRule="exact"/>
        <w:rPr>
          <w:sz w:val="20"/>
          <w:szCs w:val="20"/>
          <w:color w:val="auto"/>
        </w:rPr>
      </w:pPr>
    </w:p>
    <w:p>
      <w:pPr>
        <w:jc w:val="both"/>
        <w:spacing w:after="0" w:line="238" w:lineRule="auto"/>
        <w:rPr>
          <w:sz w:val="20"/>
          <w:szCs w:val="20"/>
          <w:color w:val="auto"/>
        </w:rPr>
      </w:pPr>
      <w:r>
        <w:rPr>
          <w:rFonts w:ascii="Arial" w:cs="Arial" w:eastAsia="Arial" w:hAnsi="Arial"/>
          <w:sz w:val="20"/>
          <w:szCs w:val="20"/>
          <w:b w:val="1"/>
          <w:bCs w:val="1"/>
          <w:color w:val="auto"/>
        </w:rPr>
        <w:t xml:space="preserve">When Information is Non-public or Public. </w:t>
      </w:r>
      <w:r>
        <w:rPr>
          <w:rFonts w:ascii="Arial" w:cs="Arial" w:eastAsia="Arial" w:hAnsi="Arial"/>
          <w:sz w:val="20"/>
          <w:szCs w:val="20"/>
          <w:color w:val="auto"/>
        </w:rPr>
        <w:t>You may not trade on the basis of material information regarding any company</w:t>
      </w:r>
      <w:r>
        <w:rPr>
          <w:rFonts w:ascii="Arial" w:cs="Arial" w:eastAsia="Arial" w:hAnsi="Arial"/>
          <w:sz w:val="20"/>
          <w:szCs w:val="20"/>
          <w:b w:val="1"/>
          <w:bCs w:val="1"/>
          <w:color w:val="auto"/>
        </w:rPr>
        <w:t xml:space="preserve"> </w:t>
      </w:r>
      <w:r>
        <w:rPr>
          <w:rFonts w:ascii="Arial" w:cs="Arial" w:eastAsia="Arial" w:hAnsi="Arial"/>
          <w:sz w:val="20"/>
          <w:szCs w:val="20"/>
          <w:color w:val="auto"/>
        </w:rPr>
        <w:t>that has not been broadly disclosed to the marketplace, such as through a press release or a filing with the Securities and Exchange Commission (the “SEC”), and the marketplace has had time to absorb such information. As a general rule, MNPI should not be considered fully absorbed by the marketplace until two full trading days after the MNPI is released. See additional information under Section V - “Blackout Periods” below.</w:t>
      </w:r>
    </w:p>
    <w:p>
      <w:pPr>
        <w:spacing w:after="0" w:line="210" w:lineRule="exact"/>
        <w:rPr>
          <w:sz w:val="20"/>
          <w:szCs w:val="20"/>
          <w:color w:val="auto"/>
        </w:rPr>
      </w:pPr>
    </w:p>
    <w:p>
      <w:pPr>
        <w:jc w:val="both"/>
        <w:spacing w:after="0" w:line="236" w:lineRule="auto"/>
        <w:rPr>
          <w:sz w:val="20"/>
          <w:szCs w:val="20"/>
          <w:color w:val="auto"/>
        </w:rPr>
      </w:pPr>
      <w:r>
        <w:rPr>
          <w:rFonts w:ascii="Arial" w:cs="Arial" w:eastAsia="Arial" w:hAnsi="Arial"/>
          <w:sz w:val="20"/>
          <w:szCs w:val="20"/>
          <w:b w:val="1"/>
          <w:bCs w:val="1"/>
          <w:color w:val="auto"/>
        </w:rPr>
        <w:t xml:space="preserve">Sharing Material Non-Public Information with Others (or “Tipping”). </w:t>
      </w:r>
      <w:r>
        <w:rPr>
          <w:rFonts w:ascii="Arial" w:cs="Arial" w:eastAsia="Arial" w:hAnsi="Arial"/>
          <w:sz w:val="20"/>
          <w:szCs w:val="20"/>
          <w:color w:val="auto"/>
        </w:rPr>
        <w:t>Sharing MNPI about the Company or any other</w:t>
      </w:r>
      <w:r>
        <w:rPr>
          <w:rFonts w:ascii="Arial" w:cs="Arial" w:eastAsia="Arial" w:hAnsi="Arial"/>
          <w:sz w:val="20"/>
          <w:szCs w:val="20"/>
          <w:b w:val="1"/>
          <w:bCs w:val="1"/>
          <w:color w:val="auto"/>
        </w:rPr>
        <w:t xml:space="preserve"> </w:t>
      </w:r>
      <w:r>
        <w:rPr>
          <w:rFonts w:ascii="Arial" w:cs="Arial" w:eastAsia="Arial" w:hAnsi="Arial"/>
          <w:sz w:val="20"/>
          <w:szCs w:val="20"/>
          <w:color w:val="auto"/>
        </w:rPr>
        <w:t>company with any other person who subsequently effects a trade in securities based on such MNPI is a violation of applicable securities laws and this Policy. Whether or not you derive, or even intend to derive, any profit or other benefit from another’s actions is not relevant. As such, you are not permitted to share MNPI about the Company or any other company with any other person except as permitted by Company policies and procedures, which policies and procedures generally require that the person with whom you share the MNPI is subject to a confidentiality agreement or otherwise bound by an obligation of confidentiality to the Company.</w:t>
      </w:r>
    </w:p>
    <w:p>
      <w:pPr>
        <w:spacing w:after="0" w:line="212" w:lineRule="exact"/>
        <w:rPr>
          <w:sz w:val="20"/>
          <w:szCs w:val="20"/>
          <w:color w:val="auto"/>
        </w:rPr>
      </w:pPr>
    </w:p>
    <w:p>
      <w:pPr>
        <w:jc w:val="both"/>
        <w:spacing w:after="0" w:line="235" w:lineRule="auto"/>
        <w:rPr>
          <w:sz w:val="20"/>
          <w:szCs w:val="20"/>
          <w:color w:val="auto"/>
        </w:rPr>
      </w:pPr>
      <w:r>
        <w:rPr>
          <w:rFonts w:ascii="Arial" w:cs="Arial" w:eastAsia="Arial" w:hAnsi="Arial"/>
          <w:sz w:val="20"/>
          <w:szCs w:val="20"/>
          <w:b w:val="1"/>
          <w:bCs w:val="1"/>
          <w:color w:val="auto"/>
        </w:rPr>
        <w:t xml:space="preserve">Confidentiality Obligations. </w:t>
      </w:r>
      <w:r>
        <w:rPr>
          <w:rFonts w:ascii="Arial" w:cs="Arial" w:eastAsia="Arial" w:hAnsi="Arial"/>
          <w:sz w:val="20"/>
          <w:szCs w:val="20"/>
          <w:color w:val="auto"/>
        </w:rPr>
        <w:t>The restrictions set forth in this Policy are designed to avoid misuse of MNPI in violation of the</w:t>
      </w:r>
      <w:r>
        <w:rPr>
          <w:rFonts w:ascii="Arial" w:cs="Arial" w:eastAsia="Arial" w:hAnsi="Arial"/>
          <w:sz w:val="20"/>
          <w:szCs w:val="20"/>
          <w:b w:val="1"/>
          <w:bCs w:val="1"/>
          <w:color w:val="auto"/>
        </w:rPr>
        <w:t xml:space="preserve"> </w:t>
      </w:r>
      <w:r>
        <w:rPr>
          <w:rFonts w:ascii="Arial" w:cs="Arial" w:eastAsia="Arial" w:hAnsi="Arial"/>
          <w:sz w:val="20"/>
          <w:szCs w:val="20"/>
          <w:color w:val="auto"/>
        </w:rPr>
        <w:t>securities laws. These restrictions are in addition to, and in no way alter, the general obligations that each director, officer and employee of the Company has to maintain the confidentiality of all confidential or proprietary information concerning the Company and its business, as well as any other confidential information of any other person or company, that may be learned in the course of service or employment with the Company. No such information is to be disclosed to any other person in the Company, unless that person has a clear need to know that information, and no such information may be disclosed to any third parties, except as required or otherwise contemplated by your function or position. You should take precautions to prevent the unauthorized disclosure or other misuse of such information by maintaining files securely, avoiding discussions of such information in public and taking extra care when distributing such information electronically.</w:t>
      </w:r>
    </w:p>
    <w:p>
      <w:pPr>
        <w:spacing w:after="0" w:line="214" w:lineRule="exact"/>
        <w:rPr>
          <w:sz w:val="20"/>
          <w:szCs w:val="20"/>
          <w:color w:val="auto"/>
        </w:rPr>
      </w:pPr>
    </w:p>
    <w:p>
      <w:pPr>
        <w:jc w:val="both"/>
        <w:spacing w:after="0" w:line="242" w:lineRule="auto"/>
        <w:rPr>
          <w:sz w:val="20"/>
          <w:szCs w:val="20"/>
          <w:color w:val="auto"/>
        </w:rPr>
      </w:pPr>
      <w:r>
        <w:rPr>
          <w:rFonts w:ascii="Arial" w:cs="Arial" w:eastAsia="Arial" w:hAnsi="Arial"/>
          <w:sz w:val="20"/>
          <w:szCs w:val="20"/>
          <w:b w:val="1"/>
          <w:bCs w:val="1"/>
          <w:color w:val="auto"/>
        </w:rPr>
        <w:t xml:space="preserve">Transactions under Company Plans. </w:t>
      </w:r>
      <w:r>
        <w:rPr>
          <w:rFonts w:ascii="Arial" w:cs="Arial" w:eastAsia="Arial" w:hAnsi="Arial"/>
          <w:sz w:val="20"/>
          <w:szCs w:val="20"/>
          <w:color w:val="auto"/>
        </w:rPr>
        <w:t>This Policy applies to transactions contemplated by the Company’s Equity Incentive</w:t>
      </w:r>
      <w:r>
        <w:rPr>
          <w:rFonts w:ascii="Arial" w:cs="Arial" w:eastAsia="Arial" w:hAnsi="Arial"/>
          <w:sz w:val="20"/>
          <w:szCs w:val="20"/>
          <w:b w:val="1"/>
          <w:bCs w:val="1"/>
          <w:color w:val="auto"/>
        </w:rPr>
        <w:t xml:space="preserve"> </w:t>
      </w:r>
      <w:r>
        <w:rPr>
          <w:rFonts w:ascii="Arial" w:cs="Arial" w:eastAsia="Arial" w:hAnsi="Arial"/>
          <w:sz w:val="20"/>
          <w:szCs w:val="20"/>
          <w:color w:val="auto"/>
        </w:rPr>
        <w:t>Plans and the Company’s Employee Stock Purchase Plan (the “ESPP Plan”), including any securities acquired as a result of the operation of those plans. Please note the following:</w:t>
      </w:r>
    </w:p>
    <w:p>
      <w:pPr>
        <w:spacing w:after="0" w:line="211" w:lineRule="exact"/>
        <w:rPr>
          <w:sz w:val="20"/>
          <w:szCs w:val="20"/>
          <w:color w:val="auto"/>
        </w:rPr>
      </w:pPr>
    </w:p>
    <w:p>
      <w:pPr>
        <w:jc w:val="both"/>
        <w:ind w:left="660" w:hanging="328"/>
        <w:spacing w:after="0" w:line="248" w:lineRule="auto"/>
        <w:tabs>
          <w:tab w:leader="none" w:pos="648" w:val="left"/>
        </w:tabs>
        <w:numPr>
          <w:ilvl w:val="0"/>
          <w:numId w:val="392"/>
        </w:numPr>
        <w:rPr>
          <w:rFonts w:ascii="Arial" w:cs="Arial" w:eastAsia="Arial" w:hAnsi="Arial"/>
          <w:sz w:val="20"/>
          <w:szCs w:val="20"/>
          <w:color w:val="auto"/>
        </w:rPr>
      </w:pPr>
      <w:r>
        <w:rPr>
          <w:rFonts w:ascii="Arial" w:cs="Arial" w:eastAsia="Arial" w:hAnsi="Arial"/>
          <w:sz w:val="20"/>
          <w:szCs w:val="20"/>
          <w:i w:val="1"/>
          <w:iCs w:val="1"/>
          <w:color w:val="auto"/>
        </w:rPr>
        <w:t>Grantees of stock option awards may exercise their vested options for cash at any time; however, grantees may not exercise vested options on a broker-assisted cashless or net exercise basis (or for the purpose of raising cash to fund the exercise of an option or to pay taxes) during a blackout period (as described below).</w:t>
      </w:r>
    </w:p>
    <w:p>
      <w:pPr>
        <w:spacing w:after="0" w:line="178" w:lineRule="exact"/>
        <w:rPr>
          <w:rFonts w:ascii="Arial" w:cs="Arial" w:eastAsia="Arial" w:hAnsi="Arial"/>
          <w:sz w:val="20"/>
          <w:szCs w:val="20"/>
          <w:color w:val="auto"/>
        </w:rPr>
      </w:pPr>
    </w:p>
    <w:p>
      <w:pPr>
        <w:jc w:val="both"/>
        <w:ind w:left="660" w:hanging="328"/>
        <w:spacing w:after="0" w:line="227" w:lineRule="auto"/>
        <w:tabs>
          <w:tab w:leader="none" w:pos="648" w:val="left"/>
        </w:tabs>
        <w:numPr>
          <w:ilvl w:val="0"/>
          <w:numId w:val="392"/>
        </w:numPr>
        <w:rPr>
          <w:rFonts w:ascii="Arial" w:cs="Arial" w:eastAsia="Arial" w:hAnsi="Arial"/>
          <w:sz w:val="20"/>
          <w:szCs w:val="20"/>
          <w:color w:val="auto"/>
        </w:rPr>
      </w:pPr>
      <w:r>
        <w:rPr>
          <w:rFonts w:ascii="Arial" w:cs="Arial" w:eastAsia="Arial" w:hAnsi="Arial"/>
          <w:sz w:val="20"/>
          <w:szCs w:val="20"/>
          <w:i w:val="1"/>
          <w:iCs w:val="1"/>
          <w:color w:val="auto"/>
        </w:rPr>
        <w:t>Except as may be otherwise be approved by the Legal Department, employees will not be permitted to enroll or withdraw from the ESPP Plan or increase or decrease their periodic contributions under the ESPP Plan during any blackout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wp:posOffset>
            </wp:positionH>
            <wp:positionV relativeFrom="paragraph">
              <wp:posOffset>328295</wp:posOffset>
            </wp:positionV>
            <wp:extent cx="1183005" cy="3600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44">
                      <a:extLst>
                        <a:ext uri="{28A0092B-C50C-407E-A947-70E740481C1C}"/>
                      </a:extLst>
                    </a:blip>
                    <a:srcRect/>
                    <a:stretch>
                      <a:fillRect/>
                    </a:stretch>
                  </pic:blipFill>
                  <pic:spPr bwMode="auto">
                    <a:xfrm>
                      <a:off x="0" y="0"/>
                      <a:ext cx="1183005"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11120"/>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40"/>
          </w:cols>
          <w:pgMar w:left="320" w:top="1440" w:right="339" w:bottom="1440" w:gutter="0" w:footer="0" w:header="0"/>
        </w:sectPr>
      </w:pPr>
    </w:p>
    <w:bookmarkStart w:id="412" w:name="page413"/>
    <w:bookmarkEnd w:id="412"/>
    <w:p>
      <w:pPr>
        <w:spacing w:after="0" w:line="215" w:lineRule="exact"/>
        <w:rPr>
          <w:sz w:val="20"/>
          <w:szCs w:val="20"/>
          <w:color w:val="auto"/>
        </w:rPr>
      </w:pPr>
    </w:p>
    <w:p>
      <w:pPr>
        <w:jc w:val="both"/>
        <w:spacing w:after="0" w:line="235" w:lineRule="auto"/>
        <w:rPr>
          <w:sz w:val="20"/>
          <w:szCs w:val="20"/>
          <w:color w:val="auto"/>
        </w:rPr>
      </w:pPr>
      <w:r>
        <w:rPr>
          <w:rFonts w:ascii="Arial" w:cs="Arial" w:eastAsia="Arial" w:hAnsi="Arial"/>
          <w:sz w:val="20"/>
          <w:szCs w:val="20"/>
          <w:b w:val="1"/>
          <w:bCs w:val="1"/>
          <w:color w:val="auto"/>
        </w:rPr>
        <w:t xml:space="preserve">Termination of Employment. </w:t>
      </w:r>
      <w:r>
        <w:rPr>
          <w:rFonts w:ascii="Arial" w:cs="Arial" w:eastAsia="Arial" w:hAnsi="Arial"/>
          <w:sz w:val="20"/>
          <w:szCs w:val="20"/>
          <w:color w:val="auto"/>
        </w:rPr>
        <w:t>This Policy will continue to apply after termination of employment or service to the Company to</w:t>
      </w:r>
      <w:r>
        <w:rPr>
          <w:rFonts w:ascii="Arial" w:cs="Arial" w:eastAsia="Arial" w:hAnsi="Arial"/>
          <w:sz w:val="20"/>
          <w:szCs w:val="20"/>
          <w:b w:val="1"/>
          <w:bCs w:val="1"/>
          <w:color w:val="auto"/>
        </w:rPr>
        <w:t xml:space="preserve"> </w:t>
      </w:r>
      <w:r>
        <w:rPr>
          <w:rFonts w:ascii="Arial" w:cs="Arial" w:eastAsia="Arial" w:hAnsi="Arial"/>
          <w:sz w:val="20"/>
          <w:szCs w:val="20"/>
          <w:color w:val="auto"/>
        </w:rPr>
        <w:t>the extent that you are in possession of MNPI at the time of termination or service. In such case, no transaction in securities of the Company may take place until the MNPI becomes public or ceases to be material. Directors, officers and employees subject to the blackout period restrictions whose employment with the Company terminates during a blackout period for any reason will remain subject to the restrictions until the end of such period (including as it relates to broker-assisted cashless exercise of a stock option and the market sale for the purpose of raising cash to fund the exercise of an option or to pay taxes). If your ability to exercise vested options is scheduled to terminate during a blackout period, you may request the Legal Department to consider an exception allowing you to exercise your options on a cashless or net basis upon finding that you do not possesses MNPI; however, you may be required to exercise your options for cash to prevent forfeiture or expiration.</w:t>
      </w:r>
    </w:p>
    <w:p>
      <w:pPr>
        <w:spacing w:after="0" w:line="214" w:lineRule="exact"/>
        <w:rPr>
          <w:sz w:val="20"/>
          <w:szCs w:val="20"/>
          <w:color w:val="auto"/>
        </w:rPr>
      </w:pPr>
    </w:p>
    <w:p>
      <w:pPr>
        <w:jc w:val="both"/>
        <w:spacing w:after="0" w:line="249" w:lineRule="auto"/>
        <w:rPr>
          <w:sz w:val="20"/>
          <w:szCs w:val="20"/>
          <w:color w:val="auto"/>
        </w:rPr>
      </w:pPr>
      <w:r>
        <w:rPr>
          <w:rFonts w:ascii="Arial" w:cs="Arial" w:eastAsia="Arial" w:hAnsi="Arial"/>
          <w:sz w:val="20"/>
          <w:szCs w:val="20"/>
          <w:b w:val="1"/>
          <w:bCs w:val="1"/>
          <w:color w:val="auto"/>
        </w:rPr>
        <w:t xml:space="preserve">Transactions by the Company. </w:t>
      </w:r>
      <w:r>
        <w:rPr>
          <w:rFonts w:ascii="Arial" w:cs="Arial" w:eastAsia="Arial" w:hAnsi="Arial"/>
          <w:sz w:val="20"/>
          <w:szCs w:val="20"/>
          <w:color w:val="auto"/>
        </w:rPr>
        <w:t>This Policy applies to any transactions by or on behalf of the Company in its own securities,</w:t>
      </w:r>
      <w:r>
        <w:rPr>
          <w:rFonts w:ascii="Arial" w:cs="Arial" w:eastAsia="Arial" w:hAnsi="Arial"/>
          <w:sz w:val="20"/>
          <w:szCs w:val="20"/>
          <w:b w:val="1"/>
          <w:bCs w:val="1"/>
          <w:color w:val="auto"/>
        </w:rPr>
        <w:t xml:space="preserve"> </w:t>
      </w:r>
      <w:r>
        <w:rPr>
          <w:rFonts w:ascii="Arial" w:cs="Arial" w:eastAsia="Arial" w:hAnsi="Arial"/>
          <w:sz w:val="20"/>
          <w:szCs w:val="20"/>
          <w:color w:val="auto"/>
        </w:rPr>
        <w:t>including any repurchases of its debt in the open market. Any such transactions need to be pre-approved by the Chief Legal Officer.</w:t>
      </w:r>
    </w:p>
    <w:p>
      <w:pPr>
        <w:spacing w:after="0" w:line="197" w:lineRule="exact"/>
        <w:rPr>
          <w:sz w:val="20"/>
          <w:szCs w:val="20"/>
          <w:color w:val="auto"/>
        </w:rPr>
      </w:pPr>
    </w:p>
    <w:p>
      <w:pPr>
        <w:spacing w:after="0"/>
        <w:tabs>
          <w:tab w:leader="none" w:pos="620" w:val="left"/>
        </w:tabs>
        <w:rPr>
          <w:sz w:val="20"/>
          <w:szCs w:val="20"/>
          <w:color w:val="auto"/>
        </w:rPr>
      </w:pPr>
      <w:r>
        <w:rPr>
          <w:rFonts w:ascii="Arial" w:cs="Arial" w:eastAsia="Arial" w:hAnsi="Arial"/>
          <w:sz w:val="22"/>
          <w:szCs w:val="22"/>
          <w:b w:val="1"/>
          <w:bCs w:val="1"/>
          <w:color w:val="auto"/>
        </w:rPr>
        <w:t>IV.</w:t>
      </w:r>
      <w:r>
        <w:rPr>
          <w:sz w:val="20"/>
          <w:szCs w:val="20"/>
          <w:color w:val="auto"/>
        </w:rPr>
        <w:tab/>
      </w:r>
      <w:r>
        <w:rPr>
          <w:rFonts w:ascii="Arial" w:cs="Arial" w:eastAsia="Arial" w:hAnsi="Arial"/>
          <w:sz w:val="22"/>
          <w:szCs w:val="22"/>
          <w:b w:val="1"/>
          <w:bCs w:val="1"/>
          <w:color w:val="auto"/>
        </w:rPr>
        <w:t>Additional Prohibited Transactions</w:t>
      </w:r>
    </w:p>
    <w:p>
      <w:pPr>
        <w:spacing w:after="0" w:line="240"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Because we believe it is improper and inappropriate for any director, officer, employee or their Related Persons to engage in short-term or speculative transactions involving the Company’s securities, all such persons are prohibited from engaging in any of the following activities with respect to securities of the Company:</w:t>
      </w:r>
    </w:p>
    <w:p>
      <w:pPr>
        <w:spacing w:after="0" w:line="192" w:lineRule="exact"/>
        <w:rPr>
          <w:sz w:val="20"/>
          <w:szCs w:val="20"/>
          <w:color w:val="auto"/>
        </w:rPr>
      </w:pPr>
    </w:p>
    <w:p>
      <w:pPr>
        <w:jc w:val="both"/>
        <w:ind w:left="660" w:hanging="328"/>
        <w:spacing w:after="0" w:line="222" w:lineRule="auto"/>
        <w:tabs>
          <w:tab w:leader="none" w:pos="648" w:val="left"/>
        </w:tabs>
        <w:numPr>
          <w:ilvl w:val="0"/>
          <w:numId w:val="393"/>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Short sales </w:t>
      </w:r>
      <w:r>
        <w:rPr>
          <w:rFonts w:ascii="Arial" w:cs="Arial" w:eastAsia="Arial" w:hAnsi="Arial"/>
          <w:sz w:val="20"/>
          <w:szCs w:val="20"/>
          <w:i w:val="1"/>
          <w:iCs w:val="1"/>
          <w:color w:val="auto"/>
        </w:rPr>
        <w:t>(i.e., selling stock you do not own and borrowing the shares to make delivery). The SEC effectively prohibits</w:t>
      </w:r>
      <w:r>
        <w:rPr>
          <w:rFonts w:ascii="Arial" w:cs="Arial" w:eastAsia="Arial" w:hAnsi="Arial"/>
          <w:sz w:val="20"/>
          <w:szCs w:val="20"/>
          <w:b w:val="1"/>
          <w:bCs w:val="1"/>
          <w:i w:val="1"/>
          <w:iCs w:val="1"/>
          <w:color w:val="auto"/>
        </w:rPr>
        <w:t xml:space="preserve"> </w:t>
      </w:r>
      <w:r>
        <w:rPr>
          <w:rFonts w:ascii="Arial" w:cs="Arial" w:eastAsia="Arial" w:hAnsi="Arial"/>
          <w:sz w:val="20"/>
          <w:szCs w:val="20"/>
          <w:i w:val="1"/>
          <w:iCs w:val="1"/>
          <w:color w:val="auto"/>
        </w:rPr>
        <w:t>directors and officers from selling Company securities short. This Policy expands this prohibition to cover all employees and their Related Parties.</w:t>
      </w:r>
    </w:p>
    <w:p>
      <w:pPr>
        <w:spacing w:after="0" w:line="185" w:lineRule="exact"/>
        <w:rPr>
          <w:rFonts w:ascii="Arial" w:cs="Arial" w:eastAsia="Arial" w:hAnsi="Arial"/>
          <w:sz w:val="20"/>
          <w:szCs w:val="20"/>
          <w:color w:val="auto"/>
        </w:rPr>
      </w:pPr>
    </w:p>
    <w:p>
      <w:pPr>
        <w:ind w:left="660" w:hanging="328"/>
        <w:spacing w:after="0" w:line="234" w:lineRule="auto"/>
        <w:tabs>
          <w:tab w:leader="none" w:pos="648" w:val="left"/>
        </w:tabs>
        <w:numPr>
          <w:ilvl w:val="0"/>
          <w:numId w:val="393"/>
        </w:numPr>
        <w:rPr>
          <w:rFonts w:ascii="Arial" w:cs="Arial" w:eastAsia="Arial" w:hAnsi="Arial"/>
          <w:sz w:val="20"/>
          <w:szCs w:val="20"/>
          <w:color w:val="auto"/>
        </w:rPr>
      </w:pPr>
      <w:r>
        <w:rPr>
          <w:rFonts w:ascii="Arial" w:cs="Arial" w:eastAsia="Arial" w:hAnsi="Arial"/>
          <w:sz w:val="20"/>
          <w:szCs w:val="20"/>
          <w:b w:val="1"/>
          <w:bCs w:val="1"/>
          <w:i w:val="1"/>
          <w:iCs w:val="1"/>
          <w:color w:val="auto"/>
        </w:rPr>
        <w:t>Buying or selling puts, calls, options or other derivatives in respect of securities of the Company</w:t>
      </w:r>
      <w:r>
        <w:rPr>
          <w:rFonts w:ascii="Arial" w:cs="Arial" w:eastAsia="Arial" w:hAnsi="Arial"/>
          <w:sz w:val="20"/>
          <w:szCs w:val="20"/>
          <w:i w:val="1"/>
          <w:iCs w:val="1"/>
          <w:color w:val="auto"/>
        </w:rPr>
        <w:t>. This prohibition</w:t>
      </w:r>
      <w:r>
        <w:rPr>
          <w:rFonts w:ascii="Arial" w:cs="Arial" w:eastAsia="Arial" w:hAnsi="Arial"/>
          <w:sz w:val="20"/>
          <w:szCs w:val="20"/>
          <w:b w:val="1"/>
          <w:bCs w:val="1"/>
          <w:i w:val="1"/>
          <w:iCs w:val="1"/>
          <w:color w:val="auto"/>
        </w:rPr>
        <w:t xml:space="preserve"> </w:t>
      </w:r>
      <w:r>
        <w:rPr>
          <w:rFonts w:ascii="Arial" w:cs="Arial" w:eastAsia="Arial" w:hAnsi="Arial"/>
          <w:sz w:val="20"/>
          <w:szCs w:val="20"/>
          <w:i w:val="1"/>
          <w:iCs w:val="1"/>
          <w:color w:val="auto"/>
        </w:rPr>
        <w:t>extends to any instrument whose value is derived from the value of any securities of the Company.</w:t>
      </w:r>
    </w:p>
    <w:p>
      <w:pPr>
        <w:spacing w:after="0" w:line="172" w:lineRule="exact"/>
        <w:rPr>
          <w:rFonts w:ascii="Arial" w:cs="Arial" w:eastAsia="Arial" w:hAnsi="Arial"/>
          <w:sz w:val="20"/>
          <w:szCs w:val="20"/>
          <w:color w:val="auto"/>
        </w:rPr>
      </w:pPr>
    </w:p>
    <w:p>
      <w:pPr>
        <w:jc w:val="both"/>
        <w:ind w:left="660" w:hanging="328"/>
        <w:spacing w:after="0" w:line="214" w:lineRule="auto"/>
        <w:tabs>
          <w:tab w:leader="none" w:pos="648" w:val="left"/>
        </w:tabs>
        <w:numPr>
          <w:ilvl w:val="0"/>
          <w:numId w:val="393"/>
        </w:numPr>
        <w:rPr>
          <w:rFonts w:ascii="Arial" w:cs="Arial" w:eastAsia="Arial" w:hAnsi="Arial"/>
          <w:sz w:val="20"/>
          <w:szCs w:val="20"/>
          <w:color w:val="auto"/>
        </w:rPr>
      </w:pPr>
      <w:r>
        <w:rPr>
          <w:rFonts w:ascii="Arial" w:cs="Arial" w:eastAsia="Arial" w:hAnsi="Arial"/>
          <w:sz w:val="20"/>
          <w:szCs w:val="20"/>
          <w:b w:val="1"/>
          <w:bCs w:val="1"/>
          <w:i w:val="1"/>
          <w:iCs w:val="1"/>
          <w:color w:val="auto"/>
        </w:rPr>
        <w:t>Margin accounts and collateral pledges</w:t>
      </w:r>
      <w:r>
        <w:rPr>
          <w:rFonts w:ascii="Arial" w:cs="Arial" w:eastAsia="Arial" w:hAnsi="Arial"/>
          <w:sz w:val="20"/>
          <w:szCs w:val="20"/>
          <w:i w:val="1"/>
          <w:iCs w:val="1"/>
          <w:color w:val="auto"/>
        </w:rPr>
        <w:t>. Securities held in a margin account or pledged as collateral for a loan may be</w:t>
      </w:r>
      <w:r>
        <w:rPr>
          <w:rFonts w:ascii="Arial" w:cs="Arial" w:eastAsia="Arial" w:hAnsi="Arial"/>
          <w:sz w:val="20"/>
          <w:szCs w:val="20"/>
          <w:b w:val="1"/>
          <w:bCs w:val="1"/>
          <w:i w:val="1"/>
          <w:iCs w:val="1"/>
          <w:color w:val="auto"/>
        </w:rPr>
        <w:t xml:space="preserve"> </w:t>
      </w:r>
      <w:r>
        <w:rPr>
          <w:rFonts w:ascii="Arial" w:cs="Arial" w:eastAsia="Arial" w:hAnsi="Arial"/>
          <w:sz w:val="20"/>
          <w:szCs w:val="20"/>
          <w:i w:val="1"/>
          <w:iCs w:val="1"/>
          <w:color w:val="auto"/>
        </w:rPr>
        <w:t>sold without your consent by the broker if you fail to meet a margin call or by the lender in foreclosure if you default on the loan. Because a margin or foreclosure sale may occur at a time when you are aware of MNPI or otherwise not permitted to trade in Company securities, you are prohibited from holding Company securities in a margin account or pledging Company securities as collateral for a loan. The Legal Department may review, on a case-by-case basis, requests for an exception to this prohibition.</w:t>
      </w:r>
    </w:p>
    <w:p>
      <w:pPr>
        <w:spacing w:after="0" w:line="187" w:lineRule="exact"/>
        <w:rPr>
          <w:sz w:val="20"/>
          <w:szCs w:val="20"/>
          <w:color w:val="auto"/>
        </w:rPr>
      </w:pPr>
    </w:p>
    <w:p>
      <w:pPr>
        <w:jc w:val="both"/>
        <w:spacing w:after="0" w:line="250" w:lineRule="auto"/>
        <w:rPr>
          <w:sz w:val="20"/>
          <w:szCs w:val="20"/>
          <w:color w:val="auto"/>
        </w:rPr>
      </w:pPr>
      <w:r>
        <w:rPr>
          <w:rFonts w:ascii="Arial" w:cs="Arial" w:eastAsia="Arial" w:hAnsi="Arial"/>
          <w:sz w:val="19"/>
          <w:szCs w:val="19"/>
          <w:color w:val="auto"/>
        </w:rPr>
        <w:t>Directors, executive officers, employees and their respective Related Parties are prohibited, directly or indirectly, from purchasing any financial instruments (including prepaid variable forward contracts, equity swaps, collars and exchange funds) or otherwise engaging in transactions that are designed to or have the effect of hedging or offsetting any decrease in the market value of the Company’s equity securities. Although the Company discourages speculative hedging transactions, the Company does permit long- term hedging transactions that are designed to protect an individual’s investment in Company securities (</w:t>
      </w:r>
      <w:r>
        <w:rPr>
          <w:rFonts w:ascii="Arial" w:cs="Arial" w:eastAsia="Arial" w:hAnsi="Arial"/>
          <w:sz w:val="19"/>
          <w:szCs w:val="19"/>
          <w:i w:val="1"/>
          <w:iCs w:val="1"/>
          <w:color w:val="auto"/>
        </w:rPr>
        <w:t>i.e.,</w:t>
      </w:r>
      <w:r>
        <w:rPr>
          <w:rFonts w:ascii="Arial" w:cs="Arial" w:eastAsia="Arial" w:hAnsi="Arial"/>
          <w:sz w:val="19"/>
          <w:szCs w:val="19"/>
          <w:color w:val="auto"/>
        </w:rPr>
        <w:t xml:space="preserve"> the hedge must be for at least twelve months and relate to stock or options held by the individual). If you wish to engage in any such transaction, you must pre-clear it in accordance with the pre-clearance procedures described in Part VI below (even if you are not one of the persons otherwise required to submit your transaction in Company securities to pre-clearance). Because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wp:posOffset>
            </wp:positionH>
            <wp:positionV relativeFrom="paragraph">
              <wp:posOffset>332105</wp:posOffset>
            </wp:positionV>
            <wp:extent cx="1183005" cy="3600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45">
                      <a:extLst>
                        <a:ext uri="{28A0092B-C50C-407E-A947-70E740481C1C}"/>
                      </a:extLst>
                    </a:blip>
                    <a:srcRect/>
                    <a:stretch>
                      <a:fillRect/>
                    </a:stretch>
                  </pic:blipFill>
                  <pic:spPr bwMode="auto">
                    <a:xfrm>
                      <a:off x="0" y="0"/>
                      <a:ext cx="1183005"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11120"/>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40"/>
          </w:cols>
          <w:pgMar w:left="320" w:top="1440" w:right="339" w:bottom="1440" w:gutter="0" w:footer="0" w:header="0"/>
        </w:sectPr>
      </w:pPr>
    </w:p>
    <w:bookmarkStart w:id="413" w:name="page414"/>
    <w:bookmarkEnd w:id="413"/>
    <w:p>
      <w:pPr>
        <w:jc w:val="both"/>
        <w:spacing w:after="0" w:line="257" w:lineRule="auto"/>
        <w:rPr>
          <w:sz w:val="20"/>
          <w:szCs w:val="20"/>
          <w:color w:val="auto"/>
        </w:rPr>
      </w:pPr>
      <w:r>
        <w:rPr>
          <w:rFonts w:ascii="Arial" w:cs="Arial" w:eastAsia="Arial" w:hAnsi="Arial"/>
          <w:sz w:val="20"/>
          <w:szCs w:val="20"/>
          <w:color w:val="auto"/>
        </w:rPr>
        <w:t>these activities raise issues under the federal securities laws, any person intending to engage in permitted hedging transactions is strongly urged to consult legal counsel.</w:t>
      </w:r>
    </w:p>
    <w:p>
      <w:pPr>
        <w:spacing w:after="0" w:line="196" w:lineRule="exact"/>
        <w:rPr>
          <w:sz w:val="20"/>
          <w:szCs w:val="20"/>
          <w:color w:val="auto"/>
        </w:rPr>
      </w:pPr>
    </w:p>
    <w:p>
      <w:pPr>
        <w:jc w:val="both"/>
        <w:spacing w:after="0"/>
        <w:rPr>
          <w:sz w:val="20"/>
          <w:szCs w:val="20"/>
          <w:color w:val="auto"/>
        </w:rPr>
      </w:pPr>
      <w:r>
        <w:rPr>
          <w:rFonts w:ascii="Arial" w:cs="Arial" w:eastAsia="Arial" w:hAnsi="Arial"/>
          <w:sz w:val="20"/>
          <w:szCs w:val="20"/>
          <w:color w:val="auto"/>
        </w:rPr>
        <w:t>Although this Policy does not prohibit standing or limit orders, you should use extreme caution if you engage in standing or limit orders (other than as established in connection with a Rule 10b5-1 plan as described below) since you might become aware of MNPI after establishing an order. This could lead to inadvertent trading while in possession of MNPI. In addition, standing or limit orders must be executed or expire prior to the start of a blackout period.</w:t>
      </w:r>
    </w:p>
    <w:p>
      <w:pPr>
        <w:spacing w:after="0" w:line="221" w:lineRule="exact"/>
        <w:rPr>
          <w:sz w:val="20"/>
          <w:szCs w:val="20"/>
          <w:color w:val="auto"/>
        </w:rPr>
      </w:pPr>
    </w:p>
    <w:p>
      <w:pPr>
        <w:ind w:left="620" w:hanging="612"/>
        <w:spacing w:after="0"/>
        <w:tabs>
          <w:tab w:leader="none" w:pos="620" w:val="left"/>
        </w:tabs>
        <w:numPr>
          <w:ilvl w:val="0"/>
          <w:numId w:val="394"/>
        </w:numPr>
        <w:rPr>
          <w:rFonts w:ascii="Arial" w:cs="Arial" w:eastAsia="Arial" w:hAnsi="Arial"/>
          <w:sz w:val="22"/>
          <w:szCs w:val="22"/>
          <w:b w:val="1"/>
          <w:bCs w:val="1"/>
          <w:color w:val="auto"/>
        </w:rPr>
      </w:pPr>
      <w:r>
        <w:rPr>
          <w:rFonts w:ascii="Arial" w:cs="Arial" w:eastAsia="Arial" w:hAnsi="Arial"/>
          <w:sz w:val="22"/>
          <w:szCs w:val="22"/>
          <w:b w:val="1"/>
          <w:bCs w:val="1"/>
          <w:color w:val="auto"/>
        </w:rPr>
        <w:t>Blackout Periods</w:t>
      </w:r>
    </w:p>
    <w:p>
      <w:pPr>
        <w:spacing w:after="0" w:line="240"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The Company’s announcement of annual and quarterly financial results has the potential to have a material impact on the market for the Company’s securities. Therefore, in order to avoid any appearance that its directors, officers and employees are trading while aware of MNPI, all directors, officers and employees will be subject to quarterly blackouts on trading.</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color w:val="auto"/>
        </w:rPr>
        <w:t>The Company has established the following “blackout periods” in relation to the publication of its annual and quarterly results:</w:t>
      </w:r>
    </w:p>
    <w:p>
      <w:pPr>
        <w:spacing w:after="0" w:line="4" w:lineRule="exact"/>
        <w:rPr>
          <w:sz w:val="20"/>
          <w:szCs w:val="20"/>
          <w:color w:val="auto"/>
        </w:rPr>
      </w:pPr>
    </w:p>
    <w:p>
      <w:pPr>
        <w:jc w:val="both"/>
        <w:ind w:firstLine="8"/>
        <w:spacing w:after="0" w:line="236" w:lineRule="auto"/>
        <w:tabs>
          <w:tab w:leader="none" w:pos="332" w:val="left"/>
        </w:tabs>
        <w:numPr>
          <w:ilvl w:val="0"/>
          <w:numId w:val="395"/>
        </w:numPr>
        <w:rPr>
          <w:rFonts w:ascii="Arial" w:cs="Arial" w:eastAsia="Arial" w:hAnsi="Arial"/>
          <w:sz w:val="20"/>
          <w:szCs w:val="20"/>
          <w:color w:val="auto"/>
        </w:rPr>
      </w:pPr>
      <w:r>
        <w:rPr>
          <w:rFonts w:ascii="Arial" w:cs="Arial" w:eastAsia="Arial" w:hAnsi="Arial"/>
          <w:sz w:val="20"/>
          <w:szCs w:val="20"/>
          <w:color w:val="auto"/>
        </w:rPr>
        <w:t>the period commencing two calendar weeks prior to the end of its fiscal year and ending two trading days after public announcement of the Company’s annual financial results; (b) the period commencing two calendar weeks prior to the end of each of its fiscal quarters and ending two trading days after public announcement of the Company’s financial results for such quarter; and (c) to the extent and during the periods as the Legal Department may direct, including as required by Section 306 of the Sarbanes-Oxley Act of 2002 or its implementing regulations.</w:t>
      </w:r>
    </w:p>
    <w:p>
      <w:pPr>
        <w:spacing w:after="0" w:line="215"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By way of example, if the financial results for a fiscal year or fiscal quarter, as applicable, are announced before open of US-based markets on a Monday, the blackout period will end after close of US-based markets on Tuesday. However, if the financial results for a fiscal year or fiscal quarter, as applicable, are announced during or after the opening of US-based markets on a Monday, the blackout period will end after close of US-based markets on Wednesday. If, in this example, the intervening Tuesday is a non-trading day, the blackout period would be extended for another 24-hours.</w:t>
      </w:r>
    </w:p>
    <w:p>
      <w:pPr>
        <w:spacing w:after="0" w:line="212" w:lineRule="exact"/>
        <w:rPr>
          <w:sz w:val="20"/>
          <w:szCs w:val="20"/>
          <w:color w:val="auto"/>
        </w:rPr>
      </w:pPr>
    </w:p>
    <w:p>
      <w:pPr>
        <w:jc w:val="both"/>
        <w:spacing w:after="0" w:line="270" w:lineRule="auto"/>
        <w:rPr>
          <w:sz w:val="20"/>
          <w:szCs w:val="20"/>
          <w:color w:val="auto"/>
        </w:rPr>
      </w:pPr>
      <w:r>
        <w:rPr>
          <w:rFonts w:ascii="Arial" w:cs="Arial" w:eastAsia="Arial" w:hAnsi="Arial"/>
          <w:sz w:val="20"/>
          <w:szCs w:val="20"/>
          <w:b w:val="1"/>
          <w:bCs w:val="1"/>
          <w:u w:val="single" w:color="auto"/>
          <w:color w:val="auto"/>
        </w:rPr>
        <w:t>During these blackout periods, all directors, officers, employees and their respective Related Parties are prohibited from effecting transactions in securities of the Company.</w:t>
      </w:r>
    </w:p>
    <w:p>
      <w:pPr>
        <w:spacing w:after="0" w:line="160" w:lineRule="exact"/>
        <w:rPr>
          <w:sz w:val="20"/>
          <w:szCs w:val="20"/>
          <w:color w:val="auto"/>
        </w:rPr>
      </w:pPr>
    </w:p>
    <w:p>
      <w:pPr>
        <w:jc w:val="both"/>
        <w:spacing w:after="0"/>
        <w:rPr>
          <w:sz w:val="20"/>
          <w:szCs w:val="20"/>
          <w:color w:val="auto"/>
        </w:rPr>
      </w:pPr>
      <w:r>
        <w:rPr>
          <w:rFonts w:ascii="Arial" w:cs="Arial" w:eastAsia="Arial" w:hAnsi="Arial"/>
          <w:sz w:val="20"/>
          <w:szCs w:val="20"/>
          <w:color w:val="auto"/>
        </w:rPr>
        <w:t>You should be aware that the blackout periods described above may be modified by the Company at any time. In addition, the Company may from time to time determine that trading in Company securities is inappropriate at a time that is outside the blackout periods and, accordingly, may notify directors, officers and employees of additional blackout periods at any time. For example, a blackout period may be imposed shortly before issuance of interim earnings guidance or a pending material acquisition. Directors, officers and employees will receive notice of any modification by the Company of the blackout period policy or of any additional prohibition on trading during a non-blackout period.</w:t>
      </w:r>
    </w:p>
    <w:p>
      <w:pPr>
        <w:spacing w:after="0" w:line="200"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This Policy will continue to apply after termination of employment or service to the Company to the extent that your service terminates during a blackout period or you are otherwise in possession of MNPI at the time of termination in accordance with the “Termination of Employment” section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wp:posOffset>
            </wp:positionH>
            <wp:positionV relativeFrom="paragraph">
              <wp:posOffset>487045</wp:posOffset>
            </wp:positionV>
            <wp:extent cx="1183005" cy="3600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46">
                      <a:extLst>
                        <a:ext uri="{28A0092B-C50C-407E-A947-70E740481C1C}"/>
                      </a:extLst>
                    </a:blip>
                    <a:srcRect/>
                    <a:stretch>
                      <a:fillRect/>
                    </a:stretch>
                  </pic:blipFill>
                  <pic:spPr bwMode="auto">
                    <a:xfrm>
                      <a:off x="0" y="0"/>
                      <a:ext cx="1183005"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11120"/>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240"/>
          </w:cols>
          <w:pgMar w:left="320" w:top="1414" w:right="339" w:bottom="1440" w:gutter="0" w:footer="0" w:header="0"/>
        </w:sectPr>
      </w:pPr>
    </w:p>
    <w:bookmarkStart w:id="414" w:name="page415"/>
    <w:bookmarkEnd w:id="414"/>
    <w:p>
      <w:pPr>
        <w:jc w:val="both"/>
        <w:spacing w:after="0" w:line="257" w:lineRule="auto"/>
        <w:rPr>
          <w:sz w:val="20"/>
          <w:szCs w:val="20"/>
          <w:color w:val="auto"/>
        </w:rPr>
      </w:pPr>
      <w:r>
        <w:rPr>
          <w:rFonts w:ascii="Arial" w:cs="Arial" w:eastAsia="Arial" w:hAnsi="Arial"/>
          <w:sz w:val="20"/>
          <w:szCs w:val="20"/>
          <w:color w:val="auto"/>
        </w:rPr>
        <w:t>The blackout periods do apply to gifts of Company securities and contributions of Company securities to a trust and you must follow all applicable pre-clearance procedures prior to gifting or contributing Company securities.</w:t>
      </w:r>
    </w:p>
    <w:p>
      <w:pPr>
        <w:spacing w:after="0" w:line="196" w:lineRule="exact"/>
        <w:rPr>
          <w:sz w:val="20"/>
          <w:szCs w:val="20"/>
          <w:color w:val="auto"/>
        </w:rPr>
      </w:pPr>
    </w:p>
    <w:p>
      <w:pPr>
        <w:jc w:val="both"/>
        <w:ind w:right="20"/>
        <w:spacing w:after="0" w:line="257" w:lineRule="auto"/>
        <w:rPr>
          <w:sz w:val="20"/>
          <w:szCs w:val="20"/>
          <w:color w:val="auto"/>
        </w:rPr>
      </w:pPr>
      <w:r>
        <w:rPr>
          <w:rFonts w:ascii="Arial" w:cs="Arial" w:eastAsia="Arial" w:hAnsi="Arial"/>
          <w:sz w:val="20"/>
          <w:szCs w:val="20"/>
          <w:color w:val="auto"/>
        </w:rPr>
        <w:t>The prohibition shall not apply with respect to a public offering of Company securities specifically authorized by the Company’s board of directors.</w:t>
      </w:r>
    </w:p>
    <w:p>
      <w:pPr>
        <w:spacing w:after="0" w:line="196"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The Legal Department may, on a case-by-case basis, approve transactions in Company securities during a blackout period if the person who wishes to trade (i) has, at least two business days prior to the anticipated transaction date, notified the Company in writing of the circumstances and the amount and nature of the proposed transaction and (ii) has certified to the Company that he or she is not in possession of MNPI concerning the Company. It is expected that approval of such exceptions would be rare.</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color w:val="auto"/>
        </w:rPr>
        <w:t>See the 10b5-1 Plans section below for the principles applicable to transactions under Rule 10b5-1 plans.</w:t>
      </w:r>
    </w:p>
    <w:p>
      <w:pPr>
        <w:spacing w:after="0" w:line="249"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VI.</w:t>
      </w:r>
      <w:r>
        <w:rPr>
          <w:sz w:val="20"/>
          <w:szCs w:val="20"/>
          <w:color w:val="auto"/>
        </w:rPr>
        <w:tab/>
      </w:r>
      <w:r>
        <w:rPr>
          <w:rFonts w:ascii="Arial" w:cs="Arial" w:eastAsia="Arial" w:hAnsi="Arial"/>
          <w:sz w:val="22"/>
          <w:szCs w:val="22"/>
          <w:b w:val="1"/>
          <w:bCs w:val="1"/>
          <w:color w:val="auto"/>
        </w:rPr>
        <w:t>Pre-Clearance of Securities Transactions</w:t>
      </w:r>
    </w:p>
    <w:p>
      <w:pPr>
        <w:spacing w:after="0" w:line="240"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To provide assistance in preventing inadvertent violations of the law (which could result for example, from failure by directors and officers subject to reporting obligations under Section 16 of the Exchange Act) and avoiding even the appearance of an improper transaction, we are implementing the following procedure:</w:t>
      </w:r>
    </w:p>
    <w:p>
      <w:pPr>
        <w:spacing w:after="0" w:line="192"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All transactions in Company securities, including gifts or contributions involving Company securities, by the following persons and their respective Related Parties must be pre-cleared with the Company’s Legal Department (such persons being designated “Insiders”):</w:t>
      </w:r>
    </w:p>
    <w:p>
      <w:pPr>
        <w:spacing w:after="0" w:line="205" w:lineRule="exact"/>
        <w:rPr>
          <w:sz w:val="20"/>
          <w:szCs w:val="20"/>
          <w:color w:val="auto"/>
        </w:rPr>
      </w:pPr>
    </w:p>
    <w:p>
      <w:pPr>
        <w:ind w:left="640" w:hanging="308"/>
        <w:spacing w:after="0"/>
        <w:tabs>
          <w:tab w:leader="none" w:pos="640" w:val="left"/>
        </w:tabs>
        <w:numPr>
          <w:ilvl w:val="0"/>
          <w:numId w:val="396"/>
        </w:numPr>
        <w:rPr>
          <w:rFonts w:ascii="Arial" w:cs="Arial" w:eastAsia="Arial" w:hAnsi="Arial"/>
          <w:sz w:val="20"/>
          <w:szCs w:val="20"/>
          <w:color w:val="auto"/>
        </w:rPr>
      </w:pPr>
      <w:r>
        <w:rPr>
          <w:rFonts w:ascii="Arial" w:cs="Arial" w:eastAsia="Arial" w:hAnsi="Arial"/>
          <w:sz w:val="20"/>
          <w:szCs w:val="20"/>
          <w:i w:val="1"/>
          <w:iCs w:val="1"/>
          <w:color w:val="auto"/>
        </w:rPr>
        <w:t>All individuals holding a VP+ title (VP, SVP, EVP, President, CXX) and their executive assistants;</w:t>
      </w:r>
    </w:p>
    <w:p>
      <w:pPr>
        <w:spacing w:after="0" w:line="215" w:lineRule="exact"/>
        <w:rPr>
          <w:rFonts w:ascii="Arial" w:cs="Arial" w:eastAsia="Arial" w:hAnsi="Arial"/>
          <w:sz w:val="20"/>
          <w:szCs w:val="20"/>
          <w:color w:val="auto"/>
        </w:rPr>
      </w:pPr>
    </w:p>
    <w:p>
      <w:pPr>
        <w:ind w:left="640" w:hanging="308"/>
        <w:spacing w:after="0"/>
        <w:tabs>
          <w:tab w:leader="none" w:pos="640" w:val="left"/>
        </w:tabs>
        <w:numPr>
          <w:ilvl w:val="0"/>
          <w:numId w:val="396"/>
        </w:numPr>
        <w:rPr>
          <w:rFonts w:ascii="Arial" w:cs="Arial" w:eastAsia="Arial" w:hAnsi="Arial"/>
          <w:sz w:val="20"/>
          <w:szCs w:val="20"/>
          <w:color w:val="auto"/>
        </w:rPr>
      </w:pPr>
      <w:r>
        <w:rPr>
          <w:rFonts w:ascii="Arial" w:cs="Arial" w:eastAsia="Arial" w:hAnsi="Arial"/>
          <w:sz w:val="20"/>
          <w:szCs w:val="20"/>
          <w:i w:val="1"/>
          <w:iCs w:val="1"/>
          <w:color w:val="auto"/>
        </w:rPr>
        <w:t>Executive officers and any other officer who has an obligation to file reports under Section 16 of the Exchange Act; and</w:t>
      </w:r>
    </w:p>
    <w:p>
      <w:pPr>
        <w:spacing w:after="0" w:line="202" w:lineRule="exact"/>
        <w:rPr>
          <w:rFonts w:ascii="Arial" w:cs="Arial" w:eastAsia="Arial" w:hAnsi="Arial"/>
          <w:sz w:val="20"/>
          <w:szCs w:val="20"/>
          <w:color w:val="auto"/>
        </w:rPr>
      </w:pPr>
    </w:p>
    <w:p>
      <w:pPr>
        <w:ind w:left="640" w:hanging="308"/>
        <w:spacing w:after="0"/>
        <w:tabs>
          <w:tab w:leader="none" w:pos="640" w:val="left"/>
        </w:tabs>
        <w:numPr>
          <w:ilvl w:val="0"/>
          <w:numId w:val="396"/>
        </w:numPr>
        <w:rPr>
          <w:rFonts w:ascii="Arial" w:cs="Arial" w:eastAsia="Arial" w:hAnsi="Arial"/>
          <w:sz w:val="20"/>
          <w:szCs w:val="20"/>
          <w:i w:val="1"/>
          <w:iCs w:val="1"/>
          <w:color w:val="auto"/>
        </w:rPr>
      </w:pPr>
      <w:r>
        <w:rPr>
          <w:rFonts w:ascii="Arial" w:cs="Arial" w:eastAsia="Arial" w:hAnsi="Arial"/>
          <w:sz w:val="20"/>
          <w:szCs w:val="20"/>
          <w:i w:val="1"/>
          <w:iCs w:val="1"/>
          <w:color w:val="auto"/>
        </w:rPr>
        <w:t>Members of the Company’s board of directors.</w:t>
      </w:r>
    </w:p>
    <w:p>
      <w:pPr>
        <w:spacing w:after="0" w:line="227" w:lineRule="exact"/>
        <w:rPr>
          <w:sz w:val="20"/>
          <w:szCs w:val="20"/>
          <w:color w:val="auto"/>
        </w:rPr>
      </w:pPr>
    </w:p>
    <w:p>
      <w:pPr>
        <w:jc w:val="both"/>
        <w:spacing w:after="0" w:line="238" w:lineRule="auto"/>
        <w:rPr>
          <w:sz w:val="20"/>
          <w:szCs w:val="20"/>
          <w:color w:val="auto"/>
        </w:rPr>
      </w:pPr>
      <w:r>
        <w:rPr>
          <w:rFonts w:ascii="Arial" w:cs="Arial" w:eastAsia="Arial" w:hAnsi="Arial"/>
          <w:sz w:val="20"/>
          <w:szCs w:val="20"/>
          <w:color w:val="auto"/>
        </w:rPr>
        <w:t xml:space="preserve">Persons subject to these restrictions should contact the Legal Department </w:t>
      </w:r>
      <w:r>
        <w:rPr>
          <w:rFonts w:ascii="Arial" w:cs="Arial" w:eastAsia="Arial" w:hAnsi="Arial"/>
          <w:sz w:val="20"/>
          <w:szCs w:val="20"/>
          <w:b w:val="1"/>
          <w:bCs w:val="1"/>
          <w:u w:val="single" w:color="auto"/>
          <w:color w:val="auto"/>
        </w:rPr>
        <w:t>at least two (2) trading days in advance of the</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auto"/>
        </w:rPr>
        <w:t>desired trade date</w:t>
      </w:r>
      <w:r>
        <w:rPr>
          <w:rFonts w:ascii="Arial" w:cs="Arial" w:eastAsia="Arial" w:hAnsi="Arial"/>
          <w:sz w:val="20"/>
          <w:szCs w:val="20"/>
          <w:b w:val="1"/>
          <w:bCs w:val="1"/>
          <w:color w:val="auto"/>
        </w:rPr>
        <w:t xml:space="preserve"> </w:t>
      </w:r>
      <w:r>
        <w:rPr>
          <w:rFonts w:ascii="Arial" w:cs="Arial" w:eastAsia="Arial" w:hAnsi="Arial"/>
          <w:sz w:val="20"/>
          <w:szCs w:val="20"/>
          <w:color w:val="auto"/>
        </w:rPr>
        <w:t>to ensure adequate time for processing the request and may not effect any transaction subject to the pre-clearance request unless given clearance to do so, which clearance, if granted, will be valid only for three (3) trading days following the approval date. If a transaction for which clearance has been granted is not executed within such three-trading day period, the transaction must again be pre-cleared.</w:t>
      </w:r>
    </w:p>
    <w:p>
      <w:pPr>
        <w:spacing w:after="0" w:line="212"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To the extent that a material event or development affecting the Company remains nonpublic, Insiders will not be given permission to effect transactions in securities of the Company. Insiders may not be informed of the reason why they may not trade. Any Insider that is made aware of the reason for an event-specific prohibition on trading should in no event disclose the reason for the prohibition to third parties and should avoid disclosing the existence of the prohibition, if possible. Caution should be exercised when telling a broker or other person who suggested a trade that the trade cannot be effected at the time.</w:t>
      </w: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color w:val="auto"/>
        </w:rPr>
        <w:t>Note that the pre-clearance procedures may delay the acquisition or disposition of any 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wp:posOffset>
            </wp:positionH>
            <wp:positionV relativeFrom="paragraph">
              <wp:posOffset>356235</wp:posOffset>
            </wp:positionV>
            <wp:extent cx="1183005" cy="3600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47">
                      <a:extLst>
                        <a:ext uri="{28A0092B-C50C-407E-A947-70E740481C1C}"/>
                      </a:extLst>
                    </a:blip>
                    <a:srcRect/>
                    <a:stretch>
                      <a:fillRect/>
                    </a:stretch>
                  </pic:blipFill>
                  <pic:spPr bwMode="auto">
                    <a:xfrm>
                      <a:off x="0" y="0"/>
                      <a:ext cx="1183005"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11120"/>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240"/>
          </w:cols>
          <w:pgMar w:left="320" w:top="1414" w:right="339" w:bottom="1440" w:gutter="0" w:footer="0" w:header="0"/>
        </w:sectPr>
      </w:pPr>
    </w:p>
    <w:bookmarkStart w:id="415" w:name="page416"/>
    <w:bookmarkEnd w:id="415"/>
    <w:p>
      <w:pPr>
        <w:spacing w:after="0" w:line="224"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VII.</w:t>
        <w:tab/>
        <w:t>10b5-1 Plans</w:t>
      </w:r>
    </w:p>
    <w:p>
      <w:pPr>
        <w:spacing w:after="0" w:line="240" w:lineRule="exact"/>
        <w:rPr>
          <w:sz w:val="20"/>
          <w:szCs w:val="20"/>
          <w:color w:val="auto"/>
        </w:rPr>
      </w:pPr>
    </w:p>
    <w:p>
      <w:pPr>
        <w:jc w:val="both"/>
        <w:spacing w:after="0" w:line="251" w:lineRule="auto"/>
        <w:rPr>
          <w:sz w:val="20"/>
          <w:szCs w:val="20"/>
          <w:color w:val="auto"/>
        </w:rPr>
      </w:pPr>
      <w:r>
        <w:rPr>
          <w:rFonts w:ascii="Arial" w:cs="Arial" w:eastAsia="Arial" w:hAnsi="Arial"/>
          <w:sz w:val="20"/>
          <w:szCs w:val="20"/>
          <w:color w:val="auto"/>
        </w:rPr>
        <w:t>The SEC has adopted a safe harbor rule, Rule 10b5-1, which provides a defense against insider trading liability for trades that are effected pursuant to a pre-arranged trading plan that meets specified conditions. Rule 10b5-1 plans allow transactions for the account of the applicable director, officer or employee to occur during blackout periods or while such person has MNPI provided such person must have established the 10b5-1 plan at a time when he or she is not in possession of MNPI and he or she may not exercise any subsequent influence over how, when or whether to effect transactions (he or she must have previously given instructions or other control to effect pre-planned transactions in securities of the Company to a third party). In addition to other specified conditions, a Rule 10b5-1 plan would specify in writing in advance the amount and price of the securities to be sold and the date for the sale (or a formula for determining the amount, price and date) or would otherwise not permit the applicable director, officer or employee to exercise any subsequent influence over how, when or whether to effect the sales. After adopting a valid Rule 10b5-1 plan, the applicable director, officer or employee will have an affirmative defense that a sale under the plan was not made “on the basis of” MNPI.</w:t>
      </w:r>
    </w:p>
    <w:p>
      <w:pPr>
        <w:spacing w:after="0" w:line="216"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Rule 10b5-1 plans must be properly documented, and all of the procedural conditions of the rule must be satisfied to avoid liability, including but not limited to: (a) mandatory cooling-off periods, as applicable, (b) a prohibition on multiple and/or overlapping plans, subject to limited exceptions, (c) a prohibition on more than one single-trade plan during any twelve-month period, subject to limited exceptions, (d) required representations, as applicable, and (e) any other requirements under applicable law or this Policy.</w:t>
      </w:r>
    </w:p>
    <w:p>
      <w:pPr>
        <w:spacing w:after="0" w:line="214"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In addition, to qualify as a 10b5-1 plan for purposes of this Policy, the plan must be approved in advance by the Legal Department (whether or not you are otherwise subject to the Pre-Clearance requirements outlined in Section VI above). You should allow at least five business days for that approval.</w:t>
      </w:r>
    </w:p>
    <w:p>
      <w:pPr>
        <w:spacing w:after="0" w:line="192"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The Company will treat the creation, modification or termination of a pre-planned trading program or arrangement established to meet the requirements of Rule 10b5-1 as a transaction subject to the blackout period and pre-clearance requirements set forth in this Policy. Such creation, modification or termination of a trading plan will trigger a new cooling-off period as required under applicable securities laws. However, once a 10b5-1 plan has been properly established, individual transactions effected pursuant to the plan will not be subject to the blackout periods described in this Policy and such individual transactions do not need to individually be pre-cleared. Even though each transaction effected under a Rule 10b5-1 plan does not need to be pre-cleared, it nonetheless must be made in accordance with Rule 144 and must be timely reported on a Form 4 under Section 16 of the Exchange Act.</w:t>
      </w:r>
    </w:p>
    <w:p>
      <w:pPr>
        <w:spacing w:after="0" w:line="199" w:lineRule="exact"/>
        <w:rPr>
          <w:sz w:val="20"/>
          <w:szCs w:val="20"/>
          <w:color w:val="auto"/>
        </w:rPr>
      </w:pPr>
    </w:p>
    <w:p>
      <w:pPr>
        <w:jc w:val="both"/>
        <w:spacing w:after="0" w:line="286" w:lineRule="auto"/>
        <w:rPr>
          <w:sz w:val="20"/>
          <w:szCs w:val="20"/>
          <w:color w:val="auto"/>
        </w:rPr>
      </w:pPr>
      <w:r>
        <w:rPr>
          <w:rFonts w:ascii="Arial" w:cs="Arial" w:eastAsia="Arial" w:hAnsi="Arial"/>
          <w:sz w:val="20"/>
          <w:szCs w:val="20"/>
          <w:color w:val="auto"/>
        </w:rPr>
        <w:t>Any 10b5-1 plan established by the Company or for the benefit of the Company is subject to the prior approval of the Legal Department.</w:t>
      </w:r>
    </w:p>
    <w:p>
      <w:pPr>
        <w:spacing w:after="0" w:line="174" w:lineRule="exact"/>
        <w:rPr>
          <w:sz w:val="20"/>
          <w:szCs w:val="20"/>
          <w:color w:val="auto"/>
        </w:rPr>
      </w:pPr>
    </w:p>
    <w:p>
      <w:pPr>
        <w:spacing w:after="0"/>
        <w:tabs>
          <w:tab w:leader="none" w:pos="620" w:val="left"/>
        </w:tabs>
        <w:rPr>
          <w:sz w:val="20"/>
          <w:szCs w:val="20"/>
          <w:color w:val="auto"/>
        </w:rPr>
      </w:pPr>
      <w:r>
        <w:rPr>
          <w:rFonts w:ascii="Arial" w:cs="Arial" w:eastAsia="Arial" w:hAnsi="Arial"/>
          <w:sz w:val="22"/>
          <w:szCs w:val="22"/>
          <w:b w:val="1"/>
          <w:bCs w:val="1"/>
          <w:color w:val="auto"/>
        </w:rPr>
        <w:t>VIII.</w:t>
        <w:tab/>
        <w:t>Review and Maintenance</w:t>
      </w:r>
    </w:p>
    <w:p>
      <w:pPr>
        <w:spacing w:after="0" w:line="253" w:lineRule="exact"/>
        <w:rPr>
          <w:sz w:val="20"/>
          <w:szCs w:val="20"/>
          <w:color w:val="auto"/>
        </w:rPr>
      </w:pPr>
    </w:p>
    <w:p>
      <w:pPr>
        <w:spacing w:after="0"/>
        <w:rPr>
          <w:sz w:val="20"/>
          <w:szCs w:val="20"/>
          <w:color w:val="auto"/>
        </w:rPr>
      </w:pPr>
      <w:r>
        <w:rPr>
          <w:rFonts w:ascii="Arial" w:cs="Arial" w:eastAsia="Arial" w:hAnsi="Arial"/>
          <w:sz w:val="20"/>
          <w:szCs w:val="20"/>
          <w:color w:val="auto"/>
        </w:rPr>
        <w:t>This document should be reviewed annually. Revisions, waivers, or exceptions must be approved by the Document 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wp:posOffset>
            </wp:positionH>
            <wp:positionV relativeFrom="paragraph">
              <wp:posOffset>519430</wp:posOffset>
            </wp:positionV>
            <wp:extent cx="1183005" cy="3600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48">
                      <a:extLst>
                        <a:ext uri="{28A0092B-C50C-407E-A947-70E740481C1C}"/>
                      </a:extLst>
                    </a:blip>
                    <a:srcRect/>
                    <a:stretch>
                      <a:fillRect/>
                    </a:stretch>
                  </pic:blipFill>
                  <pic:spPr bwMode="auto">
                    <a:xfrm>
                      <a:off x="0" y="0"/>
                      <a:ext cx="1183005"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1120"/>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240"/>
          </w:cols>
          <w:pgMar w:left="320" w:top="1440" w:right="339" w:bottom="1440" w:gutter="0" w:footer="0" w:header="0"/>
        </w:sectPr>
      </w:pPr>
    </w:p>
    <w:bookmarkStart w:id="416" w:name="page417"/>
    <w:bookmarkEnd w:id="416"/>
    <w:p>
      <w:pPr>
        <w:spacing w:after="0"/>
        <w:tabs>
          <w:tab w:leader="none" w:pos="640" w:val="left"/>
        </w:tabs>
        <w:rPr>
          <w:sz w:val="20"/>
          <w:szCs w:val="20"/>
          <w:color w:val="auto"/>
        </w:rPr>
      </w:pPr>
      <w:r>
        <w:rPr>
          <w:rFonts w:ascii="Arial" w:cs="Arial" w:eastAsia="Arial" w:hAnsi="Arial"/>
          <w:sz w:val="22"/>
          <w:szCs w:val="22"/>
          <w:b w:val="1"/>
          <w:bCs w:val="1"/>
          <w:color w:val="auto"/>
        </w:rPr>
        <w:t>IX.</w:t>
      </w:r>
      <w:r>
        <w:rPr>
          <w:sz w:val="20"/>
          <w:szCs w:val="20"/>
          <w:color w:val="auto"/>
        </w:rPr>
        <w:tab/>
      </w:r>
      <w:r>
        <w:rPr>
          <w:rFonts w:ascii="Arial" w:cs="Arial" w:eastAsia="Arial" w:hAnsi="Arial"/>
          <w:sz w:val="22"/>
          <w:szCs w:val="22"/>
          <w:b w:val="1"/>
          <w:bCs w:val="1"/>
          <w:color w:val="auto"/>
        </w:rPr>
        <w:t>Enforcement</w:t>
      </w:r>
    </w:p>
    <w:p>
      <w:pPr>
        <w:spacing w:after="0" w:line="240" w:lineRule="exact"/>
        <w:rPr>
          <w:sz w:val="20"/>
          <w:szCs w:val="20"/>
          <w:color w:val="auto"/>
        </w:rPr>
      </w:pPr>
    </w:p>
    <w:p>
      <w:pPr>
        <w:spacing w:after="0" w:line="313" w:lineRule="auto"/>
        <w:rPr>
          <w:sz w:val="20"/>
          <w:szCs w:val="20"/>
          <w:color w:val="auto"/>
        </w:rPr>
      </w:pPr>
      <w:r>
        <w:rPr>
          <w:rFonts w:ascii="Arial" w:cs="Arial" w:eastAsia="Arial" w:hAnsi="Arial"/>
          <w:sz w:val="19"/>
          <w:szCs w:val="19"/>
          <w:color w:val="auto"/>
        </w:rPr>
        <w:t>Any employee found to have knowingly violated this policy may be subject to disciplinary actions, up to and including termination of employment. Any contractor found to have knowingly violated this policy may be subject to release from contract.</w:t>
      </w:r>
    </w:p>
    <w:p>
      <w:pPr>
        <w:spacing w:after="0" w:line="152" w:lineRule="exact"/>
        <w:rPr>
          <w:sz w:val="20"/>
          <w:szCs w:val="20"/>
          <w:color w:val="auto"/>
        </w:rPr>
      </w:pPr>
    </w:p>
    <w:p>
      <w:pPr>
        <w:ind w:left="640" w:hanging="632"/>
        <w:spacing w:after="0"/>
        <w:tabs>
          <w:tab w:leader="none" w:pos="640" w:val="left"/>
        </w:tabs>
        <w:numPr>
          <w:ilvl w:val="0"/>
          <w:numId w:val="397"/>
        </w:numPr>
        <w:rPr>
          <w:rFonts w:ascii="Arial" w:cs="Arial" w:eastAsia="Arial" w:hAnsi="Arial"/>
          <w:sz w:val="22"/>
          <w:szCs w:val="22"/>
          <w:b w:val="1"/>
          <w:bCs w:val="1"/>
          <w:color w:val="auto"/>
        </w:rPr>
      </w:pPr>
      <w:r>
        <w:rPr>
          <w:rFonts w:ascii="Arial" w:cs="Arial" w:eastAsia="Arial" w:hAnsi="Arial"/>
          <w:sz w:val="22"/>
          <w:szCs w:val="22"/>
          <w:b w:val="1"/>
          <w:bCs w:val="1"/>
          <w:color w:val="auto"/>
        </w:rPr>
        <w:t>Contact</w:t>
      </w:r>
    </w:p>
    <w:p>
      <w:pPr>
        <w:spacing w:after="0" w:line="253"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Any person who has any questions about this Policy or about specific transactions may contact the Company’s Legal Department at: rax.io/gavel. Remember, however, that the ultimate responsibility for adhering to this Policy and avoiding improper transactions rests with you. In this regard, it is imperative that you use your best judgment and to ask before acting if you are unsure.</w:t>
      </w:r>
    </w:p>
    <w:p>
      <w:pPr>
        <w:spacing w:after="0" w:line="217"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XI.</w:t>
      </w:r>
      <w:r>
        <w:rPr>
          <w:sz w:val="20"/>
          <w:szCs w:val="20"/>
          <w:color w:val="auto"/>
        </w:rPr>
        <w:tab/>
      </w:r>
      <w:r>
        <w:rPr>
          <w:rFonts w:ascii="Arial" w:cs="Arial" w:eastAsia="Arial" w:hAnsi="Arial"/>
          <w:sz w:val="22"/>
          <w:szCs w:val="22"/>
          <w:b w:val="1"/>
          <w:bCs w:val="1"/>
          <w:color w:val="auto"/>
        </w:rPr>
        <w:t>Related Documents (if any)</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Code of Business Conduct and Ethics </w:t>
      </w:r>
      <w:r>
        <w:rPr>
          <w:rFonts w:ascii="Arial" w:cs="Arial" w:eastAsia="Arial" w:hAnsi="Arial"/>
          <w:sz w:val="21"/>
          <w:szCs w:val="21"/>
          <w:color w:val="auto"/>
        </w:rPr>
        <w:t>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wp:posOffset>
            </wp:positionH>
            <wp:positionV relativeFrom="paragraph">
              <wp:posOffset>514985</wp:posOffset>
            </wp:positionV>
            <wp:extent cx="1183005" cy="3600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49">
                      <a:extLst>
                        <a:ext uri="{28A0092B-C50C-407E-A947-70E740481C1C}"/>
                      </a:extLst>
                    </a:blip>
                    <a:srcRect/>
                    <a:stretch>
                      <a:fillRect/>
                    </a:stretch>
                  </pic:blipFill>
                  <pic:spPr bwMode="auto">
                    <a:xfrm>
                      <a:off x="0" y="0"/>
                      <a:ext cx="1183005"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11120"/>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240"/>
          </w:cols>
          <w:pgMar w:left="320" w:top="1420" w:right="339" w:bottom="1440" w:gutter="0" w:footer="0" w:header="0"/>
        </w:sectPr>
      </w:pPr>
    </w:p>
    <w:bookmarkStart w:id="417" w:name="page418"/>
    <w:bookmarkEnd w:id="41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Subsidiaries of Rackspace Technology, Inc.</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 of December 31,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Name of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105410</wp:posOffset>
            </wp:positionV>
            <wp:extent cx="507492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50">
                      <a:extLst>
                        <a:ext uri="{28A0092B-C50C-407E-A947-70E740481C1C}"/>
                      </a:extLst>
                    </a:blip>
                    <a:srcRect/>
                    <a:stretch>
                      <a:fillRect/>
                    </a:stretch>
                  </pic:blipFill>
                  <pic:spPr bwMode="auto">
                    <a:xfrm>
                      <a:off x="0" y="0"/>
                      <a:ext cx="50749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State or Other Jurisdiction of</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22860</wp:posOffset>
            </wp:positionV>
            <wp:extent cx="195453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51">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pacing w:after="0" w:line="58" w:lineRule="exact"/>
        <w:rPr>
          <w:sz w:val="20"/>
          <w:szCs w:val="20"/>
          <w:color w:val="auto"/>
        </w:rPr>
      </w:pPr>
    </w:p>
    <w:p>
      <w:pPr>
        <w:sectPr>
          <w:pgSz w:w="11900" w:h="16838" w:orient="portrait"/>
          <w:cols w:equalWidth="0" w:num="2">
            <w:col w:w="7440" w:space="720"/>
            <w:col w:w="3060"/>
          </w:cols>
          <w:pgMar w:left="340" w:top="117" w:right="339" w:bottom="1440" w:gutter="0" w:footer="0" w:header="0"/>
        </w:sectPr>
      </w:pPr>
    </w:p>
    <w:p>
      <w:pPr>
        <w:ind w:left="220"/>
        <w:spacing w:after="0"/>
        <w:tabs>
          <w:tab w:leader="none" w:pos="8360" w:val="left"/>
        </w:tabs>
        <w:rPr>
          <w:sz w:val="20"/>
          <w:szCs w:val="20"/>
          <w:color w:val="auto"/>
        </w:rPr>
      </w:pPr>
      <w:r>
        <w:rPr>
          <w:rFonts w:ascii="Times New Roman" w:cs="Times New Roman" w:eastAsia="Times New Roman" w:hAnsi="Times New Roman"/>
          <w:sz w:val="18"/>
          <w:szCs w:val="18"/>
          <w:color w:val="auto"/>
        </w:rPr>
        <w:t>Adapt Services Limited</w:t>
      </w:r>
      <w:r>
        <w:rPr>
          <w:sz w:val="20"/>
          <w:szCs w:val="20"/>
          <w:color w:val="auto"/>
        </w:rPr>
        <w:tab/>
      </w:r>
      <w:r>
        <w:rPr>
          <w:rFonts w:ascii="Times New Roman" w:cs="Times New Roman" w:eastAsia="Times New Roman" w:hAnsi="Times New Roman"/>
          <w:sz w:val="18"/>
          <w:szCs w:val="18"/>
          <w:color w:val="auto"/>
        </w:rPr>
        <w:t>United Kingdom</w:t>
      </w:r>
    </w:p>
    <w:p>
      <w:pPr>
        <w:spacing w:after="0" w:line="63" w:lineRule="exact"/>
        <w:rPr>
          <w:sz w:val="20"/>
          <w:szCs w:val="20"/>
          <w:color w:val="auto"/>
        </w:rPr>
      </w:pPr>
    </w:p>
    <w:p>
      <w:pPr>
        <w:ind w:left="220"/>
        <w:spacing w:after="0"/>
        <w:tabs>
          <w:tab w:leader="none" w:pos="8360" w:val="left"/>
        </w:tabs>
        <w:rPr>
          <w:sz w:val="20"/>
          <w:szCs w:val="20"/>
          <w:color w:val="auto"/>
        </w:rPr>
      </w:pPr>
      <w:r>
        <w:rPr>
          <w:rFonts w:ascii="Times New Roman" w:cs="Times New Roman" w:eastAsia="Times New Roman" w:hAnsi="Times New Roman"/>
          <w:sz w:val="18"/>
          <w:szCs w:val="18"/>
          <w:color w:val="auto"/>
        </w:rPr>
        <w:t>Datapipe Asia Limited</w:t>
      </w:r>
      <w:r>
        <w:rPr>
          <w:sz w:val="20"/>
          <w:szCs w:val="20"/>
          <w:color w:val="auto"/>
        </w:rPr>
        <w:tab/>
      </w:r>
      <w:r>
        <w:rPr>
          <w:rFonts w:ascii="Times New Roman" w:cs="Times New Roman" w:eastAsia="Times New Roman" w:hAnsi="Times New Roman"/>
          <w:sz w:val="17"/>
          <w:szCs w:val="17"/>
          <w:color w:val="auto"/>
        </w:rPr>
        <w:t>Hong Kong</w:t>
      </w:r>
    </w:p>
    <w:p>
      <w:pPr>
        <w:spacing w:after="0" w:line="63" w:lineRule="exact"/>
        <w:rPr>
          <w:sz w:val="20"/>
          <w:szCs w:val="20"/>
          <w:color w:val="auto"/>
        </w:rPr>
      </w:pPr>
    </w:p>
    <w:p>
      <w:pPr>
        <w:ind w:left="220"/>
        <w:spacing w:after="0"/>
        <w:tabs>
          <w:tab w:leader="none" w:pos="8360" w:val="left"/>
        </w:tabs>
        <w:rPr>
          <w:sz w:val="20"/>
          <w:szCs w:val="20"/>
          <w:color w:val="auto"/>
        </w:rPr>
      </w:pPr>
      <w:r>
        <w:rPr>
          <w:rFonts w:ascii="Times New Roman" w:cs="Times New Roman" w:eastAsia="Times New Roman" w:hAnsi="Times New Roman"/>
          <w:sz w:val="18"/>
          <w:szCs w:val="18"/>
          <w:color w:val="auto"/>
        </w:rPr>
        <w:t>Datapipe Europe Limited</w:t>
      </w:r>
      <w:r>
        <w:rPr>
          <w:sz w:val="20"/>
          <w:szCs w:val="20"/>
          <w:color w:val="auto"/>
        </w:rPr>
        <w:tab/>
      </w:r>
      <w:r>
        <w:rPr>
          <w:rFonts w:ascii="Times New Roman" w:cs="Times New Roman" w:eastAsia="Times New Roman" w:hAnsi="Times New Roman"/>
          <w:sz w:val="18"/>
          <w:szCs w:val="18"/>
          <w:color w:val="auto"/>
        </w:rPr>
        <w:t>United Kingdom</w:t>
      </w:r>
    </w:p>
    <w:p>
      <w:pPr>
        <w:spacing w:after="0" w:line="63" w:lineRule="exact"/>
        <w:rPr>
          <w:sz w:val="20"/>
          <w:szCs w:val="20"/>
          <w:color w:val="auto"/>
        </w:rPr>
      </w:pPr>
    </w:p>
    <w:p>
      <w:pPr>
        <w:ind w:left="220"/>
        <w:spacing w:after="0"/>
        <w:tabs>
          <w:tab w:leader="none" w:pos="8360" w:val="left"/>
        </w:tabs>
        <w:rPr>
          <w:sz w:val="20"/>
          <w:szCs w:val="20"/>
          <w:color w:val="auto"/>
        </w:rPr>
      </w:pPr>
      <w:r>
        <w:rPr>
          <w:rFonts w:ascii="Times New Roman" w:cs="Times New Roman" w:eastAsia="Times New Roman" w:hAnsi="Times New Roman"/>
          <w:sz w:val="18"/>
          <w:szCs w:val="18"/>
          <w:color w:val="auto"/>
        </w:rPr>
        <w:t>Datapipe Israel Limited</w:t>
      </w:r>
      <w:r>
        <w:rPr>
          <w:sz w:val="20"/>
          <w:szCs w:val="20"/>
          <w:color w:val="auto"/>
        </w:rPr>
        <w:tab/>
      </w:r>
      <w:r>
        <w:rPr>
          <w:rFonts w:ascii="Times New Roman" w:cs="Times New Roman" w:eastAsia="Times New Roman" w:hAnsi="Times New Roman"/>
          <w:sz w:val="18"/>
          <w:szCs w:val="18"/>
          <w:color w:val="auto"/>
        </w:rPr>
        <w:t>Israel</w:t>
      </w:r>
    </w:p>
    <w:p>
      <w:pPr>
        <w:spacing w:after="0" w:line="63" w:lineRule="exact"/>
        <w:rPr>
          <w:sz w:val="20"/>
          <w:szCs w:val="20"/>
          <w:color w:val="auto"/>
        </w:rPr>
      </w:pPr>
    </w:p>
    <w:p>
      <w:pPr>
        <w:ind w:left="220"/>
        <w:spacing w:after="0"/>
        <w:tabs>
          <w:tab w:leader="none" w:pos="8360" w:val="left"/>
        </w:tabs>
        <w:rPr>
          <w:sz w:val="20"/>
          <w:szCs w:val="20"/>
          <w:color w:val="auto"/>
        </w:rPr>
      </w:pPr>
      <w:r>
        <w:rPr>
          <w:rFonts w:ascii="Times New Roman" w:cs="Times New Roman" w:eastAsia="Times New Roman" w:hAnsi="Times New Roman"/>
          <w:sz w:val="18"/>
          <w:szCs w:val="18"/>
          <w:color w:val="auto"/>
        </w:rPr>
        <w:t>Datapipe Singapore Pte Ltd</w:t>
      </w:r>
      <w:r>
        <w:rPr>
          <w:sz w:val="20"/>
          <w:szCs w:val="20"/>
          <w:color w:val="auto"/>
        </w:rPr>
        <w:tab/>
      </w:r>
      <w:r>
        <w:rPr>
          <w:rFonts w:ascii="Times New Roman" w:cs="Times New Roman" w:eastAsia="Times New Roman" w:hAnsi="Times New Roman"/>
          <w:sz w:val="17"/>
          <w:szCs w:val="17"/>
          <w:color w:val="auto"/>
        </w:rPr>
        <w:t>Singapore</w:t>
      </w:r>
    </w:p>
    <w:p>
      <w:pPr>
        <w:spacing w:after="0" w:line="63" w:lineRule="exact"/>
        <w:rPr>
          <w:sz w:val="20"/>
          <w:szCs w:val="20"/>
          <w:color w:val="auto"/>
        </w:rPr>
      </w:pPr>
    </w:p>
    <w:p>
      <w:pPr>
        <w:ind w:left="220"/>
        <w:spacing w:after="0"/>
        <w:tabs>
          <w:tab w:leader="none" w:pos="8360" w:val="left"/>
        </w:tabs>
        <w:rPr>
          <w:sz w:val="20"/>
          <w:szCs w:val="20"/>
          <w:color w:val="auto"/>
        </w:rPr>
      </w:pPr>
      <w:r>
        <w:rPr>
          <w:rFonts w:ascii="Times New Roman" w:cs="Times New Roman" w:eastAsia="Times New Roman" w:hAnsi="Times New Roman"/>
          <w:sz w:val="18"/>
          <w:szCs w:val="18"/>
          <w:color w:val="auto"/>
        </w:rPr>
        <w:t>Datapipe, Inc.</w:t>
      </w:r>
      <w:r>
        <w:rPr>
          <w:sz w:val="20"/>
          <w:szCs w:val="20"/>
          <w:color w:val="auto"/>
        </w:rPr>
        <w:tab/>
      </w:r>
      <w:r>
        <w:rPr>
          <w:rFonts w:ascii="Times New Roman" w:cs="Times New Roman" w:eastAsia="Times New Roman" w:hAnsi="Times New Roman"/>
          <w:sz w:val="17"/>
          <w:szCs w:val="17"/>
          <w:color w:val="auto"/>
        </w:rPr>
        <w:t>Delaware</w:t>
      </w:r>
    </w:p>
    <w:p>
      <w:pPr>
        <w:spacing w:after="0" w:line="63" w:lineRule="exact"/>
        <w:rPr>
          <w:sz w:val="20"/>
          <w:szCs w:val="20"/>
          <w:color w:val="auto"/>
        </w:rPr>
      </w:pPr>
    </w:p>
    <w:p>
      <w:pPr>
        <w:ind w:left="220"/>
        <w:spacing w:after="0"/>
        <w:tabs>
          <w:tab w:leader="none" w:pos="8360" w:val="left"/>
        </w:tabs>
        <w:rPr>
          <w:sz w:val="20"/>
          <w:szCs w:val="20"/>
          <w:color w:val="auto"/>
        </w:rPr>
      </w:pPr>
      <w:r>
        <w:rPr>
          <w:rFonts w:ascii="Times New Roman" w:cs="Times New Roman" w:eastAsia="Times New Roman" w:hAnsi="Times New Roman"/>
          <w:sz w:val="18"/>
          <w:szCs w:val="18"/>
          <w:color w:val="auto"/>
        </w:rPr>
        <w:t>Drake Merger Sub II, LLC</w:t>
      </w:r>
      <w:r>
        <w:rPr>
          <w:sz w:val="20"/>
          <w:szCs w:val="20"/>
          <w:color w:val="auto"/>
        </w:rPr>
        <w:tab/>
      </w:r>
      <w:r>
        <w:rPr>
          <w:rFonts w:ascii="Times New Roman" w:cs="Times New Roman" w:eastAsia="Times New Roman" w:hAnsi="Times New Roman"/>
          <w:sz w:val="17"/>
          <w:szCs w:val="17"/>
          <w:color w:val="auto"/>
        </w:rPr>
        <w:t>Delaware</w:t>
      </w:r>
    </w:p>
    <w:p>
      <w:pPr>
        <w:spacing w:after="0" w:line="63" w:lineRule="exact"/>
        <w:rPr>
          <w:sz w:val="20"/>
          <w:szCs w:val="20"/>
          <w:color w:val="auto"/>
        </w:rPr>
      </w:pPr>
    </w:p>
    <w:p>
      <w:pPr>
        <w:ind w:left="220"/>
        <w:spacing w:after="0"/>
        <w:tabs>
          <w:tab w:leader="none" w:pos="8360" w:val="left"/>
        </w:tabs>
        <w:rPr>
          <w:sz w:val="20"/>
          <w:szCs w:val="20"/>
          <w:color w:val="auto"/>
        </w:rPr>
      </w:pPr>
      <w:r>
        <w:rPr>
          <w:rFonts w:ascii="Times New Roman" w:cs="Times New Roman" w:eastAsia="Times New Roman" w:hAnsi="Times New Roman"/>
          <w:sz w:val="18"/>
          <w:szCs w:val="18"/>
          <w:color w:val="auto"/>
        </w:rPr>
        <w:t>GoGrid, LLC</w:t>
      </w:r>
      <w:r>
        <w:rPr>
          <w:sz w:val="20"/>
          <w:szCs w:val="20"/>
          <w:color w:val="auto"/>
        </w:rPr>
        <w:tab/>
      </w:r>
      <w:r>
        <w:rPr>
          <w:rFonts w:ascii="Times New Roman" w:cs="Times New Roman" w:eastAsia="Times New Roman" w:hAnsi="Times New Roman"/>
          <w:sz w:val="17"/>
          <w:szCs w:val="17"/>
          <w:color w:val="auto"/>
        </w:rPr>
        <w:t>Delaware</w:t>
      </w:r>
    </w:p>
    <w:p>
      <w:pPr>
        <w:spacing w:after="0" w:line="63" w:lineRule="exact"/>
        <w:rPr>
          <w:sz w:val="20"/>
          <w:szCs w:val="20"/>
          <w:color w:val="auto"/>
        </w:rPr>
      </w:pPr>
    </w:p>
    <w:p>
      <w:pPr>
        <w:ind w:left="220"/>
        <w:spacing w:after="0"/>
        <w:tabs>
          <w:tab w:leader="none" w:pos="8360" w:val="left"/>
        </w:tabs>
        <w:rPr>
          <w:sz w:val="20"/>
          <w:szCs w:val="20"/>
          <w:color w:val="auto"/>
        </w:rPr>
      </w:pPr>
      <w:r>
        <w:rPr>
          <w:rFonts w:ascii="Times New Roman" w:cs="Times New Roman" w:eastAsia="Times New Roman" w:hAnsi="Times New Roman"/>
          <w:sz w:val="18"/>
          <w:szCs w:val="18"/>
          <w:color w:val="auto"/>
        </w:rPr>
        <w:t>Inception Intermediate, Inc.</w:t>
      </w:r>
      <w:r>
        <w:rPr>
          <w:sz w:val="20"/>
          <w:szCs w:val="20"/>
          <w:color w:val="auto"/>
        </w:rPr>
        <w:tab/>
      </w:r>
      <w:r>
        <w:rPr>
          <w:rFonts w:ascii="Times New Roman" w:cs="Times New Roman" w:eastAsia="Times New Roman" w:hAnsi="Times New Roman"/>
          <w:sz w:val="17"/>
          <w:szCs w:val="17"/>
          <w:color w:val="auto"/>
        </w:rPr>
        <w:t>Delaware</w:t>
      </w:r>
    </w:p>
    <w:p>
      <w:pPr>
        <w:spacing w:after="0" w:line="63" w:lineRule="exact"/>
        <w:rPr>
          <w:sz w:val="20"/>
          <w:szCs w:val="20"/>
          <w:color w:val="auto"/>
        </w:rPr>
      </w:pPr>
    </w:p>
    <w:p>
      <w:pPr>
        <w:ind w:left="220"/>
        <w:spacing w:after="0"/>
        <w:tabs>
          <w:tab w:leader="none" w:pos="8360" w:val="left"/>
        </w:tabs>
        <w:rPr>
          <w:sz w:val="20"/>
          <w:szCs w:val="20"/>
          <w:color w:val="auto"/>
        </w:rPr>
      </w:pPr>
      <w:r>
        <w:rPr>
          <w:rFonts w:ascii="Times New Roman" w:cs="Times New Roman" w:eastAsia="Times New Roman" w:hAnsi="Times New Roman"/>
          <w:sz w:val="18"/>
          <w:szCs w:val="18"/>
          <w:color w:val="auto"/>
        </w:rPr>
        <w:t>Inception Parent, Inc.</w:t>
      </w:r>
      <w:r>
        <w:rPr>
          <w:sz w:val="20"/>
          <w:szCs w:val="20"/>
          <w:color w:val="auto"/>
        </w:rPr>
        <w:tab/>
      </w:r>
      <w:r>
        <w:rPr>
          <w:rFonts w:ascii="Times New Roman" w:cs="Times New Roman" w:eastAsia="Times New Roman" w:hAnsi="Times New Roman"/>
          <w:sz w:val="17"/>
          <w:szCs w:val="17"/>
          <w:color w:val="auto"/>
        </w:rPr>
        <w:t>Delaware</w:t>
      </w:r>
    </w:p>
    <w:p>
      <w:pPr>
        <w:spacing w:after="0" w:line="63" w:lineRule="exact"/>
        <w:rPr>
          <w:sz w:val="20"/>
          <w:szCs w:val="20"/>
          <w:color w:val="auto"/>
        </w:rPr>
      </w:pPr>
    </w:p>
    <w:p>
      <w:pPr>
        <w:ind w:left="220"/>
        <w:spacing w:after="0"/>
        <w:tabs>
          <w:tab w:leader="none" w:pos="8360" w:val="left"/>
        </w:tabs>
        <w:rPr>
          <w:sz w:val="20"/>
          <w:szCs w:val="20"/>
          <w:color w:val="auto"/>
        </w:rPr>
      </w:pPr>
      <w:r>
        <w:rPr>
          <w:rFonts w:ascii="Times New Roman" w:cs="Times New Roman" w:eastAsia="Times New Roman" w:hAnsi="Times New Roman"/>
          <w:sz w:val="18"/>
          <w:szCs w:val="18"/>
          <w:color w:val="auto"/>
        </w:rPr>
        <w:t>JA Vietnam Co., Ltd</w:t>
      </w:r>
      <w:r>
        <w:rPr>
          <w:sz w:val="20"/>
          <w:szCs w:val="20"/>
          <w:color w:val="auto"/>
        </w:rPr>
        <w:tab/>
      </w:r>
      <w:r>
        <w:rPr>
          <w:rFonts w:ascii="Times New Roman" w:cs="Times New Roman" w:eastAsia="Times New Roman" w:hAnsi="Times New Roman"/>
          <w:sz w:val="17"/>
          <w:szCs w:val="17"/>
          <w:color w:val="auto"/>
        </w:rPr>
        <w:t>Vietnam</w:t>
      </w:r>
    </w:p>
    <w:p>
      <w:pPr>
        <w:spacing w:after="0" w:line="63" w:lineRule="exact"/>
        <w:rPr>
          <w:sz w:val="20"/>
          <w:szCs w:val="20"/>
          <w:color w:val="auto"/>
        </w:rPr>
      </w:pPr>
    </w:p>
    <w:p>
      <w:pPr>
        <w:ind w:left="220"/>
        <w:spacing w:after="0"/>
        <w:tabs>
          <w:tab w:leader="none" w:pos="8360" w:val="left"/>
        </w:tabs>
        <w:rPr>
          <w:sz w:val="20"/>
          <w:szCs w:val="20"/>
          <w:color w:val="auto"/>
        </w:rPr>
      </w:pPr>
      <w:r>
        <w:rPr>
          <w:rFonts w:ascii="Times New Roman" w:cs="Times New Roman" w:eastAsia="Times New Roman" w:hAnsi="Times New Roman"/>
          <w:sz w:val="18"/>
          <w:szCs w:val="18"/>
          <w:color w:val="auto"/>
        </w:rPr>
        <w:t>Just Analytics Pte. Ltd</w:t>
      </w:r>
      <w:r>
        <w:rPr>
          <w:sz w:val="20"/>
          <w:szCs w:val="20"/>
          <w:color w:val="auto"/>
        </w:rPr>
        <w:tab/>
      </w:r>
      <w:r>
        <w:rPr>
          <w:rFonts w:ascii="Times New Roman" w:cs="Times New Roman" w:eastAsia="Times New Roman" w:hAnsi="Times New Roman"/>
          <w:sz w:val="17"/>
          <w:szCs w:val="17"/>
          <w:color w:val="auto"/>
        </w:rPr>
        <w:t>Singapore</w:t>
      </w:r>
    </w:p>
    <w:p>
      <w:pPr>
        <w:spacing w:after="0" w:line="63" w:lineRule="exact"/>
        <w:rPr>
          <w:sz w:val="20"/>
          <w:szCs w:val="20"/>
          <w:color w:val="auto"/>
        </w:rPr>
      </w:pPr>
    </w:p>
    <w:p>
      <w:pPr>
        <w:ind w:left="220"/>
        <w:spacing w:after="0"/>
        <w:tabs>
          <w:tab w:leader="none" w:pos="8360" w:val="left"/>
        </w:tabs>
        <w:rPr>
          <w:sz w:val="20"/>
          <w:szCs w:val="20"/>
          <w:color w:val="auto"/>
        </w:rPr>
      </w:pPr>
      <w:r>
        <w:rPr>
          <w:rFonts w:ascii="Times New Roman" w:cs="Times New Roman" w:eastAsia="Times New Roman" w:hAnsi="Times New Roman"/>
          <w:sz w:val="18"/>
          <w:szCs w:val="18"/>
          <w:color w:val="auto"/>
        </w:rPr>
        <w:t>ObjectRocket, LLC</w:t>
      </w:r>
      <w:r>
        <w:rPr>
          <w:sz w:val="20"/>
          <w:szCs w:val="20"/>
          <w:color w:val="auto"/>
        </w:rPr>
        <w:tab/>
      </w:r>
      <w:r>
        <w:rPr>
          <w:rFonts w:ascii="Times New Roman" w:cs="Times New Roman" w:eastAsia="Times New Roman" w:hAnsi="Times New Roman"/>
          <w:sz w:val="17"/>
          <w:szCs w:val="17"/>
          <w:color w:val="auto"/>
        </w:rPr>
        <w:t>Delaware</w:t>
      </w:r>
    </w:p>
    <w:p>
      <w:pPr>
        <w:spacing w:after="0" w:line="63" w:lineRule="exact"/>
        <w:rPr>
          <w:sz w:val="20"/>
          <w:szCs w:val="20"/>
          <w:color w:val="auto"/>
        </w:rPr>
      </w:pPr>
    </w:p>
    <w:p>
      <w:pPr>
        <w:ind w:left="220"/>
        <w:spacing w:after="0"/>
        <w:tabs>
          <w:tab w:leader="none" w:pos="8360" w:val="left"/>
        </w:tabs>
        <w:rPr>
          <w:sz w:val="20"/>
          <w:szCs w:val="20"/>
          <w:color w:val="auto"/>
        </w:rPr>
      </w:pPr>
      <w:r>
        <w:rPr>
          <w:rFonts w:ascii="Times New Roman" w:cs="Times New Roman" w:eastAsia="Times New Roman" w:hAnsi="Times New Roman"/>
          <w:sz w:val="18"/>
          <w:szCs w:val="18"/>
          <w:color w:val="auto"/>
        </w:rPr>
        <w:t>Onica Egypt LLC</w:t>
      </w:r>
      <w:r>
        <w:rPr>
          <w:sz w:val="20"/>
          <w:szCs w:val="20"/>
          <w:color w:val="auto"/>
        </w:rPr>
        <w:tab/>
      </w:r>
      <w:r>
        <w:rPr>
          <w:rFonts w:ascii="Times New Roman" w:cs="Times New Roman" w:eastAsia="Times New Roman" w:hAnsi="Times New Roman"/>
          <w:sz w:val="17"/>
          <w:szCs w:val="17"/>
          <w:color w:val="auto"/>
        </w:rPr>
        <w:t>Egypt</w:t>
      </w:r>
    </w:p>
    <w:p>
      <w:pPr>
        <w:spacing w:after="0" w:line="63" w:lineRule="exact"/>
        <w:rPr>
          <w:sz w:val="20"/>
          <w:szCs w:val="20"/>
          <w:color w:val="auto"/>
        </w:rPr>
      </w:pPr>
    </w:p>
    <w:p>
      <w:pPr>
        <w:ind w:left="220"/>
        <w:spacing w:after="0"/>
        <w:tabs>
          <w:tab w:leader="none" w:pos="8360" w:val="left"/>
        </w:tabs>
        <w:rPr>
          <w:sz w:val="20"/>
          <w:szCs w:val="20"/>
          <w:color w:val="auto"/>
        </w:rPr>
      </w:pPr>
      <w:r>
        <w:rPr>
          <w:rFonts w:ascii="Times New Roman" w:cs="Times New Roman" w:eastAsia="Times New Roman" w:hAnsi="Times New Roman"/>
          <w:sz w:val="18"/>
          <w:szCs w:val="18"/>
          <w:color w:val="auto"/>
        </w:rPr>
        <w:t>Onica Group LLC</w:t>
      </w:r>
      <w:r>
        <w:rPr>
          <w:sz w:val="20"/>
          <w:szCs w:val="20"/>
          <w:color w:val="auto"/>
        </w:rPr>
        <w:tab/>
      </w:r>
      <w:r>
        <w:rPr>
          <w:rFonts w:ascii="Times New Roman" w:cs="Times New Roman" w:eastAsia="Times New Roman" w:hAnsi="Times New Roman"/>
          <w:sz w:val="17"/>
          <w:szCs w:val="17"/>
          <w:color w:val="auto"/>
        </w:rPr>
        <w:t>Delaware</w:t>
      </w:r>
    </w:p>
    <w:p>
      <w:pPr>
        <w:spacing w:after="0" w:line="63" w:lineRule="exact"/>
        <w:rPr>
          <w:sz w:val="20"/>
          <w:szCs w:val="20"/>
          <w:color w:val="auto"/>
        </w:rPr>
      </w:pPr>
    </w:p>
    <w:p>
      <w:pPr>
        <w:ind w:left="220"/>
        <w:spacing w:after="0"/>
        <w:tabs>
          <w:tab w:leader="none" w:pos="8360" w:val="left"/>
        </w:tabs>
        <w:rPr>
          <w:sz w:val="20"/>
          <w:szCs w:val="20"/>
          <w:color w:val="auto"/>
        </w:rPr>
      </w:pPr>
      <w:r>
        <w:rPr>
          <w:rFonts w:ascii="Times New Roman" w:cs="Times New Roman" w:eastAsia="Times New Roman" w:hAnsi="Times New Roman"/>
          <w:sz w:val="18"/>
          <w:szCs w:val="18"/>
          <w:color w:val="auto"/>
        </w:rPr>
        <w:t>Onica Holdings LLC</w:t>
      </w:r>
      <w:r>
        <w:rPr>
          <w:sz w:val="20"/>
          <w:szCs w:val="20"/>
          <w:color w:val="auto"/>
        </w:rPr>
        <w:tab/>
      </w:r>
      <w:r>
        <w:rPr>
          <w:rFonts w:ascii="Times New Roman" w:cs="Times New Roman" w:eastAsia="Times New Roman" w:hAnsi="Times New Roman"/>
          <w:sz w:val="17"/>
          <w:szCs w:val="17"/>
          <w:color w:val="auto"/>
        </w:rPr>
        <w:t>Delaware</w:t>
      </w:r>
    </w:p>
    <w:p>
      <w:pPr>
        <w:spacing w:after="0" w:line="63" w:lineRule="exact"/>
        <w:rPr>
          <w:sz w:val="20"/>
          <w:szCs w:val="20"/>
          <w:color w:val="auto"/>
        </w:rPr>
      </w:pPr>
    </w:p>
    <w:p>
      <w:pPr>
        <w:ind w:left="220"/>
        <w:spacing w:after="0"/>
        <w:tabs>
          <w:tab w:leader="none" w:pos="8360" w:val="left"/>
        </w:tabs>
        <w:rPr>
          <w:sz w:val="20"/>
          <w:szCs w:val="20"/>
          <w:color w:val="auto"/>
        </w:rPr>
      </w:pPr>
      <w:r>
        <w:rPr>
          <w:rFonts w:ascii="Times New Roman" w:cs="Times New Roman" w:eastAsia="Times New Roman" w:hAnsi="Times New Roman"/>
          <w:sz w:val="18"/>
          <w:szCs w:val="18"/>
          <w:color w:val="auto"/>
        </w:rPr>
        <w:t>Onica Technologies Canada, Inc.</w:t>
      </w:r>
      <w:r>
        <w:rPr>
          <w:sz w:val="20"/>
          <w:szCs w:val="20"/>
          <w:color w:val="auto"/>
        </w:rPr>
        <w:tab/>
      </w:r>
      <w:r>
        <w:rPr>
          <w:rFonts w:ascii="Times New Roman" w:cs="Times New Roman" w:eastAsia="Times New Roman" w:hAnsi="Times New Roman"/>
          <w:sz w:val="18"/>
          <w:szCs w:val="18"/>
          <w:color w:val="auto"/>
        </w:rPr>
        <w:t>Canada</w:t>
      </w:r>
    </w:p>
    <w:p>
      <w:pPr>
        <w:spacing w:after="0" w:line="63" w:lineRule="exact"/>
        <w:rPr>
          <w:sz w:val="20"/>
          <w:szCs w:val="20"/>
          <w:color w:val="auto"/>
        </w:rPr>
      </w:pPr>
    </w:p>
    <w:p>
      <w:pPr>
        <w:ind w:left="220"/>
        <w:spacing w:after="0"/>
        <w:tabs>
          <w:tab w:leader="none" w:pos="8360" w:val="left"/>
        </w:tabs>
        <w:rPr>
          <w:sz w:val="20"/>
          <w:szCs w:val="20"/>
          <w:color w:val="auto"/>
        </w:rPr>
      </w:pPr>
      <w:r>
        <w:rPr>
          <w:rFonts w:ascii="Times New Roman" w:cs="Times New Roman" w:eastAsia="Times New Roman" w:hAnsi="Times New Roman"/>
          <w:sz w:val="18"/>
          <w:szCs w:val="18"/>
          <w:color w:val="auto"/>
        </w:rPr>
        <w:t>Rackspace Arabia for Information Technology Single LLC</w:t>
      </w:r>
      <w:r>
        <w:rPr>
          <w:sz w:val="20"/>
          <w:szCs w:val="20"/>
          <w:color w:val="auto"/>
        </w:rPr>
        <w:tab/>
      </w:r>
      <w:r>
        <w:rPr>
          <w:rFonts w:ascii="Times New Roman" w:cs="Times New Roman" w:eastAsia="Times New Roman" w:hAnsi="Times New Roman"/>
          <w:sz w:val="17"/>
          <w:szCs w:val="17"/>
          <w:color w:val="auto"/>
        </w:rPr>
        <w:t>Saudi Arabia</w:t>
      </w:r>
    </w:p>
    <w:p>
      <w:pPr>
        <w:spacing w:after="0" w:line="63" w:lineRule="exact"/>
        <w:rPr>
          <w:sz w:val="20"/>
          <w:szCs w:val="20"/>
          <w:color w:val="auto"/>
        </w:rPr>
      </w:pPr>
    </w:p>
    <w:p>
      <w:pPr>
        <w:ind w:left="220"/>
        <w:spacing w:after="0"/>
        <w:tabs>
          <w:tab w:leader="none" w:pos="8360" w:val="left"/>
        </w:tabs>
        <w:rPr>
          <w:sz w:val="20"/>
          <w:szCs w:val="20"/>
          <w:color w:val="auto"/>
        </w:rPr>
      </w:pPr>
      <w:r>
        <w:rPr>
          <w:rFonts w:ascii="Times New Roman" w:cs="Times New Roman" w:eastAsia="Times New Roman" w:hAnsi="Times New Roman"/>
          <w:sz w:val="18"/>
          <w:szCs w:val="18"/>
          <w:color w:val="auto"/>
        </w:rPr>
        <w:t>Rackspace Asia (Shanghai) Limited</w:t>
      </w:r>
      <w:r>
        <w:rPr>
          <w:sz w:val="20"/>
          <w:szCs w:val="20"/>
          <w:color w:val="auto"/>
        </w:rPr>
        <w:tab/>
      </w:r>
      <w:r>
        <w:rPr>
          <w:rFonts w:ascii="Times New Roman" w:cs="Times New Roman" w:eastAsia="Times New Roman" w:hAnsi="Times New Roman"/>
          <w:sz w:val="17"/>
          <w:szCs w:val="17"/>
          <w:color w:val="auto"/>
        </w:rPr>
        <w:t>China</w:t>
      </w:r>
    </w:p>
    <w:p>
      <w:pPr>
        <w:spacing w:after="0" w:line="63" w:lineRule="exact"/>
        <w:rPr>
          <w:sz w:val="20"/>
          <w:szCs w:val="20"/>
          <w:color w:val="auto"/>
        </w:rPr>
      </w:pPr>
    </w:p>
    <w:p>
      <w:pPr>
        <w:ind w:left="220"/>
        <w:spacing w:after="0"/>
        <w:tabs>
          <w:tab w:leader="none" w:pos="8360" w:val="left"/>
        </w:tabs>
        <w:rPr>
          <w:sz w:val="20"/>
          <w:szCs w:val="20"/>
          <w:color w:val="auto"/>
        </w:rPr>
      </w:pPr>
      <w:r>
        <w:rPr>
          <w:rFonts w:ascii="Times New Roman" w:cs="Times New Roman" w:eastAsia="Times New Roman" w:hAnsi="Times New Roman"/>
          <w:sz w:val="18"/>
          <w:szCs w:val="18"/>
          <w:color w:val="auto"/>
        </w:rPr>
        <w:t>Rackspace Asia Limited</w:t>
      </w:r>
      <w:r>
        <w:rPr>
          <w:sz w:val="20"/>
          <w:szCs w:val="20"/>
          <w:color w:val="auto"/>
        </w:rPr>
        <w:tab/>
      </w:r>
      <w:r>
        <w:rPr>
          <w:rFonts w:ascii="Times New Roman" w:cs="Times New Roman" w:eastAsia="Times New Roman" w:hAnsi="Times New Roman"/>
          <w:sz w:val="17"/>
          <w:szCs w:val="17"/>
          <w:color w:val="auto"/>
        </w:rPr>
        <w:t>Hong Kong</w:t>
      </w:r>
    </w:p>
    <w:p>
      <w:pPr>
        <w:spacing w:after="0" w:line="63" w:lineRule="exact"/>
        <w:rPr>
          <w:sz w:val="20"/>
          <w:szCs w:val="20"/>
          <w:color w:val="auto"/>
        </w:rPr>
      </w:pPr>
    </w:p>
    <w:p>
      <w:pPr>
        <w:ind w:left="220"/>
        <w:spacing w:after="0"/>
        <w:tabs>
          <w:tab w:leader="none" w:pos="8360" w:val="left"/>
        </w:tabs>
        <w:rPr>
          <w:sz w:val="20"/>
          <w:szCs w:val="20"/>
          <w:color w:val="auto"/>
        </w:rPr>
      </w:pPr>
      <w:r>
        <w:rPr>
          <w:rFonts w:ascii="Times New Roman" w:cs="Times New Roman" w:eastAsia="Times New Roman" w:hAnsi="Times New Roman"/>
          <w:sz w:val="18"/>
          <w:szCs w:val="18"/>
          <w:color w:val="auto"/>
        </w:rPr>
        <w:t>Rackspace Benelux BV</w:t>
      </w:r>
      <w:r>
        <w:rPr>
          <w:sz w:val="20"/>
          <w:szCs w:val="20"/>
          <w:color w:val="auto"/>
        </w:rPr>
        <w:tab/>
      </w:r>
      <w:r>
        <w:rPr>
          <w:rFonts w:ascii="Times New Roman" w:cs="Times New Roman" w:eastAsia="Times New Roman" w:hAnsi="Times New Roman"/>
          <w:sz w:val="17"/>
          <w:szCs w:val="17"/>
          <w:color w:val="auto"/>
        </w:rPr>
        <w:t>Netherlands</w:t>
      </w:r>
    </w:p>
    <w:p>
      <w:pPr>
        <w:spacing w:after="0" w:line="63" w:lineRule="exact"/>
        <w:rPr>
          <w:sz w:val="20"/>
          <w:szCs w:val="20"/>
          <w:color w:val="auto"/>
        </w:rPr>
      </w:pPr>
    </w:p>
    <w:p>
      <w:pPr>
        <w:ind w:left="220"/>
        <w:spacing w:after="0"/>
        <w:tabs>
          <w:tab w:leader="none" w:pos="8360" w:val="left"/>
        </w:tabs>
        <w:rPr>
          <w:sz w:val="20"/>
          <w:szCs w:val="20"/>
          <w:color w:val="auto"/>
        </w:rPr>
      </w:pPr>
      <w:r>
        <w:rPr>
          <w:rFonts w:ascii="Times New Roman" w:cs="Times New Roman" w:eastAsia="Times New Roman" w:hAnsi="Times New Roman"/>
          <w:sz w:val="18"/>
          <w:szCs w:val="18"/>
          <w:color w:val="auto"/>
        </w:rPr>
        <w:t>Rackspace Canada, Inc.</w:t>
      </w:r>
      <w:r>
        <w:rPr>
          <w:sz w:val="20"/>
          <w:szCs w:val="20"/>
          <w:color w:val="auto"/>
        </w:rPr>
        <w:tab/>
      </w:r>
      <w:r>
        <w:rPr>
          <w:rFonts w:ascii="Times New Roman" w:cs="Times New Roman" w:eastAsia="Times New Roman" w:hAnsi="Times New Roman"/>
          <w:sz w:val="18"/>
          <w:szCs w:val="18"/>
          <w:color w:val="auto"/>
        </w:rPr>
        <w:t>Canada</w:t>
      </w:r>
    </w:p>
    <w:p>
      <w:pPr>
        <w:spacing w:after="0" w:line="63" w:lineRule="exact"/>
        <w:rPr>
          <w:sz w:val="20"/>
          <w:szCs w:val="20"/>
          <w:color w:val="auto"/>
        </w:rPr>
      </w:pPr>
    </w:p>
    <w:p>
      <w:pPr>
        <w:ind w:left="220"/>
        <w:spacing w:after="0"/>
        <w:tabs>
          <w:tab w:leader="none" w:pos="8360" w:val="left"/>
        </w:tabs>
        <w:rPr>
          <w:sz w:val="20"/>
          <w:szCs w:val="20"/>
          <w:color w:val="auto"/>
        </w:rPr>
      </w:pPr>
      <w:r>
        <w:rPr>
          <w:rFonts w:ascii="Times New Roman" w:cs="Times New Roman" w:eastAsia="Times New Roman" w:hAnsi="Times New Roman"/>
          <w:sz w:val="18"/>
          <w:szCs w:val="18"/>
          <w:color w:val="auto"/>
        </w:rPr>
        <w:t>Rackspace Finance, LLC</w:t>
      </w:r>
      <w:r>
        <w:rPr>
          <w:sz w:val="20"/>
          <w:szCs w:val="20"/>
          <w:color w:val="auto"/>
        </w:rPr>
        <w:tab/>
      </w:r>
      <w:r>
        <w:rPr>
          <w:rFonts w:ascii="Times New Roman" w:cs="Times New Roman" w:eastAsia="Times New Roman" w:hAnsi="Times New Roman"/>
          <w:sz w:val="17"/>
          <w:szCs w:val="17"/>
          <w:color w:val="auto"/>
        </w:rPr>
        <w:t>Delaware</w:t>
      </w:r>
    </w:p>
    <w:p>
      <w:pPr>
        <w:spacing w:after="0" w:line="63" w:lineRule="exact"/>
        <w:rPr>
          <w:sz w:val="20"/>
          <w:szCs w:val="20"/>
          <w:color w:val="auto"/>
        </w:rPr>
      </w:pPr>
    </w:p>
    <w:p>
      <w:pPr>
        <w:ind w:left="220"/>
        <w:spacing w:after="0"/>
        <w:tabs>
          <w:tab w:leader="none" w:pos="8360" w:val="left"/>
        </w:tabs>
        <w:rPr>
          <w:sz w:val="20"/>
          <w:szCs w:val="20"/>
          <w:color w:val="auto"/>
        </w:rPr>
      </w:pPr>
      <w:r>
        <w:rPr>
          <w:rFonts w:ascii="Times New Roman" w:cs="Times New Roman" w:eastAsia="Times New Roman" w:hAnsi="Times New Roman"/>
          <w:sz w:val="18"/>
          <w:szCs w:val="18"/>
          <w:color w:val="auto"/>
        </w:rPr>
        <w:t>Rackspace Finance Holdings, LLC</w:t>
      </w:r>
      <w:r>
        <w:rPr>
          <w:sz w:val="20"/>
          <w:szCs w:val="20"/>
          <w:color w:val="auto"/>
        </w:rPr>
        <w:tab/>
      </w:r>
      <w:r>
        <w:rPr>
          <w:rFonts w:ascii="Times New Roman" w:cs="Times New Roman" w:eastAsia="Times New Roman" w:hAnsi="Times New Roman"/>
          <w:sz w:val="17"/>
          <w:szCs w:val="17"/>
          <w:color w:val="auto"/>
        </w:rPr>
        <w:t>Delaware</w:t>
      </w:r>
    </w:p>
    <w:p>
      <w:pPr>
        <w:spacing w:after="0" w:line="63" w:lineRule="exact"/>
        <w:rPr>
          <w:sz w:val="20"/>
          <w:szCs w:val="20"/>
          <w:color w:val="auto"/>
        </w:rPr>
      </w:pPr>
    </w:p>
    <w:p>
      <w:pPr>
        <w:ind w:left="220"/>
        <w:spacing w:after="0"/>
        <w:tabs>
          <w:tab w:leader="none" w:pos="8360" w:val="left"/>
        </w:tabs>
        <w:rPr>
          <w:sz w:val="20"/>
          <w:szCs w:val="20"/>
          <w:color w:val="auto"/>
        </w:rPr>
      </w:pPr>
      <w:r>
        <w:rPr>
          <w:rFonts w:ascii="Times New Roman" w:cs="Times New Roman" w:eastAsia="Times New Roman" w:hAnsi="Times New Roman"/>
          <w:sz w:val="18"/>
          <w:szCs w:val="18"/>
          <w:color w:val="auto"/>
        </w:rPr>
        <w:t>Rackspace Finance Holdings II, LLC</w:t>
      </w:r>
      <w:r>
        <w:rPr>
          <w:sz w:val="20"/>
          <w:szCs w:val="20"/>
          <w:color w:val="auto"/>
        </w:rPr>
        <w:tab/>
      </w:r>
      <w:r>
        <w:rPr>
          <w:rFonts w:ascii="Times New Roman" w:cs="Times New Roman" w:eastAsia="Times New Roman" w:hAnsi="Times New Roman"/>
          <w:sz w:val="17"/>
          <w:szCs w:val="17"/>
          <w:color w:val="auto"/>
        </w:rPr>
        <w:t>Delaware</w:t>
      </w:r>
    </w:p>
    <w:p>
      <w:pPr>
        <w:spacing w:after="0" w:line="63" w:lineRule="exact"/>
        <w:rPr>
          <w:sz w:val="20"/>
          <w:szCs w:val="20"/>
          <w:color w:val="auto"/>
        </w:rPr>
      </w:pPr>
    </w:p>
    <w:p>
      <w:pPr>
        <w:ind w:left="220"/>
        <w:spacing w:after="0"/>
        <w:tabs>
          <w:tab w:leader="none" w:pos="8360" w:val="left"/>
        </w:tabs>
        <w:rPr>
          <w:sz w:val="20"/>
          <w:szCs w:val="20"/>
          <w:color w:val="auto"/>
        </w:rPr>
      </w:pPr>
      <w:r>
        <w:rPr>
          <w:rFonts w:ascii="Times New Roman" w:cs="Times New Roman" w:eastAsia="Times New Roman" w:hAnsi="Times New Roman"/>
          <w:sz w:val="18"/>
          <w:szCs w:val="18"/>
          <w:color w:val="auto"/>
        </w:rPr>
        <w:t>Rackspace Finance (UK) Holdings Ltd</w:t>
      </w:r>
      <w:r>
        <w:rPr>
          <w:sz w:val="20"/>
          <w:szCs w:val="20"/>
          <w:color w:val="auto"/>
        </w:rPr>
        <w:tab/>
      </w:r>
      <w:r>
        <w:rPr>
          <w:rFonts w:ascii="Times New Roman" w:cs="Times New Roman" w:eastAsia="Times New Roman" w:hAnsi="Times New Roman"/>
          <w:sz w:val="18"/>
          <w:szCs w:val="18"/>
          <w:color w:val="auto"/>
        </w:rPr>
        <w:t>United Kingdom</w:t>
      </w:r>
    </w:p>
    <w:p>
      <w:pPr>
        <w:spacing w:after="0" w:line="63" w:lineRule="exact"/>
        <w:rPr>
          <w:sz w:val="20"/>
          <w:szCs w:val="20"/>
          <w:color w:val="auto"/>
        </w:rPr>
      </w:pPr>
    </w:p>
    <w:p>
      <w:pPr>
        <w:ind w:left="220"/>
        <w:spacing w:after="0"/>
        <w:tabs>
          <w:tab w:leader="none" w:pos="8360" w:val="left"/>
        </w:tabs>
        <w:rPr>
          <w:sz w:val="20"/>
          <w:szCs w:val="20"/>
          <w:color w:val="auto"/>
        </w:rPr>
      </w:pPr>
      <w:r>
        <w:rPr>
          <w:rFonts w:ascii="Times New Roman" w:cs="Times New Roman" w:eastAsia="Times New Roman" w:hAnsi="Times New Roman"/>
          <w:sz w:val="18"/>
          <w:szCs w:val="18"/>
          <w:color w:val="auto"/>
        </w:rPr>
        <w:t>Rackspace Germany GmbH</w:t>
      </w:r>
      <w:r>
        <w:rPr>
          <w:sz w:val="20"/>
          <w:szCs w:val="20"/>
          <w:color w:val="auto"/>
        </w:rPr>
        <w:tab/>
      </w:r>
      <w:r>
        <w:rPr>
          <w:rFonts w:ascii="Times New Roman" w:cs="Times New Roman" w:eastAsia="Times New Roman" w:hAnsi="Times New Roman"/>
          <w:sz w:val="17"/>
          <w:szCs w:val="17"/>
          <w:color w:val="auto"/>
        </w:rPr>
        <w:t>Germany</w:t>
      </w:r>
    </w:p>
    <w:p>
      <w:pPr>
        <w:spacing w:after="0" w:line="63" w:lineRule="exact"/>
        <w:rPr>
          <w:sz w:val="20"/>
          <w:szCs w:val="20"/>
          <w:color w:val="auto"/>
        </w:rPr>
      </w:pPr>
    </w:p>
    <w:p>
      <w:pPr>
        <w:ind w:left="220"/>
        <w:spacing w:after="0"/>
        <w:tabs>
          <w:tab w:leader="none" w:pos="8360" w:val="left"/>
        </w:tabs>
        <w:rPr>
          <w:sz w:val="20"/>
          <w:szCs w:val="20"/>
          <w:color w:val="auto"/>
        </w:rPr>
      </w:pPr>
      <w:r>
        <w:rPr>
          <w:rFonts w:ascii="Times New Roman" w:cs="Times New Roman" w:eastAsia="Times New Roman" w:hAnsi="Times New Roman"/>
          <w:sz w:val="18"/>
          <w:szCs w:val="18"/>
          <w:color w:val="auto"/>
        </w:rPr>
        <w:t>Rackspace Government Solutions, Inc.</w:t>
      </w:r>
      <w:r>
        <w:rPr>
          <w:sz w:val="20"/>
          <w:szCs w:val="20"/>
          <w:color w:val="auto"/>
        </w:rPr>
        <w:tab/>
      </w:r>
      <w:r>
        <w:rPr>
          <w:rFonts w:ascii="Times New Roman" w:cs="Times New Roman" w:eastAsia="Times New Roman" w:hAnsi="Times New Roman"/>
          <w:sz w:val="17"/>
          <w:szCs w:val="17"/>
          <w:color w:val="auto"/>
        </w:rPr>
        <w:t>Delaware</w:t>
      </w:r>
    </w:p>
    <w:p>
      <w:pPr>
        <w:spacing w:after="0" w:line="63" w:lineRule="exact"/>
        <w:rPr>
          <w:sz w:val="20"/>
          <w:szCs w:val="20"/>
          <w:color w:val="auto"/>
        </w:rPr>
      </w:pPr>
    </w:p>
    <w:p>
      <w:pPr>
        <w:ind w:left="220"/>
        <w:spacing w:after="0"/>
        <w:tabs>
          <w:tab w:leader="none" w:pos="8360" w:val="left"/>
        </w:tabs>
        <w:rPr>
          <w:sz w:val="20"/>
          <w:szCs w:val="20"/>
          <w:color w:val="auto"/>
        </w:rPr>
      </w:pPr>
      <w:r>
        <w:rPr>
          <w:rFonts w:ascii="Times New Roman" w:cs="Times New Roman" w:eastAsia="Times New Roman" w:hAnsi="Times New Roman"/>
          <w:sz w:val="18"/>
          <w:szCs w:val="18"/>
          <w:color w:val="auto"/>
        </w:rPr>
        <w:t>Rackspace Holdings LLC</w:t>
      </w:r>
      <w:r>
        <w:rPr>
          <w:sz w:val="20"/>
          <w:szCs w:val="20"/>
          <w:color w:val="auto"/>
        </w:rPr>
        <w:tab/>
      </w:r>
      <w:r>
        <w:rPr>
          <w:rFonts w:ascii="Times New Roman" w:cs="Times New Roman" w:eastAsia="Times New Roman" w:hAnsi="Times New Roman"/>
          <w:sz w:val="17"/>
          <w:szCs w:val="17"/>
          <w:color w:val="auto"/>
        </w:rPr>
        <w:t>Delaware</w:t>
      </w:r>
    </w:p>
    <w:p>
      <w:pPr>
        <w:spacing w:after="0" w:line="63" w:lineRule="exact"/>
        <w:rPr>
          <w:sz w:val="20"/>
          <w:szCs w:val="20"/>
          <w:color w:val="auto"/>
        </w:rPr>
      </w:pPr>
    </w:p>
    <w:p>
      <w:pPr>
        <w:ind w:left="220"/>
        <w:spacing w:after="0"/>
        <w:tabs>
          <w:tab w:leader="none" w:pos="8360" w:val="left"/>
        </w:tabs>
        <w:rPr>
          <w:sz w:val="20"/>
          <w:szCs w:val="20"/>
          <w:color w:val="auto"/>
        </w:rPr>
      </w:pPr>
      <w:r>
        <w:rPr>
          <w:rFonts w:ascii="Times New Roman" w:cs="Times New Roman" w:eastAsia="Times New Roman" w:hAnsi="Times New Roman"/>
          <w:sz w:val="18"/>
          <w:szCs w:val="18"/>
          <w:color w:val="auto"/>
        </w:rPr>
        <w:t>Rackspace Hosting Australia Pty Ltd</w:t>
      </w:r>
      <w:r>
        <w:rPr>
          <w:sz w:val="20"/>
          <w:szCs w:val="20"/>
          <w:color w:val="auto"/>
        </w:rPr>
        <w:tab/>
      </w:r>
      <w:r>
        <w:rPr>
          <w:rFonts w:ascii="Times New Roman" w:cs="Times New Roman" w:eastAsia="Times New Roman" w:hAnsi="Times New Roman"/>
          <w:sz w:val="18"/>
          <w:szCs w:val="18"/>
          <w:color w:val="auto"/>
        </w:rPr>
        <w:t>Australia</w:t>
      </w:r>
    </w:p>
    <w:p>
      <w:pPr>
        <w:spacing w:after="0" w:line="63" w:lineRule="exact"/>
        <w:rPr>
          <w:sz w:val="20"/>
          <w:szCs w:val="20"/>
          <w:color w:val="auto"/>
        </w:rPr>
      </w:pPr>
    </w:p>
    <w:p>
      <w:pPr>
        <w:ind w:left="220"/>
        <w:spacing w:after="0"/>
        <w:tabs>
          <w:tab w:leader="none" w:pos="8360" w:val="left"/>
        </w:tabs>
        <w:rPr>
          <w:sz w:val="20"/>
          <w:szCs w:val="20"/>
          <w:color w:val="auto"/>
        </w:rPr>
      </w:pPr>
      <w:r>
        <w:rPr>
          <w:rFonts w:ascii="Times New Roman" w:cs="Times New Roman" w:eastAsia="Times New Roman" w:hAnsi="Times New Roman"/>
          <w:sz w:val="18"/>
          <w:szCs w:val="18"/>
          <w:color w:val="auto"/>
        </w:rPr>
        <w:t>Rackspace India Private Limited</w:t>
      </w:r>
      <w:r>
        <w:rPr>
          <w:sz w:val="20"/>
          <w:szCs w:val="20"/>
          <w:color w:val="auto"/>
        </w:rPr>
        <w:tab/>
      </w:r>
      <w:r>
        <w:rPr>
          <w:rFonts w:ascii="Times New Roman" w:cs="Times New Roman" w:eastAsia="Times New Roman" w:hAnsi="Times New Roman"/>
          <w:sz w:val="17"/>
          <w:szCs w:val="17"/>
          <w:color w:val="auto"/>
        </w:rPr>
        <w:t>India</w:t>
      </w:r>
    </w:p>
    <w:p>
      <w:pPr>
        <w:spacing w:after="0" w:line="63" w:lineRule="exact"/>
        <w:rPr>
          <w:sz w:val="20"/>
          <w:szCs w:val="20"/>
          <w:color w:val="auto"/>
        </w:rPr>
      </w:pPr>
    </w:p>
    <w:p>
      <w:pPr>
        <w:ind w:left="220"/>
        <w:spacing w:after="0"/>
        <w:tabs>
          <w:tab w:leader="none" w:pos="8360" w:val="left"/>
        </w:tabs>
        <w:rPr>
          <w:sz w:val="20"/>
          <w:szCs w:val="20"/>
          <w:color w:val="auto"/>
        </w:rPr>
      </w:pPr>
      <w:r>
        <w:rPr>
          <w:rFonts w:ascii="Times New Roman" w:cs="Times New Roman" w:eastAsia="Times New Roman" w:hAnsi="Times New Roman"/>
          <w:sz w:val="18"/>
          <w:szCs w:val="18"/>
          <w:color w:val="auto"/>
        </w:rPr>
        <w:t>Rackspace International GmbH</w:t>
      </w:r>
      <w:r>
        <w:rPr>
          <w:sz w:val="20"/>
          <w:szCs w:val="20"/>
          <w:color w:val="auto"/>
        </w:rPr>
        <w:tab/>
      </w:r>
      <w:r>
        <w:rPr>
          <w:rFonts w:ascii="Times New Roman" w:cs="Times New Roman" w:eastAsia="Times New Roman" w:hAnsi="Times New Roman"/>
          <w:sz w:val="18"/>
          <w:szCs w:val="18"/>
          <w:color w:val="auto"/>
        </w:rPr>
        <w:t>Switzerland</w:t>
      </w:r>
    </w:p>
    <w:p>
      <w:pPr>
        <w:spacing w:after="0" w:line="63" w:lineRule="exact"/>
        <w:rPr>
          <w:sz w:val="20"/>
          <w:szCs w:val="20"/>
          <w:color w:val="auto"/>
        </w:rPr>
      </w:pPr>
    </w:p>
    <w:p>
      <w:pPr>
        <w:ind w:left="220"/>
        <w:spacing w:after="0"/>
        <w:tabs>
          <w:tab w:leader="none" w:pos="8360" w:val="left"/>
        </w:tabs>
        <w:rPr>
          <w:sz w:val="20"/>
          <w:szCs w:val="20"/>
          <w:color w:val="auto"/>
        </w:rPr>
      </w:pPr>
      <w:r>
        <w:rPr>
          <w:rFonts w:ascii="Times New Roman" w:cs="Times New Roman" w:eastAsia="Times New Roman" w:hAnsi="Times New Roman"/>
          <w:sz w:val="18"/>
          <w:szCs w:val="18"/>
          <w:color w:val="auto"/>
        </w:rPr>
        <w:t>Rackspace International Holdings, Inc.</w:t>
      </w:r>
      <w:r>
        <w:rPr>
          <w:sz w:val="20"/>
          <w:szCs w:val="20"/>
          <w:color w:val="auto"/>
        </w:rPr>
        <w:tab/>
      </w:r>
      <w:r>
        <w:rPr>
          <w:rFonts w:ascii="Times New Roman" w:cs="Times New Roman" w:eastAsia="Times New Roman" w:hAnsi="Times New Roman"/>
          <w:sz w:val="17"/>
          <w:szCs w:val="17"/>
          <w:color w:val="auto"/>
        </w:rPr>
        <w:t>Delaware</w:t>
      </w:r>
    </w:p>
    <w:p>
      <w:pPr>
        <w:spacing w:after="0" w:line="63" w:lineRule="exact"/>
        <w:rPr>
          <w:sz w:val="20"/>
          <w:szCs w:val="20"/>
          <w:color w:val="auto"/>
        </w:rPr>
      </w:pPr>
    </w:p>
    <w:p>
      <w:pPr>
        <w:ind w:left="220"/>
        <w:spacing w:after="0"/>
        <w:tabs>
          <w:tab w:leader="none" w:pos="8360" w:val="left"/>
        </w:tabs>
        <w:rPr>
          <w:sz w:val="20"/>
          <w:szCs w:val="20"/>
          <w:color w:val="auto"/>
        </w:rPr>
      </w:pPr>
      <w:r>
        <w:rPr>
          <w:rFonts w:ascii="Times New Roman" w:cs="Times New Roman" w:eastAsia="Times New Roman" w:hAnsi="Times New Roman"/>
          <w:sz w:val="18"/>
          <w:szCs w:val="18"/>
          <w:color w:val="auto"/>
        </w:rPr>
        <w:t>Rackspace International Mobility GmbH</w:t>
      </w:r>
      <w:r>
        <w:rPr>
          <w:sz w:val="20"/>
          <w:szCs w:val="20"/>
          <w:color w:val="auto"/>
        </w:rPr>
        <w:tab/>
      </w:r>
      <w:r>
        <w:rPr>
          <w:rFonts w:ascii="Times New Roman" w:cs="Times New Roman" w:eastAsia="Times New Roman" w:hAnsi="Times New Roman"/>
          <w:sz w:val="18"/>
          <w:szCs w:val="18"/>
          <w:color w:val="auto"/>
        </w:rPr>
        <w:t>Switzerland</w:t>
      </w:r>
    </w:p>
    <w:p>
      <w:pPr>
        <w:spacing w:after="0" w:line="63" w:lineRule="exact"/>
        <w:rPr>
          <w:sz w:val="20"/>
          <w:szCs w:val="20"/>
          <w:color w:val="auto"/>
        </w:rPr>
      </w:pPr>
    </w:p>
    <w:p>
      <w:pPr>
        <w:ind w:left="220"/>
        <w:spacing w:after="0"/>
        <w:tabs>
          <w:tab w:leader="none" w:pos="8360" w:val="left"/>
        </w:tabs>
        <w:rPr>
          <w:sz w:val="20"/>
          <w:szCs w:val="20"/>
          <w:color w:val="auto"/>
        </w:rPr>
      </w:pPr>
      <w:r>
        <w:rPr>
          <w:rFonts w:ascii="Times New Roman" w:cs="Times New Roman" w:eastAsia="Times New Roman" w:hAnsi="Times New Roman"/>
          <w:sz w:val="18"/>
          <w:szCs w:val="18"/>
          <w:color w:val="auto"/>
        </w:rPr>
        <w:t>Rackspace Israel Holdings Ltd</w:t>
      </w:r>
      <w:r>
        <w:rPr>
          <w:sz w:val="20"/>
          <w:szCs w:val="20"/>
          <w:color w:val="auto"/>
        </w:rPr>
        <w:tab/>
      </w:r>
      <w:r>
        <w:rPr>
          <w:rFonts w:ascii="Times New Roman" w:cs="Times New Roman" w:eastAsia="Times New Roman" w:hAnsi="Times New Roman"/>
          <w:sz w:val="18"/>
          <w:szCs w:val="18"/>
          <w:color w:val="auto"/>
        </w:rPr>
        <w:t>Israel</w:t>
      </w:r>
    </w:p>
    <w:p>
      <w:pPr>
        <w:spacing w:after="0" w:line="63" w:lineRule="exact"/>
        <w:rPr>
          <w:sz w:val="20"/>
          <w:szCs w:val="20"/>
          <w:color w:val="auto"/>
        </w:rPr>
      </w:pPr>
    </w:p>
    <w:p>
      <w:pPr>
        <w:ind w:left="220"/>
        <w:spacing w:after="0"/>
        <w:tabs>
          <w:tab w:leader="none" w:pos="8360" w:val="left"/>
        </w:tabs>
        <w:rPr>
          <w:sz w:val="20"/>
          <w:szCs w:val="20"/>
          <w:color w:val="auto"/>
        </w:rPr>
      </w:pPr>
      <w:r>
        <w:rPr>
          <w:rFonts w:ascii="Times New Roman" w:cs="Times New Roman" w:eastAsia="Times New Roman" w:hAnsi="Times New Roman"/>
          <w:sz w:val="18"/>
          <w:szCs w:val="18"/>
          <w:color w:val="auto"/>
        </w:rPr>
        <w:t>Rackspace Limited</w:t>
      </w:r>
      <w:r>
        <w:rPr>
          <w:sz w:val="20"/>
          <w:szCs w:val="20"/>
          <w:color w:val="auto"/>
        </w:rPr>
        <w:tab/>
      </w:r>
      <w:r>
        <w:rPr>
          <w:rFonts w:ascii="Times New Roman" w:cs="Times New Roman" w:eastAsia="Times New Roman" w:hAnsi="Times New Roman"/>
          <w:sz w:val="18"/>
          <w:szCs w:val="18"/>
          <w:color w:val="auto"/>
        </w:rPr>
        <w:t>United Kingdom</w:t>
      </w:r>
    </w:p>
    <w:p>
      <w:pPr>
        <w:spacing w:after="0" w:line="63" w:lineRule="exact"/>
        <w:rPr>
          <w:sz w:val="20"/>
          <w:szCs w:val="20"/>
          <w:color w:val="auto"/>
        </w:rPr>
      </w:pPr>
    </w:p>
    <w:p>
      <w:pPr>
        <w:ind w:left="220"/>
        <w:spacing w:after="0"/>
        <w:tabs>
          <w:tab w:leader="none" w:pos="8360" w:val="left"/>
        </w:tabs>
        <w:rPr>
          <w:sz w:val="20"/>
          <w:szCs w:val="20"/>
          <w:color w:val="auto"/>
        </w:rPr>
      </w:pPr>
      <w:r>
        <w:rPr>
          <w:rFonts w:ascii="Times New Roman" w:cs="Times New Roman" w:eastAsia="Times New Roman" w:hAnsi="Times New Roman"/>
          <w:sz w:val="18"/>
          <w:szCs w:val="18"/>
          <w:color w:val="auto"/>
        </w:rPr>
        <w:t>Rackspace Mexico s.de R.L. de C.V.</w:t>
      </w:r>
      <w:r>
        <w:rPr>
          <w:sz w:val="20"/>
          <w:szCs w:val="20"/>
          <w:color w:val="auto"/>
        </w:rPr>
        <w:tab/>
      </w:r>
      <w:r>
        <w:rPr>
          <w:rFonts w:ascii="Times New Roman" w:cs="Times New Roman" w:eastAsia="Times New Roman" w:hAnsi="Times New Roman"/>
          <w:sz w:val="17"/>
          <w:szCs w:val="17"/>
          <w:color w:val="auto"/>
        </w:rPr>
        <w:t>Mexico</w:t>
      </w:r>
    </w:p>
    <w:p>
      <w:pPr>
        <w:spacing w:after="0" w:line="63" w:lineRule="exact"/>
        <w:rPr>
          <w:sz w:val="20"/>
          <w:szCs w:val="20"/>
          <w:color w:val="auto"/>
        </w:rPr>
      </w:pPr>
    </w:p>
    <w:p>
      <w:pPr>
        <w:ind w:left="220"/>
        <w:spacing w:after="0"/>
        <w:tabs>
          <w:tab w:leader="none" w:pos="8360" w:val="left"/>
        </w:tabs>
        <w:rPr>
          <w:sz w:val="20"/>
          <w:szCs w:val="20"/>
          <w:color w:val="auto"/>
        </w:rPr>
      </w:pPr>
      <w:r>
        <w:rPr>
          <w:rFonts w:ascii="Times New Roman" w:cs="Times New Roman" w:eastAsia="Times New Roman" w:hAnsi="Times New Roman"/>
          <w:sz w:val="18"/>
          <w:szCs w:val="18"/>
          <w:color w:val="auto"/>
        </w:rPr>
        <w:t>Rackspace New Zealand Limited</w:t>
      </w:r>
      <w:r>
        <w:rPr>
          <w:sz w:val="20"/>
          <w:szCs w:val="20"/>
          <w:color w:val="auto"/>
        </w:rPr>
        <w:tab/>
      </w:r>
      <w:r>
        <w:rPr>
          <w:rFonts w:ascii="Times New Roman" w:cs="Times New Roman" w:eastAsia="Times New Roman" w:hAnsi="Times New Roman"/>
          <w:sz w:val="17"/>
          <w:szCs w:val="17"/>
          <w:color w:val="auto"/>
        </w:rPr>
        <w:t>New Zealand</w:t>
      </w:r>
    </w:p>
    <w:p>
      <w:pPr>
        <w:spacing w:after="0" w:line="63" w:lineRule="exact"/>
        <w:rPr>
          <w:sz w:val="20"/>
          <w:szCs w:val="20"/>
          <w:color w:val="auto"/>
        </w:rPr>
      </w:pPr>
    </w:p>
    <w:p>
      <w:pPr>
        <w:ind w:left="220"/>
        <w:spacing w:after="0"/>
        <w:tabs>
          <w:tab w:leader="none" w:pos="8360" w:val="left"/>
        </w:tabs>
        <w:rPr>
          <w:sz w:val="20"/>
          <w:szCs w:val="20"/>
          <w:color w:val="auto"/>
        </w:rPr>
      </w:pPr>
      <w:r>
        <w:rPr>
          <w:rFonts w:ascii="Times New Roman" w:cs="Times New Roman" w:eastAsia="Times New Roman" w:hAnsi="Times New Roman"/>
          <w:sz w:val="18"/>
          <w:szCs w:val="18"/>
          <w:color w:val="auto"/>
        </w:rPr>
        <w:t>Rackspace Technology Norway AS</w:t>
      </w:r>
      <w:r>
        <w:rPr>
          <w:sz w:val="20"/>
          <w:szCs w:val="20"/>
          <w:color w:val="auto"/>
        </w:rPr>
        <w:tab/>
      </w:r>
      <w:r>
        <w:rPr>
          <w:rFonts w:ascii="Times New Roman" w:cs="Times New Roman" w:eastAsia="Times New Roman" w:hAnsi="Times New Roman"/>
          <w:sz w:val="18"/>
          <w:szCs w:val="18"/>
          <w:color w:val="auto"/>
        </w:rPr>
        <w:t>Norway</w:t>
      </w:r>
    </w:p>
    <w:p>
      <w:pPr>
        <w:sectPr>
          <w:pgSz w:w="11900" w:h="16838" w:orient="portrait"/>
          <w:cols w:equalWidth="0" w:num="1">
            <w:col w:w="11220"/>
          </w:cols>
          <w:pgMar w:left="340" w:top="117" w:right="339" w:bottom="1440" w:gutter="0" w:footer="0" w:header="0"/>
          <w:type w:val="continuous"/>
        </w:sectPr>
      </w:pPr>
    </w:p>
    <w:bookmarkStart w:id="418" w:name="page419"/>
    <w:bookmarkEnd w:id="418"/>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Rackspace Professional Services Japan GK</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Rackspace Receivables II, LLC</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Rackspace Receivables Canada Limited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Rackspace Singapore Pte. Ltd.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Rackspace Technology Belgium B.V.</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Rackspace Technology Brazil LTDA</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Rackspace Technology Colombia S.A.S.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Rackspace Technology Global, Inc.</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Rackspace Technology Hungary Kft.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Rackspace Technology Malaysia SDN. BHD.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Rackspace Technology Poland sp. z o.o. (Yocarnim Investments Sp. z o.o)</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Rackspace US, Inc.</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RelationEdge, LLC</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RSUS4, LLC</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RXT Sweden AB</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Tricore Solutions Private Limited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Tricore Solutions, LLC</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Japan</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Canada</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Singapore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Belgium</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Brazil</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Colombia</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Hungary</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Malaysia</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Poland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Sweden</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India</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Massachusetts</w:t>
      </w:r>
    </w:p>
    <w:p>
      <w:pPr>
        <w:sectPr>
          <w:pgSz w:w="11900" w:h="16838" w:orient="portrait"/>
          <w:cols w:equalWidth="0" w:num="2">
            <w:col w:w="7440" w:space="720"/>
            <w:col w:w="1739"/>
          </w:cols>
          <w:pgMar w:left="560" w:top="1440" w:right="1440" w:bottom="1440" w:gutter="0" w:footer="0" w:header="0"/>
        </w:sectPr>
      </w:pPr>
    </w:p>
    <w:bookmarkStart w:id="419" w:name="page420"/>
    <w:bookmarkEnd w:id="419"/>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Georgia" w:cs="Georgia" w:eastAsia="Georgia" w:hAnsi="Georgia"/>
          <w:sz w:val="18"/>
          <w:szCs w:val="18"/>
          <w:color w:val="auto"/>
        </w:rPr>
        <w:t>CONSENT OF INDEPENDENT REGISTERED PUBLIC ACCOUNTING FIRM</w:t>
      </w:r>
    </w:p>
    <w:p>
      <w:pPr>
        <w:spacing w:after="0" w:line="200" w:lineRule="exact"/>
        <w:rPr>
          <w:sz w:val="20"/>
          <w:szCs w:val="20"/>
          <w:color w:val="auto"/>
        </w:rPr>
      </w:pPr>
    </w:p>
    <w:p>
      <w:pPr>
        <w:spacing w:after="0" w:line="231" w:lineRule="exact"/>
        <w:rPr>
          <w:sz w:val="20"/>
          <w:szCs w:val="20"/>
          <w:color w:val="auto"/>
        </w:rPr>
      </w:pPr>
    </w:p>
    <w:p>
      <w:pPr>
        <w:ind w:right="420"/>
        <w:spacing w:after="0" w:line="237" w:lineRule="auto"/>
        <w:rPr>
          <w:sz w:val="20"/>
          <w:szCs w:val="20"/>
          <w:color w:val="auto"/>
        </w:rPr>
      </w:pPr>
      <w:r>
        <w:rPr>
          <w:rFonts w:ascii="Georgia" w:cs="Georgia" w:eastAsia="Georgia" w:hAnsi="Georgia"/>
          <w:sz w:val="18"/>
          <w:szCs w:val="18"/>
          <w:color w:val="auto"/>
        </w:rPr>
        <w:t>We hereby consent to the incorporation by reference in the Registration Statements on Form S-8 (Nos. 333-240498, 333-268641, 333-273850, and 333-281440) of Rackspace Technology, Inc. of our report dated March 20, 2025 relating to the financial statements and the effectiveness of internal control over financial reporting, which appears in this Form 10-K.</w:t>
      </w:r>
    </w:p>
    <w:p>
      <w:pPr>
        <w:spacing w:after="0" w:line="230" w:lineRule="exact"/>
        <w:rPr>
          <w:sz w:val="20"/>
          <w:szCs w:val="20"/>
          <w:color w:val="auto"/>
        </w:rPr>
      </w:pPr>
    </w:p>
    <w:p>
      <w:pPr>
        <w:spacing w:after="0"/>
        <w:rPr>
          <w:sz w:val="20"/>
          <w:szCs w:val="20"/>
          <w:color w:val="auto"/>
        </w:rPr>
      </w:pPr>
      <w:r>
        <w:rPr>
          <w:rFonts w:ascii="Georgia" w:cs="Georgia" w:eastAsia="Georgia" w:hAnsi="Georgia"/>
          <w:sz w:val="18"/>
          <w:szCs w:val="18"/>
          <w:color w:val="auto"/>
        </w:rPr>
        <w:t>/s/ PricewaterhouseCoopers LLP</w:t>
      </w:r>
    </w:p>
    <w:p>
      <w:pPr>
        <w:spacing w:after="0" w:line="11" w:lineRule="exact"/>
        <w:rPr>
          <w:sz w:val="20"/>
          <w:szCs w:val="20"/>
          <w:color w:val="auto"/>
        </w:rPr>
      </w:pPr>
    </w:p>
    <w:p>
      <w:pPr>
        <w:spacing w:after="0"/>
        <w:rPr>
          <w:sz w:val="20"/>
          <w:szCs w:val="20"/>
          <w:color w:val="auto"/>
        </w:rPr>
      </w:pPr>
      <w:r>
        <w:rPr>
          <w:rFonts w:ascii="Georgia" w:cs="Georgia" w:eastAsia="Georgia" w:hAnsi="Georgia"/>
          <w:sz w:val="18"/>
          <w:szCs w:val="18"/>
          <w:color w:val="auto"/>
        </w:rPr>
        <w:t>Austin, Texas</w:t>
      </w:r>
    </w:p>
    <w:p>
      <w:pPr>
        <w:spacing w:after="0" w:line="11" w:lineRule="exact"/>
        <w:rPr>
          <w:sz w:val="20"/>
          <w:szCs w:val="20"/>
          <w:color w:val="auto"/>
        </w:rPr>
      </w:pPr>
    </w:p>
    <w:p>
      <w:pPr>
        <w:spacing w:after="0"/>
        <w:rPr>
          <w:sz w:val="20"/>
          <w:szCs w:val="20"/>
          <w:color w:val="auto"/>
        </w:rPr>
      </w:pPr>
      <w:r>
        <w:rPr>
          <w:rFonts w:ascii="Georgia" w:cs="Georgia" w:eastAsia="Georgia" w:hAnsi="Georgia"/>
          <w:sz w:val="18"/>
          <w:szCs w:val="18"/>
          <w:color w:val="auto"/>
        </w:rPr>
        <w:t>March 20, 2025</w:t>
      </w:r>
    </w:p>
    <w:p>
      <w:pPr>
        <w:sectPr>
          <w:pgSz w:w="11900" w:h="16838" w:orient="portrait"/>
          <w:cols w:equalWidth="0" w:num="1">
            <w:col w:w="11240"/>
          </w:cols>
          <w:pgMar w:left="320" w:top="117" w:right="339" w:bottom="1440" w:gutter="0" w:footer="0" w:header="0"/>
        </w:sectPr>
      </w:pPr>
    </w:p>
    <w:bookmarkStart w:id="420" w:name="page421"/>
    <w:bookmarkEnd w:id="42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line="265" w:lineRule="auto"/>
        <w:rPr>
          <w:sz w:val="20"/>
          <w:szCs w:val="20"/>
          <w:color w:val="auto"/>
        </w:rPr>
      </w:pPr>
      <w:r>
        <w:rPr>
          <w:rFonts w:ascii="Times New Roman" w:cs="Times New Roman" w:eastAsia="Times New Roman" w:hAnsi="Times New Roman"/>
          <w:sz w:val="18"/>
          <w:szCs w:val="18"/>
          <w:b w:val="1"/>
          <w:bCs w:val="1"/>
          <w:color w:val="auto"/>
        </w:rPr>
        <w:t>CERTIFICATION OF CHIEF EXECUTIVE OFFICER PURSUANT TO RULE 13a-14(a) OR 15d-14(a) OF THE SECURITIES EXCHANGE ACT OF 1934, AS ADOPTED PURSUANT TO SECTION 302 OF THE SARBANES-OXLEY ACT OF 2002</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Amar Maletira, certify that:</w:t>
      </w:r>
    </w:p>
    <w:p>
      <w:pPr>
        <w:spacing w:after="0" w:line="252" w:lineRule="exact"/>
        <w:rPr>
          <w:sz w:val="20"/>
          <w:szCs w:val="20"/>
          <w:color w:val="auto"/>
        </w:rPr>
      </w:pPr>
    </w:p>
    <w:p>
      <w:pPr>
        <w:ind w:left="900" w:hanging="406"/>
        <w:spacing w:after="0"/>
        <w:tabs>
          <w:tab w:leader="none" w:pos="900" w:val="left"/>
        </w:tabs>
        <w:numPr>
          <w:ilvl w:val="0"/>
          <w:numId w:val="3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Rackspace Technology, Inc.;</w:t>
      </w:r>
    </w:p>
    <w:p>
      <w:pPr>
        <w:spacing w:after="0" w:line="117" w:lineRule="exact"/>
        <w:rPr>
          <w:rFonts w:ascii="Times New Roman" w:cs="Times New Roman" w:eastAsia="Times New Roman" w:hAnsi="Times New Roman"/>
          <w:sz w:val="18"/>
          <w:szCs w:val="18"/>
          <w:color w:val="auto"/>
        </w:rPr>
      </w:pPr>
    </w:p>
    <w:p>
      <w:pPr>
        <w:jc w:val="both"/>
        <w:ind w:left="900" w:right="140" w:hanging="406"/>
        <w:spacing w:after="0" w:line="266" w:lineRule="auto"/>
        <w:tabs>
          <w:tab w:leader="none" w:pos="900" w:val="left"/>
        </w:tabs>
        <w:numPr>
          <w:ilvl w:val="0"/>
          <w:numId w:val="3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900" w:right="100" w:hanging="406"/>
        <w:spacing w:after="0" w:line="282" w:lineRule="auto"/>
        <w:tabs>
          <w:tab w:leader="none" w:pos="900" w:val="left"/>
        </w:tabs>
        <w:numPr>
          <w:ilvl w:val="0"/>
          <w:numId w:val="3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900" w:right="80" w:hanging="406"/>
        <w:spacing w:after="0" w:line="276" w:lineRule="auto"/>
        <w:tabs>
          <w:tab w:leader="none" w:pos="900" w:val="left"/>
        </w:tabs>
        <w:numPr>
          <w:ilvl w:val="0"/>
          <w:numId w:val="3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9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98" w:lineRule="exact"/>
        <w:rPr>
          <w:rFonts w:ascii="Times New Roman" w:cs="Times New Roman" w:eastAsia="Times New Roman" w:hAnsi="Times New Roman"/>
          <w:sz w:val="17"/>
          <w:szCs w:val="17"/>
          <w:color w:val="auto"/>
        </w:rPr>
      </w:pPr>
    </w:p>
    <w:p>
      <w:pPr>
        <w:ind w:left="1540" w:right="100" w:hanging="398"/>
        <w:spacing w:after="0" w:line="266" w:lineRule="auto"/>
        <w:tabs>
          <w:tab w:leader="none" w:pos="1530" w:val="left"/>
        </w:tabs>
        <w:numPr>
          <w:ilvl w:val="1"/>
          <w:numId w:val="3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540" w:right="160" w:hanging="398"/>
        <w:spacing w:after="0" w:line="266" w:lineRule="auto"/>
        <w:tabs>
          <w:tab w:leader="none" w:pos="1540" w:val="left"/>
        </w:tabs>
        <w:numPr>
          <w:ilvl w:val="1"/>
          <w:numId w:val="3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540" w:right="20" w:hanging="398"/>
        <w:spacing w:after="0" w:line="266" w:lineRule="auto"/>
        <w:tabs>
          <w:tab w:leader="none" w:pos="1530" w:val="left"/>
        </w:tabs>
        <w:numPr>
          <w:ilvl w:val="1"/>
          <w:numId w:val="3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1540" w:hanging="398"/>
        <w:spacing w:after="0" w:line="266" w:lineRule="auto"/>
        <w:tabs>
          <w:tab w:leader="none" w:pos="1540" w:val="left"/>
        </w:tabs>
        <w:numPr>
          <w:ilvl w:val="1"/>
          <w:numId w:val="3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900" w:right="40" w:hanging="406"/>
        <w:spacing w:after="0" w:line="282" w:lineRule="auto"/>
        <w:tabs>
          <w:tab w:leader="none" w:pos="900" w:val="left"/>
        </w:tabs>
        <w:numPr>
          <w:ilvl w:val="0"/>
          <w:numId w:val="3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540" w:right="220" w:hanging="398"/>
        <w:spacing w:after="0" w:line="282" w:lineRule="auto"/>
        <w:tabs>
          <w:tab w:leader="none" w:pos="1530" w:val="left"/>
        </w:tabs>
        <w:numPr>
          <w:ilvl w:val="1"/>
          <w:numId w:val="3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540" w:right="520" w:hanging="398"/>
        <w:spacing w:after="0" w:line="282" w:lineRule="auto"/>
        <w:tabs>
          <w:tab w:leader="none" w:pos="1540" w:val="left"/>
        </w:tabs>
        <w:numPr>
          <w:ilvl w:val="1"/>
          <w:numId w:val="3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5"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March 20, 2025</w:t>
            </w:r>
          </w:p>
        </w:tc>
        <w:tc>
          <w:tcPr>
            <w:tcW w:w="216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By:</w:t>
            </w:r>
          </w:p>
        </w:tc>
        <w:tc>
          <w:tcPr>
            <w:tcW w:w="46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 Amar Maletira</w:t>
            </w:r>
          </w:p>
        </w:tc>
      </w:tr>
      <w:tr>
        <w:trPr>
          <w:trHeight w:val="218"/>
        </w:trPr>
        <w:tc>
          <w:tcPr>
            <w:tcW w:w="11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4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Amar Maletira</w:t>
            </w:r>
          </w:p>
        </w:tc>
      </w:tr>
      <w:tr>
        <w:trPr>
          <w:trHeight w:val="234"/>
        </w:trPr>
        <w:tc>
          <w:tcPr>
            <w:tcW w:w="118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4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Chief Executive Officer; Director</w:t>
            </w:r>
          </w:p>
        </w:tc>
      </w:tr>
    </w:tbl>
    <w:p>
      <w:pPr>
        <w:sectPr>
          <w:pgSz w:w="11900" w:h="16838" w:orient="portrait"/>
          <w:cols w:equalWidth="0" w:num="1">
            <w:col w:w="11240"/>
          </w:cols>
          <w:pgMar w:left="320" w:top="360" w:right="339" w:bottom="1440" w:gutter="0" w:footer="0" w:header="0"/>
        </w:sectPr>
      </w:pPr>
    </w:p>
    <w:bookmarkStart w:id="421" w:name="page422"/>
    <w:bookmarkEnd w:id="42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line="265" w:lineRule="auto"/>
        <w:rPr>
          <w:sz w:val="20"/>
          <w:szCs w:val="20"/>
          <w:color w:val="auto"/>
        </w:rPr>
      </w:pPr>
      <w:r>
        <w:rPr>
          <w:rFonts w:ascii="Times New Roman" w:cs="Times New Roman" w:eastAsia="Times New Roman" w:hAnsi="Times New Roman"/>
          <w:sz w:val="18"/>
          <w:szCs w:val="18"/>
          <w:b w:val="1"/>
          <w:bCs w:val="1"/>
          <w:color w:val="auto"/>
        </w:rPr>
        <w:t>CERTIFICATION OF CHIEF FINANCIAL OFFICER PURSUANT TO RULE 13a-14(a) OR 15d-14(a) OF THE SECURITIES EXCHANGE ACT OF 1934, AS ADOPTED PURSUANT TO SECTION 302 OF THE SARBANES-OXLEY ACT OF 2002</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Mark Marino, certify that:</w:t>
      </w:r>
    </w:p>
    <w:p>
      <w:pPr>
        <w:spacing w:after="0" w:line="252" w:lineRule="exact"/>
        <w:rPr>
          <w:sz w:val="20"/>
          <w:szCs w:val="20"/>
          <w:color w:val="auto"/>
        </w:rPr>
      </w:pPr>
    </w:p>
    <w:p>
      <w:pPr>
        <w:ind w:left="900" w:hanging="406"/>
        <w:spacing w:after="0"/>
        <w:tabs>
          <w:tab w:leader="none" w:pos="900" w:val="left"/>
        </w:tabs>
        <w:numPr>
          <w:ilvl w:val="0"/>
          <w:numId w:val="3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Rackspace Technology, Inc.;</w:t>
      </w:r>
    </w:p>
    <w:p>
      <w:pPr>
        <w:spacing w:after="0" w:line="117" w:lineRule="exact"/>
        <w:rPr>
          <w:rFonts w:ascii="Times New Roman" w:cs="Times New Roman" w:eastAsia="Times New Roman" w:hAnsi="Times New Roman"/>
          <w:sz w:val="18"/>
          <w:szCs w:val="18"/>
          <w:color w:val="auto"/>
        </w:rPr>
      </w:pPr>
    </w:p>
    <w:p>
      <w:pPr>
        <w:jc w:val="both"/>
        <w:ind w:left="900" w:right="140" w:hanging="406"/>
        <w:spacing w:after="0" w:line="266" w:lineRule="auto"/>
        <w:tabs>
          <w:tab w:leader="none" w:pos="900" w:val="left"/>
        </w:tabs>
        <w:numPr>
          <w:ilvl w:val="0"/>
          <w:numId w:val="3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900" w:right="100" w:hanging="406"/>
        <w:spacing w:after="0" w:line="282" w:lineRule="auto"/>
        <w:tabs>
          <w:tab w:leader="none" w:pos="900" w:val="left"/>
        </w:tabs>
        <w:numPr>
          <w:ilvl w:val="0"/>
          <w:numId w:val="3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900" w:right="80" w:hanging="406"/>
        <w:spacing w:after="0" w:line="276" w:lineRule="auto"/>
        <w:tabs>
          <w:tab w:leader="none" w:pos="900" w:val="left"/>
        </w:tabs>
        <w:numPr>
          <w:ilvl w:val="0"/>
          <w:numId w:val="3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9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98" w:lineRule="exact"/>
        <w:rPr>
          <w:rFonts w:ascii="Times New Roman" w:cs="Times New Roman" w:eastAsia="Times New Roman" w:hAnsi="Times New Roman"/>
          <w:sz w:val="17"/>
          <w:szCs w:val="17"/>
          <w:color w:val="auto"/>
        </w:rPr>
      </w:pPr>
    </w:p>
    <w:p>
      <w:pPr>
        <w:ind w:left="1540" w:right="100" w:hanging="398"/>
        <w:spacing w:after="0" w:line="266" w:lineRule="auto"/>
        <w:tabs>
          <w:tab w:leader="none" w:pos="1530" w:val="left"/>
        </w:tabs>
        <w:numPr>
          <w:ilvl w:val="1"/>
          <w:numId w:val="3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540" w:right="160" w:hanging="398"/>
        <w:spacing w:after="0" w:line="266" w:lineRule="auto"/>
        <w:tabs>
          <w:tab w:leader="none" w:pos="1540" w:val="left"/>
        </w:tabs>
        <w:numPr>
          <w:ilvl w:val="1"/>
          <w:numId w:val="3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540" w:right="20" w:hanging="398"/>
        <w:spacing w:after="0" w:line="266" w:lineRule="auto"/>
        <w:tabs>
          <w:tab w:leader="none" w:pos="1530" w:val="left"/>
        </w:tabs>
        <w:numPr>
          <w:ilvl w:val="1"/>
          <w:numId w:val="3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1540" w:hanging="398"/>
        <w:spacing w:after="0" w:line="266" w:lineRule="auto"/>
        <w:tabs>
          <w:tab w:leader="none" w:pos="1540" w:val="left"/>
        </w:tabs>
        <w:numPr>
          <w:ilvl w:val="1"/>
          <w:numId w:val="3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900" w:right="40" w:hanging="406"/>
        <w:spacing w:after="0" w:line="282" w:lineRule="auto"/>
        <w:tabs>
          <w:tab w:leader="none" w:pos="900" w:val="left"/>
        </w:tabs>
        <w:numPr>
          <w:ilvl w:val="0"/>
          <w:numId w:val="3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540" w:right="220" w:hanging="398"/>
        <w:spacing w:after="0" w:line="282" w:lineRule="auto"/>
        <w:tabs>
          <w:tab w:leader="none" w:pos="1530" w:val="left"/>
        </w:tabs>
        <w:numPr>
          <w:ilvl w:val="1"/>
          <w:numId w:val="3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540" w:right="520" w:hanging="398"/>
        <w:spacing w:after="0" w:line="282" w:lineRule="auto"/>
        <w:tabs>
          <w:tab w:leader="none" w:pos="1540" w:val="left"/>
        </w:tabs>
        <w:numPr>
          <w:ilvl w:val="1"/>
          <w:numId w:val="3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5" w:lineRule="exact"/>
        <w:rPr>
          <w:sz w:val="20"/>
          <w:szCs w:val="20"/>
          <w:color w:val="auto"/>
        </w:rPr>
      </w:pPr>
    </w:p>
    <w:tbl>
      <w:tblPr>
        <w:tblLayout w:type="fixed"/>
        <w:tblInd w:w="18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March 20, 2025</w:t>
            </w:r>
          </w:p>
        </w:tc>
        <w:tc>
          <w:tcPr>
            <w:tcW w:w="212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By:</w:t>
            </w:r>
          </w:p>
        </w:tc>
        <w:tc>
          <w:tcPr>
            <w:tcW w:w="45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 Mark Marino</w:t>
            </w:r>
          </w:p>
        </w:tc>
      </w:tr>
      <w:tr>
        <w:trPr>
          <w:trHeight w:val="218"/>
        </w:trPr>
        <w:tc>
          <w:tcPr>
            <w:tcW w:w="116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4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Mark Marino</w:t>
            </w:r>
          </w:p>
        </w:tc>
      </w:tr>
      <w:tr>
        <w:trPr>
          <w:trHeight w:val="234"/>
        </w:trPr>
        <w:tc>
          <w:tcPr>
            <w:tcW w:w="116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4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240"/>
          </w:cols>
          <w:pgMar w:left="320" w:top="360" w:right="339" w:bottom="1440" w:gutter="0" w:footer="0" w:header="0"/>
        </w:sectPr>
      </w:pPr>
    </w:p>
    <w:bookmarkStart w:id="422" w:name="page423"/>
    <w:bookmarkEnd w:id="42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200" w:lineRule="exact"/>
        <w:rPr>
          <w:sz w:val="20"/>
          <w:szCs w:val="20"/>
          <w:color w:val="auto"/>
        </w:rPr>
      </w:pPr>
    </w:p>
    <w:p>
      <w:pPr>
        <w:spacing w:after="0" w:line="277"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I, Amar Maletira, Chief Executive Officer of Rackspace Technology, Inc. (the “Company”), certify pursuant to Section 906 of the Sarbanes-Oxley Act of 2002, 18 U.S.C. Section 1350, that:</w:t>
      </w:r>
    </w:p>
    <w:p>
      <w:pPr>
        <w:spacing w:after="0" w:line="189" w:lineRule="exact"/>
        <w:rPr>
          <w:sz w:val="20"/>
          <w:szCs w:val="20"/>
          <w:color w:val="auto"/>
        </w:rPr>
      </w:pPr>
    </w:p>
    <w:p>
      <w:pPr>
        <w:ind w:left="660" w:right="140" w:hanging="328"/>
        <w:spacing w:after="0" w:line="282" w:lineRule="auto"/>
        <w:tabs>
          <w:tab w:leader="none" w:pos="660" w:val="left"/>
        </w:tabs>
        <w:numPr>
          <w:ilvl w:val="0"/>
          <w:numId w:val="4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on Form 10-K of the Company for the year ended December 31, 2024 (the “Report”) fully complies with the requirements of Section 13(a) or 15(d) of the Securities Exchange Act of 1934; and</w:t>
      </w:r>
    </w:p>
    <w:p>
      <w:pPr>
        <w:spacing w:after="0" w:line="188" w:lineRule="exact"/>
        <w:rPr>
          <w:rFonts w:ascii="Times New Roman" w:cs="Times New Roman" w:eastAsia="Times New Roman" w:hAnsi="Times New Roman"/>
          <w:sz w:val="18"/>
          <w:szCs w:val="18"/>
          <w:color w:val="auto"/>
        </w:rPr>
      </w:pPr>
    </w:p>
    <w:p>
      <w:pPr>
        <w:ind w:left="660" w:right="380" w:hanging="328"/>
        <w:spacing w:after="0" w:line="282" w:lineRule="auto"/>
        <w:tabs>
          <w:tab w:leader="none" w:pos="660" w:val="left"/>
        </w:tabs>
        <w:numPr>
          <w:ilvl w:val="0"/>
          <w:numId w:val="4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Rackspace Technology, Inc.</w:t>
      </w:r>
    </w:p>
    <w:p>
      <w:pPr>
        <w:spacing w:after="0" w:line="200" w:lineRule="exact"/>
        <w:rPr>
          <w:sz w:val="20"/>
          <w:szCs w:val="20"/>
          <w:color w:val="auto"/>
        </w:rPr>
      </w:pPr>
    </w:p>
    <w:p>
      <w:pPr>
        <w:spacing w:after="0" w:line="27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March 20, 2025</w:t>
            </w:r>
          </w:p>
        </w:tc>
        <w:tc>
          <w:tcPr>
            <w:tcW w:w="216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By:</w:t>
            </w:r>
          </w:p>
        </w:tc>
        <w:tc>
          <w:tcPr>
            <w:tcW w:w="46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 Amar Maletira</w:t>
            </w:r>
          </w:p>
        </w:tc>
      </w:tr>
      <w:tr>
        <w:trPr>
          <w:trHeight w:val="218"/>
        </w:trPr>
        <w:tc>
          <w:tcPr>
            <w:tcW w:w="11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4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Amar Maletira</w:t>
            </w:r>
          </w:p>
        </w:tc>
      </w:tr>
      <w:tr>
        <w:trPr>
          <w:trHeight w:val="234"/>
        </w:trPr>
        <w:tc>
          <w:tcPr>
            <w:tcW w:w="118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4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Chief Executive Officer; Director</w:t>
            </w:r>
          </w:p>
        </w:tc>
      </w:tr>
    </w:tbl>
    <w:p>
      <w:pPr>
        <w:sectPr>
          <w:pgSz w:w="11900" w:h="16838" w:orient="portrait"/>
          <w:cols w:equalWidth="0" w:num="1">
            <w:col w:w="11240"/>
          </w:cols>
          <w:pgMar w:left="320" w:top="360" w:right="339" w:bottom="1440" w:gutter="0" w:footer="0" w:header="0"/>
        </w:sectPr>
      </w:pPr>
    </w:p>
    <w:bookmarkStart w:id="423" w:name="page424"/>
    <w:bookmarkEnd w:id="423"/>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200" w:lineRule="exact"/>
        <w:rPr>
          <w:sz w:val="20"/>
          <w:szCs w:val="20"/>
          <w:color w:val="auto"/>
        </w:rPr>
      </w:pPr>
    </w:p>
    <w:p>
      <w:pPr>
        <w:spacing w:after="0" w:line="277"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I, Mark Marino, Chief Financial Officer of Rackspace Technology, Inc. (the “Company”), certify pursuant to Section 906 of the Sarbanes-Oxley Act of 2002, 18 U.S.C. Section 1350, that:</w:t>
      </w:r>
    </w:p>
    <w:p>
      <w:pPr>
        <w:spacing w:after="0" w:line="189" w:lineRule="exact"/>
        <w:rPr>
          <w:sz w:val="20"/>
          <w:szCs w:val="20"/>
          <w:color w:val="auto"/>
        </w:rPr>
      </w:pPr>
    </w:p>
    <w:p>
      <w:pPr>
        <w:ind w:left="660" w:right="140" w:hanging="328"/>
        <w:spacing w:after="0" w:line="282" w:lineRule="auto"/>
        <w:tabs>
          <w:tab w:leader="none" w:pos="660" w:val="left"/>
        </w:tabs>
        <w:numPr>
          <w:ilvl w:val="0"/>
          <w:numId w:val="4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on Form 10-K of the Company for the year ended December 31, 2024 (the “Report”) fully complies with the requirements of Section 13(a) or 15(d) of the Securities Exchange Act of 1934; and</w:t>
      </w:r>
    </w:p>
    <w:p>
      <w:pPr>
        <w:spacing w:after="0" w:line="188" w:lineRule="exact"/>
        <w:rPr>
          <w:rFonts w:ascii="Times New Roman" w:cs="Times New Roman" w:eastAsia="Times New Roman" w:hAnsi="Times New Roman"/>
          <w:sz w:val="18"/>
          <w:szCs w:val="18"/>
          <w:color w:val="auto"/>
        </w:rPr>
      </w:pPr>
    </w:p>
    <w:p>
      <w:pPr>
        <w:ind w:left="660" w:right="380" w:hanging="328"/>
        <w:spacing w:after="0" w:line="282" w:lineRule="auto"/>
        <w:tabs>
          <w:tab w:leader="none" w:pos="660" w:val="left"/>
        </w:tabs>
        <w:numPr>
          <w:ilvl w:val="0"/>
          <w:numId w:val="4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Rackspace Technology, Inc.</w:t>
      </w:r>
    </w:p>
    <w:p>
      <w:pPr>
        <w:spacing w:after="0" w:line="200" w:lineRule="exact"/>
        <w:rPr>
          <w:sz w:val="20"/>
          <w:szCs w:val="20"/>
          <w:color w:val="auto"/>
        </w:rPr>
      </w:pPr>
    </w:p>
    <w:p>
      <w:pPr>
        <w:spacing w:after="0" w:line="27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March 20, 2025</w:t>
            </w:r>
          </w:p>
        </w:tc>
        <w:tc>
          <w:tcPr>
            <w:tcW w:w="216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By:</w:t>
            </w:r>
          </w:p>
        </w:tc>
        <w:tc>
          <w:tcPr>
            <w:tcW w:w="46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 Mark Marino</w:t>
            </w:r>
          </w:p>
        </w:tc>
      </w:tr>
      <w:tr>
        <w:trPr>
          <w:trHeight w:val="218"/>
        </w:trPr>
        <w:tc>
          <w:tcPr>
            <w:tcW w:w="11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4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Mark Marino</w:t>
            </w:r>
          </w:p>
        </w:tc>
      </w:tr>
      <w:tr>
        <w:trPr>
          <w:trHeight w:val="234"/>
        </w:trPr>
        <w:tc>
          <w:tcPr>
            <w:tcW w:w="118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4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 w:lineRule="exact"/>
        <w:rPr>
          <w:sz w:val="20"/>
          <w:szCs w:val="20"/>
          <w:color w:val="auto"/>
        </w:rPr>
      </w:pPr>
    </w:p>
    <w:sectPr>
      <w:pgSz w:w="11900" w:h="16838" w:orient="portrait"/>
      <w:cols w:equalWidth="0" w:num="1">
        <w:col w:w="11240"/>
      </w:cols>
      <w:pgMar w:left="320" w:top="36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4B793735"/>
    <w:multiLevelType w:val="hybridMultilevel"/>
    <w:lvl w:ilvl="0">
      <w:lvlJc w:val="left"/>
      <w:lvlText w:val="☑"/>
      <w:numFmt w:val="bullet"/>
      <w:start w:val="1"/>
    </w:lvl>
  </w:abstractNum>
  <w:abstractNum w:abstractNumId="1">
    <w:nsid w:val="4A10B4E8"/>
    <w:multiLevelType w:val="hybridMultilevel"/>
    <w:lvl w:ilvl="0">
      <w:lvlJc w:val="left"/>
      <w:lvlText w:val="☐"/>
      <w:numFmt w:val="bullet"/>
      <w:start w:val="1"/>
    </w:lvl>
  </w:abstractNum>
  <w:abstractNum w:abstractNumId="2">
    <w:nsid w:val="43D3BCD4"/>
    <w:multiLevelType w:val="hybridMultilevel"/>
    <w:lvl w:ilvl="0">
      <w:lvlJc w:val="left"/>
      <w:lvlText w:val="•"/>
      <w:numFmt w:val="bullet"/>
      <w:start w:val="1"/>
    </w:lvl>
  </w:abstractNum>
  <w:abstractNum w:abstractNumId="3">
    <w:nsid w:val="4C2A7166"/>
    <w:multiLevelType w:val="hybridMultilevel"/>
    <w:lvl w:ilvl="0">
      <w:lvlJc w:val="left"/>
      <w:lvlText w:val="•"/>
      <w:numFmt w:val="bullet"/>
      <w:start w:val="1"/>
    </w:lvl>
  </w:abstractNum>
  <w:abstractNum w:abstractNumId="4">
    <w:nsid w:val="2E534A82"/>
    <w:multiLevelType w:val="hybridMultilevel"/>
    <w:lvl w:ilvl="0">
      <w:lvlJc w:val="left"/>
      <w:lvlText w:val="•"/>
      <w:numFmt w:val="bullet"/>
      <w:start w:val="1"/>
    </w:lvl>
  </w:abstractNum>
  <w:abstractNum w:abstractNumId="5">
    <w:nsid w:val="26F2D364"/>
    <w:multiLevelType w:val="hybridMultilevel"/>
    <w:lvl w:ilvl="0">
      <w:lvlJc w:val="left"/>
      <w:lvlText w:val="•"/>
      <w:numFmt w:val="bullet"/>
      <w:start w:val="1"/>
    </w:lvl>
  </w:abstractNum>
  <w:abstractNum w:abstractNumId="6">
    <w:nsid w:val="71C1AF98"/>
    <w:multiLevelType w:val="hybridMultilevel"/>
    <w:lvl w:ilvl="0">
      <w:lvlJc w:val="left"/>
      <w:lvlText w:val="•"/>
      <w:numFmt w:val="bullet"/>
      <w:start w:val="1"/>
    </w:lvl>
  </w:abstractNum>
  <w:abstractNum w:abstractNumId="7">
    <w:nsid w:val="3D00B9D9"/>
    <w:multiLevelType w:val="hybridMultilevel"/>
    <w:lvl w:ilvl="0">
      <w:lvlJc w:val="left"/>
      <w:lvlText w:val="•"/>
      <w:numFmt w:val="bullet"/>
      <w:start w:val="1"/>
    </w:lvl>
  </w:abstractNum>
  <w:abstractNum w:abstractNumId="8">
    <w:nsid w:val="15BCABA8"/>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9">
    <w:nsid w:val="4E0B9A87"/>
    <w:multiLevelType w:val="hybridMultilevel"/>
    <w:lvl w:ilvl="0">
      <w:lvlJc w:val="left"/>
      <w:lvlText w:val="•"/>
      <w:numFmt w:val="bullet"/>
      <w:start w:val="1"/>
    </w:lvl>
  </w:abstractNum>
  <w:abstractNum w:abstractNumId="10">
    <w:nsid w:val="434BAE75"/>
    <w:multiLevelType w:val="hybridMultilevel"/>
    <w:lvl w:ilvl="0">
      <w:lvlJc w:val="left"/>
      <w:lvlText w:val="•"/>
      <w:numFmt w:val="bullet"/>
      <w:start w:val="1"/>
    </w:lvl>
  </w:abstractNum>
  <w:abstractNum w:abstractNumId="11">
    <w:nsid w:val="4F38F265"/>
    <w:multiLevelType w:val="hybridMultilevel"/>
    <w:lvl w:ilvl="0">
      <w:lvlJc w:val="left"/>
      <w:lvlText w:val="•"/>
      <w:numFmt w:val="bullet"/>
      <w:start w:val="1"/>
    </w:lvl>
    <w:lvl w:ilvl="1">
      <w:lvlJc w:val="left"/>
      <w:lvlText w:val="-"/>
      <w:numFmt w:val="bullet"/>
      <w:start w:val="1"/>
    </w:lvl>
  </w:abstractNum>
  <w:abstractNum w:abstractNumId="12">
    <w:nsid w:val="4C502870"/>
    <w:multiLevelType w:val="hybridMultilevel"/>
    <w:lvl w:ilvl="0">
      <w:lvlJc w:val="left"/>
      <w:lvlText w:val="•"/>
      <w:numFmt w:val="bullet"/>
      <w:start w:val="1"/>
    </w:lvl>
  </w:abstractNum>
  <w:abstractNum w:abstractNumId="13">
    <w:nsid w:val="1DE8725A"/>
    <w:multiLevelType w:val="hybridMultilevel"/>
    <w:lvl w:ilvl="0">
      <w:lvlJc w:val="left"/>
      <w:lvlText w:val="•"/>
      <w:numFmt w:val="bullet"/>
      <w:start w:val="1"/>
    </w:lvl>
    <w:lvl w:ilvl="1">
      <w:lvlJc w:val="left"/>
      <w:lvlText w:val="-"/>
      <w:numFmt w:val="bullet"/>
      <w:start w:val="1"/>
    </w:lvl>
  </w:abstractNum>
  <w:abstractNum w:abstractNumId="14">
    <w:nsid w:val="6A37288A"/>
    <w:multiLevelType w:val="hybridMultilevel"/>
    <w:lvl w:ilvl="0">
      <w:lvlJc w:val="left"/>
      <w:lvlText w:val="•"/>
      <w:numFmt w:val="bullet"/>
      <w:start w:val="1"/>
    </w:lvl>
  </w:abstractNum>
  <w:abstractNum w:abstractNumId="15">
    <w:nsid w:val="8F8B73F"/>
    <w:multiLevelType w:val="hybridMultilevel"/>
    <w:lvl w:ilvl="0">
      <w:lvlJc w:val="left"/>
      <w:lvlText w:val="•"/>
      <w:numFmt w:val="bullet"/>
      <w:start w:val="1"/>
    </w:lvl>
  </w:abstractNum>
  <w:abstractNum w:abstractNumId="16">
    <w:nsid w:val="CA6B462"/>
    <w:multiLevelType w:val="hybridMultilevel"/>
    <w:lvl w:ilvl="0">
      <w:lvlJc w:val="left"/>
      <w:lvlText w:val="•"/>
      <w:numFmt w:val="bullet"/>
      <w:start w:val="1"/>
    </w:lvl>
  </w:abstractNum>
  <w:abstractNum w:abstractNumId="17">
    <w:nsid w:val="763CB680"/>
    <w:multiLevelType w:val="hybridMultilevel"/>
    <w:lvl w:ilvl="0">
      <w:lvlJc w:val="left"/>
      <w:lvlText w:val="•"/>
      <w:numFmt w:val="bullet"/>
      <w:start w:val="1"/>
    </w:lvl>
  </w:abstractNum>
  <w:abstractNum w:abstractNumId="18">
    <w:nsid w:val="15B71329"/>
    <w:multiLevelType w:val="hybridMultilevel"/>
    <w:lvl w:ilvl="0">
      <w:lvlJc w:val="left"/>
      <w:lvlText w:val="•"/>
      <w:numFmt w:val="bullet"/>
      <w:start w:val="1"/>
    </w:lvl>
  </w:abstractNum>
  <w:abstractNum w:abstractNumId="19">
    <w:nsid w:val="3DA97044"/>
    <w:multiLevelType w:val="hybridMultilevel"/>
    <w:lvl w:ilvl="0">
      <w:lvlJc w:val="left"/>
      <w:lvlText w:val="•"/>
      <w:numFmt w:val="bullet"/>
      <w:start w:val="1"/>
    </w:lvl>
  </w:abstractNum>
  <w:abstractNum w:abstractNumId="20">
    <w:nsid w:val="1CDCE2DE"/>
    <w:multiLevelType w:val="hybridMultilevel"/>
    <w:lvl w:ilvl="0">
      <w:lvlJc w:val="left"/>
      <w:lvlText w:val="•"/>
      <w:numFmt w:val="bullet"/>
      <w:start w:val="1"/>
    </w:lvl>
  </w:abstractNum>
  <w:abstractNum w:abstractNumId="21">
    <w:nsid w:val="69D3947C"/>
    <w:multiLevelType w:val="hybridMultilevel"/>
    <w:lvl w:ilvl="0">
      <w:lvlJc w:val="left"/>
      <w:lvlText w:val="•"/>
      <w:numFmt w:val="bullet"/>
      <w:start w:val="1"/>
    </w:lvl>
    <w:lvl w:ilvl="1">
      <w:lvlJc w:val="left"/>
      <w:lvlText w:val="-"/>
      <w:numFmt w:val="bullet"/>
      <w:start w:val="1"/>
    </w:lvl>
  </w:abstractNum>
  <w:abstractNum w:abstractNumId="22">
    <w:nsid w:val="2539DFA5"/>
    <w:multiLevelType w:val="hybridMultilevel"/>
    <w:lvl w:ilvl="0">
      <w:lvlJc w:val="left"/>
      <w:lvlText w:val="•"/>
      <w:numFmt w:val="bullet"/>
      <w:start w:val="1"/>
    </w:lvl>
  </w:abstractNum>
  <w:abstractNum w:abstractNumId="23">
    <w:nsid w:val="2DB88089"/>
    <w:multiLevelType w:val="hybridMultilevel"/>
    <w:lvl w:ilvl="0">
      <w:lvlJc w:val="left"/>
      <w:lvlText w:val="•"/>
      <w:numFmt w:val="bullet"/>
      <w:start w:val="1"/>
    </w:lvl>
  </w:abstractNum>
  <w:abstractNum w:abstractNumId="24">
    <w:nsid w:val="706B674E"/>
    <w:multiLevelType w:val="hybridMultilevel"/>
    <w:lvl w:ilvl="0">
      <w:lvlJc w:val="left"/>
      <w:lvlText w:val="•"/>
      <w:numFmt w:val="bullet"/>
      <w:start w:val="1"/>
    </w:lvl>
  </w:abstractNum>
  <w:abstractNum w:abstractNumId="25">
    <w:nsid w:val="2C106A57"/>
    <w:multiLevelType w:val="hybridMultilevel"/>
    <w:lvl w:ilvl="0">
      <w:lvlJc w:val="left"/>
      <w:lvlText w:val="•"/>
      <w:numFmt w:val="bullet"/>
      <w:start w:val="1"/>
    </w:lvl>
  </w:abstractNum>
  <w:abstractNum w:abstractNumId="26">
    <w:nsid w:val="684EED59"/>
    <w:multiLevelType w:val="hybridMultilevel"/>
    <w:lvl w:ilvl="0">
      <w:lvlJc w:val="left"/>
      <w:lvlText w:val="•"/>
      <w:numFmt w:val="bullet"/>
      <w:start w:val="1"/>
    </w:lvl>
    <w:lvl w:ilvl="1">
      <w:lvlJc w:val="left"/>
      <w:lvlText w:val="-"/>
      <w:numFmt w:val="bullet"/>
      <w:start w:val="1"/>
    </w:lvl>
  </w:abstractNum>
  <w:abstractNum w:abstractNumId="27">
    <w:nsid w:val="545EE5D3"/>
    <w:multiLevelType w:val="hybridMultilevel"/>
    <w:lvl w:ilvl="0">
      <w:lvlJc w:val="left"/>
      <w:lvlText w:val="•"/>
      <w:numFmt w:val="bullet"/>
      <w:start w:val="1"/>
    </w:lvl>
  </w:abstractNum>
  <w:abstractNum w:abstractNumId="28">
    <w:nsid w:val="4A66051"/>
    <w:multiLevelType w:val="hybridMultilevel"/>
    <w:lvl w:ilvl="0">
      <w:lvlJc w:val="left"/>
      <w:lvlText w:val="•"/>
      <w:numFmt w:val="bullet"/>
      <w:start w:val="1"/>
    </w:lvl>
  </w:abstractNum>
  <w:abstractNum w:abstractNumId="29">
    <w:nsid w:val="20F4BDAD"/>
    <w:multiLevelType w:val="hybridMultilevel"/>
    <w:lvl w:ilvl="0">
      <w:lvlJc w:val="left"/>
      <w:lvlText w:val="•"/>
      <w:numFmt w:val="bullet"/>
      <w:start w:val="1"/>
    </w:lvl>
    <w:lvl w:ilvl="1">
      <w:lvlJc w:val="left"/>
      <w:lvlText w:val="-"/>
      <w:numFmt w:val="bullet"/>
      <w:start w:val="1"/>
    </w:lvl>
  </w:abstractNum>
  <w:abstractNum w:abstractNumId="30">
    <w:nsid w:val="639DEFAC"/>
    <w:multiLevelType w:val="hybridMultilevel"/>
    <w:lvl w:ilvl="0">
      <w:lvlJc w:val="left"/>
      <w:lvlText w:val="•"/>
      <w:numFmt w:val="bullet"/>
      <w:start w:val="1"/>
    </w:lvl>
  </w:abstractNum>
  <w:abstractNum w:abstractNumId="31">
    <w:nsid w:val="501F9786"/>
    <w:multiLevelType w:val="hybridMultilevel"/>
    <w:lvl w:ilvl="0">
      <w:lvlJc w:val="left"/>
      <w:lvlText w:val="•"/>
      <w:numFmt w:val="bullet"/>
      <w:start w:val="1"/>
    </w:lvl>
    <w:lvl w:ilvl="1">
      <w:lvlJc w:val="left"/>
      <w:lvlText w:val="-"/>
      <w:numFmt w:val="bullet"/>
      <w:start w:val="1"/>
    </w:lvl>
  </w:abstractNum>
  <w:abstractNum w:abstractNumId="32">
    <w:nsid w:val="6B057295"/>
    <w:multiLevelType w:val="hybridMultilevel"/>
    <w:lvl w:ilvl="0">
      <w:lvlJc w:val="left"/>
      <w:lvlText w:val="•"/>
      <w:numFmt w:val="bullet"/>
      <w:start w:val="1"/>
    </w:lvl>
  </w:abstractNum>
  <w:abstractNum w:abstractNumId="33">
    <w:nsid w:val="2771AC80"/>
    <w:multiLevelType w:val="hybridMultilevel"/>
    <w:lvl w:ilvl="0">
      <w:lvlJc w:val="left"/>
      <w:lvlText w:val="•"/>
      <w:numFmt w:val="bullet"/>
      <w:start w:val="1"/>
    </w:lvl>
  </w:abstractNum>
  <w:abstractNum w:abstractNumId="34">
    <w:nsid w:val="1C4A08EC"/>
    <w:multiLevelType w:val="hybridMultilevel"/>
    <w:lvl w:ilvl="0">
      <w:lvlJc w:val="left"/>
      <w:lvlText w:val="•"/>
      <w:numFmt w:val="bullet"/>
      <w:start w:val="1"/>
    </w:lvl>
  </w:abstractNum>
  <w:abstractNum w:abstractNumId="35">
    <w:nsid w:val="1958BD17"/>
    <w:multiLevelType w:val="hybridMultilevel"/>
    <w:lvl w:ilvl="0">
      <w:lvlJc w:val="left"/>
      <w:lvlText w:val="•"/>
      <w:numFmt w:val="bullet"/>
      <w:start w:val="1"/>
    </w:lvl>
    <w:lvl w:ilvl="1">
      <w:lvlJc w:val="left"/>
      <w:lvlText w:val="-"/>
      <w:numFmt w:val="bullet"/>
      <w:start w:val="1"/>
    </w:lvl>
  </w:abstractNum>
  <w:abstractNum w:abstractNumId="36">
    <w:nsid w:val="4E647FE4"/>
    <w:multiLevelType w:val="hybridMultilevel"/>
    <w:lvl w:ilvl="0">
      <w:lvlJc w:val="left"/>
      <w:lvlText w:val="•"/>
      <w:numFmt w:val="bullet"/>
      <w:start w:val="1"/>
    </w:lvl>
  </w:abstractNum>
  <w:abstractNum w:abstractNumId="37">
    <w:nsid w:val="E0BB885"/>
    <w:multiLevelType w:val="hybridMultilevel"/>
    <w:lvl w:ilvl="0">
      <w:lvlJc w:val="left"/>
      <w:lvlText w:val="•"/>
      <w:numFmt w:val="bullet"/>
      <w:start w:val="1"/>
    </w:lvl>
    <w:lvl w:ilvl="1">
      <w:lvlJc w:val="left"/>
      <w:lvlText w:val="-"/>
      <w:numFmt w:val="bullet"/>
      <w:start w:val="1"/>
    </w:lvl>
  </w:abstractNum>
  <w:abstractNum w:abstractNumId="38">
    <w:nsid w:val="565976F1"/>
    <w:multiLevelType w:val="hybridMultilevel"/>
    <w:lvl w:ilvl="0">
      <w:lvlJc w:val="left"/>
      <w:lvlText w:val="(%1)"/>
      <w:numFmt w:val="decimal"/>
      <w:start w:val="1"/>
    </w:lvl>
  </w:abstractNum>
  <w:abstractNum w:abstractNumId="39">
    <w:nsid w:val="64212B8C"/>
    <w:multiLevelType w:val="hybridMultilevel"/>
    <w:lvl w:ilvl="0">
      <w:lvlJc w:val="left"/>
      <w:lvlText w:val="(%1)"/>
      <w:numFmt w:val="lowerLetter"/>
      <w:start w:val="1"/>
    </w:lvl>
  </w:abstractNum>
  <w:abstractNum w:abstractNumId="40">
    <w:nsid w:val="5C17530C"/>
    <w:multiLevelType w:val="hybridMultilevel"/>
    <w:lvl w:ilvl="0">
      <w:lvlJc w:val="left"/>
      <w:lvlText w:val="(%1)"/>
      <w:numFmt w:val="decimal"/>
      <w:start w:val="1"/>
    </w:lvl>
  </w:abstractNum>
  <w:abstractNum w:abstractNumId="41">
    <w:nsid w:val="19A52566"/>
    <w:multiLevelType w:val="hybridMultilevel"/>
    <w:lvl w:ilvl="0">
      <w:lvlJc w:val="left"/>
      <w:lvlText w:val="(%1)"/>
      <w:numFmt w:val="lowerLetter"/>
      <w:start w:val="1"/>
    </w:lvl>
  </w:abstractNum>
  <w:abstractNum w:abstractNumId="42">
    <w:nsid w:val="335A1DF1"/>
    <w:multiLevelType w:val="hybridMultilevel"/>
    <w:lvl w:ilvl="0">
      <w:lvlJc w:val="left"/>
      <w:lvlText w:val="(%1)"/>
      <w:numFmt w:val="lowerLetter"/>
      <w:start w:val="1"/>
    </w:lvl>
  </w:abstractNum>
  <w:abstractNum w:abstractNumId="43">
    <w:nsid w:val="28677B7C"/>
    <w:multiLevelType w:val="hybridMultilevel"/>
    <w:lvl w:ilvl="0">
      <w:lvlJc w:val="left"/>
      <w:lvlText w:val="(%1)"/>
      <w:numFmt w:val="lowerLetter"/>
      <w:start w:val="1"/>
    </w:lvl>
    <w:lvl w:ilvl="1">
      <w:lvlJc w:val="left"/>
      <w:lvlText w:val="-"/>
      <w:numFmt w:val="bullet"/>
      <w:start w:val="1"/>
    </w:lvl>
  </w:abstractNum>
  <w:abstractNum w:abstractNumId="44">
    <w:nsid w:val="378D97C0"/>
    <w:multiLevelType w:val="hybridMultilevel"/>
    <w:lvl w:ilvl="0">
      <w:lvlJc w:val="left"/>
      <w:lvlText w:val="(%1)"/>
      <w:numFmt w:val="lowerLetter"/>
      <w:start w:val="1"/>
    </w:lvl>
  </w:abstractNum>
  <w:abstractNum w:abstractNumId="45">
    <w:nsid w:val="1D91467C"/>
    <w:multiLevelType w:val="hybridMultilevel"/>
    <w:lvl w:ilvl="0">
      <w:lvlJc w:val="left"/>
      <w:lvlText w:val="(%1)"/>
      <w:numFmt w:val="lowerLetter"/>
      <w:start w:val="1"/>
    </w:lvl>
  </w:abstractNum>
  <w:abstractNum w:abstractNumId="46">
    <w:nsid w:val="316032BB"/>
    <w:multiLevelType w:val="hybridMultilevel"/>
    <w:lvl w:ilvl="0">
      <w:lvlJc w:val="left"/>
      <w:lvlText w:val="(%1)"/>
      <w:numFmt w:val="lowerLetter"/>
      <w:start w:val="9"/>
    </w:lvl>
    <w:lvl w:ilvl="1">
      <w:lvlJc w:val="left"/>
      <w:lvlText w:val="-"/>
      <w:numFmt w:val="bullet"/>
      <w:start w:val="1"/>
    </w:lvl>
  </w:abstractNum>
  <w:abstractNum w:abstractNumId="47">
    <w:nsid w:val="44344C22"/>
    <w:multiLevelType w:val="hybridMultilevel"/>
    <w:lvl w:ilvl="0">
      <w:lvlJc w:val="left"/>
      <w:lvlText w:val="(%1)"/>
      <w:numFmt w:val="lowerLetter"/>
      <w:start w:val="1"/>
    </w:lvl>
    <w:lvl w:ilvl="1">
      <w:lvlJc w:val="left"/>
      <w:lvlText w:val="-"/>
      <w:numFmt w:val="bullet"/>
      <w:start w:val="1"/>
    </w:lvl>
  </w:abstractNum>
  <w:abstractNum w:abstractNumId="48">
    <w:nsid w:val="13CDFCFC"/>
    <w:multiLevelType w:val="hybridMultilevel"/>
    <w:lvl w:ilvl="0">
      <w:lvlJc w:val="left"/>
      <w:lvlText w:val="(%1)"/>
      <w:numFmt w:val="decimal"/>
      <w:start w:val="1"/>
    </w:lvl>
  </w:abstractNum>
  <w:abstractNum w:abstractNumId="49">
    <w:nsid w:val="471745E4"/>
    <w:multiLevelType w:val="hybridMultilevel"/>
    <w:lvl w:ilvl="0">
      <w:lvlJc w:val="left"/>
      <w:lvlText w:val="&amp;"/>
      <w:numFmt w:val="bullet"/>
      <w:start w:val="1"/>
    </w:lvl>
  </w:abstractNum>
  <w:abstractNum w:abstractNumId="50">
    <w:nsid w:val="1DDBC66"/>
    <w:multiLevelType w:val="hybridMultilevel"/>
    <w:lvl w:ilvl="0">
      <w:lvlJc w:val="left"/>
      <w:lvlText w:val="(%1)"/>
      <w:numFmt w:val="decimal"/>
      <w:start w:val="1"/>
    </w:lvl>
  </w:abstractNum>
  <w:abstractNum w:abstractNumId="51">
    <w:nsid w:val="30AADFDA"/>
    <w:multiLevelType w:val="hybridMultilevel"/>
    <w:lvl w:ilvl="0">
      <w:lvlJc w:val="left"/>
      <w:lvlText w:val="•"/>
      <w:numFmt w:val="bullet"/>
      <w:start w:val="1"/>
    </w:lvl>
  </w:abstractNum>
  <w:abstractNum w:abstractNumId="52">
    <w:nsid w:val="30EADA61"/>
    <w:multiLevelType w:val="hybridMultilevel"/>
    <w:lvl w:ilvl="0">
      <w:lvlJc w:val="left"/>
      <w:lvlText w:val="(%1)"/>
      <w:numFmt w:val="decimal"/>
      <w:start w:val="1"/>
    </w:lvl>
  </w:abstractNum>
  <w:abstractNum w:abstractNumId="53">
    <w:nsid w:val="27179C0B"/>
    <w:multiLevelType w:val="hybridMultilevel"/>
    <w:lvl w:ilvl="0">
      <w:lvlJc w:val="left"/>
      <w:lvlText w:val="(%1)"/>
      <w:numFmt w:val="decimal"/>
      <w:start w:val="1"/>
    </w:lvl>
  </w:abstractNum>
  <w:abstractNum w:abstractNumId="54">
    <w:nsid w:val="5E636063"/>
    <w:multiLevelType w:val="hybridMultilevel"/>
    <w:lvl w:ilvl="0">
      <w:lvlJc w:val="left"/>
      <w:lvlText w:val="(%1)"/>
      <w:numFmt w:val="decimal"/>
      <w:start w:val="1"/>
    </w:lvl>
  </w:abstractNum>
  <w:abstractNum w:abstractNumId="55">
    <w:nsid w:val="215641AF"/>
    <w:multiLevelType w:val="hybridMultilevel"/>
    <w:lvl w:ilvl="0">
      <w:lvlJc w:val="left"/>
      <w:lvlText w:val="(%1)"/>
      <w:numFmt w:val="decimal"/>
      <w:start w:val="1"/>
    </w:lvl>
    <w:lvl w:ilvl="1">
      <w:lvlJc w:val="left"/>
      <w:lvlText w:val="-"/>
      <w:numFmt w:val="bullet"/>
      <w:start w:val="1"/>
    </w:lvl>
  </w:abstractNum>
  <w:abstractNum w:abstractNumId="56">
    <w:nsid w:val="53280662"/>
    <w:multiLevelType w:val="hybridMultilevel"/>
    <w:lvl w:ilvl="0">
      <w:lvlJc w:val="left"/>
      <w:lvlText w:val="(%1)"/>
      <w:numFmt w:val="decimal"/>
      <w:start w:val="1"/>
    </w:lvl>
    <w:lvl w:ilvl="1">
      <w:lvlJc w:val="left"/>
      <w:lvlText w:val="-"/>
      <w:numFmt w:val="bullet"/>
      <w:start w:val="1"/>
    </w:lvl>
  </w:abstractNum>
  <w:abstractNum w:abstractNumId="57">
    <w:nsid w:val="46B24DBC"/>
    <w:multiLevelType w:val="hybridMultilevel"/>
    <w:lvl w:ilvl="0">
      <w:lvlJc w:val="left"/>
      <w:lvlText w:val="(%1)"/>
      <w:numFmt w:val="decimal"/>
      <w:start w:val="1"/>
    </w:lvl>
  </w:abstractNum>
  <w:abstractNum w:abstractNumId="58">
    <w:nsid w:val="75B52783"/>
    <w:multiLevelType w:val="hybridMultilevel"/>
    <w:lvl w:ilvl="0">
      <w:lvlJc w:val="left"/>
      <w:lvlText w:val="(%1)"/>
      <w:numFmt w:val="decimal"/>
      <w:start w:val="1"/>
    </w:lvl>
    <w:lvl w:ilvl="1">
      <w:lvlJc w:val="left"/>
      <w:lvlText w:val="-"/>
      <w:numFmt w:val="bullet"/>
      <w:start w:val="1"/>
    </w:lvl>
  </w:abstractNum>
  <w:abstractNum w:abstractNumId="59">
    <w:nsid w:val="57CE66B4"/>
    <w:multiLevelType w:val="hybridMultilevel"/>
    <w:lvl w:ilvl="0">
      <w:lvlJc w:val="left"/>
      <w:lvlText w:val="(%1)"/>
      <w:numFmt w:val="lowerLetter"/>
      <w:start w:val="1"/>
    </w:lvl>
  </w:abstractNum>
  <w:abstractNum w:abstractNumId="60">
    <w:nsid w:val="67A70B69"/>
    <w:multiLevelType w:val="hybridMultilevel"/>
    <w:lvl w:ilvl="0">
      <w:lvlJc w:val="left"/>
      <w:lvlText w:val="%1"/>
      <w:numFmt w:val="decimal"/>
      <w:start w:val="97"/>
    </w:lvl>
  </w:abstractNum>
  <w:abstractNum w:abstractNumId="61">
    <w:nsid w:val="5953172F"/>
    <w:multiLevelType w:val="hybridMultilevel"/>
    <w:lvl w:ilvl="0">
      <w:lvlJc w:val="left"/>
      <w:lvlText w:val="*"/>
      <w:numFmt w:val="bullet"/>
      <w:start w:val="1"/>
    </w:lvl>
    <w:lvl w:ilvl="1">
      <w:lvlJc w:val="left"/>
      <w:lvlText w:val="%2"/>
      <w:numFmt w:val="decimal"/>
      <w:start w:val="104"/>
    </w:lvl>
  </w:abstractNum>
  <w:abstractNum w:abstractNumId="62">
    <w:nsid w:val="27EDFE3A"/>
    <w:multiLevelType w:val="hybridMultilevel"/>
    <w:lvl w:ilvl="0">
      <w:lvlJc w:val="left"/>
      <w:lvlText w:val="**"/>
      <w:numFmt w:val="bullet"/>
      <w:start w:val="1"/>
    </w:lvl>
    <w:lvl w:ilvl="1">
      <w:lvlJc w:val="left"/>
      <w:lvlText w:val="%2"/>
      <w:numFmt w:val="decimal"/>
      <w:start w:val="1"/>
    </w:lvl>
  </w:abstractNum>
  <w:abstractNum w:abstractNumId="63">
    <w:nsid w:val="52AC7DFF"/>
    <w:multiLevelType w:val="hybridMultilevel"/>
    <w:lvl w:ilvl="0">
      <w:lvlJc w:val="left"/>
      <w:lvlText w:val="†"/>
      <w:numFmt w:val="bullet"/>
      <w:start w:val="1"/>
    </w:lvl>
  </w:abstractNum>
  <w:abstractNum w:abstractNumId="64">
    <w:nsid w:val="C4C3AF"/>
    <w:multiLevelType w:val="hybridMultilevel"/>
    <w:lvl w:ilvl="0">
      <w:lvlJc w:val="left"/>
      <w:lvlText w:val="%1."/>
      <w:numFmt w:val="decimal"/>
      <w:start w:val="1"/>
    </w:lvl>
  </w:abstractNum>
  <w:abstractNum w:abstractNumId="65">
    <w:nsid w:val="44380727"/>
    <w:multiLevelType w:val="hybridMultilevel"/>
    <w:lvl w:ilvl="0">
      <w:lvlJc w:val="left"/>
      <w:lvlText w:val="(%1)"/>
      <w:numFmt w:val="lowerLetter"/>
      <w:start w:val="1"/>
    </w:lvl>
    <w:lvl w:ilvl="1">
      <w:lvlJc w:val="left"/>
      <w:lvlText w:val="(%2)"/>
      <w:numFmt w:val="lowerRoman"/>
      <w:start w:val="1"/>
    </w:lvl>
  </w:abstractNum>
  <w:abstractNum w:abstractNumId="66">
    <w:nsid w:val="6C053B16"/>
    <w:multiLevelType w:val="hybridMultilevel"/>
    <w:lvl w:ilvl="0">
      <w:lvlJc w:val="left"/>
      <w:lvlText w:val="%1"/>
      <w:numFmt w:val="lowerLetter"/>
      <w:start w:val="1"/>
    </w:lvl>
    <w:lvl w:ilvl="1">
      <w:lvlJc w:val="left"/>
      <w:lvlText w:val="(%2)"/>
      <w:numFmt w:val="lowerRoman"/>
      <w:start w:val="3"/>
    </w:lvl>
    <w:lvl w:ilvl="2">
      <w:lvlJc w:val="left"/>
      <w:lvlText w:val="(%3)"/>
      <w:numFmt w:val="lowerLetter"/>
      <w:start w:val="24"/>
    </w:lvl>
  </w:abstractNum>
  <w:abstractNum w:abstractNumId="67">
    <w:nsid w:val="4F294393"/>
    <w:multiLevelType w:val="hybridMultilevel"/>
    <w:lvl w:ilvl="0">
      <w:lvlJc w:val="left"/>
      <w:lvlText w:val="(%1)"/>
      <w:numFmt w:val="lowerLetter"/>
      <w:start w:val="4"/>
    </w:lvl>
    <w:lvl w:ilvl="1">
      <w:lvlJc w:val="left"/>
      <w:lvlText w:val="(%2)"/>
      <w:numFmt w:val="lowerRoman"/>
      <w:start w:val="1"/>
    </w:lvl>
    <w:lvl w:ilvl="2">
      <w:lvlJc w:val="left"/>
      <w:lvlText w:val="%3"/>
      <w:numFmt w:val="lowerLetter"/>
      <w:start w:val="1"/>
    </w:lvl>
  </w:abstractNum>
  <w:abstractNum w:abstractNumId="68">
    <w:nsid w:val="5243BFAC"/>
    <w:multiLevelType w:val="hybridMultilevel"/>
    <w:lvl w:ilvl="0">
      <w:lvlJc w:val="left"/>
      <w:lvlText w:val="(%1)"/>
      <w:numFmt w:val="lowerRoman"/>
      <w:start w:val="3"/>
    </w:lvl>
  </w:abstractNum>
  <w:abstractNum w:abstractNumId="69">
    <w:nsid w:val="425EB207"/>
    <w:multiLevelType w:val="hybridMultilevel"/>
    <w:lvl w:ilvl="0">
      <w:lvlJc w:val="left"/>
      <w:lvlText w:val="(%1)"/>
      <w:numFmt w:val="upperLetter"/>
      <w:start w:val="1"/>
    </w:lvl>
    <w:lvl w:ilvl="1">
      <w:lvlJc w:val="left"/>
      <w:lvlText w:val="(%2)"/>
      <w:numFmt w:val="lowerLetter"/>
      <w:start w:val="6"/>
    </w:lvl>
  </w:abstractNum>
  <w:abstractNum w:abstractNumId="70">
    <w:nsid w:val="334A6F1F"/>
    <w:multiLevelType w:val="hybridMultilevel"/>
    <w:lvl w:ilvl="0">
      <w:lvlJc w:val="left"/>
      <w:lvlText w:val="%1."/>
      <w:numFmt w:val="decimal"/>
      <w:start w:val="2"/>
    </w:lvl>
  </w:abstractNum>
  <w:abstractNum w:abstractNumId="71">
    <w:nsid w:val="2E5B12B8"/>
    <w:multiLevelType w:val="hybridMultilevel"/>
    <w:lvl w:ilvl="0">
      <w:lvlJc w:val="left"/>
      <w:lvlText w:val="%1."/>
      <w:numFmt w:val="decimal"/>
      <w:start w:val="4"/>
    </w:lvl>
  </w:abstractNum>
  <w:abstractNum w:abstractNumId="72">
    <w:nsid w:val="5C03D76D"/>
    <w:multiLevelType w:val="hybridMultilevel"/>
    <w:lvl w:ilvl="0">
      <w:lvlJc w:val="left"/>
      <w:lvlText w:val="(%1)"/>
      <w:numFmt w:val="lowerLetter"/>
      <w:start w:val="1"/>
    </w:lvl>
    <w:lvl w:ilvl="1">
      <w:lvlJc w:val="left"/>
      <w:lvlText w:val="(%2)"/>
      <w:numFmt w:val="lowerRoman"/>
      <w:start w:val="1"/>
    </w:lvl>
  </w:abstractNum>
  <w:abstractNum w:abstractNumId="73">
    <w:nsid w:val="66A48D11"/>
    <w:multiLevelType w:val="hybridMultilevel"/>
    <w:lvl w:ilvl="0">
      <w:lvlJc w:val="left"/>
      <w:lvlText w:val="%1"/>
      <w:numFmt w:val="lowerLetter"/>
      <w:start w:val="1"/>
    </w:lvl>
    <w:lvl w:ilvl="1">
      <w:lvlJc w:val="left"/>
      <w:lvlText w:val="(%2)"/>
      <w:numFmt w:val="lowerLetter"/>
      <w:start w:val="61"/>
    </w:lvl>
  </w:abstractNum>
  <w:abstractNum w:abstractNumId="74">
    <w:nsid w:val="56C28E34"/>
    <w:multiLevelType w:val="hybridMultilevel"/>
    <w:lvl w:ilvl="0">
      <w:lvlJc w:val="left"/>
      <w:lvlText w:val="(%1)"/>
      <w:numFmt w:val="lowerLetter"/>
      <w:start w:val="4"/>
    </w:lvl>
    <w:lvl w:ilvl="1">
      <w:lvlJc w:val="left"/>
      <w:lvlText w:val="(%2)"/>
      <w:numFmt w:val="lowerLetter"/>
      <w:start w:val="9"/>
    </w:lvl>
  </w:abstractNum>
  <w:abstractNum w:abstractNumId="75">
    <w:nsid w:val="13916F2D"/>
    <w:multiLevelType w:val="hybridMultilevel"/>
    <w:lvl w:ilvl="0">
      <w:lvlJc w:val="left"/>
      <w:lvlText w:val="(%1)"/>
      <w:numFmt w:val="lowerRoman"/>
      <w:start w:val="2"/>
    </w:lvl>
  </w:abstractNum>
  <w:abstractNum w:abstractNumId="76">
    <w:nsid w:val="435D38D"/>
    <w:multiLevelType w:val="hybridMultilevel"/>
    <w:lvl w:ilvl="0">
      <w:lvlJc w:val="left"/>
      <w:lvlText w:val="%1."/>
      <w:numFmt w:val="decimal"/>
      <w:start w:val="5"/>
    </w:lvl>
  </w:abstractNum>
  <w:abstractNum w:abstractNumId="77">
    <w:nsid w:val="822C0EF"/>
    <w:multiLevelType w:val="hybridMultilevel"/>
    <w:lvl w:ilvl="0">
      <w:lvlJc w:val="left"/>
      <w:lvlText w:val="(%1)"/>
      <w:numFmt w:val="lowerLetter"/>
      <w:start w:val="1"/>
    </w:lvl>
  </w:abstractNum>
  <w:abstractNum w:abstractNumId="78">
    <w:nsid w:val="57C5BB4F"/>
    <w:multiLevelType w:val="hybridMultilevel"/>
    <w:lvl w:ilvl="0">
      <w:lvlJc w:val="left"/>
      <w:lvlText w:val="%1"/>
      <w:numFmt w:val="lowerLetter"/>
      <w:start w:val="1"/>
    </w:lvl>
    <w:lvl w:ilvl="1">
      <w:lvlJc w:val="left"/>
      <w:lvlText w:val="(%2)"/>
      <w:numFmt w:val="lowerLetter"/>
      <w:start w:val="2"/>
    </w:lvl>
  </w:abstractNum>
  <w:abstractNum w:abstractNumId="79">
    <w:nsid w:val="1803D089"/>
    <w:multiLevelType w:val="hybridMultilevel"/>
    <w:lvl w:ilvl="0">
      <w:lvlJc w:val="left"/>
      <w:lvlText w:val="(%1)"/>
      <w:numFmt w:val="lowerLetter"/>
      <w:start w:val="9"/>
    </w:lvl>
    <w:lvl w:ilvl="1">
      <w:lvlJc w:val="left"/>
      <w:lvlText w:val="%2"/>
      <w:numFmt w:val="lowerLetter"/>
      <w:start w:val="1"/>
    </w:lvl>
  </w:abstractNum>
  <w:abstractNum w:abstractNumId="80">
    <w:nsid w:val="4F3A06D4"/>
    <w:multiLevelType w:val="hybridMultilevel"/>
    <w:lvl w:ilvl="0">
      <w:lvlJc w:val="left"/>
      <w:lvlText w:val="%1."/>
      <w:numFmt w:val="decimal"/>
      <w:start w:val="6"/>
    </w:lvl>
  </w:abstractNum>
  <w:abstractNum w:abstractNumId="81">
    <w:nsid w:val="59A377B6"/>
    <w:multiLevelType w:val="hybridMultilevel"/>
    <w:lvl w:ilvl="0">
      <w:lvlJc w:val="left"/>
      <w:lvlText w:val="(%1)"/>
      <w:numFmt w:val="lowerLetter"/>
      <w:start w:val="1"/>
    </w:lvl>
  </w:abstractNum>
  <w:abstractNum w:abstractNumId="82">
    <w:nsid w:val="48AEB063"/>
    <w:multiLevelType w:val="hybridMultilevel"/>
    <w:lvl w:ilvl="0">
      <w:lvlJc w:val="left"/>
      <w:lvlText w:val="(%1)"/>
      <w:numFmt w:val="lowerLetter"/>
      <w:start w:val="2"/>
    </w:lvl>
  </w:abstractNum>
  <w:abstractNum w:abstractNumId="83">
    <w:nsid w:val="24E135"/>
    <w:multiLevelType w:val="hybridMultilevel"/>
    <w:lvl w:ilvl="0">
      <w:lvlJc w:val="left"/>
      <w:lvlText w:val="%1."/>
      <w:numFmt w:val="decimal"/>
      <w:start w:val="8"/>
    </w:lvl>
  </w:abstractNum>
  <w:abstractNum w:abstractNumId="84">
    <w:nsid w:val="BB13C1"/>
    <w:multiLevelType w:val="hybridMultilevel"/>
    <w:lvl w:ilvl="0">
      <w:lvlJc w:val="left"/>
      <w:lvlText w:val="(%1)"/>
      <w:numFmt w:val="lowerLetter"/>
      <w:start w:val="1"/>
    </w:lvl>
  </w:abstractNum>
  <w:abstractNum w:abstractNumId="85">
    <w:nsid w:val="271210C7"/>
    <w:multiLevelType w:val="hybridMultilevel"/>
    <w:lvl w:ilvl="0">
      <w:lvlJc w:val="left"/>
      <w:lvlText w:val="%1."/>
      <w:numFmt w:val="decimal"/>
      <w:start w:val="9"/>
    </w:lvl>
  </w:abstractNum>
  <w:abstractNum w:abstractNumId="86">
    <w:nsid w:val="217B22E4"/>
    <w:multiLevelType w:val="hybridMultilevel"/>
    <w:lvl w:ilvl="0">
      <w:lvlJc w:val="left"/>
      <w:lvlText w:val="%1."/>
      <w:numFmt w:val="decimal"/>
      <w:start w:val="11"/>
    </w:lvl>
  </w:abstractNum>
  <w:abstractNum w:abstractNumId="87">
    <w:nsid w:val="53E31A24"/>
    <w:multiLevelType w:val="hybridMultilevel"/>
    <w:lvl w:ilvl="0">
      <w:lvlJc w:val="left"/>
      <w:lvlText w:val="%1."/>
      <w:numFmt w:val="decimal"/>
      <w:start w:val="18"/>
    </w:lvl>
  </w:abstractNum>
  <w:abstractNum w:abstractNumId="88">
    <w:nsid w:val="6DC45E83"/>
    <w:multiLevelType w:val="hybridMultilevel"/>
    <w:lvl w:ilvl="0">
      <w:lvlJc w:val="left"/>
      <w:lvlText w:val="%1."/>
      <w:numFmt w:val="decimal"/>
      <w:start w:val="22"/>
    </w:lvl>
  </w:abstractNum>
  <w:abstractNum w:abstractNumId="89">
    <w:nsid w:val="17304A67"/>
    <w:multiLevelType w:val="hybridMultilevel"/>
    <w:lvl w:ilvl="0">
      <w:lvlJc w:val="left"/>
      <w:lvlText w:val="(%1)"/>
      <w:numFmt w:val="lowerLetter"/>
      <w:start w:val="1"/>
    </w:lvl>
  </w:abstractNum>
  <w:abstractNum w:abstractNumId="90">
    <w:nsid w:val="2BB180D8"/>
    <w:multiLevelType w:val="hybridMultilevel"/>
    <w:lvl w:ilvl="0">
      <w:lvlJc w:val="left"/>
      <w:lvlText w:val="(%1)"/>
      <w:numFmt w:val="lowerLetter"/>
      <w:start w:val="4"/>
    </w:lvl>
  </w:abstractNum>
  <w:abstractNum w:abstractNumId="91">
    <w:nsid w:val="556B69ED"/>
    <w:multiLevelType w:val="hybridMultilevel"/>
    <w:lvl w:ilvl="0">
      <w:lvlJc w:val="left"/>
      <w:lvlText w:val="1"/>
      <w:numFmt w:val="bullet"/>
      <w:start w:val="1"/>
    </w:lvl>
  </w:abstractNum>
  <w:abstractNum w:abstractNumId="92">
    <w:nsid w:val="70836196"/>
    <w:multiLevelType w:val="hybridMultilevel"/>
    <w:lvl w:ilvl="0">
      <w:lvlJc w:val="left"/>
      <w:lvlText w:val="(%1)"/>
      <w:numFmt w:val="lowerRoman"/>
      <w:start w:val="10"/>
    </w:lvl>
  </w:abstractNum>
  <w:abstractNum w:abstractNumId="93">
    <w:nsid w:val="539F7F12"/>
    <w:multiLevelType w:val="hybridMultilevel"/>
    <w:lvl w:ilvl="0">
      <w:lvlJc w:val="left"/>
      <w:lvlText w:val="(%1)"/>
      <w:numFmt w:val="lowerLetter"/>
      <w:start w:val="1"/>
    </w:lvl>
  </w:abstractNum>
  <w:abstractNum w:abstractNumId="94">
    <w:nsid w:val="2817E7EC"/>
    <w:multiLevelType w:val="hybridMultilevel"/>
    <w:lvl w:ilvl="0">
      <w:lvlJc w:val="left"/>
      <w:lvlText w:val="(%1)"/>
      <w:numFmt w:val="lowerLetter"/>
      <w:start w:val="1"/>
    </w:lvl>
  </w:abstractNum>
  <w:abstractNum w:abstractNumId="95">
    <w:nsid w:val="71482545"/>
    <w:multiLevelType w:val="hybridMultilevel"/>
    <w:lvl w:ilvl="0">
      <w:lvlJc w:val="left"/>
      <w:lvlText w:val="(%1)"/>
      <w:numFmt w:val="lowerLetter"/>
      <w:start w:val="2"/>
    </w:lvl>
  </w:abstractNum>
  <w:abstractNum w:abstractNumId="96">
    <w:nsid w:val="17D78639"/>
    <w:multiLevelType w:val="hybridMultilevel"/>
    <w:lvl w:ilvl="0">
      <w:lvlJc w:val="left"/>
      <w:lvlText w:val="(%1)"/>
      <w:numFmt w:val="lowerLetter"/>
      <w:start w:val="1"/>
    </w:lvl>
  </w:abstractNum>
  <w:abstractNum w:abstractNumId="97">
    <w:nsid w:val="141D2302"/>
    <w:multiLevelType w:val="hybridMultilevel"/>
    <w:lvl w:ilvl="0">
      <w:lvlJc w:val="left"/>
      <w:lvlText w:val="(%1)"/>
      <w:numFmt w:val="lowerLetter"/>
      <w:start w:val="3"/>
    </w:lvl>
  </w:abstractNum>
  <w:abstractNum w:abstractNumId="98">
    <w:nsid w:val="407168D8"/>
    <w:multiLevelType w:val="hybridMultilevel"/>
    <w:lvl w:ilvl="0">
      <w:lvlJc w:val="left"/>
      <w:lvlText w:val="(%1)"/>
      <w:numFmt w:val="lowerLetter"/>
      <w:start w:val="2"/>
    </w:lvl>
  </w:abstractNum>
  <w:abstractNum w:abstractNumId="99">
    <w:nsid w:val="6A1B45E5"/>
    <w:multiLevelType w:val="hybridMultilevel"/>
    <w:lvl w:ilvl="0">
      <w:lvlJc w:val="left"/>
      <w:lvlText w:val="%1"/>
      <w:numFmt w:val="lowerLetter"/>
      <w:start w:val="1"/>
    </w:lvl>
    <w:lvl w:ilvl="1">
      <w:lvlJc w:val="left"/>
      <w:lvlText w:val="(%2)"/>
      <w:numFmt w:val="lowerLetter"/>
      <w:start w:val="1"/>
    </w:lvl>
  </w:abstractNum>
  <w:abstractNum w:abstractNumId="100">
    <w:nsid w:val="567BD50A"/>
    <w:multiLevelType w:val="hybridMultilevel"/>
    <w:lvl w:ilvl="0">
      <w:lvlJc w:val="left"/>
      <w:lvlText w:val="(%1)"/>
      <w:numFmt w:val="lowerLetter"/>
      <w:start w:val="35"/>
    </w:lvl>
    <w:lvl w:ilvl="1">
      <w:lvlJc w:val="left"/>
      <w:lvlText w:val="%2"/>
      <w:numFmt w:val="lowerLetter"/>
      <w:start w:val="1"/>
    </w:lvl>
  </w:abstractNum>
  <w:abstractNum w:abstractNumId="101">
    <w:nsid w:val="73BBD7F8"/>
    <w:multiLevelType w:val="hybridMultilevel"/>
    <w:lvl w:ilvl="0">
      <w:lvlJc w:val="left"/>
      <w:lvlText w:val="(%1)"/>
      <w:numFmt w:val="lowerLetter"/>
      <w:start w:val="3"/>
    </w:lvl>
  </w:abstractNum>
  <w:abstractNum w:abstractNumId="102">
    <w:nsid w:val="1876589D"/>
    <w:multiLevelType w:val="hybridMultilevel"/>
    <w:lvl w:ilvl="0">
      <w:lvlJc w:val="left"/>
      <w:lvlText w:val="(%1)"/>
      <w:numFmt w:val="lowerLetter"/>
      <w:start w:val="2"/>
    </w:lvl>
  </w:abstractNum>
  <w:abstractNum w:abstractNumId="103">
    <w:nsid w:val="327FAC77"/>
    <w:multiLevelType w:val="hybridMultilevel"/>
    <w:lvl w:ilvl="0">
      <w:lvlJc w:val="left"/>
      <w:lvlText w:val="(%1)"/>
      <w:numFmt w:val="lowerLetter"/>
      <w:start w:val="3"/>
    </w:lvl>
  </w:abstractNum>
  <w:abstractNum w:abstractNumId="104">
    <w:nsid w:val="5A606509"/>
    <w:multiLevelType w:val="hybridMultilevel"/>
    <w:lvl w:ilvl="0">
      <w:lvlJc w:val="left"/>
      <w:lvlText w:val="(%1)"/>
      <w:numFmt w:val="lowerLetter"/>
      <w:start w:val="1"/>
    </w:lvl>
  </w:abstractNum>
  <w:abstractNum w:abstractNumId="105">
    <w:nsid w:val="6F38E6D1"/>
    <w:multiLevelType w:val="hybridMultilevel"/>
    <w:lvl w:ilvl="0">
      <w:lvlJc w:val="left"/>
      <w:lvlText w:val="(%1)"/>
      <w:numFmt w:val="lowerLetter"/>
      <w:start w:val="4"/>
    </w:lvl>
  </w:abstractNum>
  <w:abstractNum w:abstractNumId="106">
    <w:nsid w:val="46111BA5"/>
    <w:multiLevelType w:val="hybridMultilevel"/>
    <w:lvl w:ilvl="0">
      <w:lvlJc w:val="left"/>
      <w:lvlText w:val="(%1)"/>
      <w:numFmt w:val="lowerLetter"/>
      <w:start w:val="8"/>
    </w:lvl>
  </w:abstractNum>
  <w:abstractNum w:abstractNumId="107">
    <w:nsid w:val="5E963896"/>
    <w:multiLevelType w:val="hybridMultilevel"/>
    <w:lvl w:ilvl="0">
      <w:lvlJc w:val="left"/>
      <w:lvlText w:val="(%1)"/>
      <w:numFmt w:val="lowerRoman"/>
      <w:start w:val="1"/>
    </w:lvl>
  </w:abstractNum>
  <w:abstractNum w:abstractNumId="108">
    <w:nsid w:val="775BA7C1"/>
    <w:multiLevelType w:val="hybridMultilevel"/>
    <w:lvl w:ilvl="0">
      <w:lvlJc w:val="left"/>
      <w:lvlText w:val="(%1)"/>
      <w:numFmt w:val="lowerRoman"/>
      <w:start w:val="4"/>
    </w:lvl>
  </w:abstractNum>
  <w:abstractNum w:abstractNumId="109">
    <w:nsid w:val="1DD6D6F4"/>
    <w:multiLevelType w:val="hybridMultilevel"/>
    <w:lvl w:ilvl="0">
      <w:lvlJc w:val="left"/>
      <w:lvlText w:val="%1"/>
      <w:numFmt w:val="lowerRoman"/>
      <w:start w:val="1"/>
    </w:lvl>
    <w:lvl w:ilvl="1">
      <w:lvlJc w:val="left"/>
      <w:lvlText w:val="(%2)"/>
      <w:numFmt w:val="lowerRoman"/>
      <w:start w:val="14"/>
    </w:lvl>
  </w:abstractNum>
  <w:abstractNum w:abstractNumId="110">
    <w:nsid w:val="769A091F"/>
    <w:multiLevelType w:val="hybridMultilevel"/>
    <w:lvl w:ilvl="0">
      <w:lvlJc w:val="left"/>
      <w:lvlText w:val="(%1)"/>
      <w:numFmt w:val="lowerRoman"/>
      <w:start w:val="10"/>
    </w:lvl>
    <w:lvl w:ilvl="1">
      <w:lvlJc w:val="left"/>
      <w:lvlText w:val="(%2)"/>
      <w:numFmt w:val="lowerRoman"/>
      <w:start w:val="18"/>
    </w:lvl>
  </w:abstractNum>
  <w:abstractNum w:abstractNumId="111">
    <w:nsid w:val="4695AE95"/>
    <w:multiLevelType w:val="hybridMultilevel"/>
    <w:lvl w:ilvl="0">
      <w:lvlJc w:val="left"/>
      <w:lvlText w:val="(%1)"/>
      <w:numFmt w:val="lowerLetter"/>
      <w:start w:val="1"/>
    </w:lvl>
  </w:abstractNum>
  <w:abstractNum w:abstractNumId="112">
    <w:nsid w:val="777A4EAA"/>
    <w:multiLevelType w:val="hybridMultilevel"/>
    <w:lvl w:ilvl="0">
      <w:lvlJc w:val="left"/>
      <w:lvlText w:val="(%1)"/>
      <w:numFmt w:val="lowerLetter"/>
      <w:start w:val="5"/>
    </w:lvl>
    <w:lvl w:ilvl="1">
      <w:lvlJc w:val="left"/>
      <w:lvlText w:val="(%2)"/>
      <w:numFmt w:val="lowerLetter"/>
      <w:start w:val="6"/>
    </w:lvl>
    <w:lvl w:ilvl="2">
      <w:lvlJc w:val="left"/>
      <w:lvlText w:val="(%3)"/>
      <w:numFmt w:val="upperLetter"/>
      <w:start w:val="1"/>
    </w:lvl>
  </w:abstractNum>
  <w:abstractNum w:abstractNumId="113">
    <w:nsid w:val="3F48B982"/>
    <w:multiLevelType w:val="hybridMultilevel"/>
    <w:lvl w:ilvl="0">
      <w:lvlJc w:val="left"/>
      <w:lvlText w:val="(%1)"/>
      <w:numFmt w:val="lowerLetter"/>
      <w:start w:val="10"/>
    </w:lvl>
  </w:abstractNum>
  <w:abstractNum w:abstractNumId="114">
    <w:nsid w:val="46BA8FCA"/>
    <w:multiLevelType w:val="hybridMultilevel"/>
    <w:lvl w:ilvl="0">
      <w:lvlJc w:val="left"/>
      <w:lvlText w:val="(%1)"/>
      <w:numFmt w:val="lowerLetter"/>
      <w:start w:val="1"/>
    </w:lvl>
  </w:abstractNum>
  <w:abstractNum w:abstractNumId="115">
    <w:nsid w:val="7835626C"/>
    <w:multiLevelType w:val="hybridMultilevel"/>
    <w:lvl w:ilvl="0">
      <w:lvlJc w:val="left"/>
      <w:lvlText w:val="(%1)"/>
      <w:numFmt w:val="lowerRoman"/>
      <w:start w:val="2"/>
    </w:lvl>
  </w:abstractNum>
  <w:abstractNum w:abstractNumId="116">
    <w:nsid w:val="665ACA49"/>
    <w:multiLevelType w:val="hybridMultilevel"/>
    <w:lvl w:ilvl="0">
      <w:lvlJc w:val="left"/>
      <w:lvlText w:val="(%1)"/>
      <w:numFmt w:val="lowerLetter"/>
      <w:start w:val="3"/>
    </w:lvl>
  </w:abstractNum>
  <w:abstractNum w:abstractNumId="117">
    <w:nsid w:val="6835B2AE"/>
    <w:multiLevelType w:val="hybridMultilevel"/>
    <w:lvl w:ilvl="0">
      <w:lvlJc w:val="left"/>
      <w:lvlText w:val="(%1)"/>
      <w:numFmt w:val="lowerRoman"/>
      <w:start w:val="1"/>
    </w:lvl>
  </w:abstractNum>
  <w:abstractNum w:abstractNumId="118">
    <w:nsid w:val="4C187C90"/>
    <w:multiLevelType w:val="hybridMultilevel"/>
    <w:lvl w:ilvl="0">
      <w:lvlJc w:val="left"/>
      <w:lvlText w:val="(%1)"/>
      <w:numFmt w:val="lowerLetter"/>
      <w:start w:val="2"/>
    </w:lvl>
  </w:abstractNum>
  <w:abstractNum w:abstractNumId="119">
    <w:nsid w:val="541F28CD"/>
    <w:multiLevelType w:val="hybridMultilevel"/>
    <w:lvl w:ilvl="0">
      <w:lvlJc w:val="left"/>
      <w:lvlText w:val="(%1)"/>
      <w:numFmt w:val="lowerRoman"/>
      <w:start w:val="1"/>
    </w:lvl>
  </w:abstractNum>
  <w:abstractNum w:abstractNumId="120">
    <w:nsid w:val="7F65FD16"/>
    <w:multiLevelType w:val="hybridMultilevel"/>
    <w:lvl w:ilvl="0">
      <w:lvlJc w:val="left"/>
      <w:lvlText w:val="(%1)"/>
      <w:numFmt w:val="lowerRoman"/>
      <w:start w:val="5"/>
    </w:lvl>
  </w:abstractNum>
  <w:abstractNum w:abstractNumId="121">
    <w:nsid w:val="77C9FD68"/>
    <w:multiLevelType w:val="hybridMultilevel"/>
    <w:lvl w:ilvl="0">
      <w:lvlJc w:val="left"/>
      <w:lvlText w:val="%1"/>
      <w:numFmt w:val="lowerLetter"/>
      <w:start w:val="1"/>
    </w:lvl>
    <w:lvl w:ilvl="1">
      <w:lvlJc w:val="left"/>
      <w:lvlText w:val="(%2)"/>
      <w:numFmt w:val="lowerLetter"/>
      <w:start w:val="1"/>
    </w:lvl>
  </w:abstractNum>
  <w:abstractNum w:abstractNumId="122">
    <w:nsid w:val="298A92BA"/>
    <w:multiLevelType w:val="hybridMultilevel"/>
    <w:lvl w:ilvl="0">
      <w:lvlJc w:val="left"/>
      <w:lvlText w:val="(%1)"/>
      <w:numFmt w:val="lowerLetter"/>
      <w:start w:val="9"/>
    </w:lvl>
    <w:lvl w:ilvl="1">
      <w:lvlJc w:val="left"/>
      <w:lvlText w:val="%2"/>
      <w:numFmt w:val="lowerLetter"/>
      <w:start w:val="1"/>
    </w:lvl>
  </w:abstractNum>
  <w:abstractNum w:abstractNumId="123">
    <w:nsid w:val="6FE95EAC"/>
    <w:multiLevelType w:val="hybridMultilevel"/>
    <w:lvl w:ilvl="0">
      <w:lvlJc w:val="left"/>
      <w:lvlText w:val="(%1)"/>
      <w:numFmt w:val="lowerLetter"/>
      <w:start w:val="6"/>
    </w:lvl>
  </w:abstractNum>
  <w:abstractNum w:abstractNumId="124">
    <w:nsid w:val="4B697C7A"/>
    <w:multiLevelType w:val="hybridMultilevel"/>
    <w:lvl w:ilvl="0">
      <w:lvlJc w:val="left"/>
      <w:lvlText w:val="(%1)"/>
      <w:numFmt w:val="lowerLetter"/>
      <w:start w:val="8"/>
    </w:lvl>
  </w:abstractNum>
  <w:abstractNum w:abstractNumId="125">
    <w:nsid w:val="51A27AA6"/>
    <w:multiLevelType w:val="hybridMultilevel"/>
    <w:lvl w:ilvl="0">
      <w:lvlJc w:val="left"/>
      <w:lvlText w:val="(%1)"/>
      <w:numFmt w:val="lowerLetter"/>
      <w:start w:val="1"/>
    </w:lvl>
  </w:abstractNum>
  <w:abstractNum w:abstractNumId="126">
    <w:nsid w:val="613183F2"/>
    <w:multiLevelType w:val="hybridMultilevel"/>
    <w:lvl w:ilvl="0">
      <w:lvlJc w:val="left"/>
      <w:lvlText w:val="(%1)"/>
      <w:numFmt w:val="lowerLetter"/>
      <w:start w:val="4"/>
    </w:lvl>
  </w:abstractNum>
  <w:abstractNum w:abstractNumId="127">
    <w:nsid w:val="634102B4"/>
    <w:multiLevelType w:val="hybridMultilevel"/>
    <w:lvl w:ilvl="0">
      <w:lvlJc w:val="left"/>
      <w:lvlText w:val="(%1)"/>
      <w:numFmt w:val="lowerLetter"/>
      <w:start w:val="1"/>
    </w:lvl>
  </w:abstractNum>
  <w:abstractNum w:abstractNumId="128">
    <w:nsid w:val="65BF9DA8"/>
    <w:multiLevelType w:val="hybridMultilevel"/>
    <w:lvl w:ilvl="0">
      <w:lvlJc w:val="left"/>
      <w:lvlText w:val="(%1)"/>
      <w:numFmt w:val="lowerLetter"/>
      <w:start w:val="8"/>
    </w:lvl>
  </w:abstractNum>
  <w:abstractNum w:abstractNumId="129">
    <w:nsid w:val="21A2ECCA"/>
    <w:multiLevelType w:val="hybridMultilevel"/>
    <w:lvl w:ilvl="0">
      <w:lvlJc w:val="left"/>
      <w:lvlText w:val="(%1)"/>
      <w:numFmt w:val="lowerLetter"/>
      <w:start w:val="1"/>
    </w:lvl>
  </w:abstractNum>
  <w:abstractNum w:abstractNumId="130">
    <w:nsid w:val="4D5C4899"/>
    <w:multiLevelType w:val="hybridMultilevel"/>
    <w:lvl w:ilvl="0">
      <w:lvlJc w:val="left"/>
      <w:lvlText w:val="%1"/>
      <w:numFmt w:val="lowerRoman"/>
      <w:start w:val="1"/>
    </w:lvl>
    <w:lvl w:ilvl="1">
      <w:lvlJc w:val="left"/>
      <w:lvlText w:val="(%2)"/>
      <w:numFmt w:val="lowerRoman"/>
      <w:start w:val="1"/>
    </w:lvl>
  </w:abstractNum>
  <w:abstractNum w:abstractNumId="131">
    <w:nsid w:val="3C3B72B2"/>
    <w:multiLevelType w:val="hybridMultilevel"/>
    <w:lvl w:ilvl="0">
      <w:lvlJc w:val="left"/>
      <w:lvlText w:val="(%1)"/>
      <w:numFmt w:val="lowerRoman"/>
      <w:start w:val="2"/>
    </w:lvl>
    <w:lvl w:ilvl="1">
      <w:lvlJc w:val="left"/>
      <w:lvlText w:val="(%2)"/>
      <w:numFmt w:val="lowerRoman"/>
      <w:start w:val="3"/>
    </w:lvl>
  </w:abstractNum>
  <w:abstractNum w:abstractNumId="132">
    <w:nsid w:val="155EC4C2"/>
    <w:multiLevelType w:val="hybridMultilevel"/>
    <w:lvl w:ilvl="0">
      <w:lvlJc w:val="left"/>
      <w:lvlText w:val="(%1)"/>
      <w:numFmt w:val="upperLetter"/>
      <w:start w:val="4"/>
    </w:lvl>
  </w:abstractNum>
  <w:abstractNum w:abstractNumId="133">
    <w:nsid w:val="65D2A137"/>
    <w:multiLevelType w:val="hybridMultilevel"/>
    <w:lvl w:ilvl="0">
      <w:lvlJc w:val="left"/>
      <w:lvlText w:val="(%1)"/>
      <w:numFmt w:val="lowerRoman"/>
      <w:start w:val="4"/>
    </w:lvl>
  </w:abstractNum>
  <w:abstractNum w:abstractNumId="134">
    <w:nsid w:val="6EBB1F2A"/>
    <w:multiLevelType w:val="hybridMultilevel"/>
    <w:lvl w:ilvl="0">
      <w:lvlJc w:val="left"/>
      <w:lvlText w:val="(%1)"/>
      <w:numFmt w:val="lowerLetter"/>
      <w:start w:val="1"/>
    </w:lvl>
  </w:abstractNum>
  <w:abstractNum w:abstractNumId="135">
    <w:nsid w:val="6FBF29CB"/>
    <w:multiLevelType w:val="hybridMultilevel"/>
    <w:lvl w:ilvl="0">
      <w:lvlJc w:val="left"/>
      <w:lvlText w:val="(%1)"/>
      <w:numFmt w:val="lowerLetter"/>
      <w:start w:val="25"/>
    </w:lvl>
  </w:abstractNum>
  <w:abstractNum w:abstractNumId="136">
    <w:nsid w:val="550B8808"/>
    <w:multiLevelType w:val="hybridMultilevel"/>
    <w:lvl w:ilvl="0">
      <w:lvlJc w:val="left"/>
      <w:lvlText w:val="(%1)"/>
      <w:numFmt w:val="lowerLetter"/>
      <w:start w:val="1"/>
    </w:lvl>
  </w:abstractNum>
  <w:abstractNum w:abstractNumId="137">
    <w:nsid w:val="34CC3ACF"/>
    <w:multiLevelType w:val="hybridMultilevel"/>
    <w:lvl w:ilvl="0">
      <w:lvlJc w:val="left"/>
      <w:lvlText w:val="(%1)"/>
      <w:numFmt w:val="lowerLetter"/>
      <w:start w:val="24"/>
    </w:lvl>
    <w:lvl w:ilvl="1">
      <w:lvlJc w:val="left"/>
      <w:lvlText w:val="(%2)"/>
      <w:numFmt w:val="lowerLetter"/>
      <w:start w:val="2"/>
    </w:lvl>
  </w:abstractNum>
  <w:abstractNum w:abstractNumId="138">
    <w:nsid w:val="4E556261"/>
    <w:multiLevelType w:val="hybridMultilevel"/>
    <w:lvl w:ilvl="0">
      <w:lvlJc w:val="left"/>
      <w:lvlText w:val="(%1)"/>
      <w:numFmt w:val="lowerRoman"/>
      <w:start w:val="4"/>
    </w:lvl>
  </w:abstractNum>
  <w:abstractNum w:abstractNumId="139">
    <w:nsid w:val="4C672FC9"/>
    <w:multiLevelType w:val="hybridMultilevel"/>
    <w:lvl w:ilvl="0">
      <w:lvlJc w:val="left"/>
      <w:lvlText w:val="(%1)"/>
      <w:numFmt w:val="lowerLetter"/>
      <w:start w:val="1"/>
    </w:lvl>
  </w:abstractNum>
  <w:abstractNum w:abstractNumId="140">
    <w:nsid w:val="52A311C3"/>
    <w:multiLevelType w:val="hybridMultilevel"/>
    <w:lvl w:ilvl="0">
      <w:lvlJc w:val="left"/>
      <w:lvlText w:val="%1"/>
      <w:numFmt w:val="lowerLetter"/>
      <w:start w:val="1"/>
    </w:lvl>
    <w:lvl w:ilvl="1">
      <w:lvlJc w:val="left"/>
      <w:lvlText w:val="(%2)"/>
      <w:numFmt w:val="lowerLetter"/>
      <w:start w:val="3"/>
    </w:lvl>
  </w:abstractNum>
  <w:abstractNum w:abstractNumId="141">
    <w:nsid w:val="44EF6B80"/>
    <w:multiLevelType w:val="hybridMultilevel"/>
    <w:lvl w:ilvl="0">
      <w:lvlJc w:val="left"/>
      <w:lvlText w:val="(%1)"/>
      <w:numFmt w:val="lowerLetter"/>
      <w:start w:val="1"/>
    </w:lvl>
    <w:lvl w:ilvl="1">
      <w:lvlJc w:val="left"/>
      <w:lvlText w:val="(%2)"/>
      <w:numFmt w:val="lowerLetter"/>
      <w:start w:val="4"/>
    </w:lvl>
  </w:abstractNum>
  <w:abstractNum w:abstractNumId="142">
    <w:nsid w:val="12FCDE5E"/>
    <w:multiLevelType w:val="hybridMultilevel"/>
    <w:lvl w:ilvl="0">
      <w:lvlJc w:val="left"/>
      <w:lvlText w:val="(%1)"/>
      <w:numFmt w:val="lowerLetter"/>
      <w:start w:val="35"/>
    </w:lvl>
    <w:lvl w:ilvl="1">
      <w:lvlJc w:val="left"/>
      <w:lvlText w:val="(%2)"/>
      <w:numFmt w:val="lowerLetter"/>
      <w:start w:val="8"/>
    </w:lvl>
  </w:abstractNum>
  <w:abstractNum w:abstractNumId="143">
    <w:nsid w:val="4A1D606E"/>
    <w:multiLevelType w:val="hybridMultilevel"/>
    <w:lvl w:ilvl="0">
      <w:lvlJc w:val="left"/>
      <w:lvlText w:val="(%1)"/>
      <w:numFmt w:val="lowerLetter"/>
      <w:start w:val="1"/>
    </w:lvl>
  </w:abstractNum>
  <w:abstractNum w:abstractNumId="144">
    <w:nsid w:val="4382503"/>
    <w:multiLevelType w:val="hybridMultilevel"/>
    <w:lvl w:ilvl="0">
      <w:lvlJc w:val="left"/>
      <w:lvlText w:val="(%1)"/>
      <w:numFmt w:val="lowerLetter"/>
      <w:start w:val="2"/>
    </w:lvl>
  </w:abstractNum>
  <w:abstractNum w:abstractNumId="145">
    <w:nsid w:val="59B76E28"/>
    <w:multiLevelType w:val="hybridMultilevel"/>
    <w:lvl w:ilvl="0">
      <w:lvlJc w:val="left"/>
      <w:lvlText w:val="(%1)"/>
      <w:numFmt w:val="lowerLetter"/>
      <w:start w:val="26"/>
    </w:lvl>
  </w:abstractNum>
  <w:abstractNum w:abstractNumId="146">
    <w:nsid w:val="4252C2DA"/>
    <w:multiLevelType w:val="hybridMultilevel"/>
    <w:lvl w:ilvl="0">
      <w:lvlJc w:val="left"/>
      <w:lvlText w:val="(%1)"/>
      <w:numFmt w:val="lowerLetter"/>
      <w:start w:val="1"/>
    </w:lvl>
  </w:abstractNum>
  <w:abstractNum w:abstractNumId="147">
    <w:nsid w:val="6A92EF4C"/>
    <w:multiLevelType w:val="hybridMultilevel"/>
    <w:lvl w:ilvl="0">
      <w:lvlJc w:val="left"/>
      <w:lvlText w:val="(%1)"/>
      <w:numFmt w:val="lowerLetter"/>
      <w:start w:val="3"/>
    </w:lvl>
  </w:abstractNum>
  <w:abstractNum w:abstractNumId="148">
    <w:nsid w:val="41ED20D7"/>
    <w:multiLevelType w:val="hybridMultilevel"/>
    <w:lvl w:ilvl="0">
      <w:lvlJc w:val="left"/>
      <w:lvlText w:val="(%1)"/>
      <w:numFmt w:val="lowerLetter"/>
      <w:start w:val="2"/>
    </w:lvl>
  </w:abstractNum>
  <w:abstractNum w:abstractNumId="149">
    <w:nsid w:val="E6B3F6A"/>
    <w:multiLevelType w:val="hybridMultilevel"/>
    <w:lvl w:ilvl="0">
      <w:lvlJc w:val="left"/>
      <w:lvlText w:val="(%1)"/>
      <w:numFmt w:val="lowerLetter"/>
      <w:start w:val="1"/>
    </w:lvl>
  </w:abstractNum>
  <w:abstractNum w:abstractNumId="150">
    <w:nsid w:val="3EB21819"/>
    <w:multiLevelType w:val="hybridMultilevel"/>
    <w:lvl w:ilvl="0">
      <w:lvlJc w:val="left"/>
      <w:lvlText w:val="(%1)"/>
      <w:numFmt w:val="lowerRoman"/>
      <w:start w:val="2"/>
    </w:lvl>
  </w:abstractNum>
  <w:abstractNum w:abstractNumId="151">
    <w:nsid w:val="41531DED"/>
    <w:multiLevelType w:val="hybridMultilevel"/>
    <w:lvl w:ilvl="0">
      <w:lvlJc w:val="left"/>
      <w:lvlText w:val="(%1)"/>
      <w:numFmt w:val="lowerLetter"/>
      <w:start w:val="2"/>
    </w:lvl>
  </w:abstractNum>
  <w:abstractNum w:abstractNumId="152">
    <w:nsid w:val="6353CD2"/>
    <w:multiLevelType w:val="hybridMultilevel"/>
    <w:lvl w:ilvl="0">
      <w:lvlJc w:val="left"/>
      <w:lvlText w:val="(%1)"/>
      <w:numFmt w:val="lowerLetter"/>
      <w:start w:val="1"/>
    </w:lvl>
  </w:abstractNum>
  <w:abstractNum w:abstractNumId="153">
    <w:nsid w:val="683CAAD3"/>
    <w:multiLevelType w:val="hybridMultilevel"/>
    <w:lvl w:ilvl="0">
      <w:lvlJc w:val="left"/>
      <w:lvlText w:val="(%1)"/>
      <w:numFmt w:val="lowerLetter"/>
      <w:start w:val="1"/>
    </w:lvl>
  </w:abstractNum>
  <w:abstractNum w:abstractNumId="154">
    <w:nsid w:val="313C7C99"/>
    <w:multiLevelType w:val="hybridMultilevel"/>
    <w:lvl w:ilvl="0">
      <w:lvlJc w:val="left"/>
      <w:lvlText w:val="(%1)"/>
      <w:numFmt w:val="lowerLetter"/>
      <w:start w:val="1"/>
    </w:lvl>
  </w:abstractNum>
  <w:abstractNum w:abstractNumId="155">
    <w:nsid w:val="519EB94C"/>
    <w:multiLevelType w:val="hybridMultilevel"/>
    <w:lvl w:ilvl="0">
      <w:lvlJc w:val="left"/>
      <w:lvlText w:val="(%1)"/>
      <w:numFmt w:val="lowerLetter"/>
      <w:start w:val="2"/>
    </w:lvl>
  </w:abstractNum>
  <w:abstractNum w:abstractNumId="156">
    <w:nsid w:val="39DF2579"/>
    <w:multiLevelType w:val="hybridMultilevel"/>
    <w:lvl w:ilvl="0">
      <w:lvlJc w:val="left"/>
      <w:lvlText w:val="(%1)"/>
      <w:numFmt w:val="lowerRoman"/>
      <w:start w:val="1"/>
    </w:lvl>
  </w:abstractNum>
  <w:abstractNum w:abstractNumId="157">
    <w:nsid w:val="126E008B"/>
    <w:multiLevelType w:val="hybridMultilevel"/>
    <w:lvl w:ilvl="0">
      <w:lvlJc w:val="left"/>
      <w:lvlText w:val="(%1)"/>
      <w:numFmt w:val="lowerLetter"/>
      <w:start w:val="2"/>
    </w:lvl>
  </w:abstractNum>
  <w:abstractNum w:abstractNumId="158">
    <w:nsid w:val="34DFBC00"/>
    <w:multiLevelType w:val="hybridMultilevel"/>
    <w:lvl w:ilvl="0">
      <w:lvlJc w:val="left"/>
      <w:lvlText w:val="(%1)"/>
      <w:numFmt w:val="lowerLetter"/>
      <w:start w:val="3"/>
    </w:lvl>
  </w:abstractNum>
  <w:abstractNum w:abstractNumId="159">
    <w:nsid w:val="1F9EC322"/>
    <w:multiLevelType w:val="hybridMultilevel"/>
    <w:lvl w:ilvl="0">
      <w:lvlJc w:val="left"/>
      <w:lvlText w:val="(%1)"/>
      <w:numFmt w:val="lowerLetter"/>
      <w:start w:val="2"/>
    </w:lvl>
  </w:abstractNum>
  <w:abstractNum w:abstractNumId="160">
    <w:nsid w:val="3410ED56"/>
    <w:multiLevelType w:val="hybridMultilevel"/>
    <w:lvl w:ilvl="0">
      <w:lvlJc w:val="left"/>
      <w:lvlText w:val="(%1)"/>
      <w:numFmt w:val="lowerLetter"/>
      <w:start w:val="3"/>
    </w:lvl>
  </w:abstractNum>
  <w:abstractNum w:abstractNumId="161">
    <w:nsid w:val="23C049A"/>
    <w:multiLevelType w:val="hybridMultilevel"/>
    <w:lvl w:ilvl="0">
      <w:lvlJc w:val="left"/>
      <w:lvlText w:val="(%1)"/>
      <w:numFmt w:val="lowerLetter"/>
      <w:start w:val="5"/>
    </w:lvl>
  </w:abstractNum>
  <w:abstractNum w:abstractNumId="162">
    <w:nsid w:val="5BDA35D4"/>
    <w:multiLevelType w:val="hybridMultilevel"/>
    <w:lvl w:ilvl="0">
      <w:lvlJc w:val="left"/>
      <w:lvlText w:val="(%1)"/>
      <w:numFmt w:val="lowerLetter"/>
      <w:start w:val="7"/>
    </w:lvl>
  </w:abstractNum>
  <w:abstractNum w:abstractNumId="163">
    <w:nsid w:val="496FB218"/>
    <w:multiLevelType w:val="hybridMultilevel"/>
    <w:lvl w:ilvl="0">
      <w:lvlJc w:val="left"/>
      <w:lvlText w:val="%1"/>
      <w:numFmt w:val="lowerLetter"/>
      <w:start w:val="1"/>
    </w:lvl>
    <w:lvl w:ilvl="1">
      <w:lvlJc w:val="left"/>
      <w:lvlText w:val="(%2)"/>
      <w:numFmt w:val="lowerLetter"/>
      <w:start w:val="10"/>
    </w:lvl>
  </w:abstractNum>
  <w:abstractNum w:abstractNumId="164">
    <w:nsid w:val="680EA5D1"/>
    <w:multiLevelType w:val="hybridMultilevel"/>
    <w:lvl w:ilvl="0">
      <w:lvlJc w:val="left"/>
      <w:lvlText w:val="(%1)"/>
      <w:numFmt w:val="lowerLetter"/>
      <w:start w:val="22"/>
    </w:lvl>
    <w:lvl w:ilvl="1">
      <w:lvlJc w:val="left"/>
      <w:lvlText w:val="%2"/>
      <w:numFmt w:val="lowerLetter"/>
      <w:start w:val="1"/>
    </w:lvl>
  </w:abstractNum>
  <w:abstractNum w:abstractNumId="165">
    <w:nsid w:val="4A9554FE"/>
    <w:multiLevelType w:val="hybridMultilevel"/>
    <w:lvl w:ilvl="0">
      <w:lvlJc w:val="left"/>
      <w:lvlText w:val="(%1)"/>
      <w:numFmt w:val="lowerLetter"/>
      <w:start w:val="7"/>
    </w:lvl>
    <w:lvl w:ilvl="1">
      <w:lvlJc w:val="left"/>
      <w:lvlText w:val="(%2)"/>
      <w:numFmt w:val="lowerLetter"/>
      <w:start w:val="11"/>
    </w:lvl>
  </w:abstractNum>
  <w:abstractNum w:abstractNumId="166">
    <w:nsid w:val="392EDBE4"/>
    <w:multiLevelType w:val="hybridMultilevel"/>
    <w:lvl w:ilvl="0">
      <w:lvlJc w:val="left"/>
      <w:lvlText w:val="(%1)"/>
      <w:numFmt w:val="lowerLetter"/>
      <w:start w:val="13"/>
    </w:lvl>
  </w:abstractNum>
  <w:abstractNum w:abstractNumId="167">
    <w:nsid w:val="3D1A2DD9"/>
    <w:multiLevelType w:val="hybridMultilevel"/>
    <w:lvl w:ilvl="0">
      <w:lvlJc w:val="left"/>
      <w:lvlText w:val="%1"/>
      <w:numFmt w:val="upperLetter"/>
      <w:start w:val="1"/>
    </w:lvl>
    <w:lvl w:ilvl="1">
      <w:lvlJc w:val="left"/>
      <w:lvlText w:val="(%2)"/>
      <w:numFmt w:val="lowerLetter"/>
      <w:start w:val="2"/>
    </w:lvl>
  </w:abstractNum>
  <w:abstractNum w:abstractNumId="168">
    <w:nsid w:val="7F618FCD"/>
    <w:multiLevelType w:val="hybridMultilevel"/>
    <w:lvl w:ilvl="0">
      <w:lvlJc w:val="left"/>
      <w:lvlText w:val="(%1)"/>
      <w:numFmt w:val="upperLetter"/>
      <w:start w:val="2"/>
    </w:lvl>
    <w:lvl w:ilvl="1">
      <w:lvlJc w:val="left"/>
      <w:lvlText w:val="%2"/>
      <w:numFmt w:val="lowerLetter"/>
      <w:start w:val="1"/>
    </w:lvl>
  </w:abstractNum>
  <w:abstractNum w:abstractNumId="169">
    <w:nsid w:val="7843E45"/>
    <w:multiLevelType w:val="hybridMultilevel"/>
    <w:lvl w:ilvl="0">
      <w:lvlJc w:val="left"/>
      <w:lvlText w:val="(%1)"/>
      <w:numFmt w:val="lowerLetter"/>
      <w:start w:val="3"/>
    </w:lvl>
  </w:abstractNum>
  <w:abstractNum w:abstractNumId="170">
    <w:nsid w:val="9815DA3"/>
    <w:multiLevelType w:val="hybridMultilevel"/>
    <w:lvl w:ilvl="0">
      <w:lvlJc w:val="left"/>
      <w:lvlText w:val="(%1)"/>
      <w:numFmt w:val="lowerLetter"/>
      <w:start w:val="2"/>
    </w:lvl>
    <w:lvl w:ilvl="1">
      <w:lvlJc w:val="left"/>
      <w:lvlText w:val="(%2)"/>
      <w:numFmt w:val="lowerRoman"/>
      <w:start w:val="1"/>
    </w:lvl>
  </w:abstractNum>
  <w:abstractNum w:abstractNumId="171">
    <w:nsid w:val="5204A191"/>
    <w:multiLevelType w:val="hybridMultilevel"/>
    <w:lvl w:ilvl="0">
      <w:lvlJc w:val="left"/>
      <w:lvlText w:val="(%1)"/>
      <w:numFmt w:val="lowerLetter"/>
      <w:start w:val="4"/>
    </w:lvl>
  </w:abstractNum>
  <w:abstractNum w:abstractNumId="172">
    <w:nsid w:val="4C73A9C6"/>
    <w:multiLevelType w:val="hybridMultilevel"/>
    <w:lvl w:ilvl="0">
      <w:lvlJc w:val="left"/>
      <w:lvlText w:val="(%1)"/>
      <w:numFmt w:val="lowerLetter"/>
      <w:start w:val="2"/>
    </w:lvl>
  </w:abstractNum>
  <w:abstractNum w:abstractNumId="173">
    <w:nsid w:val="1C7E3C01"/>
    <w:multiLevelType w:val="hybridMultilevel"/>
    <w:lvl w:ilvl="0">
      <w:lvlJc w:val="left"/>
      <w:lvlText w:val="(%1)"/>
      <w:numFmt w:val="lowerLetter"/>
      <w:start w:val="61"/>
    </w:lvl>
    <w:lvl w:ilvl="1">
      <w:lvlJc w:val="left"/>
      <w:lvlText w:val="(%2)"/>
      <w:numFmt w:val="lowerLetter"/>
      <w:start w:val="2"/>
    </w:lvl>
  </w:abstractNum>
  <w:abstractNum w:abstractNumId="174">
    <w:nsid w:val="1C2201FF"/>
    <w:multiLevelType w:val="hybridMultilevel"/>
    <w:lvl w:ilvl="0">
      <w:lvlJc w:val="left"/>
      <w:lvlText w:val="(%1)"/>
      <w:numFmt w:val="lowerRoman"/>
      <w:start w:val="1"/>
    </w:lvl>
  </w:abstractNum>
  <w:abstractNum w:abstractNumId="175">
    <w:nsid w:val="50ABCEC9"/>
    <w:multiLevelType w:val="hybridMultilevel"/>
    <w:lvl w:ilvl="0">
      <w:lvlJc w:val="left"/>
      <w:lvlText w:val="%1"/>
      <w:numFmt w:val="lowerLetter"/>
      <w:start w:val="1"/>
    </w:lvl>
    <w:lvl w:ilvl="1">
      <w:lvlJc w:val="left"/>
      <w:lvlText w:val="(%2)"/>
      <w:numFmt w:val="lowerRoman"/>
      <w:start w:val="2"/>
    </w:lvl>
  </w:abstractNum>
  <w:abstractNum w:abstractNumId="176">
    <w:nsid w:val="7635AA2A"/>
    <w:multiLevelType w:val="hybridMultilevel"/>
    <w:lvl w:ilvl="0">
      <w:lvlJc w:val="left"/>
      <w:lvlText w:val="(%1)"/>
      <w:numFmt w:val="lowerLetter"/>
      <w:start w:val="2"/>
    </w:lvl>
    <w:lvl w:ilvl="1">
      <w:lvlJc w:val="left"/>
      <w:lvlText w:val="(%2)"/>
      <w:numFmt w:val="lowerRoman"/>
      <w:start w:val="1"/>
    </w:lvl>
  </w:abstractNum>
  <w:abstractNum w:abstractNumId="177">
    <w:nsid w:val="5E74C4D9"/>
    <w:multiLevelType w:val="hybridMultilevel"/>
    <w:lvl w:ilvl="0">
      <w:lvlJc w:val="left"/>
      <w:lvlText w:val="%1"/>
      <w:numFmt w:val="upperLetter"/>
      <w:start w:val="1"/>
    </w:lvl>
    <w:lvl w:ilvl="1">
      <w:lvlJc w:val="left"/>
      <w:lvlText w:val="(%2)"/>
      <w:numFmt w:val="lowerLetter"/>
      <w:start w:val="2"/>
    </w:lvl>
  </w:abstractNum>
  <w:abstractNum w:abstractNumId="178">
    <w:nsid w:val="3B3EBE15"/>
    <w:multiLevelType w:val="hybridMultilevel"/>
    <w:lvl w:ilvl="0">
      <w:lvlJc w:val="left"/>
      <w:lvlText w:val="(%1)"/>
      <w:numFmt w:val="upperLetter"/>
      <w:start w:val="1"/>
    </w:lvl>
    <w:lvl w:ilvl="1">
      <w:lvlJc w:val="left"/>
      <w:lvlText w:val="%2"/>
      <w:numFmt w:val="lowerLetter"/>
      <w:start w:val="1"/>
    </w:lvl>
  </w:abstractNum>
  <w:abstractNum w:abstractNumId="179">
    <w:nsid w:val="3822CB01"/>
    <w:multiLevelType w:val="hybridMultilevel"/>
    <w:lvl w:ilvl="0">
      <w:lvlJc w:val="left"/>
      <w:lvlText w:val="%1"/>
      <w:numFmt w:val="upperLetter"/>
      <w:start w:val="1"/>
    </w:lvl>
    <w:lvl w:ilvl="1">
      <w:lvlJc w:val="left"/>
      <w:lvlText w:val="(%2)"/>
      <w:numFmt w:val="lowerLetter"/>
      <w:start w:val="4"/>
    </w:lvl>
  </w:abstractNum>
  <w:abstractNum w:abstractNumId="180">
    <w:nsid w:val="6CE00443"/>
    <w:multiLevelType w:val="hybridMultilevel"/>
    <w:lvl w:ilvl="0">
      <w:lvlJc w:val="left"/>
      <w:lvlText w:val="(%1)"/>
      <w:numFmt w:val="upperLetter"/>
      <w:start w:val="1"/>
    </w:lvl>
    <w:lvl w:ilvl="1">
      <w:lvlJc w:val="left"/>
      <w:lvlText w:val="%2"/>
      <w:numFmt w:val="lowerLetter"/>
      <w:start w:val="1"/>
    </w:lvl>
  </w:abstractNum>
  <w:abstractNum w:abstractNumId="181">
    <w:nsid w:val="79F0D62F"/>
    <w:multiLevelType w:val="hybridMultilevel"/>
    <w:lvl w:ilvl="0">
      <w:lvlJc w:val="left"/>
      <w:lvlText w:val="%1"/>
      <w:numFmt w:val="lowerLetter"/>
      <w:start w:val="1"/>
    </w:lvl>
    <w:lvl w:ilvl="1">
      <w:lvlJc w:val="left"/>
      <w:lvlText w:val="(%2)"/>
      <w:numFmt w:val="lowerLetter"/>
      <w:start w:val="2"/>
    </w:lvl>
  </w:abstractNum>
  <w:abstractNum w:abstractNumId="182">
    <w:nsid w:val="7975E8EE"/>
    <w:multiLevelType w:val="hybridMultilevel"/>
    <w:lvl w:ilvl="0">
      <w:lvlJc w:val="left"/>
      <w:lvlText w:val="(%1)"/>
      <w:numFmt w:val="lowerLetter"/>
      <w:start w:val="25"/>
    </w:lvl>
    <w:lvl w:ilvl="1">
      <w:lvlJc w:val="left"/>
      <w:lvlText w:val="%2"/>
      <w:numFmt w:val="lowerLetter"/>
      <w:start w:val="1"/>
    </w:lvl>
  </w:abstractNum>
  <w:abstractNum w:abstractNumId="183">
    <w:nsid w:val="73154115"/>
    <w:multiLevelType w:val="hybridMultilevel"/>
    <w:lvl w:ilvl="0">
      <w:lvlJc w:val="left"/>
      <w:lvlText w:val="(%1)"/>
      <w:numFmt w:val="lowerLetter"/>
      <w:start w:val="24"/>
    </w:lvl>
    <w:lvl w:ilvl="1">
      <w:lvlJc w:val="left"/>
      <w:lvlText w:val="%2"/>
      <w:numFmt w:val="lowerLetter"/>
      <w:start w:val="1"/>
    </w:lvl>
  </w:abstractNum>
  <w:abstractNum w:abstractNumId="184">
    <w:nsid w:val="622D8102"/>
    <w:multiLevelType w:val="hybridMultilevel"/>
    <w:lvl w:ilvl="0">
      <w:lvlJc w:val="left"/>
      <w:lvlText w:val="(%1)"/>
      <w:numFmt w:val="lowerLetter"/>
      <w:start w:val="5"/>
    </w:lvl>
  </w:abstractNum>
  <w:abstractNum w:abstractNumId="185">
    <w:nsid w:val="2AB26587"/>
    <w:multiLevelType w:val="hybridMultilevel"/>
    <w:lvl w:ilvl="0">
      <w:lvlJc w:val="left"/>
      <w:lvlText w:val="(%1)"/>
      <w:numFmt w:val="lowerLetter"/>
      <w:start w:val="2"/>
    </w:lvl>
  </w:abstractNum>
  <w:abstractNum w:abstractNumId="186">
    <w:nsid w:val="44B3FA61"/>
    <w:multiLevelType w:val="hybridMultilevel"/>
    <w:lvl w:ilvl="0">
      <w:lvlJc w:val="left"/>
      <w:lvlText w:val="(%1)"/>
      <w:numFmt w:val="lowerLetter"/>
      <w:start w:val="1"/>
    </w:lvl>
  </w:abstractNum>
  <w:abstractNum w:abstractNumId="187">
    <w:nsid w:val="1C0CA67C"/>
    <w:multiLevelType w:val="hybridMultilevel"/>
    <w:lvl w:ilvl="0">
      <w:lvlJc w:val="left"/>
      <w:lvlText w:val="(%1)"/>
      <w:numFmt w:val="lowerRoman"/>
      <w:start w:val="1"/>
    </w:lvl>
  </w:abstractNum>
  <w:abstractNum w:abstractNumId="188">
    <w:nsid w:val="3D206613"/>
    <w:multiLevelType w:val="hybridMultilevel"/>
    <w:lvl w:ilvl="0">
      <w:lvlJc w:val="left"/>
      <w:lvlText w:val="(%1)"/>
      <w:numFmt w:val="lowerLetter"/>
      <w:start w:val="2"/>
    </w:lvl>
  </w:abstractNum>
  <w:abstractNum w:abstractNumId="189">
    <w:nsid w:val="7993B662"/>
    <w:multiLevelType w:val="hybridMultilevel"/>
    <w:lvl w:ilvl="0">
      <w:lvlJc w:val="left"/>
      <w:lvlText w:val="(%1)"/>
      <w:numFmt w:val="lowerLetter"/>
      <w:start w:val="2"/>
    </w:lvl>
  </w:abstractNum>
  <w:abstractNum w:abstractNumId="190">
    <w:nsid w:val="3BAB699E"/>
    <w:multiLevelType w:val="hybridMultilevel"/>
    <w:lvl w:ilvl="0">
      <w:lvlJc w:val="left"/>
      <w:lvlText w:val="%1"/>
      <w:numFmt w:val="upperLetter"/>
      <w:start w:val="1"/>
    </w:lvl>
    <w:lvl w:ilvl="1">
      <w:lvlJc w:val="left"/>
      <w:lvlText w:val="(%2)"/>
      <w:numFmt w:val="lowerLetter"/>
      <w:start w:val="4"/>
    </w:lvl>
    <w:lvl w:ilvl="2">
      <w:lvlJc w:val="left"/>
      <w:lvlText w:val="%3"/>
      <w:numFmt w:val="lowerRoman"/>
      <w:start w:val="1"/>
    </w:lvl>
  </w:abstractNum>
  <w:abstractNum w:abstractNumId="191">
    <w:nsid w:val="71315369"/>
    <w:multiLevelType w:val="hybridMultilevel"/>
    <w:lvl w:ilvl="0">
      <w:lvlJc w:val="left"/>
      <w:lvlText w:val="(%1)"/>
      <w:numFmt w:val="upperLetter"/>
      <w:start w:val="1"/>
    </w:lvl>
    <w:lvl w:ilvl="1">
      <w:lvlJc w:val="left"/>
      <w:lvlText w:val="(%2)"/>
      <w:numFmt w:val="lowerLetter"/>
      <w:start w:val="5"/>
    </w:lvl>
    <w:lvl w:ilvl="2">
      <w:lvlJc w:val="left"/>
      <w:lvlText w:val="(%3)"/>
      <w:numFmt w:val="lowerRoman"/>
      <w:start w:val="1"/>
    </w:lvl>
  </w:abstractNum>
  <w:abstractNum w:abstractNumId="192">
    <w:nsid w:val="7BCFBAFC"/>
    <w:multiLevelType w:val="hybridMultilevel"/>
    <w:lvl w:ilvl="0">
      <w:lvlJc w:val="left"/>
      <w:lvlText w:val="(%1)"/>
      <w:numFmt w:val="lowerLetter"/>
      <w:start w:val="6"/>
    </w:lvl>
  </w:abstractNum>
  <w:abstractNum w:abstractNumId="193">
    <w:nsid w:val="17859F72"/>
    <w:multiLevelType w:val="hybridMultilevel"/>
    <w:lvl w:ilvl="0">
      <w:lvlJc w:val="left"/>
      <w:lvlText w:val="%1"/>
      <w:numFmt w:val="lowerLetter"/>
      <w:start w:val="1"/>
    </w:lvl>
    <w:lvl w:ilvl="1">
      <w:lvlJc w:val="left"/>
      <w:lvlText w:val="(%2)"/>
      <w:numFmt w:val="lowerLetter"/>
      <w:start w:val="7"/>
    </w:lvl>
  </w:abstractNum>
  <w:abstractNum w:abstractNumId="194">
    <w:nsid w:val="3AA10581"/>
    <w:multiLevelType w:val="hybridMultilevel"/>
    <w:lvl w:ilvl="0">
      <w:lvlJc w:val="left"/>
      <w:lvlText w:val="(%1)"/>
      <w:numFmt w:val="lowerLetter"/>
      <w:start w:val="9"/>
    </w:lvl>
    <w:lvl w:ilvl="1">
      <w:lvlJc w:val="left"/>
      <w:lvlText w:val="(%2)"/>
      <w:numFmt w:val="lowerLetter"/>
      <w:start w:val="9"/>
    </w:lvl>
  </w:abstractNum>
  <w:abstractNum w:abstractNumId="195">
    <w:nsid w:val="63DE60CD"/>
    <w:multiLevelType w:val="hybridMultilevel"/>
    <w:lvl w:ilvl="0">
      <w:lvlJc w:val="left"/>
      <w:lvlText w:val="(%1)"/>
      <w:numFmt w:val="lowerLetter"/>
      <w:start w:val="2"/>
    </w:lvl>
  </w:abstractNum>
  <w:abstractNum w:abstractNumId="196">
    <w:nsid w:val="621AF471"/>
    <w:multiLevelType w:val="hybridMultilevel"/>
    <w:lvl w:ilvl="0">
      <w:lvlJc w:val="left"/>
      <w:lvlText w:val="(%1)"/>
      <w:numFmt w:val="lowerLetter"/>
      <w:start w:val="4"/>
    </w:lvl>
  </w:abstractNum>
  <w:abstractNum w:abstractNumId="197">
    <w:nsid w:val="73CFE165"/>
    <w:multiLevelType w:val="hybridMultilevel"/>
    <w:lvl w:ilvl="0">
      <w:lvlJc w:val="left"/>
      <w:lvlText w:val="(%1)"/>
      <w:numFmt w:val="lowerLetter"/>
      <w:start w:val="2"/>
    </w:lvl>
  </w:abstractNum>
  <w:abstractNum w:abstractNumId="198">
    <w:nsid w:val="20F88EA6"/>
    <w:multiLevelType w:val="hybridMultilevel"/>
    <w:lvl w:ilvl="0">
      <w:lvlJc w:val="left"/>
      <w:lvlText w:val="%1"/>
      <w:numFmt w:val="lowerLetter"/>
      <w:start w:val="1"/>
    </w:lvl>
    <w:lvl w:ilvl="1">
      <w:lvlJc w:val="left"/>
      <w:lvlText w:val="(%2)"/>
      <w:numFmt w:val="lowerLetter"/>
      <w:start w:val="3"/>
    </w:lvl>
  </w:abstractNum>
  <w:abstractNum w:abstractNumId="199">
    <w:nsid w:val="617C843E"/>
    <w:multiLevelType w:val="hybridMultilevel"/>
    <w:lvl w:ilvl="0">
      <w:lvlJc w:val="left"/>
      <w:lvlText w:val="(%1)"/>
      <w:numFmt w:val="lowerLetter"/>
      <w:start w:val="1"/>
    </w:lvl>
    <w:lvl w:ilvl="1">
      <w:lvlJc w:val="left"/>
      <w:lvlText w:val="%2"/>
      <w:numFmt w:val="lowerLetter"/>
      <w:start w:val="1"/>
    </w:lvl>
  </w:abstractNum>
  <w:abstractNum w:abstractNumId="200">
    <w:nsid w:val="7B541FAB"/>
    <w:multiLevelType w:val="hybridMultilevel"/>
    <w:lvl w:ilvl="0">
      <w:lvlJc w:val="left"/>
      <w:lvlText w:val="(%1)"/>
      <w:numFmt w:val="lowerLetter"/>
      <w:start w:val="25"/>
    </w:lvl>
    <w:lvl w:ilvl="1">
      <w:lvlJc w:val="left"/>
      <w:lvlText w:val="(%2)"/>
      <w:numFmt w:val="lowerLetter"/>
      <w:start w:val="2"/>
    </w:lvl>
    <w:lvl w:ilvl="2">
      <w:lvlJc w:val="left"/>
      <w:lvlText w:val="(%3)"/>
      <w:numFmt w:val="lowerRoman"/>
      <w:start w:val="1"/>
    </w:lvl>
  </w:abstractNum>
  <w:abstractNum w:abstractNumId="201">
    <w:nsid w:val="2A79EC49"/>
    <w:multiLevelType w:val="hybridMultilevel"/>
    <w:lvl w:ilvl="0">
      <w:lvlJc w:val="left"/>
      <w:lvlText w:val="(%1)"/>
      <w:numFmt w:val="lowerRoman"/>
      <w:start w:val="4"/>
    </w:lvl>
  </w:abstractNum>
  <w:abstractNum w:abstractNumId="202">
    <w:nsid w:val="338125CF"/>
    <w:multiLevelType w:val="hybridMultilevel"/>
    <w:lvl w:ilvl="0">
      <w:lvlJc w:val="left"/>
      <w:lvlText w:val="%1"/>
      <w:numFmt w:val="lowerLetter"/>
      <w:start w:val="1"/>
    </w:lvl>
    <w:lvl w:ilvl="1">
      <w:lvlJc w:val="left"/>
      <w:lvlText w:val="(%2)"/>
      <w:numFmt w:val="lowerLetter"/>
      <w:start w:val="3"/>
    </w:lvl>
  </w:abstractNum>
  <w:abstractNum w:abstractNumId="203">
    <w:nsid w:val="47C7C971"/>
    <w:multiLevelType w:val="hybridMultilevel"/>
    <w:lvl w:ilvl="0">
      <w:lvlJc w:val="left"/>
      <w:lvlText w:val="(%1)"/>
      <w:numFmt w:val="lowerLetter"/>
      <w:start w:val="8"/>
    </w:lvl>
    <w:lvl w:ilvl="1">
      <w:lvlJc w:val="left"/>
      <w:lvlText w:val="(%2)"/>
      <w:numFmt w:val="lowerLetter"/>
      <w:start w:val="4"/>
    </w:lvl>
  </w:abstractNum>
  <w:abstractNum w:abstractNumId="204">
    <w:nsid w:val="46F8284B"/>
    <w:multiLevelType w:val="hybridMultilevel"/>
    <w:lvl w:ilvl="0">
      <w:lvlJc w:val="left"/>
      <w:lvlText w:val="(%1)"/>
      <w:numFmt w:val="lowerLetter"/>
      <w:start w:val="6"/>
    </w:lvl>
  </w:abstractNum>
  <w:abstractNum w:abstractNumId="205">
    <w:nsid w:val="4FA327CE"/>
    <w:multiLevelType w:val="hybridMultilevel"/>
    <w:lvl w:ilvl="0">
      <w:lvlJc w:val="left"/>
      <w:lvlText w:val="%1"/>
      <w:numFmt w:val="lowerLetter"/>
      <w:start w:val="1"/>
    </w:lvl>
    <w:lvl w:ilvl="1">
      <w:lvlJc w:val="left"/>
      <w:lvlText w:val="(%2)"/>
      <w:numFmt w:val="lowerLetter"/>
      <w:start w:val="7"/>
    </w:lvl>
  </w:abstractNum>
  <w:abstractNum w:abstractNumId="206">
    <w:nsid w:val="1873983A"/>
    <w:multiLevelType w:val="hybridMultilevel"/>
    <w:lvl w:ilvl="0">
      <w:lvlJc w:val="left"/>
      <w:lvlText w:val="(%1)"/>
      <w:numFmt w:val="lowerLetter"/>
      <w:start w:val="22"/>
    </w:lvl>
    <w:lvl w:ilvl="1">
      <w:lvlJc w:val="left"/>
      <w:lvlText w:val="(%2)"/>
      <w:numFmt w:val="lowerLetter"/>
      <w:start w:val="9"/>
    </w:lvl>
  </w:abstractNum>
  <w:abstractNum w:abstractNumId="207">
    <w:nsid w:val="3D2DD275"/>
    <w:multiLevelType w:val="hybridMultilevel"/>
    <w:lvl w:ilvl="0">
      <w:lvlJc w:val="left"/>
      <w:lvlText w:val="%1"/>
      <w:numFmt w:val="decimal"/>
      <w:start w:val="1"/>
    </w:lvl>
    <w:lvl w:ilvl="1">
      <w:lvlJc w:val="left"/>
      <w:lvlText w:val="(%2)"/>
      <w:numFmt w:val="lowerRoman"/>
      <w:start w:val="1"/>
    </w:lvl>
  </w:abstractNum>
  <w:abstractNum w:abstractNumId="208">
    <w:nsid w:val="2E17ECA7"/>
    <w:multiLevelType w:val="hybridMultilevel"/>
    <w:lvl w:ilvl="0">
      <w:lvlJc w:val="left"/>
      <w:lvlText w:val="(%1)"/>
      <w:numFmt w:val="decimal"/>
      <w:start w:val="1"/>
    </w:lvl>
    <w:lvl w:ilvl="1">
      <w:lvlJc w:val="left"/>
      <w:lvlText w:val="%2"/>
      <w:numFmt w:val="lowerRoman"/>
      <w:start w:val="1"/>
    </w:lvl>
  </w:abstractNum>
  <w:abstractNum w:abstractNumId="209">
    <w:nsid w:val="53B2564F"/>
    <w:multiLevelType w:val="hybridMultilevel"/>
    <w:lvl w:ilvl="0">
      <w:lvlJc w:val="left"/>
      <w:lvlText w:val="%1"/>
      <w:numFmt w:val="lowerLetter"/>
      <w:start w:val="1"/>
    </w:lvl>
    <w:lvl w:ilvl="1">
      <w:lvlJc w:val="left"/>
      <w:lvlText w:val="(%2)"/>
      <w:numFmt w:val="lowerRoman"/>
      <w:start w:val="6"/>
    </w:lvl>
  </w:abstractNum>
  <w:abstractNum w:abstractNumId="210">
    <w:nsid w:val="75509D76"/>
    <w:multiLevelType w:val="hybridMultilevel"/>
    <w:lvl w:ilvl="0">
      <w:lvlJc w:val="left"/>
      <w:lvlText w:val="(%1)"/>
      <w:numFmt w:val="lowerLetter"/>
      <w:start w:val="11"/>
    </w:lvl>
    <w:lvl w:ilvl="1">
      <w:lvlJc w:val="left"/>
      <w:lvlText w:val="%2"/>
      <w:numFmt w:val="lowerRoman"/>
      <w:start w:val="1"/>
    </w:lvl>
  </w:abstractNum>
  <w:abstractNum w:abstractNumId="211">
    <w:nsid w:val="1AF7F0EA"/>
    <w:multiLevelType w:val="hybridMultilevel"/>
    <w:lvl w:ilvl="0">
      <w:lvlJc w:val="left"/>
      <w:lvlText w:val="(%1)"/>
      <w:numFmt w:val="lowerLetter"/>
      <w:start w:val="13"/>
    </w:lvl>
  </w:abstractNum>
  <w:abstractNum w:abstractNumId="212">
    <w:nsid w:val="4DA32C7E"/>
    <w:multiLevelType w:val="hybridMultilevel"/>
    <w:lvl w:ilvl="0">
      <w:lvlJc w:val="left"/>
      <w:lvlText w:val="(%1)"/>
      <w:numFmt w:val="lowerLetter"/>
      <w:start w:val="14"/>
    </w:lvl>
  </w:abstractNum>
  <w:abstractNum w:abstractNumId="213">
    <w:nsid w:val="6EC68664"/>
    <w:multiLevelType w:val="hybridMultilevel"/>
    <w:lvl w:ilvl="0">
      <w:lvlJc w:val="left"/>
      <w:lvlText w:val="(%1)"/>
      <w:numFmt w:val="lowerRoman"/>
      <w:start w:val="1"/>
    </w:lvl>
  </w:abstractNum>
  <w:abstractNum w:abstractNumId="214">
    <w:nsid w:val="E0D31FF"/>
    <w:multiLevelType w:val="hybridMultilevel"/>
    <w:lvl w:ilvl="0">
      <w:lvlJc w:val="left"/>
      <w:lvlText w:val="(%1)"/>
      <w:numFmt w:val="upperLetter"/>
      <w:start w:val="2"/>
    </w:lvl>
  </w:abstractNum>
  <w:abstractNum w:abstractNumId="215">
    <w:nsid w:val="2FD0AD81"/>
    <w:multiLevelType w:val="hybridMultilevel"/>
    <w:lvl w:ilvl="0">
      <w:lvlJc w:val="left"/>
      <w:lvlText w:val="(%1)"/>
      <w:numFmt w:val="lowerLetter"/>
      <w:start w:val="26"/>
    </w:lvl>
    <w:lvl w:ilvl="1">
      <w:lvlJc w:val="left"/>
      <w:lvlText w:val="(%2)"/>
      <w:numFmt w:val="lowerLetter"/>
      <w:start w:val="1"/>
    </w:lvl>
    <w:lvl w:ilvl="2">
      <w:lvlJc w:val="left"/>
      <w:lvlText w:val="(%3)"/>
      <w:numFmt w:val="lowerRoman"/>
      <w:start w:val="4"/>
    </w:lvl>
  </w:abstractNum>
  <w:abstractNum w:abstractNumId="216">
    <w:nsid w:val="1978EBEB"/>
    <w:multiLevelType w:val="hybridMultilevel"/>
    <w:lvl w:ilvl="0">
      <w:lvlJc w:val="left"/>
      <w:lvlText w:val="(%1)"/>
      <w:numFmt w:val="lowerLetter"/>
      <w:start w:val="1"/>
    </w:lvl>
    <w:lvl w:ilvl="1">
      <w:lvlJc w:val="left"/>
      <w:lvlText w:val="(%2)"/>
      <w:numFmt w:val="lowerLetter"/>
      <w:start w:val="35"/>
    </w:lvl>
  </w:abstractNum>
  <w:abstractNum w:abstractNumId="217">
    <w:nsid w:val="52C12C61"/>
    <w:multiLevelType w:val="hybridMultilevel"/>
    <w:lvl w:ilvl="0">
      <w:lvlJc w:val="left"/>
      <w:lvlText w:val="(%1)"/>
      <w:numFmt w:val="lowerLetter"/>
      <w:start w:val="35"/>
    </w:lvl>
    <w:lvl w:ilvl="1">
      <w:lvlJc w:val="left"/>
      <w:lvlText w:val="(%2)"/>
      <w:numFmt w:val="lowerLetter"/>
      <w:start w:val="5"/>
    </w:lvl>
  </w:abstractNum>
  <w:abstractNum w:abstractNumId="218">
    <w:nsid w:val="4BDD53FD"/>
    <w:multiLevelType w:val="hybridMultilevel"/>
    <w:lvl w:ilvl="0">
      <w:lvlJc w:val="left"/>
      <w:lvlText w:val="(%1)"/>
      <w:numFmt w:val="lowerLetter"/>
      <w:start w:val="2"/>
    </w:lvl>
  </w:abstractNum>
  <w:abstractNum w:abstractNumId="219">
    <w:nsid w:val="569951FE"/>
    <w:multiLevelType w:val="hybridMultilevel"/>
    <w:lvl w:ilvl="0">
      <w:lvlJc w:val="left"/>
      <w:lvlText w:val="(%1)"/>
      <w:numFmt w:val="lowerLetter"/>
      <w:start w:val="2"/>
    </w:lvl>
  </w:abstractNum>
  <w:abstractNum w:abstractNumId="220">
    <w:nsid w:val="4C54E2C3"/>
    <w:multiLevelType w:val="hybridMultilevel"/>
    <w:lvl w:ilvl="0">
      <w:lvlJc w:val="left"/>
      <w:lvlText w:val="(%1)"/>
      <w:numFmt w:val="lowerLetter"/>
      <w:start w:val="2"/>
    </w:lvl>
  </w:abstractNum>
  <w:abstractNum w:abstractNumId="221">
    <w:nsid w:val="788BD9B"/>
    <w:multiLevelType w:val="hybridMultilevel"/>
    <w:lvl w:ilvl="0">
      <w:lvlJc w:val="left"/>
      <w:lvlText w:val="(%1)"/>
      <w:numFmt w:val="lowerLetter"/>
      <w:start w:val="1"/>
    </w:lvl>
  </w:abstractNum>
  <w:abstractNum w:abstractNumId="222">
    <w:nsid w:val="47CAA567"/>
    <w:multiLevelType w:val="hybridMultilevel"/>
    <w:lvl w:ilvl="0">
      <w:lvlJc w:val="left"/>
      <w:lvlText w:val="(%1)"/>
      <w:numFmt w:val="lowerLetter"/>
      <w:start w:val="3"/>
    </w:lvl>
  </w:abstractNum>
  <w:abstractNum w:abstractNumId="223">
    <w:nsid w:val="48249DBF"/>
    <w:multiLevelType w:val="hybridMultilevel"/>
    <w:lvl w:ilvl="0">
      <w:lvlJc w:val="left"/>
      <w:lvlText w:val="(%1)"/>
      <w:numFmt w:val="lowerLetter"/>
      <w:start w:val="2"/>
    </w:lvl>
  </w:abstractNum>
  <w:abstractNum w:abstractNumId="224">
    <w:nsid w:val="1F0E5D0D"/>
    <w:multiLevelType w:val="hybridMultilevel"/>
    <w:lvl w:ilvl="0">
      <w:lvlJc w:val="left"/>
      <w:lvlText w:val="(%1)"/>
      <w:numFmt w:val="lowerLetter"/>
      <w:start w:val="2"/>
    </w:lvl>
  </w:abstractNum>
  <w:abstractNum w:abstractNumId="225">
    <w:nsid w:val="26BAAE9"/>
    <w:multiLevelType w:val="hybridMultilevel"/>
    <w:lvl w:ilvl="0">
      <w:lvlJc w:val="left"/>
      <w:lvlText w:val="(%1)"/>
      <w:numFmt w:val="lowerLetter"/>
      <w:start w:val="3"/>
    </w:lvl>
  </w:abstractNum>
  <w:abstractNum w:abstractNumId="226">
    <w:nsid w:val="2C02FE8C"/>
    <w:multiLevelType w:val="hybridMultilevel"/>
    <w:lvl w:ilvl="0">
      <w:lvlJc w:val="left"/>
      <w:lvlText w:val="(%1)"/>
      <w:numFmt w:val="lowerLetter"/>
      <w:start w:val="61"/>
    </w:lvl>
    <w:lvl w:ilvl="1">
      <w:lvlJc w:val="left"/>
      <w:lvlText w:val="(%2)"/>
      <w:numFmt w:val="lowerLetter"/>
      <w:start w:val="2"/>
    </w:lvl>
  </w:abstractNum>
  <w:abstractNum w:abstractNumId="227">
    <w:nsid w:val="129517E"/>
    <w:multiLevelType w:val="hybridMultilevel"/>
    <w:lvl w:ilvl="0">
      <w:lvlJc w:val="left"/>
      <w:lvlText w:val="(%1)"/>
      <w:numFmt w:val="lowerLetter"/>
      <w:start w:val="1"/>
    </w:lvl>
  </w:abstractNum>
  <w:abstractNum w:abstractNumId="228">
    <w:nsid w:val="763B8C4E"/>
    <w:multiLevelType w:val="hybridMultilevel"/>
    <w:lvl w:ilvl="0">
      <w:lvlJc w:val="left"/>
      <w:lvlText w:val="(%1)"/>
      <w:numFmt w:val="lowerLetter"/>
      <w:start w:val="2"/>
    </w:lvl>
  </w:abstractNum>
  <w:abstractNum w:abstractNumId="229">
    <w:nsid w:val="4CFB8D32"/>
    <w:multiLevelType w:val="hybridMultilevel"/>
    <w:lvl w:ilvl="0">
      <w:lvlJc w:val="left"/>
      <w:lvlText w:val="(%1)"/>
      <w:numFmt w:val="lowerLetter"/>
      <w:start w:val="2"/>
    </w:lvl>
  </w:abstractNum>
  <w:abstractNum w:abstractNumId="230">
    <w:nsid w:val="62A5D5BD"/>
    <w:multiLevelType w:val="hybridMultilevel"/>
    <w:lvl w:ilvl="0">
      <w:lvlJc w:val="left"/>
      <w:lvlText w:val="(%1)"/>
      <w:numFmt w:val="lowerLetter"/>
      <w:start w:val="1"/>
    </w:lvl>
  </w:abstractNum>
  <w:abstractNum w:abstractNumId="231">
    <w:nsid w:val="718FABF9"/>
    <w:multiLevelType w:val="hybridMultilevel"/>
    <w:lvl w:ilvl="0">
      <w:lvlJc w:val="left"/>
      <w:lvlText w:val="%1"/>
      <w:numFmt w:val="lowerLetter"/>
      <w:start w:val="1"/>
    </w:lvl>
    <w:lvl w:ilvl="1">
      <w:lvlJc w:val="left"/>
      <w:lvlText w:val="(%2)"/>
      <w:numFmt w:val="lowerLetter"/>
      <w:start w:val="3"/>
    </w:lvl>
  </w:abstractNum>
  <w:abstractNum w:abstractNumId="232">
    <w:nsid w:val="7775797C"/>
    <w:multiLevelType w:val="hybridMultilevel"/>
    <w:lvl w:ilvl="0">
      <w:lvlJc w:val="left"/>
      <w:lvlText w:val="(%1)"/>
      <w:numFmt w:val="lowerLetter"/>
      <w:start w:val="3"/>
    </w:lvl>
    <w:lvl w:ilvl="1">
      <w:lvlJc w:val="left"/>
      <w:lvlText w:val="%2"/>
      <w:numFmt w:val="lowerLetter"/>
      <w:start w:val="1"/>
    </w:lvl>
  </w:abstractNum>
  <w:abstractNum w:abstractNumId="233">
    <w:nsid w:val="1626FB8C"/>
    <w:multiLevelType w:val="hybridMultilevel"/>
    <w:lvl w:ilvl="0">
      <w:lvlJc w:val="left"/>
      <w:lvlText w:val="(%1)"/>
      <w:numFmt w:val="lowerLetter"/>
      <w:start w:val="2"/>
    </w:lvl>
  </w:abstractNum>
  <w:abstractNum w:abstractNumId="234">
    <w:nsid w:val="3957756A"/>
    <w:multiLevelType w:val="hybridMultilevel"/>
    <w:lvl w:ilvl="0">
      <w:lvlJc w:val="left"/>
      <w:lvlText w:val="(%1)"/>
      <w:numFmt w:val="lowerLetter"/>
      <w:start w:val="2"/>
    </w:lvl>
    <w:lvl w:ilvl="1">
      <w:lvlJc w:val="left"/>
      <w:lvlText w:val="(%2)"/>
      <w:numFmt w:val="lowerRoman"/>
      <w:start w:val="1"/>
    </w:lvl>
  </w:abstractNum>
  <w:abstractNum w:abstractNumId="235">
    <w:nsid w:val="3E6DA1C7"/>
    <w:multiLevelType w:val="hybridMultilevel"/>
    <w:lvl w:ilvl="0">
      <w:lvlJc w:val="left"/>
      <w:lvlText w:val="(%1)"/>
      <w:numFmt w:val="lowerRoman"/>
      <w:start w:val="3"/>
    </w:lvl>
  </w:abstractNum>
  <w:abstractNum w:abstractNumId="236">
    <w:nsid w:val="65CA235B"/>
    <w:multiLevelType w:val="hybridMultilevel"/>
    <w:lvl w:ilvl="0">
      <w:lvlJc w:val="left"/>
      <w:lvlText w:val="(%1)"/>
      <w:numFmt w:val="lowerLetter"/>
      <w:start w:val="1"/>
    </w:lvl>
  </w:abstractNum>
  <w:abstractNum w:abstractNumId="237">
    <w:nsid w:val="51CB0DA4"/>
    <w:multiLevelType w:val="hybridMultilevel"/>
    <w:lvl w:ilvl="0">
      <w:lvlJc w:val="left"/>
      <w:lvlText w:val="%1"/>
      <w:numFmt w:val="lowerLetter"/>
      <w:start w:val="1"/>
    </w:lvl>
    <w:lvl w:ilvl="1">
      <w:lvlJc w:val="left"/>
      <w:lvlText w:val="(%2)"/>
      <w:numFmt w:val="lowerLetter"/>
      <w:start w:val="3"/>
    </w:lvl>
  </w:abstractNum>
  <w:abstractNum w:abstractNumId="238">
    <w:nsid w:val="7B9B743C"/>
    <w:multiLevelType w:val="hybridMultilevel"/>
    <w:lvl w:ilvl="0">
      <w:lvlJc w:val="left"/>
      <w:lvlText w:val="(%1)"/>
      <w:numFmt w:val="lowerLetter"/>
      <w:start w:val="61"/>
    </w:lvl>
    <w:lvl w:ilvl="1">
      <w:lvlJc w:val="left"/>
      <w:lvlText w:val="(%2)"/>
      <w:numFmt w:val="lowerLetter"/>
      <w:start w:val="8"/>
    </w:lvl>
  </w:abstractNum>
  <w:abstractNum w:abstractNumId="239">
    <w:nsid w:val="13E21002"/>
    <w:multiLevelType w:val="hybridMultilevel"/>
    <w:lvl w:ilvl="0">
      <w:lvlJc w:val="left"/>
      <w:lvlText w:val="(%1)"/>
      <w:numFmt w:val="lowerRoman"/>
      <w:start w:val="1"/>
    </w:lvl>
  </w:abstractNum>
  <w:abstractNum w:abstractNumId="240">
    <w:nsid w:val="257D63F4"/>
    <w:multiLevelType w:val="hybridMultilevel"/>
    <w:lvl w:ilvl="0">
      <w:lvlJc w:val="left"/>
      <w:lvlText w:val="(%1)"/>
      <w:numFmt w:val="lowerLetter"/>
      <w:start w:val="1"/>
    </w:lvl>
  </w:abstractNum>
  <w:abstractNum w:abstractNumId="241">
    <w:nsid w:val="70EC11B2"/>
    <w:multiLevelType w:val="hybridMultilevel"/>
    <w:lvl w:ilvl="0">
      <w:lvlJc w:val="left"/>
      <w:lvlText w:val="(%1)"/>
      <w:numFmt w:val="lowerLetter"/>
      <w:start w:val="1"/>
    </w:lvl>
  </w:abstractNum>
  <w:abstractNum w:abstractNumId="242">
    <w:nsid w:val="2EDA00ED"/>
    <w:multiLevelType w:val="hybridMultilevel"/>
    <w:lvl w:ilvl="0">
      <w:lvlJc w:val="left"/>
      <w:lvlText w:val="%1"/>
      <w:numFmt w:val="lowerLetter"/>
      <w:start w:val="1"/>
    </w:lvl>
    <w:lvl w:ilvl="1">
      <w:lvlJc w:val="left"/>
      <w:lvlText w:val="(%2)"/>
      <w:numFmt w:val="lowerLetter"/>
      <w:start w:val="4"/>
    </w:lvl>
  </w:abstractNum>
  <w:abstractNum w:abstractNumId="243">
    <w:nsid w:val="73209072"/>
    <w:multiLevelType w:val="hybridMultilevel"/>
    <w:lvl w:ilvl="0">
      <w:lvlJc w:val="left"/>
      <w:lvlText w:val="(%1)"/>
      <w:numFmt w:val="lowerLetter"/>
      <w:start w:val="8"/>
    </w:lvl>
    <w:lvl w:ilvl="1">
      <w:lvlJc w:val="left"/>
      <w:lvlText w:val="(%2)"/>
      <w:numFmt w:val="lowerLetter"/>
      <w:start w:val="5"/>
    </w:lvl>
  </w:abstractNum>
  <w:abstractNum w:abstractNumId="244">
    <w:nsid w:val="5FB29816"/>
    <w:multiLevelType w:val="hybridMultilevel"/>
    <w:lvl w:ilvl="0">
      <w:lvlJc w:val="left"/>
      <w:lvlText w:val="%1"/>
      <w:numFmt w:val="lowerLetter"/>
      <w:start w:val="1"/>
    </w:lvl>
    <w:lvl w:ilvl="1">
      <w:lvlJc w:val="left"/>
      <w:lvlText w:val="(%2)"/>
      <w:numFmt w:val="lowerLetter"/>
      <w:start w:val="7"/>
    </w:lvl>
  </w:abstractNum>
  <w:abstractNum w:abstractNumId="245">
    <w:nsid w:val="3CE732EC"/>
    <w:multiLevelType w:val="hybridMultilevel"/>
    <w:lvl w:ilvl="0">
      <w:lvlJc w:val="left"/>
      <w:lvlText w:val="(%1)"/>
      <w:numFmt w:val="lowerLetter"/>
      <w:start w:val="9"/>
    </w:lvl>
    <w:lvl w:ilvl="1">
      <w:lvlJc w:val="left"/>
      <w:lvlText w:val="%2"/>
      <w:numFmt w:val="lowerLetter"/>
      <w:start w:val="1"/>
    </w:lvl>
  </w:abstractNum>
  <w:abstractNum w:abstractNumId="246">
    <w:nsid w:val="22F13DF3"/>
    <w:multiLevelType w:val="hybridMultilevel"/>
    <w:lvl w:ilvl="0">
      <w:lvlJc w:val="left"/>
      <w:lvlText w:val="(%1)"/>
      <w:numFmt w:val="lowerLetter"/>
      <w:start w:val="1"/>
    </w:lvl>
  </w:abstractNum>
  <w:abstractNum w:abstractNumId="247">
    <w:nsid w:val="792B8401"/>
    <w:multiLevelType w:val="hybridMultilevel"/>
    <w:lvl w:ilvl="0">
      <w:lvlJc w:val="left"/>
      <w:lvlText w:val="(%1)"/>
      <w:numFmt w:val="lowerLetter"/>
      <w:start w:val="3"/>
    </w:lvl>
  </w:abstractNum>
  <w:abstractNum w:abstractNumId="248">
    <w:nsid w:val="FA85F4D"/>
    <w:multiLevelType w:val="hybridMultilevel"/>
    <w:lvl w:ilvl="0">
      <w:lvlJc w:val="left"/>
      <w:lvlText w:val="%1"/>
      <w:numFmt w:val="upperLetter"/>
      <w:start w:val="1"/>
    </w:lvl>
    <w:lvl w:ilvl="1">
      <w:lvlJc w:val="left"/>
      <w:lvlText w:val="(%2)"/>
      <w:numFmt w:val="lowerLetter"/>
      <w:start w:val="4"/>
    </w:lvl>
  </w:abstractNum>
  <w:abstractNum w:abstractNumId="249">
    <w:nsid w:val="6ECE91F0"/>
    <w:multiLevelType w:val="hybridMultilevel"/>
    <w:lvl w:ilvl="0">
      <w:lvlJc w:val="left"/>
      <w:lvlText w:val="(%1)"/>
      <w:numFmt w:val="upperLetter"/>
      <w:start w:val="9"/>
    </w:lvl>
    <w:lvl w:ilvl="1">
      <w:lvlJc w:val="left"/>
      <w:lvlText w:val="%2"/>
      <w:numFmt w:val="lowerLetter"/>
      <w:start w:val="1"/>
    </w:lvl>
  </w:abstractNum>
  <w:abstractNum w:abstractNumId="250">
    <w:nsid w:val="4FC4D600"/>
    <w:multiLevelType w:val="hybridMultilevel"/>
    <w:lvl w:ilvl="0">
      <w:lvlJc w:val="left"/>
      <w:lvlText w:val="(%1)"/>
      <w:numFmt w:val="lowerLetter"/>
      <w:start w:val="9"/>
    </w:lvl>
  </w:abstractNum>
  <w:abstractNum w:abstractNumId="251">
    <w:nsid w:val="5BFD4210"/>
    <w:multiLevelType w:val="hybridMultilevel"/>
    <w:lvl w:ilvl="0">
      <w:lvlJc w:val="left"/>
      <w:lvlText w:val="(%1)"/>
      <w:numFmt w:val="lowerLetter"/>
      <w:start w:val="14"/>
    </w:lvl>
  </w:abstractNum>
  <w:abstractNum w:abstractNumId="252">
    <w:nsid w:val="76574F8B"/>
    <w:multiLevelType w:val="hybridMultilevel"/>
    <w:lvl w:ilvl="0">
      <w:lvlJc w:val="left"/>
      <w:lvlText w:val="(%1)"/>
      <w:numFmt w:val="lowerLetter"/>
      <w:start w:val="20"/>
    </w:lvl>
  </w:abstractNum>
  <w:abstractNum w:abstractNumId="253">
    <w:nsid w:val="178F7B67"/>
    <w:multiLevelType w:val="hybridMultilevel"/>
    <w:lvl w:ilvl="0">
      <w:lvlJc w:val="left"/>
      <w:lvlText w:val="(%1)"/>
      <w:numFmt w:val="lowerLetter"/>
      <w:start w:val="27"/>
    </w:lvl>
  </w:abstractNum>
  <w:abstractNum w:abstractNumId="254">
    <w:nsid w:val="2421DFCF"/>
    <w:multiLevelType w:val="hybridMultilevel"/>
    <w:lvl w:ilvl="0">
      <w:lvlJc w:val="left"/>
      <w:lvlText w:val="(%1)"/>
      <w:numFmt w:val="lowerLetter"/>
      <w:start w:val="30"/>
    </w:lvl>
  </w:abstractNum>
  <w:abstractNum w:abstractNumId="255">
    <w:nsid w:val="1565AC99"/>
    <w:multiLevelType w:val="hybridMultilevel"/>
    <w:lvl w:ilvl="0">
      <w:lvlJc w:val="left"/>
      <w:lvlText w:val="(%1)"/>
      <w:numFmt w:val="lowerLetter"/>
      <w:start w:val="1"/>
    </w:lvl>
  </w:abstractNum>
  <w:abstractNum w:abstractNumId="256">
    <w:nsid w:val="19FB2650"/>
    <w:multiLevelType w:val="hybridMultilevel"/>
    <w:lvl w:ilvl="0">
      <w:lvlJc w:val="left"/>
      <w:lvlText w:val="%1"/>
      <w:numFmt w:val="lowerLetter"/>
      <w:start w:val="1"/>
    </w:lvl>
    <w:lvl w:ilvl="1">
      <w:lvlJc w:val="left"/>
      <w:lvlText w:val="(%2)"/>
      <w:numFmt w:val="lowerLetter"/>
      <w:start w:val="6"/>
    </w:lvl>
  </w:abstractNum>
  <w:abstractNum w:abstractNumId="257">
    <w:nsid w:val="5024DE5B"/>
    <w:multiLevelType w:val="hybridMultilevel"/>
    <w:lvl w:ilvl="0">
      <w:lvlJc w:val="left"/>
      <w:lvlText w:val="(%1)"/>
      <w:numFmt w:val="lowerLetter"/>
      <w:start w:val="35"/>
    </w:lvl>
    <w:lvl w:ilvl="1">
      <w:lvlJc w:val="left"/>
      <w:lvlText w:val="(%2)"/>
      <w:numFmt w:val="lowerLetter"/>
      <w:start w:val="7"/>
    </w:lvl>
  </w:abstractNum>
  <w:abstractNum w:abstractNumId="258">
    <w:nsid w:val="168EFE17"/>
    <w:multiLevelType w:val="hybridMultilevel"/>
    <w:lvl w:ilvl="0">
      <w:lvlJc w:val="left"/>
      <w:lvlText w:val="(%1)"/>
      <w:numFmt w:val="lowerLetter"/>
      <w:start w:val="13"/>
    </w:lvl>
  </w:abstractNum>
  <w:abstractNum w:abstractNumId="259">
    <w:nsid w:val="1036B29F"/>
    <w:multiLevelType w:val="hybridMultilevel"/>
    <w:lvl w:ilvl="0">
      <w:lvlJc w:val="left"/>
      <w:lvlText w:val="(%1)"/>
      <w:numFmt w:val="lowerRoman"/>
      <w:start w:val="5"/>
    </w:lvl>
  </w:abstractNum>
  <w:abstractNum w:abstractNumId="260">
    <w:nsid w:val="1D206B8E"/>
    <w:multiLevelType w:val="hybridMultilevel"/>
    <w:lvl w:ilvl="0">
      <w:lvlJc w:val="left"/>
      <w:lvlText w:val="%1"/>
      <w:numFmt w:val="upperLetter"/>
      <w:start w:val="1"/>
    </w:lvl>
    <w:lvl w:ilvl="1">
      <w:lvlJc w:val="left"/>
      <w:lvlText w:val="(%2)"/>
      <w:numFmt w:val="lowerLetter"/>
      <w:start w:val="23"/>
    </w:lvl>
  </w:abstractNum>
  <w:abstractNum w:abstractNumId="261">
    <w:nsid w:val="7934D3D4"/>
    <w:multiLevelType w:val="hybridMultilevel"/>
    <w:lvl w:ilvl="0">
      <w:lvlJc w:val="left"/>
      <w:lvlText w:val="(%1)"/>
      <w:numFmt w:val="upperLetter"/>
      <w:start w:val="2"/>
    </w:lvl>
    <w:lvl w:ilvl="1">
      <w:lvlJc w:val="left"/>
      <w:lvlText w:val="(%2)"/>
      <w:numFmt w:val="lowerLetter"/>
      <w:start w:val="26"/>
    </w:lvl>
  </w:abstractNum>
  <w:abstractNum w:abstractNumId="262">
    <w:nsid w:val="1C65E98"/>
    <w:multiLevelType w:val="hybridMultilevel"/>
    <w:lvl w:ilvl="0">
      <w:lvlJc w:val="left"/>
      <w:lvlText w:val="(%1)"/>
      <w:numFmt w:val="lowerLetter"/>
      <w:start w:val="27"/>
    </w:lvl>
  </w:abstractNum>
  <w:abstractNum w:abstractNumId="263">
    <w:nsid w:val="1495E50A"/>
    <w:multiLevelType w:val="hybridMultilevel"/>
    <w:lvl w:ilvl="0">
      <w:lvlJc w:val="left"/>
      <w:lvlText w:val="(%1)"/>
      <w:numFmt w:val="lowerLetter"/>
      <w:start w:val="36"/>
    </w:lvl>
  </w:abstractNum>
  <w:abstractNum w:abstractNumId="264">
    <w:nsid w:val="F5BCF61"/>
    <w:multiLevelType w:val="hybridMultilevel"/>
    <w:lvl w:ilvl="0">
      <w:lvlJc w:val="left"/>
      <w:lvlText w:val="(%1)"/>
      <w:numFmt w:val="lowerLetter"/>
      <w:start w:val="41"/>
    </w:lvl>
  </w:abstractNum>
  <w:abstractNum w:abstractNumId="265">
    <w:nsid w:val="3B1DD403"/>
    <w:multiLevelType w:val="hybridMultilevel"/>
    <w:lvl w:ilvl="0">
      <w:lvlJc w:val="left"/>
      <w:lvlText w:val="(%1)"/>
      <w:numFmt w:val="upperLetter"/>
      <w:start w:val="1"/>
    </w:lvl>
    <w:lvl w:ilvl="1">
      <w:lvlJc w:val="left"/>
      <w:lvlText w:val="(%2)"/>
      <w:numFmt w:val="lowerLetter"/>
      <w:start w:val="34"/>
    </w:lvl>
    <w:lvl w:ilvl="2">
      <w:lvlJc w:val="left"/>
      <w:lvlText w:val="(%3)"/>
      <w:numFmt w:val="lowerLetter"/>
      <w:start w:val="1"/>
    </w:lvl>
  </w:abstractNum>
  <w:abstractNum w:abstractNumId="266">
    <w:nsid w:val="530386D1"/>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3"/>
    </w:lvl>
  </w:abstractNum>
  <w:abstractNum w:abstractNumId="267">
    <w:nsid w:val="7525F2BC"/>
    <w:multiLevelType w:val="hybridMultilevel"/>
    <w:lvl w:ilvl="0">
      <w:lvlJc w:val="left"/>
      <w:lvlText w:val="(%1)"/>
      <w:numFmt w:val="lowerLetter"/>
      <w:start w:val="6"/>
    </w:lvl>
  </w:abstractNum>
  <w:abstractNum w:abstractNumId="268">
    <w:nsid w:val="CE8E1A7"/>
    <w:multiLevelType w:val="hybridMultilevel"/>
    <w:lvl w:ilvl="0">
      <w:lvlJc w:val="left"/>
      <w:lvlText w:val="(%1)"/>
      <w:numFmt w:val="lowerLetter"/>
      <w:start w:val="15"/>
    </w:lvl>
  </w:abstractNum>
  <w:abstractNum w:abstractNumId="269">
    <w:nsid w:val="4E9EFB0D"/>
    <w:multiLevelType w:val="hybridMultilevel"/>
    <w:lvl w:ilvl="0">
      <w:lvlJc w:val="left"/>
      <w:lvlText w:val="(%1)"/>
      <w:numFmt w:val="lowerLetter"/>
      <w:start w:val="27"/>
    </w:lvl>
  </w:abstractNum>
  <w:abstractNum w:abstractNumId="270">
    <w:nsid w:val="90802BE"/>
    <w:multiLevelType w:val="hybridMultilevel"/>
    <w:lvl w:ilvl="0">
      <w:lvlJc w:val="left"/>
      <w:lvlText w:val="(%1)"/>
      <w:numFmt w:val="lowerLetter"/>
      <w:start w:val="32"/>
    </w:lvl>
  </w:abstractNum>
  <w:abstractNum w:abstractNumId="271">
    <w:nsid w:val="3266459B"/>
    <w:multiLevelType w:val="hybridMultilevel"/>
    <w:lvl w:ilvl="0">
      <w:lvlJc w:val="left"/>
      <w:lvlText w:val="(%1)"/>
      <w:numFmt w:val="lowerLetter"/>
      <w:start w:val="1"/>
    </w:lvl>
  </w:abstractNum>
  <w:abstractNum w:abstractNumId="272">
    <w:nsid w:val="3F8B0CBF"/>
    <w:multiLevelType w:val="hybridMultilevel"/>
    <w:lvl w:ilvl="0">
      <w:lvlJc w:val="left"/>
      <w:lvlText w:val="%1"/>
      <w:numFmt w:val="lowerRoman"/>
      <w:start w:val="1"/>
    </w:lvl>
    <w:lvl w:ilvl="1">
      <w:lvlJc w:val="left"/>
      <w:lvlText w:val="(%2)"/>
      <w:numFmt w:val="lowerLetter"/>
      <w:start w:val="2"/>
    </w:lvl>
  </w:abstractNum>
  <w:abstractNum w:abstractNumId="273">
    <w:nsid w:val="37E203AB"/>
    <w:multiLevelType w:val="hybridMultilevel"/>
    <w:lvl w:ilvl="0">
      <w:lvlJc w:val="left"/>
      <w:lvlText w:val="(%1)"/>
      <w:numFmt w:val="lowerRoman"/>
      <w:start w:val="6"/>
    </w:lvl>
    <w:lvl w:ilvl="1">
      <w:lvlJc w:val="left"/>
      <w:lvlText w:val="(%2)"/>
      <w:numFmt w:val="lowerLetter"/>
      <w:start w:val="3"/>
    </w:lvl>
  </w:abstractNum>
  <w:abstractNum w:abstractNumId="274">
    <w:nsid w:val="2586D60E"/>
    <w:multiLevelType w:val="hybridMultilevel"/>
    <w:lvl w:ilvl="0">
      <w:lvlJc w:val="left"/>
      <w:lvlText w:val="(%1)"/>
      <w:numFmt w:val="lowerRoman"/>
      <w:start w:val="2"/>
    </w:lvl>
    <w:lvl w:ilvl="1">
      <w:lvlJc w:val="left"/>
      <w:lvlText w:val="(%2)"/>
      <w:numFmt w:val="lowerLetter"/>
      <w:start w:val="6"/>
    </w:lvl>
  </w:abstractNum>
  <w:abstractNum w:abstractNumId="275">
    <w:nsid w:val="1F3DA4D5"/>
    <w:multiLevelType w:val="hybridMultilevel"/>
    <w:lvl w:ilvl="0">
      <w:lvlJc w:val="left"/>
      <w:lvlText w:val="(%1)"/>
      <w:numFmt w:val="lowerLetter"/>
      <w:start w:val="11"/>
    </w:lvl>
  </w:abstractNum>
  <w:abstractNum w:abstractNumId="276">
    <w:nsid w:val="74C93698"/>
    <w:multiLevelType w:val="hybridMultilevel"/>
    <w:lvl w:ilvl="0">
      <w:lvlJc w:val="left"/>
      <w:lvlText w:val="(%1)"/>
      <w:numFmt w:val="lowerLetter"/>
      <w:start w:val="16"/>
    </w:lvl>
  </w:abstractNum>
  <w:abstractNum w:abstractNumId="277">
    <w:nsid w:val="48781401"/>
    <w:multiLevelType w:val="hybridMultilevel"/>
    <w:lvl w:ilvl="0">
      <w:lvlJc w:val="left"/>
      <w:lvlText w:val="(%1)"/>
      <w:numFmt w:val="lowerLetter"/>
      <w:start w:val="3"/>
    </w:lvl>
  </w:abstractNum>
  <w:abstractNum w:abstractNumId="278">
    <w:nsid w:val="186928D6"/>
    <w:multiLevelType w:val="hybridMultilevel"/>
    <w:lvl w:ilvl="0">
      <w:lvlJc w:val="left"/>
      <w:lvlText w:val="(%1)"/>
      <w:numFmt w:val="lowerLetter"/>
      <w:start w:val="1"/>
    </w:lvl>
  </w:abstractNum>
  <w:abstractNum w:abstractNumId="279">
    <w:nsid w:val="47195E5"/>
    <w:multiLevelType w:val="hybridMultilevel"/>
    <w:lvl w:ilvl="0">
      <w:lvlJc w:val="left"/>
      <w:lvlText w:val="(%1)"/>
      <w:numFmt w:val="lowerLetter"/>
      <w:start w:val="4"/>
    </w:lvl>
  </w:abstractNum>
  <w:abstractNum w:abstractNumId="280">
    <w:nsid w:val="3746A5F2"/>
    <w:multiLevelType w:val="hybridMultilevel"/>
    <w:lvl w:ilvl="0">
      <w:lvlJc w:val="left"/>
      <w:lvlText w:val="(%1)"/>
      <w:numFmt w:val="lowerLetter"/>
      <w:start w:val="13"/>
    </w:lvl>
  </w:abstractNum>
  <w:abstractNum w:abstractNumId="281">
    <w:nsid w:val="682DFED6"/>
    <w:multiLevelType w:val="hybridMultilevel"/>
    <w:lvl w:ilvl="0">
      <w:lvlJc w:val="left"/>
      <w:lvlText w:val="(%1)"/>
      <w:numFmt w:val="lowerLetter"/>
      <w:start w:val="2"/>
    </w:lvl>
    <w:lvl w:ilvl="1">
      <w:lvlJc w:val="left"/>
      <w:lvlText w:val="(%2)"/>
      <w:numFmt w:val="lowerLetter"/>
      <w:start w:val="9"/>
    </w:lvl>
  </w:abstractNum>
  <w:abstractNum w:abstractNumId="282">
    <w:nsid w:val="606ED7F6"/>
    <w:multiLevelType w:val="hybridMultilevel"/>
    <w:lvl w:ilvl="0">
      <w:lvlJc w:val="left"/>
      <w:lvlText w:val="(%1)"/>
      <w:numFmt w:val="lowerRoman"/>
      <w:start w:val="2"/>
    </w:lvl>
  </w:abstractNum>
  <w:abstractNum w:abstractNumId="283">
    <w:nsid w:val="2D9DF57D"/>
    <w:multiLevelType w:val="hybridMultilevel"/>
    <w:lvl w:ilvl="0">
      <w:lvlJc w:val="left"/>
      <w:lvlText w:val="(%1)"/>
      <w:numFmt w:val="lowerRoman"/>
      <w:start w:val="10"/>
    </w:lvl>
  </w:abstractNum>
  <w:abstractNum w:abstractNumId="284">
    <w:nsid w:val="7FBD7A3E"/>
    <w:multiLevelType w:val="hybridMultilevel"/>
    <w:lvl w:ilvl="0">
      <w:lvlJc w:val="left"/>
      <w:lvlText w:val="(%1)"/>
      <w:numFmt w:val="lowerRoman"/>
      <w:start w:val="19"/>
    </w:lvl>
  </w:abstractNum>
  <w:abstractNum w:abstractNumId="285">
    <w:nsid w:val="490B7C5"/>
    <w:multiLevelType w:val="hybridMultilevel"/>
    <w:lvl w:ilvl="0">
      <w:lvlJc w:val="left"/>
      <w:lvlText w:val="(%1)"/>
      <w:numFmt w:val="lowerLetter"/>
      <w:start w:val="1"/>
    </w:lvl>
  </w:abstractNum>
  <w:abstractNum w:abstractNumId="286">
    <w:nsid w:val="4303A216"/>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287">
    <w:nsid w:val="19B8A08E"/>
    <w:multiLevelType w:val="hybridMultilevel"/>
    <w:lvl w:ilvl="0">
      <w:lvlJc w:val="left"/>
      <w:lvlText w:val="(%1)"/>
      <w:numFmt w:val="lowerLetter"/>
      <w:start w:val="3"/>
    </w:lvl>
    <w:lvl w:ilvl="1">
      <w:lvlJc w:val="left"/>
      <w:lvlText w:val="(%2)"/>
      <w:numFmt w:val="upperLetter"/>
      <w:start w:val="1"/>
    </w:lvl>
  </w:abstractNum>
  <w:abstractNum w:abstractNumId="288">
    <w:nsid w:val="54B59621"/>
    <w:multiLevelType w:val="hybridMultilevel"/>
    <w:lvl w:ilvl="0">
      <w:lvlJc w:val="left"/>
      <w:lvlText w:val="(%1)"/>
      <w:numFmt w:val="upperLetter"/>
      <w:start w:val="11"/>
    </w:lvl>
  </w:abstractNum>
  <w:abstractNum w:abstractNumId="289">
    <w:nsid w:val="5992A02E"/>
    <w:multiLevelType w:val="hybridMultilevel"/>
    <w:lvl w:ilvl="0">
      <w:lvlJc w:val="left"/>
      <w:lvlText w:val="(%1)"/>
      <w:numFmt w:val="lowerLetter"/>
      <w:start w:val="1"/>
    </w:lvl>
  </w:abstractNum>
  <w:abstractNum w:abstractNumId="290">
    <w:nsid w:val="29EF532D"/>
    <w:multiLevelType w:val="hybridMultilevel"/>
    <w:lvl w:ilvl="0">
      <w:lvlJc w:val="left"/>
      <w:lvlText w:val="(%1)"/>
      <w:numFmt w:val="lowerLetter"/>
      <w:start w:val="5"/>
    </w:lvl>
  </w:abstractNum>
  <w:abstractNum w:abstractNumId="291">
    <w:nsid w:val="71D601AF"/>
    <w:multiLevelType w:val="hybridMultilevel"/>
    <w:lvl w:ilvl="0">
      <w:lvlJc w:val="left"/>
      <w:lvlText w:val="(%1)"/>
      <w:numFmt w:val="lowerLetter"/>
      <w:start w:val="11"/>
    </w:lvl>
  </w:abstractNum>
  <w:abstractNum w:abstractNumId="292">
    <w:nsid w:val="52C77402"/>
    <w:multiLevelType w:val="hybridMultilevel"/>
    <w:lvl w:ilvl="0">
      <w:lvlJc w:val="left"/>
      <w:lvlText w:val="(%1)"/>
      <w:numFmt w:val="lowerLetter"/>
      <w:start w:val="2"/>
    </w:lvl>
  </w:abstractNum>
  <w:abstractNum w:abstractNumId="293">
    <w:nsid w:val="2BB5B1C6"/>
    <w:multiLevelType w:val="hybridMultilevel"/>
    <w:lvl w:ilvl="0">
      <w:lvlJc w:val="left"/>
      <w:lvlText w:val="(%1)"/>
      <w:numFmt w:val="lowerRoman"/>
      <w:start w:val="4"/>
    </w:lvl>
  </w:abstractNum>
  <w:abstractNum w:abstractNumId="294">
    <w:nsid w:val="66BE6B9"/>
    <w:multiLevelType w:val="hybridMultilevel"/>
    <w:lvl w:ilvl="0">
      <w:lvlJc w:val="left"/>
      <w:lvlText w:val="(%1)"/>
      <w:numFmt w:val="lowerLetter"/>
      <w:start w:val="2"/>
    </w:lvl>
  </w:abstractNum>
  <w:abstractNum w:abstractNumId="295">
    <w:nsid w:val="62234363"/>
    <w:multiLevelType w:val="hybridMultilevel"/>
    <w:lvl w:ilvl="0">
      <w:lvlJc w:val="left"/>
      <w:lvlText w:val="(%1)"/>
      <w:numFmt w:val="lowerLetter"/>
      <w:start w:val="25"/>
    </w:lvl>
  </w:abstractNum>
  <w:abstractNum w:abstractNumId="296">
    <w:nsid w:val="66D385C9"/>
    <w:multiLevelType w:val="hybridMultilevel"/>
    <w:lvl w:ilvl="0">
      <w:lvlJc w:val="left"/>
      <w:lvlText w:val="(%1)"/>
      <w:numFmt w:val="lowerRoman"/>
      <w:start w:val="1"/>
    </w:lvl>
  </w:abstractNum>
  <w:abstractNum w:abstractNumId="297">
    <w:nsid w:val="596F6D8A"/>
    <w:multiLevelType w:val="hybridMultilevel"/>
    <w:lvl w:ilvl="0">
      <w:lvlJc w:val="left"/>
      <w:lvlText w:val="(%1)"/>
      <w:numFmt w:val="lowerRoman"/>
      <w:start w:val="1"/>
    </w:lvl>
    <w:lvl w:ilvl="1">
      <w:lvlJc w:val="left"/>
      <w:lvlText w:val="(%2)"/>
      <w:numFmt w:val="lowerRoman"/>
      <w:start w:val="2"/>
    </w:lvl>
  </w:abstractNum>
  <w:abstractNum w:abstractNumId="298">
    <w:nsid w:val="5749361F"/>
    <w:multiLevelType w:val="hybridMultilevel"/>
    <w:lvl w:ilvl="0">
      <w:lvlJc w:val="left"/>
      <w:lvlText w:val="(%1)"/>
      <w:numFmt w:val="lowerRoman"/>
      <w:start w:val="4"/>
    </w:lvl>
  </w:abstractNum>
  <w:abstractNum w:abstractNumId="299">
    <w:nsid w:val="73BC6770"/>
    <w:multiLevelType w:val="hybridMultilevel"/>
    <w:lvl w:ilvl="0">
      <w:lvlJc w:val="left"/>
      <w:lvlText w:val="(%1)"/>
      <w:numFmt w:val="lowerRoman"/>
      <w:start w:val="1"/>
    </w:lvl>
  </w:abstractNum>
  <w:abstractNum w:abstractNumId="300">
    <w:nsid w:val="280E6897"/>
    <w:multiLevelType w:val="hybridMultilevel"/>
    <w:lvl w:ilvl="0">
      <w:lvlJc w:val="left"/>
      <w:lvlText w:val="(%1)"/>
      <w:numFmt w:val="lowerLetter"/>
      <w:start w:val="2"/>
    </w:lvl>
  </w:abstractNum>
  <w:abstractNum w:abstractNumId="301">
    <w:nsid w:val="605138DE"/>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302">
    <w:nsid w:val="2622AD0C"/>
    <w:multiLevelType w:val="hybridMultilevel"/>
    <w:lvl w:ilvl="0">
      <w:lvlJc w:val="left"/>
      <w:lvlText w:val="(%1)"/>
      <w:numFmt w:val="upperLetter"/>
      <w:start w:val="1"/>
    </w:lvl>
  </w:abstractNum>
  <w:abstractNum w:abstractNumId="303">
    <w:nsid w:val="67997556"/>
    <w:multiLevelType w:val="hybridMultilevel"/>
    <w:lvl w:ilvl="0">
      <w:lvlJc w:val="left"/>
      <w:lvlText w:val="(%1)"/>
      <w:numFmt w:val="lowerRoman"/>
      <w:start w:val="1"/>
    </w:lvl>
    <w:lvl w:ilvl="1">
      <w:lvlJc w:val="left"/>
      <w:lvlText w:val="(%2)"/>
      <w:numFmt w:val="lowerRoman"/>
      <w:start w:val="3"/>
    </w:lvl>
  </w:abstractNum>
  <w:abstractNum w:abstractNumId="304">
    <w:nsid w:val="18333C89"/>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4"/>
    </w:lvl>
  </w:abstractNum>
  <w:abstractNum w:abstractNumId="305">
    <w:nsid w:val="4BA9831A"/>
    <w:multiLevelType w:val="hybridMultilevel"/>
    <w:lvl w:ilvl="0">
      <w:lvlJc w:val="left"/>
      <w:lvlText w:val="%1"/>
      <w:numFmt w:val="upperLetter"/>
      <w:start w:val="1"/>
    </w:lvl>
    <w:lvl w:ilvl="1">
      <w:lvlJc w:val="left"/>
      <w:lvlText w:val="(%2)"/>
      <w:numFmt w:val="lowerLetter"/>
      <w:start w:val="3"/>
    </w:lvl>
    <w:lvl w:ilvl="2">
      <w:lvlJc w:val="left"/>
      <w:lvlText w:val="%3"/>
      <w:numFmt w:val="lowerRoman"/>
      <w:start w:val="1"/>
    </w:lvl>
  </w:abstractNum>
  <w:abstractNum w:abstractNumId="306">
    <w:nsid w:val="6D71A2B"/>
    <w:multiLevelType w:val="hybridMultilevel"/>
    <w:lvl w:ilvl="0">
      <w:lvlJc w:val="left"/>
      <w:lvlText w:val="(%1)"/>
      <w:numFmt w:val="upperLetter"/>
      <w:start w:val="35"/>
    </w:lvl>
    <w:lvl w:ilvl="1">
      <w:lvlJc w:val="left"/>
      <w:lvlText w:val="%2"/>
      <w:numFmt w:val="lowerLetter"/>
      <w:start w:val="1"/>
    </w:lvl>
    <w:lvl w:ilvl="2">
      <w:lvlJc w:val="left"/>
      <w:lvlText w:val="%3"/>
      <w:numFmt w:val="lowerRoman"/>
      <w:start w:val="1"/>
    </w:lvl>
  </w:abstractNum>
  <w:abstractNum w:abstractNumId="307">
    <w:nsid w:val="CFC7321"/>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1"/>
    </w:lvl>
  </w:abstractNum>
  <w:abstractNum w:abstractNumId="308">
    <w:nsid w:val="1421971B"/>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2"/>
    </w:lvl>
  </w:abstractNum>
  <w:abstractNum w:abstractNumId="309">
    <w:nsid w:val="1F404301"/>
    <w:multiLevelType w:val="hybridMultilevel"/>
    <w:lvl w:ilvl="0">
      <w:lvlJc w:val="left"/>
      <w:lvlText w:val="(%1)"/>
      <w:numFmt w:val="lowerLetter"/>
      <w:start w:val="6"/>
    </w:lvl>
  </w:abstractNum>
  <w:abstractNum w:abstractNumId="310">
    <w:nsid w:val="116E0907"/>
    <w:multiLevelType w:val="hybridMultilevel"/>
    <w:lvl w:ilvl="0">
      <w:lvlJc w:val="left"/>
      <w:lvlText w:val="(%1)"/>
      <w:numFmt w:val="lowerLetter"/>
      <w:start w:val="10"/>
    </w:lvl>
  </w:abstractNum>
  <w:abstractNum w:abstractNumId="311">
    <w:nsid w:val="4B683D0D"/>
    <w:multiLevelType w:val="hybridMultilevel"/>
    <w:lvl w:ilvl="0">
      <w:lvlJc w:val="left"/>
      <w:lvlText w:val="(%1)"/>
      <w:numFmt w:val="lowerLetter"/>
      <w:start w:val="9"/>
    </w:lvl>
    <w:lvl w:ilvl="1">
      <w:lvlJc w:val="left"/>
      <w:lvlText w:val="(%2)"/>
      <w:numFmt w:val="lowerLetter"/>
      <w:start w:val="2"/>
    </w:lvl>
  </w:abstractNum>
  <w:abstractNum w:abstractNumId="312">
    <w:nsid w:val="76E41D8"/>
    <w:multiLevelType w:val="hybridMultilevel"/>
    <w:lvl w:ilvl="0">
      <w:lvlJc w:val="left"/>
      <w:lvlText w:val="(%1)"/>
      <w:numFmt w:val="lowerLetter"/>
      <w:start w:val="3"/>
    </w:lvl>
  </w:abstractNum>
  <w:abstractNum w:abstractNumId="313">
    <w:nsid w:val="71DCE0FD"/>
    <w:multiLevelType w:val="hybridMultilevel"/>
    <w:lvl w:ilvl="0">
      <w:lvlJc w:val="left"/>
      <w:lvlText w:val="(%1)"/>
      <w:numFmt w:val="lowerLetter"/>
      <w:start w:val="2"/>
    </w:lvl>
    <w:lvl w:ilvl="1">
      <w:lvlJc w:val="left"/>
      <w:lvlText w:val="(%2)"/>
      <w:numFmt w:val="lowerLetter"/>
      <w:start w:val="2"/>
    </w:lvl>
    <w:lvl w:ilvl="2">
      <w:lvlJc w:val="left"/>
      <w:lvlText w:val="(%3)"/>
      <w:numFmt w:val="lowerRoman"/>
      <w:start w:val="1"/>
    </w:lvl>
  </w:abstractNum>
  <w:abstractNum w:abstractNumId="314">
    <w:nsid w:val="7906328B"/>
    <w:multiLevelType w:val="hybridMultilevel"/>
    <w:lvl w:ilvl="0">
      <w:lvlJc w:val="left"/>
      <w:lvlText w:val="(%1)"/>
      <w:numFmt w:val="lowerRoman"/>
      <w:start w:val="4"/>
    </w:lvl>
  </w:abstractNum>
  <w:abstractNum w:abstractNumId="315">
    <w:nsid w:val="72BBC16"/>
    <w:multiLevelType w:val="hybridMultilevel"/>
    <w:lvl w:ilvl="0">
      <w:lvlJc w:val="left"/>
      <w:lvlText w:val="(%1)"/>
      <w:numFmt w:val="lowerLetter"/>
      <w:start w:val="3"/>
    </w:lvl>
  </w:abstractNum>
  <w:abstractNum w:abstractNumId="316">
    <w:nsid w:val="766D98C2"/>
    <w:multiLevelType w:val="hybridMultilevel"/>
    <w:lvl w:ilvl="0">
      <w:lvlJc w:val="left"/>
      <w:lvlText w:val="%1"/>
      <w:numFmt w:val="lowerLetter"/>
      <w:start w:val="1"/>
    </w:lvl>
    <w:lvl w:ilvl="1">
      <w:lvlJc w:val="left"/>
      <w:lvlText w:val="(%2)"/>
      <w:numFmt w:val="lowerLetter"/>
      <w:start w:val="8"/>
    </w:lvl>
  </w:abstractNum>
  <w:abstractNum w:abstractNumId="317">
    <w:nsid w:val="3C09D4A1"/>
    <w:multiLevelType w:val="hybridMultilevel"/>
    <w:lvl w:ilvl="0">
      <w:lvlJc w:val="left"/>
      <w:lvlText w:val="(%1)"/>
      <w:numFmt w:val="lowerLetter"/>
      <w:start w:val="35"/>
    </w:lvl>
    <w:lvl w:ilvl="1">
      <w:lvlJc w:val="left"/>
      <w:lvlText w:val="(%2)"/>
      <w:numFmt w:val="lowerLetter"/>
      <w:start w:val="9"/>
    </w:lvl>
  </w:abstractNum>
  <w:abstractNum w:abstractNumId="318">
    <w:nsid w:val="20E45CA4"/>
    <w:multiLevelType w:val="hybridMultilevel"/>
    <w:lvl w:ilvl="0">
      <w:lvlJc w:val="left"/>
      <w:lvlText w:val="(%1)"/>
      <w:numFmt w:val="upperLetter"/>
      <w:start w:val="1"/>
    </w:lvl>
  </w:abstractNum>
  <w:abstractNum w:abstractNumId="319">
    <w:nsid w:val="4B232EE3"/>
    <w:multiLevelType w:val="hybridMultilevel"/>
    <w:lvl w:ilvl="0">
      <w:lvlJc w:val="left"/>
      <w:lvlText w:val="(%1)"/>
      <w:numFmt w:val="lowerLetter"/>
      <w:start w:val="1"/>
    </w:lvl>
  </w:abstractNum>
  <w:abstractNum w:abstractNumId="320">
    <w:nsid w:val="159C74CF"/>
    <w:multiLevelType w:val="hybridMultilevel"/>
    <w:lvl w:ilvl="0">
      <w:lvlJc w:val="left"/>
      <w:lvlText w:val="(%1)"/>
      <w:numFmt w:val="lowerLetter"/>
      <w:start w:val="2"/>
    </w:lvl>
  </w:abstractNum>
  <w:abstractNum w:abstractNumId="321">
    <w:nsid w:val="4AD3AFD2"/>
    <w:multiLevelType w:val="hybridMultilevel"/>
    <w:lvl w:ilvl="0">
      <w:lvlJc w:val="left"/>
      <w:lvlText w:val="(%1)"/>
      <w:numFmt w:val="upperLetter"/>
      <w:start w:val="6"/>
    </w:lvl>
  </w:abstractNum>
  <w:abstractNum w:abstractNumId="322">
    <w:nsid w:val="3CF93092"/>
    <w:multiLevelType w:val="hybridMultilevel"/>
    <w:lvl w:ilvl="0">
      <w:lvlJc w:val="left"/>
      <w:lvlText w:val="(%1)"/>
      <w:numFmt w:val="lowerLetter"/>
      <w:start w:val="1"/>
    </w:lvl>
  </w:abstractNum>
  <w:abstractNum w:abstractNumId="323">
    <w:nsid w:val="6863E8D2"/>
    <w:multiLevelType w:val="hybridMultilevel"/>
    <w:lvl w:ilvl="0">
      <w:lvlJc w:val="left"/>
      <w:lvlText w:val="%1"/>
      <w:numFmt w:val="lowerLetter"/>
      <w:start w:val="1"/>
    </w:lvl>
    <w:lvl w:ilvl="1">
      <w:lvlJc w:val="left"/>
      <w:lvlText w:val="(%2)"/>
      <w:numFmt w:val="lowerLetter"/>
      <w:start w:val="2"/>
    </w:lvl>
  </w:abstractNum>
  <w:abstractNum w:abstractNumId="324">
    <w:nsid w:val="76896198"/>
    <w:multiLevelType w:val="hybridMultilevel"/>
    <w:lvl w:ilvl="0">
      <w:lvlJc w:val="left"/>
      <w:lvlText w:val="(%1)"/>
      <w:numFmt w:val="lowerLetter"/>
      <w:start w:val="35"/>
    </w:lvl>
    <w:lvl w:ilvl="1">
      <w:lvlJc w:val="left"/>
      <w:lvlText w:val="%2"/>
      <w:numFmt w:val="lowerLetter"/>
      <w:start w:val="1"/>
    </w:lvl>
  </w:abstractNum>
  <w:abstractNum w:abstractNumId="325">
    <w:nsid w:val="4365174B"/>
    <w:multiLevelType w:val="hybridMultilevel"/>
    <w:lvl w:ilvl="0">
      <w:lvlJc w:val="left"/>
      <w:lvlText w:val="(%1)"/>
      <w:numFmt w:val="lowerLetter"/>
      <w:start w:val="3"/>
    </w:lvl>
  </w:abstractNum>
  <w:abstractNum w:abstractNumId="326">
    <w:nsid w:val="4A872C35"/>
    <w:multiLevelType w:val="hybridMultilevel"/>
    <w:lvl w:ilvl="0">
      <w:lvlJc w:val="left"/>
      <w:lvlText w:val="(%1)"/>
      <w:numFmt w:val="lowerLetter"/>
      <w:start w:val="5"/>
    </w:lvl>
  </w:abstractNum>
  <w:abstractNum w:abstractNumId="327">
    <w:nsid w:val="5D5CE761"/>
    <w:multiLevelType w:val="hybridMultilevel"/>
    <w:lvl w:ilvl="0">
      <w:lvlJc w:val="left"/>
      <w:lvlText w:val="(%1)"/>
      <w:numFmt w:val="lowerLetter"/>
      <w:start w:val="1"/>
    </w:lvl>
  </w:abstractNum>
  <w:abstractNum w:abstractNumId="328">
    <w:nsid w:val="1CD484D5"/>
    <w:multiLevelType w:val="hybridMultilevel"/>
    <w:lvl w:ilvl="0">
      <w:lvlJc w:val="left"/>
      <w:lvlText w:val="(%1)"/>
      <w:numFmt w:val="lowerRoman"/>
      <w:start w:val="1"/>
    </w:lvl>
  </w:abstractNum>
  <w:abstractNum w:abstractNumId="329">
    <w:nsid w:val="21D06255"/>
    <w:multiLevelType w:val="hybridMultilevel"/>
    <w:lvl w:ilvl="0">
      <w:lvlJc w:val="left"/>
      <w:lvlText w:val="(%1)"/>
      <w:numFmt w:val="lowerLetter"/>
      <w:start w:val="1"/>
    </w:lvl>
  </w:abstractNum>
  <w:abstractNum w:abstractNumId="330">
    <w:nsid w:val="51194ED1"/>
    <w:multiLevelType w:val="hybridMultilevel"/>
    <w:lvl w:ilvl="0">
      <w:lvlJc w:val="left"/>
      <w:lvlText w:val="(%1)"/>
      <w:numFmt w:val="lowerRoman"/>
      <w:start w:val="1"/>
    </w:lvl>
  </w:abstractNum>
  <w:abstractNum w:abstractNumId="331">
    <w:nsid w:val="44E2ED6C"/>
    <w:multiLevelType w:val="hybridMultilevel"/>
    <w:lvl w:ilvl="0">
      <w:lvlJc w:val="left"/>
      <w:lvlText w:val="(%1)"/>
      <w:numFmt w:val="lowerLetter"/>
      <w:start w:val="1"/>
    </w:lvl>
  </w:abstractNum>
  <w:abstractNum w:abstractNumId="332">
    <w:nsid w:val="2219B33"/>
    <w:multiLevelType w:val="hybridMultilevel"/>
    <w:lvl w:ilvl="0">
      <w:lvlJc w:val="left"/>
      <w:lvlText w:val="%1."/>
      <w:numFmt w:val="lowerRoman"/>
      <w:start w:val="1"/>
    </w:lvl>
  </w:abstractNum>
  <w:abstractNum w:abstractNumId="333">
    <w:nsid w:val="773BFBDD"/>
    <w:multiLevelType w:val="hybridMultilevel"/>
    <w:lvl w:ilvl="0">
      <w:lvlJc w:val="left"/>
      <w:lvlText w:val="%1."/>
      <w:numFmt w:val="lowerRoman"/>
      <w:start w:val="2"/>
    </w:lvl>
  </w:abstractNum>
  <w:abstractNum w:abstractNumId="334">
    <w:nsid w:val="2C7C62C2"/>
    <w:multiLevelType w:val="hybridMultilevel"/>
    <w:lvl w:ilvl="0">
      <w:lvlJc w:val="left"/>
      <w:lvlText w:val="(%1)"/>
      <w:numFmt w:val="lowerLetter"/>
      <w:start w:val="1"/>
    </w:lvl>
  </w:abstractNum>
  <w:abstractNum w:abstractNumId="335">
    <w:nsid w:val="1A54D7B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336">
    <w:nsid w:val="42E57EF7"/>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
    </w:lvl>
  </w:abstractNum>
  <w:abstractNum w:abstractNumId="337">
    <w:nsid w:val="33537CED"/>
    <w:multiLevelType w:val="hybridMultilevel"/>
    <w:lvl w:ilvl="0">
      <w:lvlJc w:val="left"/>
      <w:lvlText w:val="%1"/>
      <w:numFmt w:val="decimal"/>
      <w:start w:val="1"/>
    </w:lvl>
    <w:lvl w:ilvl="1">
      <w:lvlJc w:val="left"/>
      <w:lvlText w:val="%2."/>
      <w:numFmt w:val="lowerLetter"/>
      <w:start w:val="4"/>
    </w:lvl>
  </w:abstractNum>
  <w:abstractNum w:abstractNumId="338">
    <w:nsid w:val="27514ADE"/>
    <w:multiLevelType w:val="hybridMultilevel"/>
    <w:lvl w:ilvl="0">
      <w:lvlJc w:val="left"/>
      <w:lvlText w:val="%1."/>
      <w:numFmt w:val="decimal"/>
      <w:start w:val="3"/>
    </w:lvl>
    <w:lvl w:ilvl="1">
      <w:lvlJc w:val="left"/>
      <w:lvlText w:val="%2"/>
      <w:numFmt w:val="lowerLetter"/>
      <w:start w:val="1"/>
    </w:lvl>
  </w:abstractNum>
  <w:abstractNum w:abstractNumId="339">
    <w:nsid w:val="57071613"/>
    <w:multiLevelType w:val="hybridMultilevel"/>
    <w:lvl w:ilvl="0">
      <w:lvlJc w:val="left"/>
      <w:lvlText w:val="%1."/>
      <w:numFmt w:val="decimal"/>
      <w:start w:val="5"/>
    </w:lvl>
  </w:abstractNum>
  <w:abstractNum w:abstractNumId="340">
    <w:nsid w:val="5293BFEF"/>
    <w:multiLevelType w:val="hybridMultilevel"/>
    <w:lvl w:ilvl="0">
      <w:lvlJc w:val="left"/>
      <w:lvlText w:val="%1."/>
      <w:numFmt w:val="lowerLetter"/>
      <w:start w:val="1"/>
    </w:lvl>
    <w:lvl w:ilvl="1">
      <w:lvlJc w:val="left"/>
      <w:lvlText w:val="%2."/>
      <w:numFmt w:val="lowerLetter"/>
      <w:start w:val="4"/>
    </w:lvl>
  </w:abstractNum>
  <w:abstractNum w:abstractNumId="341">
    <w:nsid w:val="38BF53E5"/>
    <w:multiLevelType w:val="hybridMultilevel"/>
    <w:lvl w:ilvl="0">
      <w:lvlJc w:val="left"/>
      <w:lvlText w:val="%1"/>
      <w:numFmt w:val="decimal"/>
      <w:start w:val="1"/>
    </w:lvl>
    <w:lvl w:ilvl="1">
      <w:lvlJc w:val="left"/>
      <w:lvlText w:val="%2."/>
      <w:numFmt w:val="lowerLetter"/>
      <w:start w:val="5"/>
    </w:lvl>
  </w:abstractNum>
  <w:abstractNum w:abstractNumId="342">
    <w:nsid w:val="226F5320"/>
    <w:multiLevelType w:val="hybridMultilevel"/>
    <w:lvl w:ilvl="0">
      <w:lvlJc w:val="left"/>
      <w:lvlText w:val="%1."/>
      <w:numFmt w:val="decimal"/>
      <w:start w:val="6"/>
    </w:lvl>
    <w:lvl w:ilvl="1">
      <w:lvlJc w:val="left"/>
      <w:lvlText w:val="%2"/>
      <w:numFmt w:val="lowerLetter"/>
      <w:start w:val="1"/>
    </w:lvl>
  </w:abstractNum>
  <w:abstractNum w:abstractNumId="343">
    <w:nsid w:val="5A0201C7"/>
    <w:multiLevelType w:val="hybridMultilevel"/>
    <w:lvl w:ilvl="0">
      <w:lvlJc w:val="left"/>
      <w:lvlText w:val="%1."/>
      <w:numFmt w:val="decimal"/>
      <w:start w:val="7"/>
    </w:lvl>
    <w:lvl w:ilvl="1">
      <w:lvlJc w:val="left"/>
      <w:lvlText w:val="%2."/>
      <w:numFmt w:val="lowerRoman"/>
      <w:start w:val="1"/>
    </w:lvl>
    <w:lvl w:ilvl="2">
      <w:lvlJc w:val="left"/>
      <w:lvlText w:val="%3"/>
      <w:numFmt w:val="lowerLetter"/>
      <w:start w:val="1"/>
    </w:lvl>
  </w:abstractNum>
  <w:abstractNum w:abstractNumId="344">
    <w:nsid w:val="2A9C34E2"/>
    <w:multiLevelType w:val="hybridMultilevel"/>
    <w:lvl w:ilvl="0">
      <w:lvlJc w:val="left"/>
      <w:lvlText w:val="%1"/>
      <w:numFmt w:val="lowerRoman"/>
      <w:start w:val="1"/>
    </w:lvl>
    <w:lvl w:ilvl="1">
      <w:lvlJc w:val="left"/>
      <w:lvlText w:val="%2."/>
      <w:numFmt w:val="lowerLetter"/>
      <w:start w:val="2"/>
    </w:lvl>
  </w:abstractNum>
  <w:abstractNum w:abstractNumId="345">
    <w:nsid w:val="1B7585AB"/>
    <w:multiLevelType w:val="hybridMultilevel"/>
    <w:lvl w:ilvl="0">
      <w:lvlJc w:val="left"/>
      <w:lvlText w:val="%1."/>
      <w:numFmt w:val="lowerRoman"/>
      <w:start w:val="1"/>
    </w:lvl>
    <w:lvl w:ilvl="1">
      <w:lvlJc w:val="left"/>
      <w:lvlText w:val="%2"/>
      <w:numFmt w:val="lowerLetter"/>
      <w:start w:val="1"/>
    </w:lvl>
  </w:abstractNum>
  <w:abstractNum w:abstractNumId="346">
    <w:nsid w:val="612DBDDD"/>
    <w:multiLevelType w:val="hybridMultilevel"/>
    <w:lvl w:ilvl="0">
      <w:lvlJc w:val="left"/>
      <w:lvlText w:val="%1"/>
      <w:numFmt w:val="decimal"/>
      <w:start w:val="1"/>
    </w:lvl>
    <w:lvl w:ilvl="1">
      <w:lvlJc w:val="left"/>
      <w:lvlText w:val="%2."/>
      <w:numFmt w:val="lowerLetter"/>
      <w:start w:val="3"/>
    </w:lvl>
  </w:abstractNum>
  <w:abstractNum w:abstractNumId="347">
    <w:nsid w:val="2109CDA4"/>
    <w:multiLevelType w:val="hybridMultilevel"/>
    <w:lvl w:ilvl="0">
      <w:lvlJc w:val="left"/>
      <w:lvlText w:val="%1."/>
      <w:numFmt w:val="decimal"/>
      <w:start w:val="8"/>
    </w:lvl>
    <w:lvl w:ilvl="1">
      <w:lvlJc w:val="left"/>
      <w:lvlText w:val="%2"/>
      <w:numFmt w:val="lowerLetter"/>
      <w:start w:val="1"/>
    </w:lvl>
  </w:abstractNum>
  <w:abstractNum w:abstractNumId="348">
    <w:nsid w:val="577F5A4D"/>
    <w:multiLevelType w:val="hybridMultilevel"/>
    <w:lvl w:ilvl="0">
      <w:lvlJc w:val="left"/>
      <w:lvlText w:val="%1."/>
      <w:numFmt w:val="decimal"/>
      <w:start w:val="9"/>
    </w:lvl>
  </w:abstractNum>
  <w:abstractNum w:abstractNumId="349">
    <w:nsid w:val="2121A81"/>
    <w:multiLevelType w:val="hybridMultilevel"/>
    <w:lvl w:ilvl="0">
      <w:lvlJc w:val="left"/>
      <w:lvlText w:val="%1."/>
      <w:numFmt w:val="decimal"/>
      <w:start w:val="11"/>
    </w:lvl>
  </w:abstractNum>
  <w:abstractNum w:abstractNumId="350">
    <w:nsid w:val="6C2CFC88"/>
    <w:multiLevelType w:val="hybridMultilevel"/>
    <w:lvl w:ilvl="0">
      <w:lvlJc w:val="left"/>
      <w:lvlText w:val="%1."/>
      <w:numFmt w:val="decimal"/>
      <w:start w:val="16"/>
    </w:lvl>
  </w:abstractNum>
  <w:abstractNum w:abstractNumId="351">
    <w:nsid w:val="6D1BCF1C"/>
    <w:multiLevelType w:val="hybridMultilevel"/>
    <w:lvl w:ilvl="0">
      <w:lvlJc w:val="left"/>
      <w:lvlText w:val="%1."/>
      <w:numFmt w:val="decimal"/>
      <w:start w:val="19"/>
    </w:lvl>
  </w:abstractNum>
  <w:abstractNum w:abstractNumId="352">
    <w:nsid w:val="4CE5CA53"/>
    <w:multiLevelType w:val="hybridMultilevel"/>
    <w:lvl w:ilvl="0">
      <w:lvlJc w:val="left"/>
      <w:lvlText w:val="%1."/>
      <w:numFmt w:val="decimal"/>
      <w:start w:val="20"/>
    </w:lvl>
    <w:lvl w:ilvl="1">
      <w:lvlJc w:val="left"/>
      <w:lvlText w:val="(%2)"/>
      <w:numFmt w:val="decimal"/>
      <w:start w:val="1"/>
    </w:lvl>
  </w:abstractNum>
  <w:abstractNum w:abstractNumId="353">
    <w:nsid w:val="29262D1A"/>
    <w:multiLevelType w:val="hybridMultilevel"/>
    <w:lvl w:ilvl="0">
      <w:lvlJc w:val="left"/>
      <w:lvlText w:val="%1."/>
      <w:numFmt w:val="decimal"/>
      <w:start w:val="1"/>
    </w:lvl>
  </w:abstractNum>
  <w:abstractNum w:abstractNumId="354">
    <w:nsid w:val="557FB7EE"/>
    <w:multiLevelType w:val="hybridMultilevel"/>
    <w:lvl w:ilvl="0">
      <w:lvlJc w:val="left"/>
      <w:lvlText w:val="(%1)"/>
      <w:numFmt w:val="lowerLetter"/>
      <w:start w:val="1"/>
    </w:lvl>
  </w:abstractNum>
  <w:abstractNum w:abstractNumId="355">
    <w:nsid w:val="436F2BEB"/>
    <w:multiLevelType w:val="hybridMultilevel"/>
    <w:lvl w:ilvl="0">
      <w:lvlJc w:val="left"/>
      <w:lvlText w:val="%1."/>
      <w:numFmt w:val="decimal"/>
      <w:start w:val="3"/>
    </w:lvl>
  </w:abstractNum>
  <w:abstractNum w:abstractNumId="356">
    <w:nsid w:val="6C8B4466"/>
    <w:multiLevelType w:val="hybridMultilevel"/>
    <w:lvl w:ilvl="0">
      <w:lvlJc w:val="left"/>
      <w:lvlText w:val="(%1)"/>
      <w:numFmt w:val="lowerLetter"/>
      <w:start w:val="1"/>
    </w:lvl>
  </w:abstractNum>
  <w:abstractNum w:abstractNumId="357">
    <w:nsid w:val="2006E424"/>
    <w:multiLevelType w:val="hybridMultilevel"/>
    <w:lvl w:ilvl="0">
      <w:lvlJc w:val="left"/>
      <w:lvlText w:val="(%1)"/>
      <w:numFmt w:val="lowerLetter"/>
      <w:start w:val="3"/>
    </w:lvl>
    <w:lvl w:ilvl="1">
      <w:lvlJc w:val="left"/>
      <w:lvlText w:val="%2"/>
      <w:numFmt w:val="lowerLetter"/>
      <w:start w:val="1"/>
    </w:lvl>
  </w:abstractNum>
  <w:abstractNum w:abstractNumId="358">
    <w:nsid w:val="20CC134C"/>
    <w:multiLevelType w:val="hybridMultilevel"/>
    <w:lvl w:ilvl="0">
      <w:lvlJc w:val="left"/>
      <w:lvlText w:val="%1."/>
      <w:numFmt w:val="lowerLetter"/>
      <w:start w:val="2"/>
    </w:lvl>
  </w:abstractNum>
  <w:abstractNum w:abstractNumId="359">
    <w:nsid w:val="95FC93B"/>
    <w:multiLevelType w:val="hybridMultilevel"/>
    <w:lvl w:ilvl="0">
      <w:lvlJc w:val="left"/>
      <w:lvlText w:val="%1"/>
      <w:numFmt w:val="lowerLetter"/>
      <w:start w:val="1"/>
    </w:lvl>
    <w:lvl w:ilvl="1">
      <w:lvlJc w:val="left"/>
      <w:lvlText w:val="%2."/>
      <w:numFmt w:val="lowerLetter"/>
      <w:start w:val="3"/>
    </w:lvl>
  </w:abstractNum>
  <w:abstractNum w:abstractNumId="360">
    <w:nsid w:val="41D74679"/>
    <w:multiLevelType w:val="hybridMultilevel"/>
    <w:lvl w:ilvl="0">
      <w:lvlJc w:val="left"/>
      <w:lvlText w:val="(%1)"/>
      <w:numFmt w:val="lowerLetter"/>
      <w:start w:val="5"/>
    </w:lvl>
    <w:lvl w:ilvl="1">
      <w:lvlJc w:val="left"/>
      <w:lvlText w:val="%2"/>
      <w:numFmt w:val="lowerLetter"/>
      <w:start w:val="1"/>
    </w:lvl>
  </w:abstractNum>
  <w:abstractNum w:abstractNumId="361">
    <w:nsid w:val="71E5621E"/>
    <w:multiLevelType w:val="hybridMultilevel"/>
    <w:lvl w:ilvl="0">
      <w:lvlJc w:val="left"/>
      <w:lvlText w:val="%1."/>
      <w:numFmt w:val="decimal"/>
      <w:start w:val="4"/>
    </w:lvl>
  </w:abstractNum>
  <w:abstractNum w:abstractNumId="362">
    <w:nsid w:val="4E42B6A8"/>
    <w:multiLevelType w:val="hybridMultilevel"/>
    <w:lvl w:ilvl="0">
      <w:lvlJc w:val="left"/>
      <w:lvlText w:val="(%1)"/>
      <w:numFmt w:val="lowerLetter"/>
      <w:start w:val="1"/>
    </w:lvl>
  </w:abstractNum>
  <w:abstractNum w:abstractNumId="363">
    <w:nsid w:val="43F8E1AC"/>
    <w:multiLevelType w:val="hybridMultilevel"/>
    <w:lvl w:ilvl="0">
      <w:lvlJc w:val="left"/>
      <w:lvlText w:val="(%1)"/>
      <w:numFmt w:val="lowerLetter"/>
      <w:start w:val="3"/>
    </w:lvl>
  </w:abstractNum>
  <w:abstractNum w:abstractNumId="364">
    <w:nsid w:val="69215DFB"/>
    <w:multiLevelType w:val="hybridMultilevel"/>
    <w:lvl w:ilvl="0">
      <w:lvlJc w:val="left"/>
      <w:lvlText w:val="(%1)"/>
      <w:numFmt w:val="lowerLetter"/>
      <w:start w:val="6"/>
    </w:lvl>
  </w:abstractNum>
  <w:abstractNum w:abstractNumId="365">
    <w:nsid w:val="7ABF196A"/>
    <w:multiLevelType w:val="hybridMultilevel"/>
    <w:lvl w:ilvl="0">
      <w:lvlJc w:val="left"/>
      <w:lvlText w:val="%1."/>
      <w:numFmt w:val="decimal"/>
      <w:start w:val="5"/>
    </w:lvl>
  </w:abstractNum>
  <w:abstractNum w:abstractNumId="366">
    <w:nsid w:val="5E4DB968"/>
    <w:multiLevelType w:val="hybridMultilevel"/>
    <w:lvl w:ilvl="0">
      <w:lvlJc w:val="left"/>
      <w:lvlText w:val="(%1)"/>
      <w:numFmt w:val="lowerLetter"/>
      <w:start w:val="1"/>
    </w:lvl>
  </w:abstractNum>
  <w:abstractNum w:abstractNumId="367">
    <w:nsid w:val="2C06DCF3"/>
    <w:multiLevelType w:val="hybridMultilevel"/>
    <w:lvl w:ilvl="0">
      <w:lvlJc w:val="left"/>
      <w:lvlText w:val="(%1)"/>
      <w:numFmt w:val="lowerLetter"/>
      <w:start w:val="3"/>
    </w:lvl>
  </w:abstractNum>
  <w:abstractNum w:abstractNumId="368">
    <w:nsid w:val="2E129658"/>
    <w:multiLevelType w:val="hybridMultilevel"/>
    <w:lvl w:ilvl="0">
      <w:lvlJc w:val="left"/>
      <w:lvlText w:val="%1."/>
      <w:numFmt w:val="decimal"/>
      <w:start w:val="6"/>
    </w:lvl>
  </w:abstractNum>
  <w:abstractNum w:abstractNumId="369">
    <w:nsid w:val="59F0446"/>
    <w:multiLevelType w:val="hybridMultilevel"/>
    <w:lvl w:ilvl="0">
      <w:lvlJc w:val="left"/>
      <w:lvlText w:val="(%1)"/>
      <w:numFmt w:val="lowerLetter"/>
      <w:start w:val="1"/>
    </w:lvl>
  </w:abstractNum>
  <w:abstractNum w:abstractNumId="370">
    <w:nsid w:val="30DF306"/>
    <w:multiLevelType w:val="hybridMultilevel"/>
    <w:lvl w:ilvl="0">
      <w:lvlJc w:val="left"/>
      <w:lvlText w:val="(%1)"/>
      <w:numFmt w:val="lowerLetter"/>
      <w:start w:val="3"/>
    </w:lvl>
    <w:lvl w:ilvl="1">
      <w:lvlJc w:val="left"/>
      <w:lvlText w:val="(%2)"/>
      <w:numFmt w:val="decimal"/>
      <w:start w:val="1"/>
    </w:lvl>
    <w:lvl w:ilvl="2">
      <w:lvlJc w:val="left"/>
      <w:lvlText w:val="%3."/>
      <w:numFmt w:val="lowerRoman"/>
      <w:start w:val="1"/>
    </w:lvl>
  </w:abstractNum>
  <w:abstractNum w:abstractNumId="371">
    <w:nsid w:val="A65647"/>
    <w:multiLevelType w:val="hybridMultilevel"/>
    <w:lvl w:ilvl="0">
      <w:lvlJc w:val="left"/>
      <w:lvlText w:val="(%1)"/>
      <w:numFmt w:val="lowerLetter"/>
      <w:start w:val="6"/>
    </w:lvl>
    <w:lvl w:ilvl="1">
      <w:lvlJc w:val="left"/>
      <w:lvlText w:val="(%2)"/>
      <w:numFmt w:val="decimal"/>
      <w:start w:val="1"/>
    </w:lvl>
  </w:abstractNum>
  <w:abstractNum w:abstractNumId="372">
    <w:nsid w:val="3E5E582B"/>
    <w:multiLevelType w:val="hybridMultilevel"/>
    <w:lvl w:ilvl="0">
      <w:lvlJc w:val="left"/>
      <w:lvlText w:val="(%1)"/>
      <w:numFmt w:val="lowerLetter"/>
      <w:start w:val="1"/>
    </w:lvl>
  </w:abstractNum>
  <w:abstractNum w:abstractNumId="373">
    <w:nsid w:val="257D4626"/>
    <w:multiLevelType w:val="hybridMultilevel"/>
    <w:lvl w:ilvl="0">
      <w:lvlJc w:val="left"/>
      <w:lvlText w:val="(%1)"/>
      <w:numFmt w:val="lowerLetter"/>
      <w:start w:val="1"/>
    </w:lvl>
  </w:abstractNum>
  <w:abstractNum w:abstractNumId="374">
    <w:nsid w:val="5AA8580E"/>
    <w:multiLevelType w:val="hybridMultilevel"/>
    <w:lvl w:ilvl="0">
      <w:lvlJc w:val="left"/>
      <w:lvlText w:val="(%1)"/>
      <w:numFmt w:val="lowerLetter"/>
      <w:start w:val="2"/>
    </w:lvl>
  </w:abstractNum>
  <w:abstractNum w:abstractNumId="375">
    <w:nsid w:val="68FA8D0D"/>
    <w:multiLevelType w:val="hybridMultilevel"/>
    <w:lvl w:ilvl="0">
      <w:lvlJc w:val="left"/>
      <w:lvlText w:val="(%1)"/>
      <w:numFmt w:val="lowerLetter"/>
      <w:start w:val="1"/>
    </w:lvl>
  </w:abstractNum>
  <w:abstractNum w:abstractNumId="376">
    <w:nsid w:val="40F2CBD2"/>
    <w:multiLevelType w:val="hybridMultilevel"/>
    <w:lvl w:ilvl="0">
      <w:lvlJc w:val="left"/>
      <w:lvlText w:val="%1."/>
      <w:numFmt w:val="upperLetter"/>
      <w:start w:val="9"/>
    </w:lvl>
  </w:abstractNum>
  <w:abstractNum w:abstractNumId="377">
    <w:nsid w:val="3BD615EB"/>
    <w:multiLevelType w:val="hybridMultilevel"/>
    <w:lvl w:ilvl="0">
      <w:lvlJc w:val="left"/>
      <w:lvlText w:val="%1."/>
      <w:numFmt w:val="upperLetter"/>
      <w:start w:val="35"/>
    </w:lvl>
  </w:abstractNum>
  <w:abstractNum w:abstractNumId="378">
    <w:nsid w:val="A045AB2"/>
    <w:multiLevelType w:val="hybridMultilevel"/>
    <w:lvl w:ilvl="0">
      <w:lvlJc w:val="left"/>
      <w:lvlText w:val="%1."/>
      <w:numFmt w:val="lowerLetter"/>
      <w:start w:val="1"/>
    </w:lvl>
  </w:abstractNum>
  <w:abstractNum w:abstractNumId="379">
    <w:nsid w:val="1872261F"/>
    <w:multiLevelType w:val="hybridMultilevel"/>
    <w:lvl w:ilvl="0">
      <w:lvlJc w:val="left"/>
      <w:lvlText w:val="%1."/>
      <w:numFmt w:val="lowerLetter"/>
      <w:start w:val="3"/>
    </w:lvl>
  </w:abstractNum>
  <w:abstractNum w:abstractNumId="380">
    <w:nsid w:val="3DE8306C"/>
    <w:multiLevelType w:val="hybridMultilevel"/>
    <w:lvl w:ilvl="0">
      <w:lvlJc w:val="left"/>
      <w:lvlText w:val="%1."/>
      <w:numFmt w:val="upperLetter"/>
      <w:start w:val="61"/>
    </w:lvl>
  </w:abstractNum>
  <w:abstractNum w:abstractNumId="381">
    <w:nsid w:val="7631573A"/>
    <w:multiLevelType w:val="hybridMultilevel"/>
    <w:lvl w:ilvl="0">
      <w:lvlJc w:val="left"/>
      <w:lvlText w:val="%1."/>
      <w:numFmt w:val="lowerLetter"/>
      <w:start w:val="1"/>
    </w:lvl>
  </w:abstractNum>
  <w:abstractNum w:abstractNumId="382">
    <w:nsid w:val="58DF53B"/>
    <w:multiLevelType w:val="hybridMultilevel"/>
    <w:lvl w:ilvl="0">
      <w:lvlJc w:val="left"/>
      <w:lvlText w:val="%1."/>
      <w:numFmt w:val="upperLetter"/>
      <w:start w:val="22"/>
    </w:lvl>
  </w:abstractNum>
  <w:abstractNum w:abstractNumId="383">
    <w:nsid w:val="ACDFAC0"/>
    <w:multiLevelType w:val="hybridMultilevel"/>
    <w:lvl w:ilvl="0">
      <w:lvlJc w:val="left"/>
      <w:lvlText w:val="%1."/>
      <w:numFmt w:val="upperLetter"/>
      <w:start w:val="9"/>
    </w:lvl>
  </w:abstractNum>
  <w:abstractNum w:abstractNumId="384">
    <w:nsid w:val="1F578454"/>
    <w:multiLevelType w:val="hybridMultilevel"/>
    <w:lvl w:ilvl="0">
      <w:lvlJc w:val="left"/>
      <w:lvlText w:val="%1."/>
      <w:numFmt w:val="upperLetter"/>
      <w:start w:val="35"/>
    </w:lvl>
  </w:abstractNum>
  <w:abstractNum w:abstractNumId="385">
    <w:nsid w:val="5B0DAD2A"/>
    <w:multiLevelType w:val="hybridMultilevel"/>
    <w:lvl w:ilvl="0">
      <w:lvlJc w:val="left"/>
      <w:lvlText w:val="%1."/>
      <w:numFmt w:val="upperLetter"/>
      <w:start w:val="61"/>
    </w:lvl>
  </w:abstractNum>
  <w:abstractNum w:abstractNumId="386">
    <w:nsid w:val="4E3D26AB"/>
    <w:multiLevelType w:val="hybridMultilevel"/>
    <w:lvl w:ilvl="0">
      <w:lvlJc w:val="left"/>
      <w:lvlText w:val="1"/>
      <w:numFmt w:val="bullet"/>
      <w:start w:val="1"/>
    </w:lvl>
  </w:abstractNum>
  <w:abstractNum w:abstractNumId="387">
    <w:nsid w:val="BE2C8BA"/>
    <w:multiLevelType w:val="hybridMultilevel"/>
    <w:lvl w:ilvl="0">
      <w:lvlJc w:val="left"/>
      <w:lvlText w:val="•"/>
      <w:numFmt w:val="bullet"/>
      <w:start w:val="1"/>
    </w:lvl>
  </w:abstractNum>
  <w:abstractNum w:abstractNumId="388">
    <w:nsid w:val="7B14914E"/>
    <w:multiLevelType w:val="hybridMultilevel"/>
    <w:lvl w:ilvl="0">
      <w:lvlJc w:val="left"/>
      <w:lvlText w:val="•"/>
      <w:numFmt w:val="bullet"/>
      <w:start w:val="1"/>
    </w:lvl>
  </w:abstractNum>
  <w:abstractNum w:abstractNumId="389">
    <w:nsid w:val="6F0939F8"/>
    <w:multiLevelType w:val="hybridMultilevel"/>
    <w:lvl w:ilvl="0">
      <w:lvlJc w:val="left"/>
      <w:lvlText w:val="•"/>
      <w:numFmt w:val="bullet"/>
      <w:start w:val="1"/>
    </w:lvl>
  </w:abstractNum>
  <w:abstractNum w:abstractNumId="390">
    <w:nsid w:val="154291F6"/>
    <w:multiLevelType w:val="hybridMultilevel"/>
    <w:lvl w:ilvl="0">
      <w:lvlJc w:val="left"/>
      <w:lvlText w:val="•"/>
      <w:numFmt w:val="bullet"/>
      <w:start w:val="1"/>
    </w:lvl>
  </w:abstractNum>
  <w:abstractNum w:abstractNumId="391">
    <w:nsid w:val="3CEBD7C7"/>
    <w:multiLevelType w:val="hybridMultilevel"/>
    <w:lvl w:ilvl="0">
      <w:lvlJc w:val="left"/>
      <w:lvlText w:val="•"/>
      <w:numFmt w:val="bullet"/>
      <w:start w:val="1"/>
    </w:lvl>
  </w:abstractNum>
  <w:abstractNum w:abstractNumId="392">
    <w:nsid w:val="60EE9C16"/>
    <w:multiLevelType w:val="hybridMultilevel"/>
    <w:lvl w:ilvl="0">
      <w:lvlJc w:val="left"/>
      <w:lvlText w:val="•"/>
      <w:numFmt w:val="bullet"/>
      <w:start w:val="1"/>
    </w:lvl>
  </w:abstractNum>
  <w:abstractNum w:abstractNumId="393">
    <w:nsid w:val="6385489E"/>
    <w:multiLevelType w:val="hybridMultilevel"/>
    <w:lvl w:ilvl="0">
      <w:lvlJc w:val="left"/>
      <w:lvlText w:val="%1."/>
      <w:numFmt w:val="upperLetter"/>
      <w:start w:val="22"/>
    </w:lvl>
  </w:abstractNum>
  <w:abstractNum w:abstractNumId="394">
    <w:nsid w:val="E4B973"/>
    <w:multiLevelType w:val="hybridMultilevel"/>
    <w:lvl w:ilvl="0">
      <w:lvlJc w:val="left"/>
      <w:lvlText w:val="(%1)"/>
      <w:numFmt w:val="lowerLetter"/>
      <w:start w:val="1"/>
    </w:lvl>
  </w:abstractNum>
  <w:abstractNum w:abstractNumId="395">
    <w:nsid w:val="4A0FFA11"/>
    <w:multiLevelType w:val="hybridMultilevel"/>
    <w:lvl w:ilvl="0">
      <w:lvlJc w:val="left"/>
      <w:lvlText w:val="•"/>
      <w:numFmt w:val="bullet"/>
      <w:start w:val="1"/>
    </w:lvl>
  </w:abstractNum>
  <w:abstractNum w:abstractNumId="396">
    <w:nsid w:val="5E446208"/>
    <w:multiLevelType w:val="hybridMultilevel"/>
    <w:lvl w:ilvl="0">
      <w:lvlJc w:val="left"/>
      <w:lvlText w:val="%1."/>
      <w:numFmt w:val="upperLetter"/>
      <w:start w:val="24"/>
    </w:lvl>
  </w:abstractNum>
  <w:abstractNum w:abstractNumId="397">
    <w:nsid w:val="5F3272DB"/>
    <w:multiLevelType w:val="hybridMultilevel"/>
    <w:lvl w:ilvl="0">
      <w:lvlJc w:val="left"/>
      <w:lvlText w:val="%1."/>
      <w:numFmt w:val="decimal"/>
      <w:start w:val="1"/>
    </w:lvl>
    <w:lvl w:ilvl="1">
      <w:lvlJc w:val="left"/>
      <w:lvlText w:val="%2."/>
      <w:numFmt w:val="lowerLetter"/>
      <w:start w:val="1"/>
    </w:lvl>
  </w:abstractNum>
  <w:abstractNum w:abstractNumId="398">
    <w:nsid w:val="7616D704"/>
    <w:multiLevelType w:val="hybridMultilevel"/>
    <w:lvl w:ilvl="0">
      <w:lvlJc w:val="left"/>
      <w:lvlText w:val="%1."/>
      <w:numFmt w:val="decimal"/>
      <w:start w:val="1"/>
    </w:lvl>
    <w:lvl w:ilvl="1">
      <w:lvlJc w:val="left"/>
      <w:lvlText w:val="%2."/>
      <w:numFmt w:val="lowerLetter"/>
      <w:start w:val="1"/>
    </w:lvl>
  </w:abstractNum>
  <w:abstractNum w:abstractNumId="399">
    <w:nsid w:val="C56F860"/>
    <w:multiLevelType w:val="hybridMultilevel"/>
    <w:lvl w:ilvl="0">
      <w:lvlJc w:val="left"/>
      <w:lvlText w:val="%1."/>
      <w:numFmt w:val="decimal"/>
      <w:start w:val="1"/>
    </w:lvl>
  </w:abstractNum>
  <w:abstractNum w:abstractNumId="400">
    <w:nsid w:val="64D1772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84" Type="http://schemas.openxmlformats.org/officeDocument/2006/relationships/image" Target="media/image163.png"/><Relationship Id="rId198" Type="http://schemas.openxmlformats.org/officeDocument/2006/relationships/image" Target="media/image164.png"/><Relationship Id="rId199" Type="http://schemas.openxmlformats.org/officeDocument/2006/relationships/image" Target="media/image165.png"/><Relationship Id="rId218" Type="http://schemas.openxmlformats.org/officeDocument/2006/relationships/image" Target="media/image166.png"/><Relationship Id="rId220" Type="http://schemas.openxmlformats.org/officeDocument/2006/relationships/image" Target="media/image167.png"/><Relationship Id="rId221" Type="http://schemas.openxmlformats.org/officeDocument/2006/relationships/image" Target="media/image168.png"/><Relationship Id="rId222" Type="http://schemas.openxmlformats.org/officeDocument/2006/relationships/image" Target="media/image169.jpeg"/><Relationship Id="rId223" Type="http://schemas.openxmlformats.org/officeDocument/2006/relationships/image" Target="media/image170.png"/><Relationship Id="rId224" Type="http://schemas.openxmlformats.org/officeDocument/2006/relationships/image" Target="media/image171.png"/><Relationship Id="rId225" Type="http://schemas.openxmlformats.org/officeDocument/2006/relationships/image" Target="media/image172.png"/><Relationship Id="rId226" Type="http://schemas.openxmlformats.org/officeDocument/2006/relationships/image" Target="media/image173.png"/><Relationship Id="rId227" Type="http://schemas.openxmlformats.org/officeDocument/2006/relationships/image" Target="media/image174.png"/><Relationship Id="rId228" Type="http://schemas.openxmlformats.org/officeDocument/2006/relationships/image" Target="media/image175.png"/><Relationship Id="rId229" Type="http://schemas.openxmlformats.org/officeDocument/2006/relationships/image" Target="media/image176.png"/><Relationship Id="rId230" Type="http://schemas.openxmlformats.org/officeDocument/2006/relationships/image" Target="media/image177.png"/><Relationship Id="rId231" Type="http://schemas.openxmlformats.org/officeDocument/2006/relationships/image" Target="media/image178.png"/><Relationship Id="rId232" Type="http://schemas.openxmlformats.org/officeDocument/2006/relationships/image" Target="media/image179.png"/><Relationship Id="rId233" Type="http://schemas.openxmlformats.org/officeDocument/2006/relationships/image" Target="media/image180.jpeg"/><Relationship Id="rId234" Type="http://schemas.openxmlformats.org/officeDocument/2006/relationships/image" Target="media/image181.jpeg"/><Relationship Id="rId235" Type="http://schemas.openxmlformats.org/officeDocument/2006/relationships/image" Target="media/image182.jpeg"/><Relationship Id="rId236" Type="http://schemas.openxmlformats.org/officeDocument/2006/relationships/image" Target="media/image183.jpeg"/><Relationship Id="rId237" Type="http://schemas.openxmlformats.org/officeDocument/2006/relationships/image" Target="media/image184.jpeg"/><Relationship Id="rId238" Type="http://schemas.openxmlformats.org/officeDocument/2006/relationships/image" Target="media/image185.png"/><Relationship Id="rId239" Type="http://schemas.openxmlformats.org/officeDocument/2006/relationships/image" Target="media/image186.jpeg"/><Relationship Id="rId240" Type="http://schemas.openxmlformats.org/officeDocument/2006/relationships/image" Target="media/image187.jpeg"/><Relationship Id="rId241" Type="http://schemas.openxmlformats.org/officeDocument/2006/relationships/image" Target="media/image188.png"/><Relationship Id="rId242" Type="http://schemas.openxmlformats.org/officeDocument/2006/relationships/image" Target="media/image189.jpeg"/><Relationship Id="rId243" Type="http://schemas.openxmlformats.org/officeDocument/2006/relationships/image" Target="media/image190.jpeg"/><Relationship Id="rId244" Type="http://schemas.openxmlformats.org/officeDocument/2006/relationships/image" Target="media/image191.jpeg"/><Relationship Id="rId245" Type="http://schemas.openxmlformats.org/officeDocument/2006/relationships/image" Target="media/image192.jpeg"/><Relationship Id="rId246" Type="http://schemas.openxmlformats.org/officeDocument/2006/relationships/image" Target="media/image193.jpeg"/><Relationship Id="rId247" Type="http://schemas.openxmlformats.org/officeDocument/2006/relationships/image" Target="media/image194.jpeg"/><Relationship Id="rId248" Type="http://schemas.openxmlformats.org/officeDocument/2006/relationships/image" Target="media/image195.jpeg"/><Relationship Id="rId249" Type="http://schemas.openxmlformats.org/officeDocument/2006/relationships/image" Target="media/image196.jpeg"/><Relationship Id="rId250" Type="http://schemas.openxmlformats.org/officeDocument/2006/relationships/image" Target="media/image197.png"/><Relationship Id="rId251" Type="http://schemas.openxmlformats.org/officeDocument/2006/relationships/image" Target="media/image198.png"/><Relationship Id="rId170" Type="http://schemas.openxmlformats.org/officeDocument/2006/relationships/hyperlink" Target="https://www.sec.gov/Archives/edgar/data/1810019/000119312520209647/d36076dex31.htm" TargetMode="External"/><Relationship Id="rId171" Type="http://schemas.openxmlformats.org/officeDocument/2006/relationships/hyperlink" Target="https://www.sec.gov/Archives/edgar/data/1810019/000119312520209647/d36076dex32.htm" TargetMode="External"/><Relationship Id="rId172" Type="http://schemas.openxmlformats.org/officeDocument/2006/relationships/hyperlink" Target="https://www.sec.gov/Archives/edgar/data/1810019/000119312520307306/d34164dex41.htm" TargetMode="External"/><Relationship Id="rId173" Type="http://schemas.openxmlformats.org/officeDocument/2006/relationships/hyperlink" Target="https://www.sec.gov/Archives/edgar/data/1810019/000181001921000038/rxt42q42020.htm" TargetMode="External"/><Relationship Id="rId174" Type="http://schemas.openxmlformats.org/officeDocument/2006/relationships/hyperlink" Target="https://www.sec.gov/Archives/edgar/data/1810019/000119312521034506/d29348dex41.htm" TargetMode="External"/><Relationship Id="rId175" Type="http://schemas.openxmlformats.org/officeDocument/2006/relationships/hyperlink" Target="https://www.sec.gov/Archives/edgar/data/1810019/000181001924000029/rxt41_indenture.htm" TargetMode="External"/><Relationship Id="rId176" Type="http://schemas.openxmlformats.org/officeDocument/2006/relationships/hyperlink" Target="https://www.sec.gov/Archives/edgar/data/1810019/000119312520190902/d915709dex101.htm" TargetMode="External"/><Relationship Id="rId177" Type="http://schemas.openxmlformats.org/officeDocument/2006/relationships/hyperlink" Target="https://www.sec.gov/Archives/edgar/data/1810019/000119312520190902/d915709dex102.htm" TargetMode="External"/><Relationship Id="rId178" Type="http://schemas.openxmlformats.org/officeDocument/2006/relationships/hyperlink" Target="https://www.sec.gov/Archives/edgar/data/1810019/000119312520190902/d915709dex103.htm" TargetMode="External"/><Relationship Id="rId179" Type="http://schemas.openxmlformats.org/officeDocument/2006/relationships/hyperlink" Target="https://www.sec.gov/Archives/edgar/data/1810019/000119312520190902/d915709dex104.htm" TargetMode="External"/><Relationship Id="rId180" Type="http://schemas.openxmlformats.org/officeDocument/2006/relationships/hyperlink" Target="https://www.sec.gov/Archives/edgar/data/1810019/000119312520190902/d915709dex105.htm" TargetMode="External"/><Relationship Id="rId181" Type="http://schemas.openxmlformats.org/officeDocument/2006/relationships/hyperlink" Target="https://www.sec.gov/Archives/edgar/data/1810019/000119312520213058/d10215dex104.htm" TargetMode="External"/><Relationship Id="rId182" Type="http://schemas.openxmlformats.org/officeDocument/2006/relationships/hyperlink" Target="https://www.sec.gov/Archives/edgar/data/1810019/000119312521034506/d29348dex101.htm" TargetMode="External"/><Relationship Id="rId183" Type="http://schemas.openxmlformats.org/officeDocument/2006/relationships/hyperlink" Target="https://www.sec.gov/Archives/edgar/data/1810019/000181001924000029/rxt101_flca.htm" TargetMode="External"/><Relationship Id="rId185" Type="http://schemas.openxmlformats.org/officeDocument/2006/relationships/hyperlink" Target="https://www.sec.gov/Archives/edgar/data/1810019/000181001924000029/rxt102_incassumption.htm" TargetMode="External"/><Relationship Id="rId186" Type="http://schemas.openxmlformats.org/officeDocument/2006/relationships/hyperlink" Target="https://www.sec.gov/Archives/edgar/data/1810019/000119312520213058/d10215dex102.htm" TargetMode="External"/><Relationship Id="rId187" Type="http://schemas.openxmlformats.org/officeDocument/2006/relationships/hyperlink" Target="https://www.sec.gov/Archives/edgar/data/1810019/000119312520213058/d10215dex103.htm" TargetMode="External"/><Relationship Id="rId188" Type="http://schemas.openxmlformats.org/officeDocument/2006/relationships/hyperlink" Target="https://www.sec.gov/Archives/edgar/data/0001810019/000181001921000038/rxt109q42020.htm" TargetMode="External"/><Relationship Id="rId189" Type="http://schemas.openxmlformats.org/officeDocument/2006/relationships/hyperlink" Target="https://www.sec.gov/Archives/edgar/data/0001810019/000181001921000038/rxt1010q42020.htm" TargetMode="External"/><Relationship Id="rId190" Type="http://schemas.openxmlformats.org/officeDocument/2006/relationships/hyperlink" Target="https://www.sec.gov/Archives/edgar/data/1810019/000119312520213058/d10215dex101.htm" TargetMode="External"/><Relationship Id="rId191" Type="http://schemas.openxmlformats.org/officeDocument/2006/relationships/hyperlink" Target="https://www.sec.gov/Archives/edgar/data/1810019/000119312520190902/d915709dex109.htm" TargetMode="External"/><Relationship Id="rId192" Type="http://schemas.openxmlformats.org/officeDocument/2006/relationships/hyperlink" Target="https://www.sec.gov/Archives/edgar/data/1810019/000181001923000151/a01pnc_rackspace-receiva.htm" TargetMode="External"/><Relationship Id="rId193" Type="http://schemas.openxmlformats.org/officeDocument/2006/relationships/hyperlink" Target="https://www.sec.gov/Archives/edgar/data/1810019/000181001924000042/rxt1017receivablespurchase.htm" TargetMode="External"/><Relationship Id="rId194" Type="http://schemas.openxmlformats.org/officeDocument/2006/relationships/hyperlink" Target="https://www.sec.gov/Archives/edgar/data/1810019/000119312520273667/d27089dex101.htm" TargetMode="External"/><Relationship Id="rId195" Type="http://schemas.openxmlformats.org/officeDocument/2006/relationships/hyperlink" Target="https://www.sec.gov/Archives/edgar/data/1810019/000181001922000164/rxt101q32022.htm" TargetMode="External"/><Relationship Id="rId196" Type="http://schemas.openxmlformats.org/officeDocument/2006/relationships/hyperlink" Target="https://www.sec.gov/Archives/edgar/data/1810019/000181001924000005/marinomark-cfoagreement010.htm" TargetMode="External"/><Relationship Id="rId197" Type="http://schemas.openxmlformats.org/officeDocument/2006/relationships/hyperlink" Target="https://www.sec.gov/Archives/edgar/data/1810019/000181001924000094/exhibit106-brianlillieempl.htm" TargetMode="External"/><Relationship Id="rId200" Type="http://schemas.openxmlformats.org/officeDocument/2006/relationships/hyperlink" Target="https://www.sec.gov/Archives/edgar/data/1810019/000181001924000094/exhibit107-dksinhaemployme.htm" TargetMode="External"/><Relationship Id="rId201" Type="http://schemas.openxmlformats.org/officeDocument/2006/relationships/hyperlink" Target="https://www.sec.gov/Archives/edgar/data/1810019/000119312520199062/d915709dex1020.htm" TargetMode="External"/><Relationship Id="rId202" Type="http://schemas.openxmlformats.org/officeDocument/2006/relationships/hyperlink" Target="https://www.sec.gov/Archives/edgar/data/1810019/000119312520199062/d915709dex1024.htm" TargetMode="External"/><Relationship Id="rId203" Type="http://schemas.openxmlformats.org/officeDocument/2006/relationships/hyperlink" Target="https://www.sec.gov/Archives/edgar/data/1810019/000181001922000096/rxt102q12022.htm" TargetMode="External"/><Relationship Id="rId204" Type="http://schemas.openxmlformats.org/officeDocument/2006/relationships/hyperlink" Target="https://www.sec.gov/Archives/edgar/data/1810019/000181001923000083/rxt101q12023.htm" TargetMode="External"/><Relationship Id="rId205" Type="http://schemas.openxmlformats.org/officeDocument/2006/relationships/hyperlink" Target="https://www.sec.gov/Archives/edgar/data/1810019/000181001924000132/rxt102-rsu_allparx2024xedg.htm" TargetMode="External"/><Relationship Id="rId206" Type="http://schemas.openxmlformats.org/officeDocument/2006/relationships/hyperlink" Target="https://www.sec.gov/Archives/edgar/data/1810019/000181001924000132/rxt103-indexedcashxallparx.htm" TargetMode="External"/><Relationship Id="rId207" Type="http://schemas.openxmlformats.org/officeDocument/2006/relationships/hyperlink" Target="https://www.sec.gov/Archives/edgar/data/1810019/000181001924000132/rxt104-rsu_dirx2024xedgart.htm" TargetMode="External"/><Relationship Id="rId208" Type="http://schemas.openxmlformats.org/officeDocument/2006/relationships/hyperlink" Target="https://www.sec.gov/Archives/edgar/data/1810019/000119312520199062/d915709dex1027.htm" TargetMode="External"/><Relationship Id="rId209" Type="http://schemas.openxmlformats.org/officeDocument/2006/relationships/hyperlink" Target="https://www.sec.gov/Archives/edgar/data/1810019/000119312520209647/d36076dex42.htm" TargetMode="External"/><Relationship Id="rId210" Type="http://schemas.openxmlformats.org/officeDocument/2006/relationships/hyperlink" Target="https://www.sec.gov/Archives/edgar/data/1810019/000181001922000130/rxt101q22022.htm" TargetMode="External"/><Relationship Id="rId211" Type="http://schemas.openxmlformats.org/officeDocument/2006/relationships/hyperlink" Target="https://www.sec.gov/Archives/edgar/data/1810019/000181001923000130/rxt101q22023.htm" TargetMode="External"/><Relationship Id="rId212" Type="http://schemas.openxmlformats.org/officeDocument/2006/relationships/hyperlink" Target="https://www.sec.gov/Archives/edgar/data/1810019/000181001924000132/rxt101-amendmentno3to2020e.htm" TargetMode="External"/><Relationship Id="rId213" Type="http://schemas.openxmlformats.org/officeDocument/2006/relationships/hyperlink" Target="https://www.sec.gov/Archives/edgar/data/1810019/000119312520209647/d36076dex43.htm" TargetMode="External"/><Relationship Id="rId214" Type="http://schemas.openxmlformats.org/officeDocument/2006/relationships/hyperlink" Target="https://www.sec.gov/Archives/edgar/data/1810019/000181001920000047/rxt108q32020.htm" TargetMode="External"/><Relationship Id="rId215" Type="http://schemas.openxmlformats.org/officeDocument/2006/relationships/hyperlink" Target="https://www.sec.gov/Archives/edgar/data/1810019/000119312520190902/d915709dex1031.htm" TargetMode="External"/><Relationship Id="rId216" Type="http://schemas.openxmlformats.org/officeDocument/2006/relationships/hyperlink" Target="https://www.sec.gov/Archives/edgar/data/1810019/000181001921000058/executivechangeinctrlsever.htm" TargetMode="External"/><Relationship Id="rId217" Type="http://schemas.openxmlformats.org/officeDocument/2006/relationships/hyperlink" Target="https://www.sec.gov/Archives/edgar/data/1810019/000119312520199062/d915709dex1032.htm" TargetMode="External"/><Relationship Id="rId219" Type="http://schemas.openxmlformats.org/officeDocument/2006/relationships/hyperlink" Target="https://www.sec.gov/Archives/edgar/data/1810019/000181001924000042/rxt97clawbackpolicy.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2025-03-21T05:25:33Z</dcterms:created>
  <dcterms:modified xsi:type="dcterms:W3CDTF">2025-03-21T05:25:33Z</dcterms:modified>
</cp:coreProperties>
</file>