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8"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37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80" w:hanging="376"/>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4"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 to 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001-39420</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RACKSPACE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158750</wp:posOffset>
            </wp:positionV>
            <wp:extent cx="360045"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 cy="45402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81-3369925</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(I.R.S. Employer Identification No.)</w:t>
      </w:r>
    </w:p>
    <w:p>
      <w:pPr>
        <w:spacing w:after="0" w:line="126" w:lineRule="exact"/>
        <w:rPr>
          <w:sz w:val="24"/>
          <w:szCs w:val="24"/>
          <w:color w:val="auto"/>
        </w:rPr>
      </w:pPr>
    </w:p>
    <w:p>
      <w:pPr>
        <w:sectPr>
          <w:pgSz w:w="11900" w:h="16838" w:orient="portrait"/>
          <w:cols w:equalWidth="0" w:num="2">
            <w:col w:w="6680" w:space="720"/>
            <w:col w:w="3840"/>
          </w:cols>
          <w:pgMar w:left="320" w:top="127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Fanatical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City of Windcrest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Antonio, Texas 78218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(210) 312-4000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Title of each class</w:t>
            </w:r>
          </w:p>
        </w:tc>
        <w:tc>
          <w:tcPr>
            <w:tcW w:w="254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09" w:lineRule="exact"/>
        <w:rPr>
          <w:sz w:val="24"/>
          <w:szCs w:val="24"/>
          <w:color w:val="auto"/>
        </w:rPr>
      </w:pPr>
    </w:p>
    <w:p>
      <w:pPr>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type w:val="continuous"/>
        </w:sectPr>
      </w:pPr>
    </w:p>
    <w:bookmarkStart w:id="1" w:name="page2"/>
    <w:bookmarkEnd w:id="1"/>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2"/>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3" w:lineRule="exact"/>
        <w:rPr>
          <w:sz w:val="20"/>
          <w:szCs w:val="20"/>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May 5, 2022, 210,859,524 shares of the registrant’s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0500" w:type="dxa"/>
            <w:vAlign w:val="bottom"/>
            <w:gridSpan w:val="16"/>
          </w:tcPr>
          <w:p>
            <w:pPr>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20" w:type="dxa"/>
            <w:vAlign w:val="bottom"/>
            <w:tcBorders>
              <w:bottom w:val="single" w:sz="8" w:color="0000FF"/>
            </w:tcBorders>
            <w:gridSpan w:val="9"/>
          </w:tcPr>
          <w:p>
            <w:pPr>
              <w:spacing w:after="0" w:line="190"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Unaudited Consolidated Balance Sheets as of December 31, 2021 and March 31, 2022</w:t>
              </w:r>
            </w:hyperlink>
          </w:p>
        </w:tc>
        <w:tc>
          <w:tcPr>
            <w:tcW w:w="3160" w:type="dxa"/>
            <w:vAlign w:val="bottom"/>
            <w:gridSpan w:val="5"/>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90"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3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80" w:type="dxa"/>
            <w:vAlign w:val="bottom"/>
            <w:gridSpan w:val="14"/>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Unaudited Consolidated Statements of Comprehensive Income (Loss) for the Three Months Ended March 31, 2021 and March</w:t>
              </w:r>
            </w:hyperlink>
          </w:p>
        </w:tc>
        <w:tc>
          <w:tcPr>
            <w:tcW w:w="400" w:type="dxa"/>
            <w:vAlign w:val="bottom"/>
            <w:gridSpan w:val="2"/>
          </w:tcPr>
          <w:p>
            <w:pPr>
              <w:jc w:val="center"/>
              <w:ind w:left="21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4</w:t>
              </w:r>
            </w:hyperlink>
          </w:p>
        </w:tc>
        <w:tc>
          <w:tcPr>
            <w:tcW w:w="3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31, 2022</w:t>
              </w:r>
            </w:hyperlink>
          </w:p>
        </w:tc>
        <w:tc>
          <w:tcPr>
            <w:tcW w:w="2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80" w:type="dxa"/>
            <w:vAlign w:val="bottom"/>
            <w:gridSpan w:val="1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Unaudited Consolidated Statements of Cash Flows for the Three Months Ended March 31, 2021 and March 31, 2022</w:t>
              </w:r>
            </w:hyperlink>
          </w:p>
        </w:tc>
        <w:tc>
          <w:tcPr>
            <w:tcW w:w="400" w:type="dxa"/>
            <w:vAlign w:val="bottom"/>
            <w:gridSpan w:val="2"/>
          </w:tcPr>
          <w:p>
            <w:pPr>
              <w:jc w:val="center"/>
              <w:ind w:left="21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8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Unaudited Consolidated Statements of Stockholders' Equity for the Three Months Ended March 31, 2021 and March 31, 2022</w:t>
              </w:r>
            </w:hyperlink>
          </w:p>
        </w:tc>
        <w:tc>
          <w:tcPr>
            <w:tcW w:w="3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7</w:t>
              </w:r>
            </w:hyperlink>
          </w:p>
        </w:tc>
        <w:tc>
          <w:tcPr>
            <w:tcW w:w="3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80" w:type="dxa"/>
            <w:vAlign w:val="bottom"/>
            <w:gridSpan w:val="14"/>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the Unaudited Consolidated Financial Statements</w:t>
              </w:r>
            </w:hyperlink>
          </w:p>
        </w:tc>
        <w:tc>
          <w:tcPr>
            <w:tcW w:w="400" w:type="dxa"/>
            <w:vAlign w:val="bottom"/>
            <w:gridSpan w:val="2"/>
          </w:tcPr>
          <w:p>
            <w:pPr>
              <w:jc w:val="center"/>
              <w:ind w:left="210"/>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8</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10"/>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Management's Discussion and Analysis of Financial Condition and Results of Operations</w:t>
              </w:r>
            </w:hyperlink>
          </w:p>
        </w:tc>
        <w:tc>
          <w:tcPr>
            <w:tcW w:w="2940" w:type="dxa"/>
            <w:vAlign w:val="bottom"/>
            <w:gridSpan w:val="4"/>
          </w:tcPr>
          <w:p>
            <w:pPr>
              <w:spacing w:after="0"/>
              <w:rPr>
                <w:sz w:val="18"/>
                <w:szCs w:val="18"/>
                <w:color w:val="auto"/>
              </w:rPr>
            </w:pPr>
          </w:p>
        </w:tc>
        <w:tc>
          <w:tcPr>
            <w:tcW w:w="400" w:type="dxa"/>
            <w:vAlign w:val="bottom"/>
            <w:gridSpan w:val="2"/>
          </w:tcPr>
          <w:p>
            <w:pPr>
              <w:jc w:val="center"/>
              <w:ind w:left="13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25</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8"/>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18"/>
                <w:szCs w:val="18"/>
                <w:color w:val="auto"/>
              </w:rPr>
            </w:pPr>
          </w:p>
        </w:tc>
        <w:tc>
          <w:tcPr>
            <w:tcW w:w="2940" w:type="dxa"/>
            <w:vAlign w:val="bottom"/>
            <w:gridSpan w:val="4"/>
          </w:tcPr>
          <w:p>
            <w:pPr>
              <w:spacing w:after="0"/>
              <w:rPr>
                <w:sz w:val="18"/>
                <w:szCs w:val="18"/>
                <w:color w:val="auto"/>
              </w:rPr>
            </w:pPr>
          </w:p>
        </w:tc>
        <w:tc>
          <w:tcPr>
            <w:tcW w:w="400" w:type="dxa"/>
            <w:vAlign w:val="bottom"/>
            <w:gridSpan w:val="2"/>
          </w:tcPr>
          <w:p>
            <w:pPr>
              <w:jc w:val="center"/>
              <w:ind w:left="13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5040" w:type="dxa"/>
            <w:vAlign w:val="bottom"/>
            <w:gridSpan w:val="6"/>
          </w:tcPr>
          <w:p>
            <w:pPr>
              <w:spacing w:after="0"/>
              <w:rPr>
                <w:sz w:val="18"/>
                <w:szCs w:val="18"/>
                <w:color w:val="auto"/>
              </w:rPr>
            </w:pPr>
          </w:p>
        </w:tc>
        <w:tc>
          <w:tcPr>
            <w:tcW w:w="400" w:type="dxa"/>
            <w:vAlign w:val="bottom"/>
            <w:gridSpan w:val="2"/>
          </w:tcPr>
          <w:p>
            <w:pPr>
              <w:jc w:val="center"/>
              <w:ind w:left="13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45</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500" w:type="dxa"/>
            <w:vAlign w:val="bottom"/>
            <w:gridSpan w:val="16"/>
          </w:tcPr>
          <w:p>
            <w:pPr>
              <w:spacing w:after="0"/>
              <w:rPr>
                <w:sz w:val="20"/>
                <w:szCs w:val="20"/>
                <w:color w:val="auto"/>
              </w:rPr>
            </w:pPr>
            <w:r>
              <w:rPr>
                <w:rFonts w:ascii="Arial" w:cs="Arial" w:eastAsia="Arial" w:hAnsi="Arial"/>
                <w:sz w:val="18"/>
                <w:szCs w:val="18"/>
                <w:b w:val="1"/>
                <w:bCs w:val="1"/>
                <w:color w:val="auto"/>
              </w:rPr>
              <w:t>Part II - Other Information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112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9380" w:type="dxa"/>
            <w:vAlign w:val="bottom"/>
            <w:gridSpan w:val="14"/>
          </w:tcPr>
          <w:p>
            <w:pPr>
              <w:spacing w:after="0" w:line="190" w:lineRule="exact"/>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400" w:type="dxa"/>
            <w:vAlign w:val="bottom"/>
            <w:gridSpan w:val="2"/>
          </w:tcPr>
          <w:p>
            <w:pPr>
              <w:jc w:val="center"/>
              <w:ind w:left="130"/>
              <w:spacing w:after="0" w:line="190"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46</w:t>
              </w:r>
            </w:hyperlink>
          </w:p>
        </w:tc>
        <w:tc>
          <w:tcPr>
            <w:tcW w:w="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FF"/>
                <w:w w:val="87"/>
              </w:rPr>
            </w:pPr>
            <w:hyperlink w:anchor="page48">
              <w:r>
                <w:rPr>
                  <w:rFonts w:ascii="Arial" w:cs="Arial" w:eastAsia="Arial" w:hAnsi="Arial"/>
                  <w:sz w:val="18"/>
                  <w:szCs w:val="18"/>
                  <w:color w:val="0000FF"/>
                  <w:w w:val="87"/>
                </w:rPr>
                <w:t>Risk Factors</w:t>
              </w:r>
            </w:hyperlink>
          </w:p>
        </w:tc>
        <w:tc>
          <w:tcPr>
            <w:tcW w:w="400" w:type="dxa"/>
            <w:vAlign w:val="bottom"/>
          </w:tcPr>
          <w:p>
            <w:pPr>
              <w:spacing w:after="0"/>
              <w:rPr>
                <w:sz w:val="18"/>
                <w:szCs w:val="18"/>
                <w:color w:val="auto"/>
              </w:rPr>
            </w:pPr>
          </w:p>
        </w:tc>
        <w:tc>
          <w:tcPr>
            <w:tcW w:w="8080" w:type="dxa"/>
            <w:vAlign w:val="bottom"/>
            <w:gridSpan w:val="10"/>
          </w:tcPr>
          <w:p>
            <w:pPr>
              <w:spacing w:after="0"/>
              <w:rPr>
                <w:sz w:val="18"/>
                <w:szCs w:val="18"/>
                <w:color w:val="auto"/>
              </w:rPr>
            </w:pPr>
          </w:p>
        </w:tc>
        <w:tc>
          <w:tcPr>
            <w:tcW w:w="400" w:type="dxa"/>
            <w:vAlign w:val="bottom"/>
            <w:gridSpan w:val="2"/>
          </w:tcPr>
          <w:p>
            <w:pPr>
              <w:jc w:val="center"/>
              <w:ind w:left="13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46</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8"/>
          </w:tcPr>
          <w:p>
            <w:pPr>
              <w:spacing w:after="0"/>
              <w:rPr>
                <w:rFonts w:ascii="Arial" w:cs="Arial" w:eastAsia="Arial" w:hAnsi="Arial"/>
                <w:sz w:val="18"/>
                <w:szCs w:val="18"/>
                <w:color w:val="0000FF"/>
                <w:w w:val="88"/>
              </w:rPr>
            </w:pPr>
            <w:hyperlink w:anchor="page48">
              <w:r>
                <w:rPr>
                  <w:rFonts w:ascii="Arial" w:cs="Arial" w:eastAsia="Arial" w:hAnsi="Arial"/>
                  <w:sz w:val="18"/>
                  <w:szCs w:val="18"/>
                  <w:color w:val="0000FF"/>
                  <w:w w:val="88"/>
                </w:rPr>
                <w:t>Unregistered Sales of Equity Securities and Use of Proceeds</w:t>
              </w:r>
            </w:hyperlink>
          </w:p>
        </w:tc>
        <w:tc>
          <w:tcPr>
            <w:tcW w:w="5040" w:type="dxa"/>
            <w:vAlign w:val="bottom"/>
            <w:gridSpan w:val="6"/>
          </w:tcPr>
          <w:p>
            <w:pPr>
              <w:spacing w:after="0"/>
              <w:rPr>
                <w:sz w:val="18"/>
                <w:szCs w:val="18"/>
                <w:color w:val="auto"/>
              </w:rPr>
            </w:pPr>
          </w:p>
        </w:tc>
        <w:tc>
          <w:tcPr>
            <w:tcW w:w="400" w:type="dxa"/>
            <w:vAlign w:val="bottom"/>
            <w:gridSpan w:val="2"/>
          </w:tcPr>
          <w:p>
            <w:pPr>
              <w:jc w:val="center"/>
              <w:ind w:left="13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46</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6"/>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Defaults Upon Senior Securities</w:t>
              </w:r>
            </w:hyperlink>
          </w:p>
        </w:tc>
        <w:tc>
          <w:tcPr>
            <w:tcW w:w="2020" w:type="dxa"/>
            <w:vAlign w:val="bottom"/>
            <w:gridSpan w:val="2"/>
          </w:tcPr>
          <w:p>
            <w:pPr>
              <w:spacing w:after="0"/>
              <w:rPr>
                <w:sz w:val="18"/>
                <w:szCs w:val="18"/>
                <w:color w:val="auto"/>
              </w:rPr>
            </w:pPr>
          </w:p>
        </w:tc>
        <w:tc>
          <w:tcPr>
            <w:tcW w:w="5040" w:type="dxa"/>
            <w:vAlign w:val="bottom"/>
            <w:gridSpan w:val="6"/>
          </w:tcPr>
          <w:p>
            <w:pPr>
              <w:spacing w:after="0"/>
              <w:rPr>
                <w:sz w:val="18"/>
                <w:szCs w:val="18"/>
                <w:color w:val="auto"/>
              </w:rPr>
            </w:pPr>
          </w:p>
        </w:tc>
        <w:tc>
          <w:tcPr>
            <w:tcW w:w="400" w:type="dxa"/>
            <w:vAlign w:val="bottom"/>
            <w:gridSpan w:val="2"/>
          </w:tcPr>
          <w:p>
            <w:pPr>
              <w:jc w:val="center"/>
              <w:ind w:left="13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46</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Mine Safety Disclosures</w:t>
              </w:r>
            </w:hyperlink>
          </w:p>
        </w:tc>
        <w:tc>
          <w:tcPr>
            <w:tcW w:w="7060" w:type="dxa"/>
            <w:vAlign w:val="bottom"/>
            <w:gridSpan w:val="8"/>
          </w:tcPr>
          <w:p>
            <w:pPr>
              <w:spacing w:after="0"/>
              <w:rPr>
                <w:sz w:val="18"/>
                <w:szCs w:val="18"/>
                <w:color w:val="auto"/>
              </w:rPr>
            </w:pPr>
          </w:p>
        </w:tc>
        <w:tc>
          <w:tcPr>
            <w:tcW w:w="400" w:type="dxa"/>
            <w:vAlign w:val="bottom"/>
            <w:gridSpan w:val="2"/>
          </w:tcPr>
          <w:p>
            <w:pPr>
              <w:jc w:val="center"/>
              <w:ind w:left="13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46</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Other Information</w:t>
              </w:r>
            </w:hyperlink>
          </w:p>
        </w:tc>
        <w:tc>
          <w:tcPr>
            <w:tcW w:w="7620" w:type="dxa"/>
            <w:vAlign w:val="bottom"/>
            <w:gridSpan w:val="9"/>
          </w:tcPr>
          <w:p>
            <w:pPr>
              <w:spacing w:after="0"/>
              <w:rPr>
                <w:sz w:val="18"/>
                <w:szCs w:val="18"/>
                <w:color w:val="auto"/>
              </w:rPr>
            </w:pPr>
          </w:p>
        </w:tc>
        <w:tc>
          <w:tcPr>
            <w:tcW w:w="400" w:type="dxa"/>
            <w:vAlign w:val="bottom"/>
            <w:gridSpan w:val="2"/>
          </w:tcPr>
          <w:p>
            <w:pPr>
              <w:jc w:val="center"/>
              <w:ind w:left="13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46</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8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Exhibits</w:t>
              </w:r>
            </w:hyperlink>
          </w:p>
        </w:tc>
        <w:tc>
          <w:tcPr>
            <w:tcW w:w="700" w:type="dxa"/>
            <w:vAlign w:val="bottom"/>
            <w:gridSpan w:val="3"/>
          </w:tcPr>
          <w:p>
            <w:pPr>
              <w:spacing w:after="0"/>
              <w:rPr>
                <w:sz w:val="18"/>
                <w:szCs w:val="18"/>
                <w:color w:val="auto"/>
              </w:rPr>
            </w:pPr>
          </w:p>
        </w:tc>
        <w:tc>
          <w:tcPr>
            <w:tcW w:w="8080" w:type="dxa"/>
            <w:vAlign w:val="bottom"/>
            <w:gridSpan w:val="10"/>
          </w:tcPr>
          <w:p>
            <w:pPr>
              <w:spacing w:after="0"/>
              <w:rPr>
                <w:sz w:val="18"/>
                <w:szCs w:val="18"/>
                <w:color w:val="auto"/>
              </w:rPr>
            </w:pPr>
          </w:p>
        </w:tc>
        <w:tc>
          <w:tcPr>
            <w:tcW w:w="400" w:type="dxa"/>
            <w:vAlign w:val="bottom"/>
            <w:gridSpan w:val="2"/>
          </w:tcPr>
          <w:p>
            <w:pPr>
              <w:jc w:val="center"/>
              <w:ind w:left="13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47</w:t>
              </w:r>
            </w:hyperlink>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20" w:type="dxa"/>
            <w:vAlign w:val="bottom"/>
            <w:gridSpan w:val="2"/>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gridSpan w:val="2"/>
          </w:tcPr>
          <w:p>
            <w:pPr>
              <w:jc w:val="center"/>
              <w:ind w:left="130"/>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48</w:t>
              </w:r>
            </w:hyperlink>
          </w:p>
        </w:tc>
        <w:tc>
          <w:tcPr>
            <w:tcW w:w="320" w:type="dxa"/>
            <w:vAlign w:val="bottom"/>
          </w:tcPr>
          <w:p>
            <w:pPr>
              <w:spacing w:after="0"/>
              <w:rPr>
                <w:sz w:val="24"/>
                <w:szCs w:val="24"/>
                <w:color w:val="auto"/>
              </w:rPr>
            </w:pPr>
          </w:p>
        </w:tc>
      </w:tr>
      <w:tr>
        <w:trPr>
          <w:trHeight w:val="102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i w:val="1"/>
          <w:iCs w:val="1"/>
          <w:color w:val="auto"/>
        </w:rPr>
        <w:t>This Quarterly Report on Form 10-Q for the quarterly period ended March 31, 2022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12" w:lineRule="exact"/>
        <w:rPr>
          <w:sz w:val="20"/>
          <w:szCs w:val="20"/>
          <w:color w:val="auto"/>
        </w:rPr>
      </w:pPr>
    </w:p>
    <w:p>
      <w:pPr>
        <w:ind w:right="20" w:firstLine="486"/>
        <w:spacing w:after="0" w:line="238" w:lineRule="auto"/>
        <w:rPr>
          <w:sz w:val="20"/>
          <w:szCs w:val="20"/>
          <w:color w:val="auto"/>
        </w:rPr>
      </w:pPr>
      <w:r>
        <w:rPr>
          <w:rFonts w:ascii="Arial" w:cs="Arial" w:eastAsia="Arial" w:hAnsi="Arial"/>
          <w:sz w:val="18"/>
          <w:szCs w:val="18"/>
          <w:i w:val="1"/>
          <w:iCs w:val="1"/>
          <w:color w:val="auto"/>
        </w:rPr>
        <w:t>Forward-looking information involves risks, uncertainties, and other factors that could cause actual results to differ materially from those expressed or implied in, or reasonably inferred from, such statements, including without limitation, the effects of the COVID-19 pandemic on our results of operations and business, and the risks and uncertainties disclosed or referenced under the heading “Risk Factors” in our Annual Report on Form 10-K for the year ended December 31, 2021.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“Rackspace,” “Rackspace Technology,” “Fanatical,” “Rackspace Fabric,” "Rackspace Data Freedom," "Rackspace Services for VMware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Cloud</w:t>
      </w:r>
      <w:r>
        <w:rPr>
          <w:rFonts w:ascii="Arial" w:cs="Arial" w:eastAsia="Arial" w:hAnsi="Arial"/>
          <w:sz w:val="20"/>
          <w:szCs w:val="20"/>
          <w:i w:val="1"/>
          <w:iCs w:val="1"/>
          <w:color w:val="auto"/>
          <w:vertAlign w:val="superscript"/>
        </w:rPr>
        <w:t>TM</w:t>
      </w:r>
      <w:r>
        <w:rPr>
          <w:rFonts w:ascii="Arial" w:cs="Arial" w:eastAsia="Arial" w:hAnsi="Arial"/>
          <w:sz w:val="16"/>
          <w:szCs w:val="16"/>
          <w:i w:val="1"/>
          <w:iCs w:val="1"/>
          <w:color w:val="auto"/>
        </w:rPr>
        <w:t>" and "My Rackspace" are registered or unregistered trademarks of Rackspace US, Inc. in the United States and/or other countries. OpenStack</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w:t>
      </w:r>
    </w:p>
    <w:p>
      <w:pPr>
        <w:spacing w:after="0"/>
        <w:rPr>
          <w:sz w:val="20"/>
          <w:szCs w:val="20"/>
          <w:color w:val="auto"/>
        </w:rPr>
      </w:pPr>
      <w:r>
        <w:rPr>
          <w:rFonts w:ascii="Arial" w:cs="Arial" w:eastAsia="Arial" w:hAnsi="Arial"/>
          <w:sz w:val="16"/>
          <w:szCs w:val="16"/>
          <w:i w:val="1"/>
          <w:iCs w:val="1"/>
          <w:color w:val="auto"/>
        </w:rPr>
        <w:t>a registered trademark of OpenStack, LLC and OpenStack Foundation in the United States. Solely for convenience, trademarks, trade names and service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marks referred to in this Quarterly Report may appear without the ® or ™ symbols, but such references are not intended to indicate, in any way,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will not assert, to the fullest extent under applicable law, our rights or the rights of the applicable licensor to these trademarks, trade names and service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marks. Other trademarks, trade names and service marks appearing in this Quarterly Report are the property of their respective holders. We do not intend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use or display of other companies’ trade names, trademarks or service marks to imply a relationship with, or endorsement or sponsorship of us by,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ITEM 1 -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269.1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2"/>
              </w:rPr>
              <w:t>Accounts receivable, net of allowance for doubtful accounts and accrued customer credits of $18.4 and $16.9, respectively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1,006.1</w:t>
            </w:r>
          </w:p>
        </w:tc>
        <w:tc>
          <w:tcPr>
            <w:tcW w:w="0" w:type="dxa"/>
            <w:vAlign w:val="bottom"/>
          </w:tcPr>
          <w:p>
            <w:pPr>
              <w:spacing w:after="0"/>
              <w:rPr>
                <w:sz w:val="1"/>
                <w:szCs w:val="1"/>
                <w:color w:val="auto"/>
              </w:rPr>
            </w:pPr>
          </w:p>
        </w:tc>
      </w:tr>
      <w:tr>
        <w:trPr>
          <w:trHeight w:val="152"/>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794.7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2,708.6</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1,423.6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6,310.8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817.5</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Non-current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3,307.0</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4,966.5</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Commitments and Contingencies (Note 7)</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2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4"/>
              </w:rPr>
              <w:t>Common stock, $0.01 par value per share: 1,495.0 shares authorized; 211.2 and 212.8 shares issued; 211.2 and 212.4</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outstanding, respectively</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2,517.5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(1,220.1)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zero and 0.4 shares held, respectively</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1,327.4</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1,344.3</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6,310.8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775.5</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0" w:type="dxa"/>
            <w:vAlign w:val="bottom"/>
          </w:tcPr>
          <w:p>
            <w:pPr>
              <w:spacing w:after="0"/>
              <w:rPr>
                <w:sz w:val="1"/>
                <w:szCs w:val="1"/>
                <w:color w:val="auto"/>
              </w:rPr>
            </w:pPr>
          </w:p>
        </w:tc>
      </w:tr>
      <w:tr>
        <w:trPr>
          <w:trHeight w:val="213"/>
        </w:trPr>
        <w:tc>
          <w:tcPr>
            <w:tcW w:w="79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land</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940" w:type="dxa"/>
            <w:vAlign w:val="bottom"/>
          </w:tcPr>
          <w:p>
            <w:pPr>
              <w:ind w:left="360"/>
              <w:spacing w:after="0"/>
              <w:rPr>
                <w:sz w:val="20"/>
                <w:szCs w:val="20"/>
                <w:color w:val="auto"/>
              </w:rPr>
            </w:pPr>
            <w:r>
              <w:rPr>
                <w:rFonts w:ascii="Arial" w:cs="Arial" w:eastAsia="Arial" w:hAnsi="Arial"/>
                <w:sz w:val="16"/>
                <w:szCs w:val="16"/>
                <w:color w:val="auto"/>
              </w:rPr>
              <w:t>Income from operations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investments,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Debt modification and extinguishment costs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income taxes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loss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 on derivative contracts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Amount reclassified from accumulated other comprehensive income (loss) to earnings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3"/>
        </w:trPr>
        <w:tc>
          <w:tcPr>
            <w:tcW w:w="7940" w:type="dxa"/>
            <w:vAlign w:val="bottom"/>
          </w:tcPr>
          <w:p>
            <w:pPr>
              <w:ind w:left="480"/>
              <w:spacing w:after="0"/>
              <w:rPr>
                <w:sz w:val="20"/>
                <w:szCs w:val="20"/>
                <w:color w:val="auto"/>
              </w:rPr>
            </w:pPr>
            <w:r>
              <w:rPr>
                <w:rFonts w:ascii="Arial" w:cs="Arial" w:eastAsia="Arial" w:hAnsi="Arial"/>
                <w:sz w:val="16"/>
                <w:szCs w:val="16"/>
                <w:color w:val="auto"/>
              </w:rPr>
              <w:t>Comprehensive income (loss)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9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Basic and diluted</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19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101.6</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operating right-of-use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Gain on sale of land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modification and extinguishment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Unrealized loss on derivative contracts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investments,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Provision for bad debts and accrued customer credits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 and debt discount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Other operating activities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current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 and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7"/>
        </w:trPr>
        <w:tc>
          <w:tcPr>
            <w:tcW w:w="7940" w:type="dxa"/>
            <w:vAlign w:val="bottom"/>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64.5</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Purchases of property, equipment and software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33"/>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 net of cash acquired</w:t>
            </w:r>
          </w:p>
        </w:tc>
        <w:tc>
          <w:tcPr>
            <w:tcW w:w="3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Proceeds from sale of land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7"/>
        </w:trPr>
        <w:tc>
          <w:tcPr>
            <w:tcW w:w="7940" w:type="dxa"/>
            <w:vAlign w:val="bottom"/>
          </w:tcPr>
          <w:p>
            <w:pPr>
              <w:ind w:left="48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Proceeds from employee stock plans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of common stock repurchased</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Proceeds from borrowings under long-term debt arrangements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2,838.5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long-term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Payments for debt issuance costs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financing component of interest rate swap</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Principal payments of finance lease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of financing obligations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07"/>
        </w:trPr>
        <w:tc>
          <w:tcPr>
            <w:tcW w:w="7940" w:type="dxa"/>
            <w:vAlign w:val="bottom"/>
          </w:tcPr>
          <w:p>
            <w:pPr>
              <w:ind w:left="48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219"/>
        </w:trPr>
        <w:tc>
          <w:tcPr>
            <w:tcW w:w="7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7940" w:type="dxa"/>
            <w:vAlign w:val="bottom"/>
          </w:tcPr>
          <w:p>
            <w:pPr>
              <w:ind w:left="560"/>
              <w:spacing w:after="0"/>
              <w:rPr>
                <w:sz w:val="20"/>
                <w:szCs w:val="20"/>
                <w:color w:val="auto"/>
              </w:rPr>
            </w:pPr>
            <w:r>
              <w:rPr>
                <w:rFonts w:ascii="Arial" w:cs="Arial" w:eastAsia="Arial" w:hAnsi="Arial"/>
                <w:sz w:val="16"/>
                <w:szCs w:val="16"/>
                <w:color w:val="auto"/>
              </w:rPr>
              <w:t>Increase (decrease) in cash, cash equivalents, and restricted cash</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79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275.4</w:t>
            </w:r>
          </w:p>
        </w:tc>
      </w:tr>
      <w:tr>
        <w:trPr>
          <w:trHeight w:val="212"/>
        </w:trPr>
        <w:tc>
          <w:tcPr>
            <w:tcW w:w="7940" w:type="dxa"/>
            <w:vAlign w:val="bottom"/>
          </w:tcPr>
          <w:p>
            <w:pPr>
              <w:ind w:left="560"/>
              <w:spacing w:after="0"/>
              <w:rPr>
                <w:sz w:val="20"/>
                <w:szCs w:val="20"/>
                <w:color w:val="auto"/>
              </w:rPr>
            </w:pPr>
            <w:r>
              <w:rPr>
                <w:rFonts w:ascii="Arial" w:cs="Arial" w:eastAsia="Arial" w:hAnsi="Arial"/>
                <w:sz w:val="16"/>
                <w:szCs w:val="16"/>
                <w:color w:val="auto"/>
              </w:rPr>
              <w:t>Cash, cash equivalents, and restricted cash at end of period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Cash payments for interest, net of amount capitalized</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for income taxes, net of refunds</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54"/>
        </w:trPr>
        <w:tc>
          <w:tcPr>
            <w:tcW w:w="7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Acquisition of property, equipment and software by finance leases</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equipment and software by financing obligations</w:t>
            </w:r>
          </w:p>
        </w:tc>
        <w:tc>
          <w:tcPr>
            <w:tcW w:w="6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Increase in property, equipment and software accrued in liabilities</w:t>
            </w: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2"/>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purchases of property, equipment and software</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54"/>
        </w:trPr>
        <w:tc>
          <w:tcPr>
            <w:tcW w:w="7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6"/>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issuance costs included in accrued liabilities</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40" w:type="dxa"/>
            <w:vAlign w:val="bottom"/>
          </w:tcPr>
          <w:p>
            <w:pPr>
              <w:ind w:left="120"/>
              <w:spacing w:after="0"/>
              <w:rPr>
                <w:sz w:val="20"/>
                <w:szCs w:val="20"/>
                <w:color w:val="auto"/>
              </w:rPr>
            </w:pPr>
            <w:r>
              <w:rPr>
                <w:rFonts w:ascii="Arial" w:cs="Arial" w:eastAsia="Arial" w:hAnsi="Arial"/>
                <w:sz w:val="16"/>
                <w:szCs w:val="16"/>
                <w:color w:val="auto"/>
              </w:rPr>
              <w:t>Other non-cash investing and financing activities</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the total of such amounts shown on the Consolidated Statements of Cash Flows.</w:t>
      </w:r>
    </w:p>
    <w:p>
      <w:pPr>
        <w:spacing w:after="0" w:line="238"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 included in other non-current assets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38"/>
        </w:trPr>
        <w:tc>
          <w:tcPr>
            <w:tcW w:w="7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cash, cash equivalents, and restricted cash shown in the statement of cash flows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91"/>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2"/>
                <w:szCs w:val="12"/>
                <w:color w:val="auto"/>
              </w:rPr>
            </w:pPr>
          </w:p>
        </w:tc>
        <w:tc>
          <w:tcPr>
            <w:tcW w:w="140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07"/>
        </w:trPr>
        <w:tc>
          <w:tcPr>
            <w:tcW w:w="22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6"/>
              </w:rPr>
              <w:t>Balance at December 31, 2020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1,383.7</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9"/>
              </w:rPr>
              <w:t>Exercise of stock options and</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release of stock awards</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140"/>
              <w:spacing w:after="0" w:line="166" w:lineRule="exact"/>
              <w:rPr>
                <w:sz w:val="20"/>
                <w:szCs w:val="20"/>
                <w:color w:val="auto"/>
              </w:rPr>
            </w:pPr>
            <w:r>
              <w:rPr>
                <w:rFonts w:ascii="Arial" w:cs="Arial" w:eastAsia="Arial" w:hAnsi="Arial"/>
                <w:sz w:val="16"/>
                <w:szCs w:val="16"/>
                <w:color w:val="auto"/>
              </w:rPr>
              <w:t>Share-based compensation</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9"/>
        </w:trPr>
        <w:tc>
          <w:tcPr>
            <w:tcW w:w="2240" w:type="dxa"/>
            <w:vAlign w:val="bottom"/>
          </w:tcPr>
          <w:p>
            <w:pPr>
              <w:ind w:left="140"/>
              <w:spacing w:after="0"/>
              <w:rPr>
                <w:sz w:val="20"/>
                <w:szCs w:val="20"/>
                <w:color w:val="auto"/>
              </w:rPr>
            </w:pPr>
            <w:r>
              <w:rPr>
                <w:rFonts w:ascii="Arial" w:cs="Arial" w:eastAsia="Arial" w:hAnsi="Arial"/>
                <w:sz w:val="16"/>
                <w:szCs w:val="16"/>
                <w:color w:val="auto"/>
              </w:rPr>
              <w:t>expense</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13"/>
        </w:trPr>
        <w:tc>
          <w:tcPr>
            <w:tcW w:w="2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9"/>
              </w:rPr>
              <w:t>Other comprehensive income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3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(1,027.3)</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91"/>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2"/>
                <w:szCs w:val="12"/>
                <w:color w:val="auto"/>
              </w:rPr>
            </w:pPr>
          </w:p>
        </w:tc>
        <w:tc>
          <w:tcPr>
            <w:tcW w:w="140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07"/>
        </w:trPr>
        <w:tc>
          <w:tcPr>
            <w:tcW w:w="22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Income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6"/>
              </w:rPr>
              <w:t>Balance at December 31, 2021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1,327.4</w:t>
            </w:r>
          </w:p>
        </w:tc>
        <w:tc>
          <w:tcPr>
            <w:tcW w:w="0" w:type="dxa"/>
            <w:vAlign w:val="bottom"/>
          </w:tcPr>
          <w:p>
            <w:pPr>
              <w:spacing w:after="0"/>
              <w:rPr>
                <w:sz w:val="1"/>
                <w:szCs w:val="1"/>
                <w:color w:val="auto"/>
              </w:rPr>
            </w:pPr>
          </w:p>
        </w:tc>
      </w:tr>
      <w:tr>
        <w:trPr>
          <w:trHeight w:val="166"/>
        </w:trPr>
        <w:tc>
          <w:tcPr>
            <w:tcW w:w="2240" w:type="dxa"/>
            <w:vAlign w:val="bottom"/>
          </w:tcPr>
          <w:p>
            <w:pPr>
              <w:ind w:left="140"/>
              <w:spacing w:after="0" w:line="166" w:lineRule="exact"/>
              <w:rPr>
                <w:sz w:val="20"/>
                <w:szCs w:val="20"/>
                <w:color w:val="auto"/>
              </w:rPr>
            </w:pPr>
            <w:r>
              <w:rPr>
                <w:rFonts w:ascii="Arial" w:cs="Arial" w:eastAsia="Arial" w:hAnsi="Arial"/>
                <w:sz w:val="16"/>
                <w:szCs w:val="16"/>
                <w:color w:val="auto"/>
                <w:w w:val="99"/>
              </w:rPr>
              <w:t>Exercise of stock options and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2240" w:type="dxa"/>
            <w:vAlign w:val="bottom"/>
          </w:tcPr>
          <w:p>
            <w:pPr>
              <w:ind w:left="140"/>
              <w:spacing w:after="0"/>
              <w:rPr>
                <w:sz w:val="20"/>
                <w:szCs w:val="20"/>
                <w:color w:val="auto"/>
              </w:rPr>
            </w:pPr>
            <w:r>
              <w:rPr>
                <w:rFonts w:ascii="Arial" w:cs="Arial" w:eastAsia="Arial" w:hAnsi="Arial"/>
                <w:sz w:val="16"/>
                <w:szCs w:val="16"/>
                <w:color w:val="auto"/>
              </w:rPr>
              <w:t>release of stock awards</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Share-based compensation</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expense</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Other comprehensive income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Arial" w:cs="Arial" w:eastAsia="Arial" w:hAnsi="Arial"/>
                <w:sz w:val="16"/>
                <w:szCs w:val="16"/>
                <w:color w:val="auto"/>
                <w:w w:val="98"/>
              </w:rPr>
              <w:t>Repurchase of common stock</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00"/>
              <w:spacing w:after="0"/>
              <w:rPr>
                <w:sz w:val="20"/>
                <w:szCs w:val="20"/>
                <w:color w:val="auto"/>
              </w:rPr>
            </w:pPr>
            <w:r>
              <w:rPr>
                <w:rFonts w:ascii="Arial" w:cs="Arial" w:eastAsia="Arial" w:hAnsi="Arial"/>
                <w:sz w:val="16"/>
                <w:szCs w:val="16"/>
                <w:color w:val="auto"/>
                <w:w w:val="91"/>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8"/>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w w:val="91"/>
              </w:rPr>
              <w:t>(4.1)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1,344.3</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Overview, Basis of Presentation,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 and Basis of Presentation</w:t>
      </w:r>
    </w:p>
    <w:p>
      <w:pPr>
        <w:spacing w:after="0" w:line="252" w:lineRule="exact"/>
        <w:rPr>
          <w:sz w:val="20"/>
          <w:szCs w:val="20"/>
          <w:color w:val="auto"/>
        </w:rPr>
      </w:pPr>
    </w:p>
    <w:p>
      <w:pPr>
        <w:ind w:right="300" w:firstLine="486"/>
        <w:spacing w:after="0" w:line="257" w:lineRule="auto"/>
        <w:rPr>
          <w:sz w:val="20"/>
          <w:szCs w:val="20"/>
          <w:color w:val="auto"/>
        </w:rPr>
      </w:pPr>
      <w:r>
        <w:rPr>
          <w:rFonts w:ascii="Arial" w:cs="Arial" w:eastAsia="Arial" w:hAnsi="Arial"/>
          <w:sz w:val="18"/>
          <w:szCs w:val="18"/>
          <w:color w:val="auto"/>
        </w:rPr>
        <w:t>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w:t>
      </w:r>
    </w:p>
    <w:p>
      <w:pPr>
        <w:spacing w:after="0" w:line="21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14"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 ease of reference, the terms “we,” “our company,” “the company,” “us,” or “our” as used in this report refer to Rackspace Technology and its consolidated subsidiaries.</w:t>
      </w:r>
    </w:p>
    <w:p>
      <w:pPr>
        <w:spacing w:after="0" w:line="19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On January 18, 2022, we acquired 100% of Just Analytics Pte. Ltd. ("Just Analytics"), a leading provider of cloud-based data, analytics, and artificial intelligence services based in the Asia, Pacific and Japan region. The acquisition was completed for $7.7 million in cash consideration, net of cash acquired, together with future deferred payments that are considered post-combination compensation costs and will be recognized over the next three years. The acquisition of Just Analytics was not material to the unaudited consolidated financial statements.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unaudited consolidated financial statements include the accounts of Rackspace Technology, Inc. and our wholly-owned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balances have been eliminated in consolidation.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unaudited consolidated financial statements as of March 31, 2022, and for the three months ended March 31, 2021 and 2022, have been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prepared in accordance with accounting principles generally accepted in the United States of America (“GAAP”) for interim financial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information. Accordingly, certain financial information and disclosures required for financial statements prepared under GAAP have been omitted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Securities and Exchange Commission ("SEC") disclosure rules and regulations that permit reduced disclosure for interim</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periods. These unaudited interim consolidated financial statements should be read in conjunction with the audited consolidated financial statements and the related notes thereto included in our Annual Report on Form 10-K for the year ended December 31, 2021 ("Annual Report"). The unaudited interim consolidated financial statements have been prepared on the same basis as the audited consolidated financial statements included in our Annual Report and, in the opinion of management, reflect all adjustments, which include normal recurring adjustments, necessary for a fair statement of our financial position as of March 31, 2022, and our results of operations, cash flows and stockholders' equity for the three months ended March 31, 2021 and 2022.</w:t>
      </w:r>
    </w:p>
    <w:p>
      <w:pPr>
        <w:spacing w:after="0" w:line="189"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results of operations for the three months ended March 31, 2022 are not necessarily indicative of the results of operations to be expected for the year ending December 31, 2022, or for any other interim period, or for any other future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doubtful accounts,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52"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The effects of COVID-19 (and any variations thereof) continue to evolve, and the full impact and duration of the virus are unknown. Currently, COVID-19 has not had a significant impact on our operations or financial performance; however, there are remaining uncertainties as a result of COVID-19, particularly the possibility of new variant strain(s) of the virus, the potential resurgence in the spread of the virus and the pace of economic recovery, which continue to impact the estimates and assumptions needed to prepare our consolidated financial statements and footnotes.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Russia and Ukraine Conflict</w:t>
      </w:r>
    </w:p>
    <w:p>
      <w:pPr>
        <w:spacing w:after="0" w:line="252"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Political and economic uncertainty surrounding the Russian conflict in Ukraine could have a material adverse effect on our business. Currently, the conflict has not had a significant impact on our operations or financial performance. However, our overall performance depends in part on worldwide economic and geopolitical conditions. We are monitoring the situation and the potential for the conflict to spread to other countries which could adversely impact our customers and operations, and we may take actions that modify our business operations as may be required by federal, state or local authorities, or that we determine are in the best interests of our employees, customers, partners, suppliers and stockholders.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Estimates</w:t>
      </w:r>
    </w:p>
    <w:p>
      <w:pPr>
        <w:spacing w:after="0" w:line="252"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Our Annual Report includes an additional discussion of the significant accounting policies and estimates used in the preparation of our consolidated financial statements. There were no material changes to our significant accounting policies and estimates during the three months ended March 31,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Business Combinations</w:t>
      </w:r>
    </w:p>
    <w:p>
      <w:pPr>
        <w:spacing w:after="0" w:line="25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 xml:space="preserve">In October 2021, the Financial Accounting Standards Board ("FASB") issued Accounting Standards Update ("ASU") No. 2021-08,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 (ASC 805) - Accounting for Contract Assets and Contract Liabilities from Contracts with Customers</w:t>
      </w:r>
      <w:r>
        <w:rPr>
          <w:rFonts w:ascii="Arial" w:cs="Arial" w:eastAsia="Arial" w:hAnsi="Arial"/>
          <w:sz w:val="17"/>
          <w:szCs w:val="17"/>
          <w:color w:val="auto"/>
        </w:rPr>
        <w:t>. ASU 2021-08 requires that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(acquirer) recognize and measure contract assets and contract liabilities acquired in a business combination in accordance with Accounting Standards Codification No.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This standard allows the company a practical expedient to remove the requirement to measure and recognize such contracts in accordance with ASC 606. The guidance is applied prospectively upon adoption. We early adopted this guidance on January 1, 2022 and applied the practical expedient to our accounting for the acquisition of Just Analytics. The adoption of the guidance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Reference Rate Reform</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 xml:space="preserve">The United Kingdom's Financial Conduct Authority, which regulates the London Interbank Offered Rate ("LIBOR"), announced that it will not compel panel banks to contribute to the overnight 1, 3, 6 and 12 months U.S. dollar LIBOR tenors after June 30, 2023 and all other tenors after December 31, 2021. U.S. dollar LIBOR may be replaced by the Secured Overnight Financing Rate or other benchmark rates over the next several years. In March 2020, the FASB issued ASU No. 2020-04, </w:t>
      </w:r>
      <w:r>
        <w:rPr>
          <w:rFonts w:ascii="Arial" w:cs="Arial" w:eastAsia="Arial" w:hAnsi="Arial"/>
          <w:sz w:val="17"/>
          <w:szCs w:val="17"/>
          <w:i w:val="1"/>
          <w:iCs w:val="1"/>
          <w:color w:val="auto"/>
        </w:rPr>
        <w:t>Reference Rate Reform (ASC 848) - Facilitation of the Effects of Reference Rate Reform on Financial Reporting</w:t>
      </w:r>
      <w:r>
        <w:rPr>
          <w:rFonts w:ascii="Arial" w:cs="Arial" w:eastAsia="Arial" w:hAnsi="Arial"/>
          <w:sz w:val="17"/>
          <w:szCs w:val="17"/>
          <w:color w:val="auto"/>
        </w:rPr>
        <w:t xml:space="preserve"> containing practical expedients for reference rate reform related activities that impact debt, leases, derivatives and other contracts. The guidance in ASU 2020-04 is optional and may be applied from March 12, 2020 through December 31, 2022 as reference rate reform activities occur. In January 2021, the FASB issued an update that provides supplemental guidance and clarification of the reference rate reform. We have elected to apply certain practical expedients in the past. We continue to evaluate the impact of the guidance and may apply other elections prior to December 31, 2022, as applicable, as additional changes in the market occur. Currently, borrowings under our Senior Facilities use LIBOR as a benchmark for establishing the applicable interest rate, but the First Lien Credit Agreement includes provisions relating to the future discontinuance of LIBOR and sets forth mechanics for establishing the replacement of LIBOR with an alternative benchmark rate.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Customer Contracts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balances related to customer contracts: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160" w:type="dxa"/>
            <w:vAlign w:val="bottom"/>
            <w:gridSpan w:val="2"/>
          </w:tcPr>
          <w:p>
            <w:pPr>
              <w:ind w:left="720"/>
              <w:spacing w:after="0"/>
              <w:rPr>
                <w:sz w:val="20"/>
                <w:szCs w:val="20"/>
                <w:color w:val="auto"/>
              </w:rPr>
            </w:pPr>
            <w:r>
              <w:rPr>
                <w:rFonts w:ascii="Arial" w:cs="Arial" w:eastAsia="Arial" w:hAnsi="Arial"/>
                <w:sz w:val="16"/>
                <w:szCs w:val="16"/>
                <w:b w:val="1"/>
                <w:bCs w:val="1"/>
                <w:color w:val="auto"/>
              </w:rPr>
              <w:t>Consolidated Balance Sheets Account</w:t>
            </w:r>
          </w:p>
        </w:tc>
        <w:tc>
          <w:tcPr>
            <w:tcW w:w="152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December 31, 2021</w:t>
            </w:r>
          </w:p>
        </w:tc>
        <w:tc>
          <w:tcPr>
            <w:tcW w:w="12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w w:val="96"/>
              </w:rPr>
              <w:t>March 31, 2022</w:t>
            </w:r>
          </w:p>
        </w:tc>
      </w:tr>
      <w:tr>
        <w:trPr>
          <w:trHeight w:val="212"/>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406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576.1</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Current portion of contract assets</w:t>
            </w:r>
          </w:p>
        </w:tc>
        <w:tc>
          <w:tcPr>
            <w:tcW w:w="4160" w:type="dxa"/>
            <w:vAlign w:val="bottom"/>
            <w:gridSpan w:val="2"/>
          </w:tcPr>
          <w:p>
            <w:pPr>
              <w:ind w:left="20"/>
              <w:spacing w:after="0"/>
              <w:rPr>
                <w:sz w:val="20"/>
                <w:szCs w:val="20"/>
                <w:color w:val="auto"/>
              </w:rPr>
            </w:pPr>
            <w:r>
              <w:rPr>
                <w:rFonts w:ascii="Arial" w:cs="Arial" w:eastAsia="Arial" w:hAnsi="Arial"/>
                <w:sz w:val="16"/>
                <w:szCs w:val="16"/>
                <w:color w:val="auto"/>
              </w:rPr>
              <w:t>Other current assets</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contract assets</w:t>
            </w: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Current portion of deferred revenue</w:t>
            </w:r>
          </w:p>
        </w:tc>
        <w:tc>
          <w:tcPr>
            <w:tcW w:w="4160" w:type="dxa"/>
            <w:vAlign w:val="bottom"/>
            <w:gridSpan w:val="2"/>
          </w:tcPr>
          <w:p>
            <w:pPr>
              <w:ind w:left="20"/>
              <w:spacing w:after="0"/>
              <w:rPr>
                <w:sz w:val="20"/>
                <w:szCs w:val="20"/>
                <w:color w:val="auto"/>
              </w:rPr>
            </w:pPr>
            <w:r>
              <w:rPr>
                <w:rFonts w:ascii="Arial" w:cs="Arial" w:eastAsia="Arial" w:hAnsi="Arial"/>
                <w:sz w:val="16"/>
                <w:szCs w:val="16"/>
                <w:color w:val="auto"/>
              </w:rPr>
              <w:t>Deferred revenue</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111.0</w:t>
            </w: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deferred revenue</w:t>
            </w: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bl>
    <w:p>
      <w:pPr>
        <w:spacing w:after="0" w:line="314"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Allowance for doubtful accounts and accrued customer credits was $18.4 million and $16.9 million as of December 31, 2021 and March 31, 2022, respectively.</w:t>
      </w:r>
    </w:p>
    <w:p>
      <w:pPr>
        <w:spacing w:after="0" w:line="244"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Amounts recognized in revenue for the three months ended March 31, 2021 and 2022, which were included in deferred revenue as of the beginning of each period, totaled $34.6 million and $32.6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Incurred to Obtain and Fulfill a Contract</w:t>
      </w:r>
    </w:p>
    <w:p>
      <w:pPr>
        <w:spacing w:after="0" w:line="239" w:lineRule="exact"/>
        <w:rPr>
          <w:sz w:val="20"/>
          <w:szCs w:val="20"/>
          <w:color w:val="auto"/>
        </w:rPr>
      </w:pPr>
    </w:p>
    <w:p>
      <w:pPr>
        <w:ind w:right="600" w:firstLine="486"/>
        <w:spacing w:after="0" w:line="263" w:lineRule="auto"/>
        <w:rPr>
          <w:sz w:val="20"/>
          <w:szCs w:val="20"/>
          <w:color w:val="auto"/>
        </w:rPr>
      </w:pPr>
      <w:r>
        <w:rPr>
          <w:rFonts w:ascii="Arial" w:cs="Arial" w:eastAsia="Arial" w:hAnsi="Arial"/>
          <w:sz w:val="18"/>
          <w:szCs w:val="18"/>
          <w:color w:val="auto"/>
        </w:rPr>
        <w:t>As of December 31, 2021 and March 31, 2022, the balances of capitalized costs to obtain a contract were $58.0 million and $58.6 million, respectively, and the balances of capitalized costs to fulfill a contract were $23.5 million and $22.0 million, respectively. These capitalized costs are included in “Other non-current assets” on the Consolidated Balance Sheets.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of capitalized sales commissions and implementation costs was as follows:</w:t>
      </w:r>
    </w:p>
    <w:p>
      <w:pPr>
        <w:spacing w:after="0" w:line="50"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capitalized sales commissions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0"/>
        </w:trPr>
        <w:tc>
          <w:tcPr>
            <w:tcW w:w="7940" w:type="dxa"/>
            <w:vAlign w:val="bottom"/>
          </w:tcPr>
          <w:p>
            <w:pPr>
              <w:ind w:left="20"/>
              <w:spacing w:after="0"/>
              <w:rPr>
                <w:sz w:val="20"/>
                <w:szCs w:val="20"/>
                <w:color w:val="auto"/>
              </w:rPr>
            </w:pPr>
            <w:r>
              <w:rPr>
                <w:rFonts w:ascii="Arial" w:cs="Arial" w:eastAsia="Arial" w:hAnsi="Arial"/>
                <w:sz w:val="16"/>
                <w:szCs w:val="16"/>
                <w:color w:val="auto"/>
              </w:rPr>
              <w:t>Amortization of capitalized implementation costs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As of March 31, 2022, the aggregate amount of transaction price allocated to remaining performance obligations was $673.9 million, of which 57% is expected to be recognized as revenue during the remainder of 2022 and the remainder thereafter. These remaining performance obligations primarily relate to our fixed-term arrangements. Our other revenue arrangements are usage-based, and as such, we recognize revenue based on the right to invoice for the services performed.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5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Basic net loss per share is calculated by dividing net loss attributable to common stockholders by the weighted average shares outstanding during the period.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45"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net loss per share: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940" w:type="dxa"/>
            <w:vAlign w:val="bottom"/>
          </w:tcPr>
          <w:p>
            <w:pPr>
              <w:ind w:left="480"/>
              <w:spacing w:after="0"/>
              <w:rPr>
                <w:sz w:val="20"/>
                <w:szCs w:val="20"/>
                <w:color w:val="auto"/>
              </w:rPr>
            </w:pPr>
            <w:r>
              <w:rPr>
                <w:rFonts w:ascii="Arial" w:cs="Arial" w:eastAsia="Arial" w:hAnsi="Arial"/>
                <w:sz w:val="16"/>
                <w:szCs w:val="16"/>
                <w:color w:val="auto"/>
              </w:rPr>
              <w:t>Net loss attributable to common stockholders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shares outstanding:</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Common stock</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w:t>
            </w:r>
          </w:p>
        </w:tc>
      </w:tr>
      <w:tr>
        <w:trPr>
          <w:trHeight w:val="209"/>
        </w:trPr>
        <w:tc>
          <w:tcPr>
            <w:tcW w:w="7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Number of shares used in per share computations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w:t>
            </w:r>
          </w:p>
        </w:tc>
      </w:tr>
      <w:tr>
        <w:trPr>
          <w:trHeight w:val="213"/>
        </w:trPr>
        <w:tc>
          <w:tcPr>
            <w:tcW w:w="7940" w:type="dxa"/>
            <w:vAlign w:val="bottom"/>
          </w:tcPr>
          <w:p>
            <w:pPr>
              <w:ind w:left="680"/>
              <w:spacing w:after="0"/>
              <w:rPr>
                <w:sz w:val="20"/>
                <w:szCs w:val="20"/>
                <w:color w:val="auto"/>
              </w:rPr>
            </w:pPr>
            <w:r>
              <w:rPr>
                <w:rFonts w:ascii="Arial" w:cs="Arial" w:eastAsia="Arial" w:hAnsi="Arial"/>
                <w:sz w:val="16"/>
                <w:szCs w:val="16"/>
                <w:color w:val="auto"/>
              </w:rPr>
              <w:t>Net loss per share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20" w:firstLine="486"/>
        <w:spacing w:after="0" w:line="275" w:lineRule="auto"/>
        <w:rPr>
          <w:sz w:val="20"/>
          <w:szCs w:val="20"/>
          <w:color w:val="auto"/>
        </w:rPr>
      </w:pPr>
      <w:r>
        <w:rPr>
          <w:rFonts w:ascii="Arial" w:cs="Arial" w:eastAsia="Arial" w:hAnsi="Arial"/>
          <w:sz w:val="17"/>
          <w:szCs w:val="17"/>
          <w:color w:val="auto"/>
        </w:rPr>
        <w:t>Potential common share equivalents consist of shares issuable upon the exercise of stock options, vesting of restricted stock or purchase under the Employee Stock Purchase Plan (the "ESPP"), as well as contingent shares associated with our acquisition of Datapipe Parent, Inc. Since we were in a net loss position for both periods presented, basic net loss per share is the same as diluted net loss per share for both periods as the inclusion of all potential common shares outstanding would have been anti-dilutive. We excluded 21.7 million and 24.8 million potential common shares from the computation of dilutive loss per share for the three months ended March 31, 2021 and 2022,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Equipment and Software,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equipment and software, net,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Software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462.2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509.5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07"/>
        </w:trPr>
        <w:tc>
          <w:tcPr>
            <w:tcW w:w="8220" w:type="dxa"/>
            <w:vAlign w:val="bottom"/>
          </w:tcPr>
          <w:p>
            <w:pPr>
              <w:ind w:left="140"/>
              <w:spacing w:after="0"/>
              <w:rPr>
                <w:sz w:val="20"/>
                <w:szCs w:val="20"/>
                <w:color w:val="auto"/>
              </w:rPr>
            </w:pPr>
            <w:r>
              <w:rPr>
                <w:rFonts w:ascii="Arial" w:cs="Arial" w:eastAsia="Arial" w:hAnsi="Arial"/>
                <w:sz w:val="16"/>
                <w:szCs w:val="16"/>
                <w:color w:val="auto"/>
              </w:rPr>
              <w:t>Property, equipment and software, at cost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2,228.1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2,210.0</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Accumulated depreciation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(1,427.2)</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Work in process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38"/>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January 15, 2021, we completed the sale of a parcel of undeveloped land in the United Kingdom adjacent to one of our existing data centers.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book value of the land prior to the sale was $11.4 million and we received cash proceeds of $32.2 million, less brokerage and professional fees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$0.9 million, resulting in net cash proceeds of $31.3 million. Therefore, we recorded a gain on sale of land of $19.9 million to "Gain on sale of land"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(Loss)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changes in the carrying amounts of goodwill by reportable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Multicloud Services</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Apps &amp; Cross</w:t>
            </w:r>
          </w:p>
        </w:tc>
        <w:tc>
          <w:tcPr>
            <w:tcW w:w="10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OpenStack Public</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Total Consolidated</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Platform</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Cloud</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2021</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2,706.8</w:t>
            </w: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Just Analytics acquisition</w:t>
            </w:r>
          </w:p>
        </w:tc>
        <w:tc>
          <w:tcPr>
            <w:tcW w:w="5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Balance as of March 31, 2022</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2,380.3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328.3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2,708.6</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Gross goodwill</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2,675.3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328.3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3,056.0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impairment charges</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(347.4)</w:t>
            </w:r>
          </w:p>
        </w:tc>
        <w:tc>
          <w:tcPr>
            <w:tcW w:w="0" w:type="dxa"/>
            <w:vAlign w:val="bottom"/>
          </w:tcPr>
          <w:p>
            <w:pPr>
              <w:spacing w:after="0"/>
              <w:rPr>
                <w:sz w:val="1"/>
                <w:szCs w:val="1"/>
                <w:color w:val="auto"/>
              </w:rPr>
            </w:pPr>
          </w:p>
        </w:tc>
      </w:tr>
      <w:tr>
        <w:trPr>
          <w:trHeight w:val="212"/>
        </w:trPr>
        <w:tc>
          <w:tcPr>
            <w:tcW w:w="5080" w:type="dxa"/>
            <w:vAlign w:val="bottom"/>
          </w:tcPr>
          <w:p>
            <w:pPr>
              <w:ind w:left="20"/>
              <w:spacing w:after="0"/>
              <w:rPr>
                <w:sz w:val="20"/>
                <w:szCs w:val="20"/>
                <w:color w:val="auto"/>
              </w:rPr>
            </w:pPr>
            <w:r>
              <w:rPr>
                <w:rFonts w:ascii="Arial" w:cs="Arial" w:eastAsia="Arial" w:hAnsi="Arial"/>
                <w:sz w:val="16"/>
                <w:szCs w:val="16"/>
                <w:color w:val="auto"/>
              </w:rPr>
              <w:t>Goodwill, net as of March 31, 2022</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2,380.3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328.3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2,708.6</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regarding our intangible assets other than goodwill: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8"/>
              </w:rPr>
              <w:t>December 31, 2021</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2022</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6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0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3"/>
                <w:szCs w:val="13"/>
                <w:color w:val="auto"/>
              </w:rPr>
            </w:pPr>
          </w:p>
        </w:tc>
        <w:tc>
          <w:tcPr>
            <w:tcW w:w="116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w w:val="98"/>
              </w:rPr>
              <w:t>Net carrying</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amount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amortization</w:t>
            </w:r>
          </w:p>
        </w:tc>
        <w:tc>
          <w:tcPr>
            <w:tcW w:w="16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2"/>
        </w:trPr>
        <w:tc>
          <w:tcPr>
            <w:tcW w:w="27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1,157.8</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Property tax abatement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7"/>
        </w:trPr>
        <w:tc>
          <w:tcPr>
            <w:tcW w:w="2740" w:type="dxa"/>
            <w:vAlign w:val="bottom"/>
          </w:tcPr>
          <w:p>
            <w:pPr>
              <w:ind w:left="260"/>
              <w:spacing w:after="0"/>
              <w:rPr>
                <w:sz w:val="20"/>
                <w:szCs w:val="20"/>
                <w:color w:val="auto"/>
              </w:rPr>
            </w:pPr>
            <w:r>
              <w:rPr>
                <w:rFonts w:ascii="Arial" w:cs="Arial" w:eastAsia="Arial" w:hAnsi="Arial"/>
                <w:sz w:val="16"/>
                <w:szCs w:val="16"/>
                <w:color w:val="auto"/>
                <w:w w:val="97"/>
              </w:rPr>
              <w:t>Total definite-lived intangible assets</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1,173.6</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Trade name (indefinite-lived)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146"/>
        </w:trPr>
        <w:tc>
          <w:tcPr>
            <w:tcW w:w="2740" w:type="dxa"/>
            <w:vAlign w:val="bottom"/>
          </w:tcPr>
          <w:p>
            <w:pPr>
              <w:ind w:left="340"/>
              <w:spacing w:after="0" w:line="146" w:lineRule="exact"/>
              <w:rPr>
                <w:sz w:val="20"/>
                <w:szCs w:val="20"/>
                <w:color w:val="auto"/>
              </w:rPr>
            </w:pPr>
            <w:r>
              <w:rPr>
                <w:rFonts w:ascii="Arial" w:cs="Arial" w:eastAsia="Arial" w:hAnsi="Arial"/>
                <w:sz w:val="16"/>
                <w:szCs w:val="16"/>
                <w:color w:val="auto"/>
              </w:rPr>
              <w:t>Total intangible assets other than</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2,277.2</w:t>
            </w:r>
          </w:p>
        </w:tc>
        <w:tc>
          <w:tcPr>
            <w:tcW w:w="100" w:type="dxa"/>
            <w:vAlign w:val="bottom"/>
          </w:tcPr>
          <w:p>
            <w:pPr>
              <w:spacing w:after="0"/>
              <w:rPr>
                <w:sz w:val="12"/>
                <w:szCs w:val="12"/>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(810.7)</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1,466.5</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2,275.6</w:t>
            </w:r>
          </w:p>
        </w:tc>
        <w:tc>
          <w:tcPr>
            <w:tcW w:w="12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(852.0)</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1,423.6</w:t>
            </w:r>
          </w:p>
        </w:tc>
        <w:tc>
          <w:tcPr>
            <w:tcW w:w="0" w:type="dxa"/>
            <w:vAlign w:val="bottom"/>
          </w:tcPr>
          <w:p>
            <w:pPr>
              <w:spacing w:after="0"/>
              <w:rPr>
                <w:sz w:val="1"/>
                <w:szCs w:val="1"/>
                <w:color w:val="auto"/>
              </w:rPr>
            </w:pPr>
          </w:p>
        </w:tc>
      </w:tr>
      <w:tr>
        <w:trPr>
          <w:trHeight w:val="190"/>
        </w:trPr>
        <w:tc>
          <w:tcPr>
            <w:tcW w:w="2740" w:type="dxa"/>
            <w:vAlign w:val="bottom"/>
          </w:tcPr>
          <w:p>
            <w:pPr>
              <w:ind w:left="340"/>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consisted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(In millions, except %)</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March 31, 2022</w:t>
            </w:r>
          </w:p>
        </w:tc>
      </w:tr>
      <w:tr>
        <w:trPr>
          <w:trHeight w:val="215"/>
        </w:trPr>
        <w:tc>
          <w:tcPr>
            <w:tcW w:w="336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Debt Instrument</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200"/>
              <w:spacing w:after="0" w:line="216"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220"/>
              <w:spacing w:after="0" w:line="216"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20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Loan Facility</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15, 2028</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2,282.8</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3.50%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2,277.0</w:t>
            </w: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Revolving Credit Facility</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7, 2025</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3.50% Senior Secured Notes</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15, 2028</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5.375% Senior Notes</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December 1, 2028</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5.375%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550.0</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5.375%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550.0</w:t>
            </w: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13"/>
        </w:trPr>
        <w:tc>
          <w:tcPr>
            <w:tcW w:w="3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unamortized debt discount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213"/>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3,330.0</w:t>
            </w:r>
          </w:p>
        </w:tc>
      </w:tr>
      <w:tr>
        <w:trPr>
          <w:trHeight w:val="213"/>
        </w:trPr>
        <w:tc>
          <w:tcPr>
            <w:tcW w:w="3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Less: current portion of debt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37"/>
        </w:trPr>
        <w:tc>
          <w:tcPr>
            <w:tcW w:w="3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Debt, excluding current portion</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3,310.9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3,307.0</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Interest rates are as of each respective balance sheet date.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Facilities</w:t>
      </w:r>
    </w:p>
    <w:p>
      <w:pPr>
        <w:spacing w:after="0" w:line="25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Our senior secured credit facilities include a first lien term loan facility (the "Term Loan Facility") and a revolving credit facility (the "Revolving Credit Facility" and, together with the Term Loan Facility, the "Senior Facilities").</w:t>
      </w:r>
    </w:p>
    <w:p>
      <w:pPr>
        <w:spacing w:after="0" w:line="197"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On February 9, 2021, we amended and restated the credit agreement governing our Senior Facilities (the "First Lien Credit Agreement"), which included a new seven-year $2,300.0 million senior secured first lien term loan facility due on February 15, 2028 and our existing $375.0 million Revolving Credit Facility. We used the borrowings under the Term Loan Facility, together with the proceeds from the issuance of the 3.50% Senior Secured Notes described below (together, the "February 2021 Refinancing Transaction"), to repay all borrowings under our prior term loan facility (the "Prior Term Loan Facility"), to pay related fees and expenses and for general corporate purposes.</w:t>
      </w:r>
    </w:p>
    <w:p>
      <w:pPr>
        <w:spacing w:after="0" w:line="20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Borrowings under the Senior Facilities bear interest at an annual rate equal to an applicable margin plus, at our option, either (a) a LIBOR rate determined by reference to the costs of funds for Eurodollar deposits for the interest period relevant to such borrowing, adjusted for certain additional costs, subject to a 0.75% floor, in the case of the Term Loan Facility, and a 1.00% floor, in the case of the Revolving Credit Facility, or (b) a base rate determined by reference to the highest of (i) the federal funds rate plus 0.50%, (ii) the prime rate of Citibank, N.A. and (iii) the one-month adjusted LIBOR plus 1.00%. The applicable margin for the Term Loan Facility is 2.75% for LIBOR loans and 1.75% for base rate loans and the applicable margin for the Revolving Credit Facility is 3.00% for LIBOR loans and 2.00% for base rate loans. Interest is due at the end of each interest period elected, not exceeding 90 days, for LIBOR loans and at the end of every calendar quarter for base rate loans.</w:t>
      </w:r>
    </w:p>
    <w:p>
      <w:pPr>
        <w:spacing w:after="0" w:line="204"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In addition to paying interest on the outstanding principal under the Senior Facilities, the Revolving Credit Facility also includes a commitment fee equal to 0.50% per annum in respect of the unused commitments that is due quarterly. This commitment fee is subject to one step-down based on the net first lien leverage ratio.</w:t>
      </w:r>
    </w:p>
    <w:p>
      <w:pPr>
        <w:spacing w:after="0" w:line="211"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As of March 31, 2022, the interest rate on the Term Loan Facility was 3.50%. We are required to make quarterly principal payments of $5.8 million, which began on June 30, 2021. See Note 12, "Derivatives," for information on interest rate swap agreements we utilize to manage the interest rate risk on the Term Loan Facility.</w:t>
      </w:r>
    </w:p>
    <w:p>
      <w:pPr>
        <w:spacing w:after="0" w:line="211" w:lineRule="exact"/>
        <w:rPr>
          <w:sz w:val="20"/>
          <w:szCs w:val="20"/>
          <w:color w:val="auto"/>
        </w:rPr>
      </w:pPr>
    </w:p>
    <w:p>
      <w:pPr>
        <w:ind w:right="320" w:firstLine="486"/>
        <w:spacing w:after="0" w:line="275" w:lineRule="auto"/>
        <w:rPr>
          <w:sz w:val="20"/>
          <w:szCs w:val="20"/>
          <w:color w:val="auto"/>
        </w:rPr>
      </w:pPr>
      <w:r>
        <w:rPr>
          <w:rFonts w:ascii="Arial" w:cs="Arial" w:eastAsia="Arial" w:hAnsi="Arial"/>
          <w:sz w:val="17"/>
          <w:szCs w:val="17"/>
          <w:color w:val="auto"/>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 except in connection with a repricing event, as defined in the First Lien Credit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 fair value of the Term Loan Facility as of March 31, 2022 was $2,234.3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11" w:lineRule="exact"/>
        <w:rPr>
          <w:sz w:val="20"/>
          <w:szCs w:val="20"/>
          <w:color w:val="auto"/>
        </w:rPr>
      </w:pPr>
    </w:p>
    <w:p>
      <w:pPr>
        <w:ind w:right="140" w:firstLine="486"/>
        <w:spacing w:after="0" w:line="289" w:lineRule="auto"/>
        <w:rPr>
          <w:sz w:val="20"/>
          <w:szCs w:val="20"/>
          <w:color w:val="auto"/>
        </w:rPr>
      </w:pPr>
      <w:r>
        <w:rPr>
          <w:rFonts w:ascii="Arial" w:cs="Arial" w:eastAsia="Arial" w:hAnsi="Arial"/>
          <w:sz w:val="16"/>
          <w:szCs w:val="16"/>
          <w:color w:val="auto"/>
        </w:rPr>
        <w:t>Rackspace Technology Global is the borrower under the Senior Facilities, and all obligations under the Senior Facilities are (i) guaranteed by Inception Parent, Inc., Rackspace Technology Global’s immediate parent company, on a limited recourse basis and secured by the equity interests of Rackspace Technology Global held by Inception Parent, Inc.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 The only financial covenant is with respect to the Revolving Credit Facility which limits the net first lien leverage ratio to a maximum of 5.00 to 1.00; however, this covenant is only applicable and tested if the aggregate amount of outstanding borrowings under the Revolving Credit Facility and letters of credit issued thereunder (excluding $25.0 million of undrawn letters of credit and cash collateralized letters of credit) is equal to or greater than 35% of the Revolving Credit Facility commitments at the end of a fiscal quarter. Other covenants include limitations on restricted payments, indebtedness, investments, liens, asset sales and transactions with affiliates.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2022, we were in compliance with all covenants under the Senior Facilities.</w:t>
      </w:r>
    </w:p>
    <w:p>
      <w:pPr>
        <w:spacing w:after="0" w:line="25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Revolving Credit Facility matures on August 7, 2025. As of March 31, 2022, we had total commitments of $375.0 million and no outstanding borrowings under the Revolving Credit Facility or letters of credit issued thereunder.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3.50% Senior Secured Notes due 2028</w:t>
      </w:r>
    </w:p>
    <w:p>
      <w:pPr>
        <w:spacing w:after="0" w:line="25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On February 9, 2021, Rackspace Technology Global issued $550.0 million aggregate principal amount of 3.50% Senior Secured Notes due 2028 (the “3.50% Senior Secured Notes”). The 3.50% Senior Secured Notes will mature on February 15, 2028 and bear interest at an annual fixed rate of 3.50%. Interest is payable semiannually on each February 15 and August 15, commencing on August 15, 2021. The 3.50% Senior Secured Notes are not subject to registration rights. As noted above, we used the net proceeds from the issuance of the 3.50% Senior Secured Notes, together with borrowings under the Term Loan Facility described above, to repay all borrowings outstanding under the Prior Term Loan Facility, to pay related fees and expenses and for general corporate purposes.</w:t>
      </w:r>
    </w:p>
    <w:p>
      <w:pPr>
        <w:spacing w:after="0" w:line="21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 The indenture governing the 3.50% Senior Secured Notes (the "3.50% Notes Indenture") describes certain terms and conditions under which other current and future domestic subsidiaries are required to become guarantors of the 3.50% Senior Secured Notes.</w:t>
      </w:r>
    </w:p>
    <w:p>
      <w:pPr>
        <w:spacing w:after="0" w:line="222"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Rackspace Technology Global may redeem the 3.50% Senior Secured Notes at its option, in whole at any time or in part from time to time, at the following redemption prices: prior to February 15, 2024, at a redemption price equal to 100.000% of the principal amount, plus the applicable premium described in the 3.50% Notes Indenture and accrued and unpaid interest, if any, to but excluding the redemption date;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Rackspace Technology Global may also redeem prior to February 15, 2024 up to 40.0% of the aggregate principal amount of the 3.50% Senior Secured Notes with funds in an aggregate amount not to exceed the net cash proceeds from certain equity offerings at a redemption price equal to 103.500% of the principal amount of the 3.50% Senior Secured Notes to be redeemed,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2022, Rackspace Technology Global was in compliance with all covenants under the 3.50% Notes Indenture.</w:t>
      </w:r>
    </w:p>
    <w:p>
      <w:pPr>
        <w:spacing w:after="0" w:line="252"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The fair value of the 3.50% Senior Secured Notes as of March 31, 2022 was $492.3 million, based on quoted market prices for identical assets that are traded in over-the-counter secondary markets that are not considered active. The fair value of the 3.50% Senior Secured Notes are classified as Level 2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Senior Notes due 2028</w:t>
      </w:r>
    </w:p>
    <w:p>
      <w:pPr>
        <w:spacing w:after="0" w:line="252"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On December 1, 2020, Rackspace Technology Global issued $550.0 million aggregate principal amount of 5.375% Senior Notes due 2028 (the "5.375% Senior Notes"). The 5.375% Senior Notes will mature on December 1, 2028 and bear interest at an annual fixed rate of 5.375%. Interest is payable semiannually on each June 1 and December 1, commencing on June 1, 2021. The 5.375% Senior Notes are not subject to registration rights.</w:t>
      </w:r>
    </w:p>
    <w:p>
      <w:pPr>
        <w:spacing w:after="0" w:line="17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 The indenture governing the 5.375% Senior Notes (the "5.375% Notes Indenture") describes certain terms and conditions under which other current and future domestic subsidiaries are required to become guarantors of the 5.375% Senior Notes.</w:t>
      </w:r>
    </w:p>
    <w:p>
      <w:pPr>
        <w:spacing w:after="0" w:line="219"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Rackspace Technology Global may redeem the 5.375% Senior Notes at its option, in whole at any time or in part from time to time, at the following redemption prices: prior to December 1, 2023, at a redemption price equal to 100.000% of the principal amount, plus the applicable premium described in the 5.375% Notes Indenture and accrued and unpaid interest, if any, to but excluding the redemption date; from December 1, 2023 to November 30, 2024, at a redemption price equal to 102.688% of the principal amount, plus accrued and unpaid interest, if any, to but excluding the redemption date;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 Rackspace Technology Global may also redeem prior to December 1, 2023 up to 40.0% of the aggregate principal amount of the 5.375% Senior Notes with funds in an aggregate amount not to exceed the net cash proceeds from certain equity offerings at a redemption price equal to 105.375% of the principal amount of the 5.375% Senior Notes to be redeemed, plus accrued and unpaid interest, if any, to, but excluding, the redemption date.</w:t>
      </w:r>
    </w:p>
    <w:p>
      <w:pPr>
        <w:spacing w:after="0" w:line="212" w:lineRule="exact"/>
        <w:rPr>
          <w:sz w:val="20"/>
          <w:szCs w:val="20"/>
          <w:color w:val="auto"/>
        </w:rPr>
      </w:pPr>
    </w:p>
    <w:p>
      <w:pPr>
        <w:ind w:right="340" w:firstLine="486"/>
        <w:spacing w:after="0" w:line="255" w:lineRule="auto"/>
        <w:rPr>
          <w:sz w:val="20"/>
          <w:szCs w:val="20"/>
          <w:color w:val="auto"/>
        </w:rPr>
      </w:pPr>
      <w:r>
        <w:rPr>
          <w:rFonts w:ascii="Arial" w:cs="Arial" w:eastAsia="Arial" w:hAnsi="Arial"/>
          <w:sz w:val="18"/>
          <w:szCs w:val="18"/>
          <w:color w:val="auto"/>
        </w:rPr>
        <w:t>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2022, Rackspace Technology Global was in compliance with all covenants under the 5.375% Notes Indenture.</w:t>
      </w:r>
    </w:p>
    <w:p>
      <w:pPr>
        <w:spacing w:after="0" w:line="252"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fair value of the 5.375% Senior Notes as of March 31, 2022 was $475.8 million, based on quoted market prices for identical assets that are traded in over-the-counter secondary markets that are not considered active. The fair value of the 5.375% Senior Notes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2021 Refinancing Transaction</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February 2021 Refinancing Transaction represented an extinguishment and modification of debt. We derecognized $2,795.6 million of the Prior Term Loan Facility and wrote off $9.4 million in unamortized debt issuance costs and debt discount associated with the portion of the Prior Term Loan Facility that was deemed extinguished. We recognized $2,300.0 million borrowed under the Term Loan Facility and $41.0 million of associated debt issuance costs and debt discount, including amounts allocated from the Prior Term Loan Facility, both classified as a direct deduction from the carrying value of non-current debt on our Consolidated Balance Sheets. We recognized $550.0 million aggregate principal amount of the 3.50% Senior Secured Notes due 2028 and $6.8 million of associated debt issuance costs, including amounts allocated from the Prior Term Loan Facility. The February 2021 Refinancing Transaction resulted in expense of $37.0 million recorded within "Debt modification and extinguishment costs" in our Consolidated Statements of Comprehensive Income (Loss) for the three months ended March 31, 2021. The expense was comprised of the write-off of unamortized debt issuance costs and debt discount associated with the portion of the Prior Term Loan Facility that was deemed extinguished, as well as $27.6 million in third party fees associated with the modification.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contingencies that arise from various litigation, claims and commitments, none of which we consider to be material.</w:t>
      </w:r>
    </w:p>
    <w:p>
      <w:pPr>
        <w:spacing w:after="0" w:line="252" w:lineRule="exact"/>
        <w:rPr>
          <w:sz w:val="20"/>
          <w:szCs w:val="20"/>
          <w:color w:val="auto"/>
        </w:rPr>
      </w:pPr>
    </w:p>
    <w:p>
      <w:pPr>
        <w:jc w:val="both"/>
        <w:ind w:right="40" w:firstLine="486"/>
        <w:spacing w:after="0" w:line="279" w:lineRule="auto"/>
        <w:rPr>
          <w:sz w:val="20"/>
          <w:szCs w:val="20"/>
          <w:color w:val="auto"/>
        </w:rPr>
      </w:pPr>
      <w:r>
        <w:rPr>
          <w:rFonts w:ascii="Arial" w:cs="Arial" w:eastAsia="Arial" w:hAnsi="Arial"/>
          <w:sz w:val="17"/>
          <w:szCs w:val="17"/>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198" w:lineRule="exact"/>
        <w:rPr>
          <w:sz w:val="20"/>
          <w:szCs w:val="20"/>
          <w:color w:val="auto"/>
        </w:rPr>
      </w:pPr>
    </w:p>
    <w:p>
      <w:pPr>
        <w:jc w:val="both"/>
        <w:ind w:right="340" w:firstLine="486"/>
        <w:spacing w:after="0" w:line="286" w:lineRule="auto"/>
        <w:rPr>
          <w:sz w:val="20"/>
          <w:szCs w:val="20"/>
          <w:color w:val="auto"/>
        </w:rPr>
      </w:pPr>
      <w:r>
        <w:rPr>
          <w:rFonts w:ascii="Arial" w:cs="Arial" w:eastAsia="Arial" w:hAnsi="Arial"/>
          <w:sz w:val="17"/>
          <w:szCs w:val="17"/>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192"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July 2021 Restructuring Plan</w:t>
      </w:r>
    </w:p>
    <w:p>
      <w:pPr>
        <w:spacing w:after="0" w:line="256" w:lineRule="exact"/>
        <w:rPr>
          <w:sz w:val="20"/>
          <w:szCs w:val="20"/>
          <w:color w:val="auto"/>
        </w:rPr>
      </w:pPr>
    </w:p>
    <w:p>
      <w:pPr>
        <w:jc w:val="both"/>
        <w:ind w:right="120" w:firstLine="486"/>
        <w:spacing w:after="0" w:line="286" w:lineRule="auto"/>
        <w:rPr>
          <w:sz w:val="20"/>
          <w:szCs w:val="20"/>
          <w:color w:val="auto"/>
        </w:rPr>
      </w:pPr>
      <w:r>
        <w:rPr>
          <w:rFonts w:ascii="Arial" w:cs="Arial" w:eastAsia="Arial" w:hAnsi="Arial"/>
          <w:sz w:val="17"/>
          <w:szCs w:val="17"/>
          <w:color w:val="auto"/>
        </w:rPr>
        <w:t>On July 21, 2021, we committed to an internal restructuring plan (the "July 2021 Restructuring Plan") to drive a change in the type and location of certain positions that was expected to result in the termination of approximately 10% of our workforce. Substantially all of the employees impacted by the reduction in workforce were notified of the reduction on July 22, 2021 and had exited the company as of March 31, 2022.</w:t>
      </w:r>
    </w:p>
    <w:p>
      <w:pPr>
        <w:spacing w:after="0" w:line="192"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 xml:space="preserve">During the three months ended March 31, 2022, we did not incur any material exit and disposal costs under Accounting Standards Codification ("ASC") No.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xml:space="preserve"> (“ASC 420”).</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Liability activity for previously accrued restructuring costs that are expected to be settled in cash are presented in the table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Employee Related</w:t>
            </w: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Other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13"/>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Liability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6240" w:type="dxa"/>
            <w:vAlign w:val="bottom"/>
          </w:tcPr>
          <w:p>
            <w:pPr>
              <w:ind w:left="240"/>
              <w:spacing w:after="0"/>
              <w:rPr>
                <w:sz w:val="20"/>
                <w:szCs w:val="20"/>
                <w:color w:val="auto"/>
              </w:rPr>
            </w:pPr>
            <w:r>
              <w:rPr>
                <w:rFonts w:ascii="Arial" w:cs="Arial" w:eastAsia="Arial" w:hAnsi="Arial"/>
                <w:sz w:val="16"/>
                <w:szCs w:val="16"/>
                <w:color w:val="auto"/>
              </w:rPr>
              <w:t>Charges</w:t>
            </w:r>
          </w:p>
        </w:tc>
        <w:tc>
          <w:tcPr>
            <w:tcW w:w="1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payments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Liability as of March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0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cumulative costs incurred as of March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r>
    </w:tbl>
    <w:p>
      <w:pPr>
        <w:spacing w:after="0" w:line="269"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The liability for employee related costs primarily consists of one-time termination benefits and was recorded in "Accrued compensation and benefits" in the Consolidated Balance Sheets as of March 31, 2022. The liability for other costs represents a contract termination cost and was recorded in "Accounts payable and accrued expenses" in the Consolidated Balance Sheets as of March 31, 2022.</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expect to incur any additional future ASC 420 exit and disposal costs related to the July 2021 Restructuring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 Repurchase Program</w:t>
      </w:r>
    </w:p>
    <w:p>
      <w:pPr>
        <w:spacing w:after="0" w:line="256"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On March 3, 2022, our board of directors authorized a program to repurchase up to $75.0 million of shares of our common stock from time to time through open-market transactions, privately negotiated transactions, accelerated share repurchases, and other transactions in accordance with applicable security laws. The program expires on September 30, 2023 and can be discontinued at any time. During the three months ended March 31, 2022, we repurchased $4.1 million, or 0.4 million shares, of our common stock on the open market under this program. Shares purchased pursuant to the program are recorded as treasury stock at cost in the Consolidated Balance Sheets. As of March 31, 2022, approximately $70.9 million of the amount authorized by the board under the current program remained available for additional purchases.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256"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During the three months ended March 31, 2022, we granted 7.8 million restricted stock units ("RSUs") under the Rackspace Technology, Inc. 2020 Equity Incentive Plan with a weighted-average grant date fair value of $11.04. The majority of the RSUs were granted as part of our annual compensation award process and vest ratably over a three-year period, subject to continued service.</w:t>
      </w:r>
    </w:p>
    <w:p>
      <w:pPr>
        <w:spacing w:after="0" w:line="197" w:lineRule="exact"/>
        <w:rPr>
          <w:sz w:val="20"/>
          <w:szCs w:val="20"/>
          <w:color w:val="auto"/>
        </w:rPr>
      </w:pPr>
    </w:p>
    <w:p>
      <w:pPr>
        <w:ind w:right="100" w:firstLine="486"/>
        <w:spacing w:after="0"/>
        <w:rPr>
          <w:sz w:val="20"/>
          <w:szCs w:val="20"/>
          <w:color w:val="auto"/>
        </w:rPr>
      </w:pPr>
      <w:r>
        <w:rPr>
          <w:rFonts w:ascii="Arial" w:cs="Arial" w:eastAsia="Arial" w:hAnsi="Arial"/>
          <w:sz w:val="17"/>
          <w:szCs w:val="17"/>
          <w:color w:val="auto"/>
        </w:rPr>
        <w:t>In addition, during the three months ended March 31, 2022, we granted 1.2 million performance stock units ("PSUs") under the Rackspace Technology, Inc. 2020 Equity Incentive Plan with a weighted-average grant date fair value of $11.70. These PSUs represent the target amount of grants, and the actual number of shares awarded upon vesting may vary depending upon the achievement of the relevant market condition which is based on Rackspace’s Total Shareholder Return (“TSR”) relative to the TSR of a comparator group of IT and Cloud Services Companies. The awards are eligible to vest in equal annual installments over three years based on the attainment of the market condition and the employee’s continued service through the end of the applicable measurement period and were valued using a Monte Carlo simulation.</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Share-based compensation expense recognized was as follows:</w:t>
      </w:r>
    </w:p>
    <w:p>
      <w:pPr>
        <w:spacing w:after="0" w:line="50"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r>
      <w:tr>
        <w:trPr>
          <w:trHeight w:val="213"/>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Pre-tax share-based compensation expense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Income tax benefit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37"/>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 net of tax</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As of March 31, 2022, there was $182.2 million of total unrecognized compensation cost related to stock options, RSUs, PSUs, and the ESPP, which will be recognized using the service period or over our best estimate of the period over which the performance condition will be met, as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Taxes</w:t>
      </w:r>
    </w:p>
    <w:p>
      <w:pPr>
        <w:spacing w:after="0" w:line="229"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ended March 31, 2022, our effective tax rate is lower than the U.S. federal statutory rate of 21% due to the net impact of the geographic distribution of our earnings, the application of the global intangible low-taxed income (“GILTI”) provisions that were implemented with the Tax Cuts and Jobs Act (the “Act”) that was passed on December 22, 2017, tax effects from share-based compensation and executive compensation that is nondeductible under Internal Revenue Code ("IRC") Section 162(m).</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w:t>
      </w:r>
    </w:p>
    <w:p>
      <w:pPr>
        <w:spacing w:after="0" w:line="256"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We utilize derivative instruments, including interest rate swap agreements, to manage our exposure to interest rate risk. We only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right="500" w:firstLine="486"/>
        <w:spacing w:after="0" w:line="301" w:lineRule="auto"/>
        <w:rPr>
          <w:sz w:val="20"/>
          <w:szCs w:val="20"/>
          <w:color w:val="auto"/>
        </w:rPr>
      </w:pPr>
      <w:r>
        <w:rPr>
          <w:rFonts w:ascii="Arial" w:cs="Arial" w:eastAsia="Arial" w:hAnsi="Arial"/>
          <w:sz w:val="16"/>
          <w:szCs w:val="16"/>
          <w:color w:val="auto"/>
        </w:rPr>
        <w:t>We are exposed to interest rate risk associated with fluctuations in interest rates on the floating-rate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184"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On a quarterly basis, we net settle with the counterparty for the difference between the fixed rate specified in each swap agreement and the variable rate based upon the three-month LIBOR as applied to the notional amount of the swap.</w:t>
      </w:r>
    </w:p>
    <w:p>
      <w:pPr>
        <w:spacing w:after="0" w:line="197"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(loss)" in the Consolidated Balance Sheets and reclassified to "Interest expense" in the period when the underlying transaction affects earnings. The income tax effects of cash flow hedges are released from "Accumulated other comprehensive income (loss)" in the period when the underlying transaction affects earnings. Any stranded income tax effects are released from “Accumulated other comprehensive income (loss)” into “Benefit (provision) for income taxes” under the portfolio approach.</w:t>
      </w:r>
    </w:p>
    <w:p>
      <w:pPr>
        <w:spacing w:after="0" w:line="193"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During the year ended December 31, 2021, we completed a series of transactions to modify our interest rate swap positions as follows: (i) All the interest rate swaps outstanding as of December 31, 2020, with the exception of the agreement that matured on February 3, 2021, were de-designated as cash flow hedges on January 31, 2021, (ii) on February 12, 2021, we entered into a $900.0 million receive-fixed interest rate swap which was designed to offset the terms of the remaining two December 2016 swaps, and (iii) on February 12, 2021, we terminated all December 2018 swaps and entered into a</w:t>
      </w:r>
    </w:p>
    <w:p>
      <w:pPr>
        <w:spacing w:after="0" w:line="1"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$1.35 billion pay-fixed interest rate swap, effectively blending the liability position of our existing interest rate swap agreements into the new swap and extending the term of our hedged position to February 2026.</w:t>
      </w:r>
    </w:p>
    <w:p>
      <w:pPr>
        <w:spacing w:after="0" w:line="21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amount remaining in “Accumulated other comprehensive income (loss)" for the de-designated December 2016 and December 2018 swaps at the de-designation date was approximately $51.6 million, and will be amortized as an increase to "Interest expense" over the effective period of the original swap agreements.</w:t>
      </w:r>
    </w:p>
    <w:p>
      <w:pPr>
        <w:spacing w:after="0" w:line="211"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 xml:space="preserve">The new receive-fixed interest rate swap qualifies as a hybrid instrument in accordance with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derivative for which the fair value option has been elected. This $900.0 million swap will remain undesignated to economically offset the now undesignated December 2016 swaps. This new swap and the December 2016 swaps matured on February 3, 2022. Cash settlements related to this receive-fixed interest rate swap will offset and are classified as operating activities in the Consolidated Statements of Cash Flows.</w:t>
      </w:r>
    </w:p>
    <w:p>
      <w:pPr>
        <w:spacing w:after="0" w:line="18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 xml:space="preserve">The new pay-fixed interest rate swap also qualifies as a hybrid instrument in accordance with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at-market derivative that was designated as a cash flow hedge. The loan is accounted for at amortized cost over the life of the swap while the embedded at-market derivative is accounted for at fair value. This new $1.35 billion swap is indexed to three-month LIBOR and will be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will be classified as financing activities in the Consolidated Statements of Cash Flows while the portion treated as an at-market derivative will be classified as operating activities.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and March 31, 2022, the cash flow hedge was highly effective.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terms of interest rate swaps are presented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Effective Date</w:t>
            </w:r>
          </w:p>
        </w:tc>
        <w:tc>
          <w:tcPr>
            <w:tcW w:w="128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92"/>
              </w:rPr>
              <w:t>Fixed Rate Paid</w:t>
            </w:r>
          </w:p>
        </w:tc>
        <w:tc>
          <w:tcPr>
            <w:tcW w:w="158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w w:val="96"/>
              </w:rPr>
              <w:t>Notional Amount (in</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5"/>
              </w:rPr>
              <w:t>Status</w:t>
            </w:r>
          </w:p>
        </w:tc>
        <w:tc>
          <w:tcPr>
            <w:tcW w:w="158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w w:val="98"/>
              </w:rPr>
              <w:t>Notional Amount (in</w:t>
            </w:r>
          </w:p>
        </w:tc>
        <w:tc>
          <w:tcPr>
            <w:tcW w:w="12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5"/>
              </w:rPr>
              <w:t>Status</w:t>
            </w: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3"/>
        </w:trPr>
        <w:tc>
          <w:tcPr>
            <w:tcW w:w="222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(Received)</w:t>
            </w: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millions)</w:t>
            </w: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millions)</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Entered into December 2016:</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2017</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1.9040%</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Active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Matured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3, 2022</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2017</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Active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Matured</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3, 2022</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Entered into December 2018:</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2019</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2.7490%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2020</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2.7350%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213"/>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2021</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2.7360%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2022</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2.7800%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Entered into February 2021:</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2021</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(1.9040)%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Active</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Matured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3, 2022</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9, 2021</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2.3820%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Active</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Active</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9, 2026</w:t>
            </w:r>
          </w:p>
        </w:tc>
        <w:tc>
          <w:tcPr>
            <w:tcW w:w="0" w:type="dxa"/>
            <w:vAlign w:val="bottom"/>
          </w:tcPr>
          <w:p>
            <w:pPr>
              <w:spacing w:after="0"/>
              <w:rPr>
                <w:sz w:val="1"/>
                <w:szCs w:val="1"/>
                <w:color w:val="auto"/>
              </w:rPr>
            </w:pPr>
          </w:p>
        </w:tc>
      </w:tr>
      <w:tr>
        <w:trPr>
          <w:trHeight w:val="213"/>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Total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380" w:firstLine="486"/>
        <w:spacing w:after="0" w:line="263" w:lineRule="auto"/>
        <w:rPr>
          <w:sz w:val="20"/>
          <w:szCs w:val="20"/>
          <w:color w:val="auto"/>
        </w:rPr>
      </w:pPr>
      <w:r>
        <w:rPr>
          <w:rFonts w:ascii="Arial" w:cs="Arial" w:eastAsia="Arial" w:hAnsi="Arial"/>
          <w:sz w:val="18"/>
          <w:szCs w:val="18"/>
          <w:color w:val="auto"/>
        </w:rPr>
        <w:t>Our interest rate swap agreements, excluding the portion treated as debt, are recognized at fair value in the Consolidated Balance Sheets and are valued using pricing models that rely on market observable inputs such as yield curve data, which are classified as Level 2 inputs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Derivatives on the Consolidated Balance Sheets</w:t>
      </w:r>
    </w:p>
    <w:p>
      <w:pPr>
        <w:spacing w:after="0" w:line="252"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fair values of our derivatives and their location on the Consolidated Balance Sheets as of December 31, 2021 and March 31, 2022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December 31, 2021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48"/>
        </w:trPr>
        <w:tc>
          <w:tcPr>
            <w:tcW w:w="248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Derivatives not designated as</w:t>
            </w:r>
          </w:p>
        </w:tc>
        <w:tc>
          <w:tcPr>
            <w:tcW w:w="26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Location</w:t>
            </w:r>
          </w:p>
        </w:tc>
        <w:tc>
          <w:tcPr>
            <w:tcW w:w="10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6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Other current assets </w:t>
            </w:r>
            <w:r>
              <w:rPr>
                <w:rFonts w:ascii="Arial" w:cs="Arial" w:eastAsia="Arial" w:hAnsi="Arial"/>
                <w:sz w:val="21"/>
                <w:szCs w:val="21"/>
                <w:color w:val="auto"/>
                <w:vertAlign w:val="superscript"/>
              </w:rPr>
              <w:t>(1)</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current liabilities</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4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w w:val="92"/>
              </w:rPr>
              <w:t>Derivatives designated as hedging</w:t>
            </w:r>
          </w:p>
        </w:tc>
        <w:tc>
          <w:tcPr>
            <w:tcW w:w="2640" w:type="dxa"/>
            <w:vAlign w:val="bottom"/>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Location</w:t>
            </w: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instruments</w:t>
            </w:r>
          </w:p>
        </w:tc>
        <w:tc>
          <w:tcPr>
            <w:tcW w:w="264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non-current assets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Other current liabilities </w:t>
            </w:r>
            <w:r>
              <w:rPr>
                <w:rFonts w:ascii="Arial" w:cs="Arial" w:eastAsia="Arial" w:hAnsi="Arial"/>
                <w:sz w:val="21"/>
                <w:szCs w:val="21"/>
                <w:color w:val="auto"/>
                <w:vertAlign w:val="superscript"/>
              </w:rPr>
              <w:t>(2)</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9"/>
              </w:rPr>
              <w:t>20.8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Other non-current liabilities </w:t>
            </w:r>
            <w:r>
              <w:rPr>
                <w:rFonts w:ascii="Arial" w:cs="Arial" w:eastAsia="Arial" w:hAnsi="Arial"/>
                <w:sz w:val="21"/>
                <w:szCs w:val="21"/>
                <w:color w:val="auto"/>
                <w:vertAlign w:val="superscript"/>
              </w:rPr>
              <w:t>(3)</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0"/>
        </w:trPr>
        <w:tc>
          <w:tcPr>
            <w:tcW w:w="2480" w:type="dxa"/>
            <w:vAlign w:val="bottom"/>
          </w:tcPr>
          <w:p>
            <w:pPr>
              <w:ind w:left="220"/>
              <w:spacing w:after="0"/>
              <w:rPr>
                <w:sz w:val="20"/>
                <w:szCs w:val="20"/>
                <w:color w:val="auto"/>
              </w:rPr>
            </w:pPr>
            <w:r>
              <w:rPr>
                <w:rFonts w:ascii="Arial" w:cs="Arial" w:eastAsia="Arial" w:hAnsi="Arial"/>
                <w:sz w:val="16"/>
                <w:szCs w:val="16"/>
                <w:color w:val="auto"/>
              </w:rPr>
              <w:t>Total</w:t>
            </w:r>
          </w:p>
        </w:tc>
        <w:tc>
          <w:tcPr>
            <w:tcW w:w="26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77.2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entire balance as of December 31, 2021 is comprised of the receive-fixed interest rate swap for which the fair value option has been elected.</w:t>
      </w:r>
    </w:p>
    <w:p>
      <w:pPr>
        <w:spacing w:after="0" w:line="19" w:lineRule="exact"/>
        <w:rPr>
          <w:rFonts w:ascii="Arial" w:cs="Arial" w:eastAsia="Arial" w:hAnsi="Arial"/>
          <w:sz w:val="16"/>
          <w:szCs w:val="16"/>
          <w:color w:val="auto"/>
        </w:rPr>
      </w:pPr>
    </w:p>
    <w:p>
      <w:pPr>
        <w:ind w:left="500" w:hanging="492"/>
        <w:spacing w:after="0" w:line="246" w:lineRule="auto"/>
        <w:tabs>
          <w:tab w:leader="none" w:pos="38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balance as of December 31, 2021 and March 31, 2022 includes $17.2 million and $17.3 million, respectively, related to the financing component of the pay-fixed interest rate swap.</w:t>
      </w:r>
    </w:p>
    <w:p>
      <w:pPr>
        <w:ind w:left="360" w:hanging="352"/>
        <w:spacing w:after="0"/>
        <w:tabs>
          <w:tab w:leader="none" w:pos="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entire balance is comprised of the financing component of the pay-fixed interest rate swap.</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5540" w:hanging="111"/>
        <w:spacing w:after="0"/>
        <w:tabs>
          <w:tab w:leader="none" w:pos="5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1"/>
              </w:rPr>
              <w:t>December 31, 2021</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7"/>
              </w:rPr>
              <w:t>Effects of</w:t>
            </w: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7"/>
              </w:rPr>
              <w:t>Effects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Amounts on</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5"/>
              </w:rPr>
              <w:t>Counterparty</w:t>
            </w:r>
          </w:p>
        </w:tc>
        <w:tc>
          <w:tcPr>
            <w:tcW w:w="11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Amounts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Amounts on</w:t>
            </w: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Counterparty</w:t>
            </w: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Net Amounts</w:t>
            </w: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Balance Sheet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Netting</w:t>
            </w:r>
          </w:p>
        </w:tc>
        <w:tc>
          <w:tcPr>
            <w:tcW w:w="1180" w:type="dxa"/>
            <w:vAlign w:val="bottom"/>
            <w:gridSpan w:val="3"/>
            <w:vMerge w:val="continue"/>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3"/>
              </w:rPr>
              <w:t>Balance Sheet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Netting</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94"/>
        </w:trPr>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Derivatives on the Consolidated Statements of Comprehensive Income (Loss)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effect of our derivatives and their location on the Consolidated Statements of Comprehensive Income (Loss)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2022 was as follows:</w:t>
      </w:r>
    </w:p>
    <w:p>
      <w:pPr>
        <w:spacing w:after="0" w:line="117"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198"/>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3640" w:type="dxa"/>
            <w:vAlign w:val="bottom"/>
          </w:tcPr>
          <w:p>
            <w:pPr>
              <w:ind w:left="780"/>
              <w:spacing w:after="0"/>
              <w:rPr>
                <w:sz w:val="20"/>
                <w:szCs w:val="20"/>
                <w:color w:val="auto"/>
              </w:rPr>
            </w:pPr>
            <w:r>
              <w:rPr>
                <w:rFonts w:ascii="Arial" w:cs="Arial" w:eastAsia="Arial" w:hAnsi="Arial"/>
                <w:sz w:val="16"/>
                <w:szCs w:val="16"/>
                <w:b w:val="1"/>
                <w:bCs w:val="1"/>
                <w:color w:val="auto"/>
              </w:rPr>
              <w:t>Location</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6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Interest expense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43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Foreign currency contracts </w:t>
            </w:r>
            <w:r>
              <w:rPr>
                <w:rFonts w:ascii="Arial" w:cs="Arial" w:eastAsia="Arial" w:hAnsi="Arial"/>
                <w:sz w:val="21"/>
                <w:szCs w:val="21"/>
                <w:color w:val="auto"/>
                <w:vertAlign w:val="superscript"/>
              </w:rPr>
              <w:t>(1)</w:t>
            </w:r>
          </w:p>
        </w:tc>
        <w:tc>
          <w:tcPr>
            <w:tcW w:w="3640" w:type="dxa"/>
            <w:vAlign w:val="bottom"/>
          </w:tcPr>
          <w:p>
            <w:pPr>
              <w:ind w:left="800"/>
              <w:spacing w:after="0"/>
              <w:rPr>
                <w:sz w:val="20"/>
                <w:szCs w:val="20"/>
                <w:color w:val="auto"/>
              </w:rPr>
            </w:pPr>
            <w:r>
              <w:rPr>
                <w:rFonts w:ascii="Arial" w:cs="Arial" w:eastAsia="Arial" w:hAnsi="Arial"/>
                <w:sz w:val="16"/>
                <w:szCs w:val="16"/>
                <w:color w:val="auto"/>
              </w:rPr>
              <w:t>Other expense, net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5"/>
        </w:trPr>
        <w:tc>
          <w:tcPr>
            <w:tcW w:w="4300" w:type="dxa"/>
            <w:vAlign w:val="bottom"/>
            <w:shd w:val="clear" w:color="auto" w:fill="CCEEFF"/>
          </w:tcPr>
          <w:p>
            <w:pPr>
              <w:spacing w:after="0"/>
              <w:rPr>
                <w:sz w:val="8"/>
                <w:szCs w:val="8"/>
                <w:color w:val="auto"/>
              </w:rPr>
            </w:pPr>
          </w:p>
        </w:tc>
        <w:tc>
          <w:tcPr>
            <w:tcW w:w="36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640" w:type="dxa"/>
            <w:vAlign w:val="bottom"/>
          </w:tcPr>
          <w:p>
            <w:pPr>
              <w:ind w:left="780"/>
              <w:spacing w:after="0"/>
              <w:rPr>
                <w:sz w:val="20"/>
                <w:szCs w:val="20"/>
                <w:color w:val="auto"/>
              </w:rPr>
            </w:pPr>
            <w:r>
              <w:rPr>
                <w:rFonts w:ascii="Arial" w:cs="Arial" w:eastAsia="Arial" w:hAnsi="Arial"/>
                <w:sz w:val="16"/>
                <w:szCs w:val="16"/>
                <w:b w:val="1"/>
                <w:bCs w:val="1"/>
                <w:color w:val="auto"/>
              </w:rPr>
              <w:t>Location</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6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Interest expense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bl>
    <w:p>
      <w:pPr>
        <w:spacing w:after="0" w:line="179" w:lineRule="exact"/>
        <w:rPr>
          <w:sz w:val="20"/>
          <w:szCs w:val="20"/>
          <w:color w:val="auto"/>
        </w:rPr>
      </w:pPr>
    </w:p>
    <w:p>
      <w:pPr>
        <w:ind w:left="500" w:right="20" w:hanging="492"/>
        <w:spacing w:after="0" w:line="275" w:lineRule="auto"/>
        <w:tabs>
          <w:tab w:leader="none" w:pos="421"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two foreign currency forward contracts settled on November 30, 2021. As of December 31, 2021 and March 31, 2022, we do not have any outstanding foreign currency hedging contracts.</w:t>
      </w:r>
    </w:p>
    <w:p>
      <w:pPr>
        <w:spacing w:after="0" w:line="19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Interest expense was $52.6 million and $50.1 million for the three months ended March 31, 2021 and 2022, respectively. As of March 31, 2022, the amount of cash flow hedge losses included within "Accumulated other comprehensive income (loss)" that is expected to be reclassified as an increase to "Interest expense" over the next 12 months is approximately $7.9 million. See Note 13, "Accumulated Other Comprehensive Income (Loss)," for information regarding changes in fair value of our derivatives designated as hedging instruments.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Credit-risk-related Contingent Features</w:t>
      </w:r>
    </w:p>
    <w:p>
      <w:pPr>
        <w:spacing w:after="0" w:line="252"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We have agreements with interest rate swap counterparties that contain a provision whereby if we default on any of our material indebtedness, then we could also be declared in default of our interest rate swap agreements. As of March 31, 2022, our outstanding interest rate swap agreement was in a net asset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 Loss on</w:t>
            </w:r>
          </w:p>
        </w:tc>
        <w:tc>
          <w:tcPr>
            <w:tcW w:w="240" w:type="dxa"/>
            <w:vAlign w:val="bottom"/>
          </w:tcPr>
          <w:p>
            <w:pPr>
              <w:spacing w:after="0"/>
              <w:rPr>
                <w:sz w:val="16"/>
                <w:szCs w:val="16"/>
                <w:color w:val="auto"/>
              </w:rPr>
            </w:pPr>
          </w:p>
        </w:tc>
        <w:tc>
          <w:tcPr>
            <w:tcW w:w="1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200" w:type="dxa"/>
            <w:vAlign w:val="bottom"/>
          </w:tcPr>
          <w:p>
            <w:pPr>
              <w:spacing w:after="0"/>
              <w:rPr>
                <w:sz w:val="18"/>
                <w:szCs w:val="18"/>
                <w:color w:val="auto"/>
              </w:rPr>
            </w:pPr>
          </w:p>
        </w:tc>
        <w:tc>
          <w:tcPr>
            <w:tcW w:w="20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Derivative Contracts</w:t>
            </w:r>
          </w:p>
        </w:tc>
        <w:tc>
          <w:tcPr>
            <w:tcW w:w="240" w:type="dxa"/>
            <w:vAlign w:val="bottom"/>
          </w:tcPr>
          <w:p>
            <w:pPr>
              <w:spacing w:after="0"/>
              <w:rPr>
                <w:sz w:val="18"/>
                <w:szCs w:val="18"/>
                <w:color w:val="auto"/>
              </w:rPr>
            </w:pPr>
          </w:p>
        </w:tc>
        <w:tc>
          <w:tcPr>
            <w:tcW w:w="1900" w:type="dxa"/>
            <w:vAlign w:val="bottom"/>
          </w:tcPr>
          <w:p>
            <w:pPr>
              <w:jc w:val="right"/>
              <w:ind w:right="279"/>
              <w:spacing w:after="0"/>
              <w:rPr>
                <w:sz w:val="20"/>
                <w:szCs w:val="20"/>
                <w:color w:val="auto"/>
              </w:rPr>
            </w:pPr>
            <w:r>
              <w:rPr>
                <w:rFonts w:ascii="Arial" w:cs="Arial" w:eastAsia="Arial" w:hAnsi="Arial"/>
                <w:sz w:val="16"/>
                <w:szCs w:val="16"/>
                <w:b w:val="1"/>
                <w:bCs w:val="1"/>
                <w:color w:val="auto"/>
                <w:w w:val="93"/>
              </w:rPr>
              <w:t>Comprehensive Loss</w:t>
            </w:r>
          </w:p>
        </w:tc>
        <w:tc>
          <w:tcPr>
            <w:tcW w:w="0" w:type="dxa"/>
            <w:vAlign w:val="bottom"/>
          </w:tcPr>
          <w:p>
            <w:pPr>
              <w:spacing w:after="0"/>
              <w:rPr>
                <w:sz w:val="1"/>
                <w:szCs w:val="1"/>
                <w:color w:val="auto"/>
              </w:rPr>
            </w:pPr>
          </w:p>
        </w:tc>
      </w:tr>
      <w:tr>
        <w:trPr>
          <w:trHeight w:val="21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Arial" w:cs="Arial" w:eastAsia="Arial" w:hAnsi="Arial"/>
                <w:sz w:val="16"/>
                <w:szCs w:val="16"/>
                <w:color w:val="auto"/>
                <w:w w:val="92"/>
              </w:rPr>
              <w:t>Foreign currency translation adjustments, net of tax expense of $0.1</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Unrealized gain on derivative contracts, net of tax expense of $3.2</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line="166"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2"/>
        </w:trPr>
        <w:tc>
          <w:tcPr>
            <w:tcW w:w="4660" w:type="dxa"/>
            <w:vAlign w:val="bottom"/>
          </w:tcPr>
          <w:p>
            <w:pPr>
              <w:ind w:left="180"/>
              <w:spacing w:after="0" w:line="213" w:lineRule="exact"/>
              <w:rPr>
                <w:sz w:val="20"/>
                <w:szCs w:val="20"/>
                <w:color w:val="auto"/>
              </w:rPr>
            </w:pPr>
            <w:r>
              <w:rPr>
                <w:rFonts w:ascii="Arial" w:cs="Arial" w:eastAsia="Arial" w:hAnsi="Arial"/>
                <w:sz w:val="16"/>
                <w:szCs w:val="16"/>
                <w:color w:val="auto"/>
              </w:rPr>
              <w:t>(loss) into earnings, net of tax benefit of $1.4</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right="160" w:hanging="492"/>
        <w:spacing w:after="0" w:line="275" w:lineRule="auto"/>
        <w:tabs>
          <w:tab w:leader="none" w:pos="40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interest expense recognized of $2.8 million and amortization of off-market swap value and accumulated loss at hedge de-designation of $2.6 million for the three months ended March 31, 2021.</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22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Accumulated Gain (Loss)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22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Comprehensive Income</w:t>
            </w:r>
          </w:p>
        </w:tc>
        <w:tc>
          <w:tcPr>
            <w:tcW w:w="0" w:type="dxa"/>
            <w:vAlign w:val="bottom"/>
          </w:tcPr>
          <w:p>
            <w:pPr>
              <w:spacing w:after="0"/>
              <w:rPr>
                <w:sz w:val="1"/>
                <w:szCs w:val="1"/>
                <w:color w:val="auto"/>
              </w:rPr>
            </w:pPr>
          </w:p>
        </w:tc>
      </w:tr>
      <w:tr>
        <w:trPr>
          <w:trHeight w:val="21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 tax benefit of $0.7</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Unrealized gain on derivative contracts, net of tax expense of $14.6</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line="166"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2"/>
        </w:trPr>
        <w:tc>
          <w:tcPr>
            <w:tcW w:w="4660" w:type="dxa"/>
            <w:vAlign w:val="bottom"/>
          </w:tcPr>
          <w:p>
            <w:pPr>
              <w:ind w:left="180"/>
              <w:spacing w:after="0" w:line="213" w:lineRule="exact"/>
              <w:rPr>
                <w:sz w:val="20"/>
                <w:szCs w:val="20"/>
                <w:color w:val="auto"/>
              </w:rPr>
            </w:pPr>
            <w:r>
              <w:rPr>
                <w:rFonts w:ascii="Arial" w:cs="Arial" w:eastAsia="Arial" w:hAnsi="Arial"/>
                <w:sz w:val="16"/>
                <w:szCs w:val="16"/>
                <w:color w:val="auto"/>
              </w:rPr>
              <w:t xml:space="preserve">(loss) into earnings, net of tax benefit of $1.5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right="160" w:hanging="492"/>
        <w:spacing w:after="0" w:line="275" w:lineRule="auto"/>
        <w:tabs>
          <w:tab w:leader="none" w:pos="40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interest expense recognized of $1.2 million and amortization of off-market swap value and accumulated loss at hedge de-designation of $4.6 million for the three months ended March 31, 2022.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56"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Affiliates of ABRY Partners, LLC and ABRY Partners II, LLC (collectively, “ABRY”), are Term Loan Facility lenders under the First Lien Credit Agreement. As of March 31, 2022, the outstanding principal amount of the Term Loan Facility was $2,277.0 million, of which $54.5 million, or 2.4%, is due to ABRY affiliates. Investment funds affiliated with ABRY are also co-investors in Rackspace Technology.</w:t>
      </w:r>
    </w:p>
    <w:p>
      <w:pPr>
        <w:spacing w:after="0" w:line="211" w:lineRule="exact"/>
        <w:rPr>
          <w:sz w:val="20"/>
          <w:szCs w:val="20"/>
          <w:color w:val="auto"/>
        </w:rPr>
      </w:pPr>
    </w:p>
    <w:p>
      <w:pPr>
        <w:jc w:val="both"/>
        <w:ind w:right="120" w:firstLine="486"/>
        <w:spacing w:after="0" w:line="342" w:lineRule="auto"/>
        <w:rPr>
          <w:sz w:val="20"/>
          <w:szCs w:val="20"/>
          <w:color w:val="auto"/>
        </w:rPr>
      </w:pPr>
      <w:r>
        <w:rPr>
          <w:rFonts w:ascii="Arial" w:cs="Arial" w:eastAsia="Arial" w:hAnsi="Arial"/>
          <w:sz w:val="16"/>
          <w:szCs w:val="16"/>
          <w:color w:val="auto"/>
        </w:rPr>
        <w:t>Apollo Global Securities, LLC, an affiliate of Apollo, received $0.6 million in connection with their role as an initial purchaser of the 3.50% Senior Secured Notes issued on February 9, 2021 and $2.3 million in arranger fees in connection with the entry into the Term Loan Facility on February 9, 2021.</w:t>
      </w:r>
    </w:p>
    <w:p>
      <w:pPr>
        <w:spacing w:after="0" w:line="151"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On February 2, 2021, we issued 2,665,935 shares of common stock to DPH 123, LLC, an ABRY affiliate, for no additional consideration pursuant to the Agreement and Plan of Merger, dated as of September 6, 2017, in connection with our November 15, 2017 acquisition of Datapipe Parent, Inc.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Reporting</w:t>
      </w:r>
    </w:p>
    <w:p>
      <w:pPr>
        <w:spacing w:after="0" w:line="25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have organized our operations into the following three operating segments, which correspond directly to our reportable segments: Multicloud Services, Apps &amp; Cross Platform, and OpenStack Public Cloud. 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segment gross profit. For the calculation of segment gross profit, we allocate certain costs, such as data center operating costs, customer support costs, license expense, and depreciation, to our segments generally based on segment revenue.</w:t>
      </w:r>
    </w:p>
    <w:p>
      <w:pPr>
        <w:spacing w:after="0" w:line="21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table below presents a reconciliation of revenue by reportable segment to consolidated revenue and a reconciliation of consolidated segment gross profit to consolidated loss before income taxes for the three months ended March 31, 2021 and 2022.</w:t>
      </w:r>
    </w:p>
    <w:p>
      <w:pPr>
        <w:spacing w:after="0" w:line="90"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19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Revenue by segment: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579.6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640.1</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r>
      <w:tr>
        <w:trPr>
          <w:trHeight w:val="237"/>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consolidated revenue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Segment gross profit: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196.4</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188.2</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consolidated segment gross profit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Less: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78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6"/>
        </w:trPr>
        <w:tc>
          <w:tcPr>
            <w:tcW w:w="78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78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Gain on sale of land</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Loss on investments, net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modification and extinguishment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 net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37"/>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consolidated loss before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00" w:right="20" w:hanging="492"/>
        <w:spacing w:after="0" w:line="255" w:lineRule="auto"/>
        <w:tabs>
          <w:tab w:leader="none" w:pos="386"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expenses.</w:t>
      </w:r>
    </w:p>
    <w:p>
      <w:pPr>
        <w:spacing w:after="0" w:line="5" w:lineRule="exact"/>
        <w:rPr>
          <w:rFonts w:ascii="Arial" w:cs="Arial" w:eastAsia="Arial" w:hAnsi="Arial"/>
          <w:sz w:val="16"/>
          <w:szCs w:val="16"/>
          <w:color w:val="auto"/>
        </w:rPr>
      </w:pPr>
    </w:p>
    <w:p>
      <w:pPr>
        <w:ind w:left="500" w:hanging="492"/>
        <w:spacing w:after="0" w:line="251" w:lineRule="auto"/>
        <w:tabs>
          <w:tab w:leader="none" w:pos="365"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8" w:lineRule="exact"/>
        <w:rPr>
          <w:rFonts w:ascii="Arial" w:cs="Arial" w:eastAsia="Arial" w:hAnsi="Arial"/>
          <w:sz w:val="16"/>
          <w:szCs w:val="16"/>
          <w:color w:val="auto"/>
        </w:rPr>
      </w:pPr>
    </w:p>
    <w:p>
      <w:pPr>
        <w:ind w:left="5540" w:hanging="111"/>
        <w:spacing w:after="0"/>
        <w:tabs>
          <w:tab w:leader="none" w:pos="5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2 - MANAGEMENT’S DISCUSSION AND ANALYSIS OF FINANCIAL CONDITION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(“MD&amp;A”) is intended to help readers understand our results of operations, financial condition and cash flows and should be read in conjunction with the consolidated financial statements and the related notes included elsewhere in this Quarterly Report on Form 10-Q (this "Quarterly Report") and with the audited consolidated financial statements and the related notes included in our Annual Report. References to “Rackspace Technology,” “we,” “our company,” “the company,” “us,” or “our” refer to Rackspace Technology, Inc. and its consolidated subsidiaries.</w:t>
      </w:r>
    </w:p>
    <w:p>
      <w:pPr>
        <w:spacing w:after="0" w:line="215"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i w:val="1"/>
          <w:iCs w:val="1"/>
          <w:color w:val="auto"/>
        </w:rPr>
        <w:t>The following discussion contains forward-looking statements that are subject to risks and uncertainties. Actual results may differ materially from those contained in any forward-looking statements. See “Special Note Regarding Forward-Looking Statements” contained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21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operate our business and report our results through three reportable segments: (1) Multicloud Services, (2) Apps &amp; Cross Platform and (3) OpenStack Public Cloud. Our Multicloud Services segment includes our multicloud services offerings, as well as professional services related to designing and building multicloud solutions and cloud-native applications. Our Apps &amp; Cross Platform segment includes managed applications, managed security and data services, as well as professional services related to designing and implementing application, security and data services. In early 2017, we determined that our OpenStack Public Cloud offering was not core to our go-forward operations and we ceased to incentivize our sales team to promote and sell the product by the end of that year. We continue to serve our existing OpenStack Public Cloud customer base while we focus our growth strategy and investments on our Multicloud Services and Apps &amp; Cross Platform offerings. See Item 1 of Part I, Financial Statements - Note 15, "Segment Reporting," for additional information about our segments. We refer to certain supplementary “Core” financial measures, which reflect the results or otherwise pertain to the performance of our Multicloud Services and Apps &amp; Cross Platform segments, in the aggregate. Our Core financial measures exclude the results and performance of our OpenStack Public Cloud segment.</w:t>
      </w:r>
    </w:p>
    <w:p>
      <w:pPr>
        <w:spacing w:after="0" w:line="212"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On July 21, 2021, we committed to an internal restructuring plan (the "July 2021 Restructuring Plan"), to drive a change in the type and location of certain positions that was expected to result in the termination of approximately 10% of our workforce. We recorded total charges of $3.2 million for the three months ended March 31, 2022 related to this restructuring plan which are not accounted for as exit and disposal costs under ASC 420, consisting primarily of one-time offshore build out costs. We expect to incur additional expenses of approximately $3 million throughout the remainder of 2022. We expect to realize approximately $95 to $100 million in gross annual savings compared to expense levels prior to the commencement of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Evaluating Strategic Alternatives</w:t>
      </w:r>
    </w:p>
    <w:p>
      <w:pPr>
        <w:spacing w:after="0" w:line="252" w:lineRule="exact"/>
        <w:rPr>
          <w:sz w:val="20"/>
          <w:szCs w:val="20"/>
          <w:color w:val="auto"/>
        </w:rPr>
      </w:pPr>
    </w:p>
    <w:p>
      <w:pPr>
        <w:jc w:val="both"/>
        <w:ind w:right="180" w:firstLine="486"/>
        <w:spacing w:after="0" w:line="296" w:lineRule="auto"/>
        <w:rPr>
          <w:sz w:val="20"/>
          <w:szCs w:val="20"/>
          <w:color w:val="auto"/>
        </w:rPr>
      </w:pPr>
      <w:r>
        <w:rPr>
          <w:rFonts w:ascii="Arial" w:cs="Arial" w:eastAsia="Arial" w:hAnsi="Arial"/>
          <w:sz w:val="16"/>
          <w:szCs w:val="16"/>
          <w:color w:val="auto"/>
        </w:rPr>
        <w:t>On May 10, 2022, we announced that following a recently completed in-depth strategic review and evaluation of various strategic options for our businesses, and also based on inbound interest for one of our product lines, we had concluded that a sum of the parts valuation of Rackspace Technology could be greater than our current enterprise value. This is in part driven by the attractive growth profile of Public Cloud. Accordingly, we are evaluating strategic alternatives and other options. We intend to provide further information as appropriate in light of developments. There can be no assurance that this evaluation will lead to any particular outcome or a change in our business as currently conducted.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5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effects of COVID-19 and its variants continue to evolve, and the full impact and duration of the virus are unknown. Managing COVID-19 continues to severely impact healthcare systems and businesses worldwide. The effects of COVID-19 and its variants and the response to the virus have negatively impacted overall economic conditions. To date, COVID-19 and its variants have not adversely affected our results of operations or financial condition in any material respect. However, there are remaining uncertainties as a result of COVID-19, particularly the possibility of new variant strain(s) of the virus, the potential resurgence in the spread of the virus and the pace of economic recovery. The full extent to which COVID-19 and its variants may impact our financial condition or results of operations over the medium to long term, therefore, remains uncertain. Due to our recurring revenue business model, the effect of COVID-19 and its variants may not be fully reflected in our results of operations until future periods, if at all.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Russia and Ukraine Conflict</w:t>
      </w:r>
    </w:p>
    <w:p>
      <w:pPr>
        <w:spacing w:after="0" w:line="252"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Political and economic uncertainty surrounding the Russian conflict in Ukraine could have a material adverse effect on our business. Currently, the conflict has not had a significant impact on our operations or financial performance. However, our overall performance depends in part on worldwide economic and geopolitical conditions. We are monitoring the situation and the potential for the conflict to spread to other countries which could adversely impact our customers and operations, and we may take actions that modify our business operations as may be required by federal, state or local authorities, or that we determine are in the best interests of our employees, customers, partners, suppliers and stockholders.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Differentiating Our Service Offerings in a Competitive Market Environment</w:t>
      </w:r>
    </w:p>
    <w:p>
      <w:pPr>
        <w:spacing w:after="0" w:line="252"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Our success depends to a significant extent on our ability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Amazon Web Services ("AWS"), Microsoft Azure, Google Cloud, Oracle, SAP and VMware. We believe we are unique in our ability to serve customers across major technology stacks and deployment options, all while delivering a Fanatical Customer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 new recurring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Relationships and Retention</w:t>
      </w:r>
    </w:p>
    <w:p>
      <w:pPr>
        <w:spacing w:after="0" w:line="25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Mix Shift</w:t>
      </w:r>
    </w:p>
    <w:p>
      <w:pPr>
        <w:spacing w:after="0" w:line="252"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mix of revenue within our Multicloud Services segment has shifted in recent years, from mature offerings such as managed hosting and colocation to managed public cloud services. Since the mature offerings are hosted on our own infrastructure, these offerings carry a higher gross margin, but also a higher burden on the company for operating expenses and capital expenditures. Conversely, as managed public cloud services are hosted on third-party infrastructure, these services carry a lower gross margin, but also a correspondingly lower operating expense and capital expenditure burdens. As a result, despite the difference in gross margins between the mature offerings and the growth offerings, the operating margins for the different classes of offerings are relatively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in Capital Intensity</w:t>
      </w:r>
    </w:p>
    <w:p>
      <w:pPr>
        <w:spacing w:after="0" w:line="25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recent years, the mix of our consolidated revenues has shifted from high capital intensity service offerings to low capital intensity service offerings and we expect this mix shift to continue. Historically, we primarily offered managed hosting and OpenStack Public Cloud services to our customers, which required us to deploy servers and equipment to ensure adequate capacity for new customers and, in certain cases, on behalf of customers at the start or during the performance of a contract, resulting in a high level of anticipatory and success-based capital expenditures. Today, the vast majority of our revenue is derived from service offerings, such as managed public cloud services, application services and professional services, which have significantly lower success-based capital requirements because they allow us to leverage our partners’ infrastructure or technology to make our capital expenditures more efficient. As a result, we have recently experienced and expect to continue to experience changes in our capital expenditures requirements.</w:t>
      </w:r>
    </w:p>
    <w:p>
      <w:pPr>
        <w:spacing w:after="0" w:line="219"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Our capital expenditures equaled 8% and 4% of our revenue for the three months ended March 31, 2021 and 2022, respectively. While there is some variability in capital expenditures from quarter to quarter due to timing of purchases, we expect to maintain current capex intensity levels over the longer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252"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Our ability to be successful and to execute on our strategies depends on our ability to hire and retain qualified employees. Like others in our industry, we are realizing higher than historical levels of voluntary attrition. As a result, we are accelerating our best shoring efforts and expanding the geographic reach of our recruiting pool. The company continues to enhance and develop programs to attract, retain and develop top talent.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Components of Statement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A substantial amount of our revenue, particularly within our Multicloud Services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Our public cloud services within the Multicloud Services segment and most of our Apps &amp; Cross Platform and OpenStack Public Cloud services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9"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w:t>
      </w:r>
    </w:p>
    <w:p>
      <w:pPr>
        <w:spacing w:after="0" w:line="21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SG&amp;A also includes transaction costs related to acquisitions and financings along with costs related to integration and business transformation initiatives which may impact the comparability of SG&amp;A between periods. Employee related costs and other costs incurred, as discussed in Item 1 of Part I, Financial Statements - Note 8, "July 2021 Restructuring Plan," are also included within SG&amp;A.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income tax benefit (provision) and deferred tax assets and liabilities reflect management’s best assessment of estimated current and future taxes to be paid.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11,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discuss our historical results of operations, and the key components of those results, below. Past financial results are not necessarily indicative of future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2022</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Year-Over-Year Comparison</w:t>
            </w:r>
          </w:p>
        </w:tc>
      </w:tr>
      <w:tr>
        <w:trPr>
          <w:trHeight w:val="20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 Revenue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12.0 %</w:t>
            </w:r>
          </w:p>
        </w:tc>
      </w:tr>
      <w:tr>
        <w:trPr>
          <w:trHeight w:val="213"/>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3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(11.2)%</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land</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7"/>
        </w:trPr>
        <w:tc>
          <w:tcPr>
            <w:tcW w:w="3240" w:type="dxa"/>
            <w:vAlign w:val="bottom"/>
          </w:tcPr>
          <w:p>
            <w:pPr>
              <w:ind w:left="36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(13.6)%</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investments, net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(97.3)%</w:t>
            </w: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w w:val="99"/>
              </w:rPr>
              <w:t>Debt modification and extinguishment costs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6"/>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(43.4)%</w:t>
            </w:r>
          </w:p>
        </w:tc>
      </w:tr>
      <w:tr>
        <w:trPr>
          <w:trHeight w:val="213"/>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r>
      <w:tr>
        <w:trPr>
          <w:trHeight w:val="238"/>
        </w:trPr>
        <w:tc>
          <w:tcPr>
            <w:tcW w:w="3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Revenue increased $50 million, or 6.8%, to $776 million in the three months ended March 31, 2022 from $726 million in the three months ended March 31, 2021. Revenue was positively impacted by new customer acquisition and growing customer spend in our Multicloud Services segment, as discussed below.</w:t>
      </w:r>
    </w:p>
    <w:p>
      <w:pPr>
        <w:spacing w:after="0" w:line="21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After removing the impact of foreign currency fluctuations, on a constant currency basis, revenue increased 7.3% year-over-year. The following table presents revenue growth by segment: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9"/>
              <w:spacing w:after="0" w:line="213" w:lineRule="exact"/>
              <w:rPr>
                <w:sz w:val="20"/>
                <w:szCs w:val="20"/>
                <w:color w:val="auto"/>
              </w:rPr>
            </w:pPr>
            <w:r>
              <w:rPr>
                <w:rFonts w:ascii="Arial" w:cs="Arial" w:eastAsia="Arial" w:hAnsi="Arial"/>
                <w:sz w:val="16"/>
                <w:szCs w:val="16"/>
                <w:b w:val="1"/>
                <w:bCs w:val="1"/>
                <w:color w:val="auto"/>
                <w:w w:val="95"/>
              </w:rPr>
              <w:t xml:space="preserve">Constant Currency </w:t>
            </w:r>
            <w:r>
              <w:rPr>
                <w:rFonts w:ascii="Arial" w:cs="Arial" w:eastAsia="Arial" w:hAnsi="Arial"/>
                <w:sz w:val="21"/>
                <w:szCs w:val="21"/>
                <w:b w:val="1"/>
                <w:bCs w:val="1"/>
                <w:color w:val="auto"/>
                <w:w w:val="95"/>
                <w:vertAlign w:val="superscript"/>
              </w:rPr>
              <w:t>(1)</w:t>
            </w: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Apps &amp; Cross Platform</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Revenue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(16.6)%</w:t>
            </w:r>
          </w:p>
        </w:tc>
      </w:tr>
      <w:tr>
        <w:trPr>
          <w:trHeight w:val="238"/>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540" w:hanging="111"/>
        <w:spacing w:after="0"/>
        <w:tabs>
          <w:tab w:leader="none" w:pos="5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Multicloud Services revenue in the three months ended March 31, 2022 increased 10% on an actual basis, and 11% on a constant currency basis, from the three months ended March 31, 2021. Underlying growth was driven by both the acquisition of new customers and increased spend by existing customers, partially offset by cancellations by existing customers. Offerings in this segment with the strongest growth include managed public cloud services on AWS, Microsoft Azure and Google Cloud, and Rackspace Services for VMware Cloud.</w:t>
      </w:r>
    </w:p>
    <w:p>
      <w:pPr>
        <w:spacing w:after="0" w:line="198"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Apps &amp; Cross Platform revenue in the three months ended March 31, 2022 decreased 3% on an actual basis, and 2% on a constant currency basis, from the three months ended March 31, 2021, due to the discontinuation of a non-core line of business in 2021. The impact of that decrease was partially offset by growth in our productivity and collaboration applications offerings.</w:t>
      </w:r>
    </w:p>
    <w:p>
      <w:pPr>
        <w:spacing w:after="0" w:line="21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OpenStack Public Cloud revenue in the three months ended March 31, 2022 decreased 17% on an actual and constant currency basis from the three months ended March 31, 2021 due to customer churn.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Cost of revenue increased $59 million, or 12%, to $550 million in the three months ended March 31, 2022 from $491 million in the three months ended March 31, 2021, primarily due to an increase in usage charges for third-party infrastructure associated with growth in these offerings. The increase in third-party infrastructure expense was partially offset by a decline in personnel costs primarily due to cost savings as a result of shifting roles to lower-cost locations as part of our continued focus on business optimization initiatives, including the July 2021 Restructuring Plan. We also had higher severance expense in the prior period. In addition, there were year-over-year data center expense reductions as a result of initiatives to lower our cost structure, which included the consolidation of data center facilities.</w:t>
      </w:r>
    </w:p>
    <w:p>
      <w:pPr>
        <w:spacing w:after="0" w:line="219"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As a percentage of revenue, cost of revenue increased 330 basis points in the three months ended March 31, 2022 to 70.9% from 67.6% in the three months ended March 31, 2021, primarily driven by an 850 basis point increase in usage charges for third-party infrastructure, partially offset by a decrease related to personnel costs and data center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Non-GAAP Gross Profit</w:t>
      </w:r>
    </w:p>
    <w:p>
      <w:pPr>
        <w:spacing w:after="0" w:line="23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consolidated gross profit was $226 million in the three months ended March 31, 2022, a decrease of $9 million from $235 million in the three months ended March 31, 2021. Our Non-GAAP Gross Profit was $236 million in the three months ended March 31, 2022, a decrease of $14 million from $250 million in the three months ended March 31, 2021. Non-GAAP Gross Profit is a non-GAAP financial measure.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below for more information. Our consolidated gross margin was 29.1% in the three months ended March 31, 2022, a decrease of 330 basis points from 32.4% in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table below presents a reconciliation of total consolidated gross profit to Non-GAAP Gross Profit, which represents the total of our individual segment gross profit measures.</w:t>
      </w:r>
    </w:p>
    <w:p>
      <w:pPr>
        <w:spacing w:after="0" w:line="238"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consolidated gross profit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09"/>
        </w:trPr>
        <w:tc>
          <w:tcPr>
            <w:tcW w:w="7940" w:type="dxa"/>
            <w:vAlign w:val="bottom"/>
          </w:tcPr>
          <w:p>
            <w:pPr>
              <w:ind w:left="140"/>
              <w:spacing w:after="0"/>
              <w:rPr>
                <w:sz w:val="20"/>
                <w:szCs w:val="20"/>
                <w:color w:val="auto"/>
              </w:rPr>
            </w:pPr>
            <w:r>
              <w:rPr>
                <w:rFonts w:ascii="Arial" w:cs="Arial" w:eastAsia="Arial" w:hAnsi="Arial"/>
                <w:sz w:val="16"/>
                <w:szCs w:val="16"/>
                <w:color w:val="auto"/>
              </w:rPr>
              <w:t>Non-GAAP Gross Profit</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235.6</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480" w:right="80" w:hanging="454"/>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10" w:lineRule="exact"/>
        <w:rPr>
          <w:rFonts w:ascii="Arial" w:cs="Arial" w:eastAsia="Arial" w:hAnsi="Arial"/>
          <w:sz w:val="16"/>
          <w:szCs w:val="16"/>
          <w:color w:val="auto"/>
        </w:rPr>
      </w:pPr>
    </w:p>
    <w:p>
      <w:pPr>
        <w:ind w:left="480" w:hanging="454"/>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expenses.</w:t>
      </w:r>
    </w:p>
    <w:p>
      <w:pPr>
        <w:spacing w:after="0" w:line="45" w:lineRule="exact"/>
        <w:rPr>
          <w:rFonts w:ascii="Arial" w:cs="Arial" w:eastAsia="Arial" w:hAnsi="Arial"/>
          <w:sz w:val="16"/>
          <w:szCs w:val="16"/>
          <w:color w:val="auto"/>
        </w:rPr>
      </w:pPr>
    </w:p>
    <w:p>
      <w:pPr>
        <w:ind w:left="480" w:right="80" w:hanging="454"/>
        <w:spacing w:after="0" w:line="230"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3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segment gross profit and gross margin for the periods indicated, and the change in gross profit between periods is shown in the table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gridSpan w:val="9"/>
          </w:tcPr>
          <w:p>
            <w:pPr>
              <w:jc w:val="right"/>
              <w:ind w:right="1520"/>
              <w:spacing w:after="0"/>
              <w:rPr>
                <w:sz w:val="20"/>
                <w:szCs w:val="20"/>
                <w:color w:val="auto"/>
              </w:rPr>
            </w:pPr>
            <w:r>
              <w:rPr>
                <w:rFonts w:ascii="Arial" w:cs="Arial" w:eastAsia="Arial" w:hAnsi="Arial"/>
                <w:sz w:val="16"/>
                <w:szCs w:val="16"/>
                <w:b w:val="1"/>
                <w:bCs w:val="1"/>
                <w:color w:val="auto"/>
                <w:w w:val="98"/>
              </w:rPr>
              <w:t>Three Months Ended March 31,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3"/>
          </w:tcPr>
          <w:p>
            <w:pPr>
              <w:jc w:val="right"/>
              <w:ind w:right="93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w w:val="93"/>
              </w:rPr>
              <w:t>Year-Over-Year Comparison</w:t>
            </w:r>
          </w:p>
        </w:tc>
        <w:tc>
          <w:tcPr>
            <w:tcW w:w="0" w:type="dxa"/>
            <w:vAlign w:val="bottom"/>
          </w:tcPr>
          <w:p>
            <w:pPr>
              <w:spacing w:after="0"/>
              <w:rPr>
                <w:sz w:val="1"/>
                <w:szCs w:val="1"/>
                <w:color w:val="auto"/>
              </w:rPr>
            </w:pPr>
          </w:p>
        </w:tc>
      </w:tr>
      <w:tr>
        <w:trPr>
          <w:trHeight w:val="158"/>
        </w:trPr>
        <w:tc>
          <w:tcPr>
            <w:tcW w:w="4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Segment gross profit:</w:t>
            </w: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rPr>
              <w:t>% of Segment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rPr>
              <w:t>% of Segment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33.9 %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160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29.4 %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34.9</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35.9 %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34.5</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36.4 %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60" w:type="dxa"/>
            <w:vAlign w:val="bottom"/>
            <w:tcBorders>
              <w:bottom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60" w:type="dxa"/>
            <w:vAlign w:val="bottom"/>
            <w:tcBorders>
              <w:bottom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31.8 %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Non-GAAP Gross Profit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249.9</w:t>
            </w:r>
          </w:p>
        </w:tc>
        <w:tc>
          <w:tcPr>
            <w:tcW w:w="1620" w:type="dxa"/>
            <w:vAlign w:val="bottom"/>
            <w:gridSpan w:val="5"/>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235.6</w:t>
            </w:r>
          </w:p>
        </w:tc>
        <w:tc>
          <w:tcPr>
            <w:tcW w:w="1600" w:type="dxa"/>
            <w:vAlign w:val="bottom"/>
            <w:gridSpan w:val="5"/>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Multicloud Services gross profit decreased 4% in the three months ended March 31, 2022 from the three months ended March 31, 2021. Segment gross profit as a percentage of segment revenue decreased by 450 basis points, reflecting an 18% increase in segment cost of revenue and a 10% increase in segment revenue. The increase in costs was mainly driven by higher third-party infrastructure costs due to the increase in revenue in our growth offerings resulting in a larger proportion of these services within this segment, partially offset by lower personnel and data center expense.</w:t>
      </w:r>
    </w:p>
    <w:p>
      <w:pPr>
        <w:spacing w:after="0" w:line="184"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Apps &amp; Cross Platform gross profit and segment gross profit as a percentage of revenue was relatively flat year-over-year. The decrease in segment revenue was offset by a reduction in segment cost of revenue.</w:t>
      </w:r>
    </w:p>
    <w:p>
      <w:pPr>
        <w:spacing w:after="0" w:line="197"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OpenStack Public Cloud gross profit decreased 31% in the three months ended March 31, 2022 from the three months ended March 31, 2021 due to customer churn. Segment gross profit as a percentage of segment revenue decreased by 620 basis points, reflecting a 17% decrease in segment revenue, partially offset by a 9% decrease in segment cost of revenue.</w:t>
      </w:r>
    </w:p>
    <w:p>
      <w:pPr>
        <w:spacing w:after="0" w:line="21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aggregate amount of costs reflected in consolidated gross profit but excluded from Non-GAAP Gross Profit was $9.6 million in the three months ended March 31, 2022, a decrease of $5.0 million from $14.6 million in the three months ended March 31, 2021, reflecting lower share-based and other compensation expense, restructuring and transformation expenses, and purchase accounting adjustments.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more information about our segment gross profit, see Item 1 of Part I, Financial Statements - Note 15,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Selling, general and administrative expenses decreased $26 million, or 11%, to $205 million in the three months ended March 31, 2022 from $231 million in the three months ended March 31, 2021, due to a decline in personnel costs from cost savings as a result of shifting roles to lower-cost locations as part of our continued focus on business optimization initiatives, including the July 2021 Restructuring Plan. There were also reductions in costs related to other business optimization and integration initiatives compared to the prior period, as well as lower amortization expense related to certain intangible assets reaching the end of their useful life.</w:t>
      </w:r>
    </w:p>
    <w:p>
      <w:pPr>
        <w:spacing w:after="0" w:line="215"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As a percentage of revenue, selling, general and administrative expenses decreased 540 basis points, to 26.4% in the three months ended March 31, 2022 from 31.8% in the three months ended March 31, 2021, for the reasons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Land</w:t>
      </w:r>
    </w:p>
    <w:p>
      <w:pPr>
        <w:spacing w:after="0" w:line="252"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In January 2021, we recorded a $20 million gain related to the sale of a parcel of undeveloped land in the United Kingdom adjacent to one of our existing data centers, as further discussed in Item 1 of Part I, Financial Statements - Note 4, "Property, Equipment and Software, net."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Interest expense decreased $3 million to $50 million in the three months ended March 31, 2022 from $53 million in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2021, primarily driven by a reduction in total debt outstanding and lower interest rates as a result of the February 2021 Refinancing Transaction.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Modification and Extinguishment Costs</w:t>
      </w:r>
    </w:p>
    <w:p>
      <w:pPr>
        <w:spacing w:after="0" w:line="23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We recorded $37 million of debt modification and extinguishment costs in the three months ended March 31, 2021 related to the February 2021 Refinancing Transaction, as further discussed in Item 1 of Part I, Financial Statements - Note 6,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3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Income tax increased to a $6 million expense in the three months ended March 31, 2022 from a $7 million benefit in the three months ended March 31, 2021. Our effective tax rate decreased from 9.7% in the three months ended March 31, 2021 to (17.2)% in the three months ended March 31, 2022. The decrease in the effective tax rate year-over-year and the difference between the effective tax rate for the three months ended March 31, 2022 and the statutory rate are primarily due to the geographic distribution of profits, application of the GILTI provisions, tax effects from share-based compensation and executive compensation that is nondeductible under IRC Section 162(m).</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Per Share (“EPS”),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 Currency Revenue</w:t>
      </w:r>
    </w:p>
    <w:p>
      <w:pPr>
        <w:spacing w:after="0" w:line="239"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0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following table presents, by segment, actual and constant currency revenue and constant currency revenue growth rates, for and between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Three Months Ended</w:t>
            </w:r>
          </w:p>
        </w:tc>
        <w:tc>
          <w:tcPr>
            <w:tcW w:w="260" w:type="dxa"/>
            <w:vAlign w:val="bottom"/>
          </w:tcPr>
          <w:p>
            <w:pPr>
              <w:spacing w:after="0"/>
              <w:rPr>
                <w:sz w:val="16"/>
                <w:szCs w:val="16"/>
                <w:color w:val="auto"/>
              </w:rPr>
            </w:pPr>
          </w:p>
        </w:tc>
        <w:tc>
          <w:tcPr>
            <w:tcW w:w="4120" w:type="dxa"/>
            <w:vAlign w:val="bottom"/>
            <w:gridSpan w:val="7"/>
            <w:vMerge w:val="restart"/>
          </w:tcPr>
          <w:p>
            <w:pPr>
              <w:jc w:val="center"/>
              <w:ind w:right="179"/>
              <w:spacing w:after="0"/>
              <w:rPr>
                <w:sz w:val="20"/>
                <w:szCs w:val="20"/>
                <w:color w:val="auto"/>
              </w:rPr>
            </w:pPr>
            <w:r>
              <w:rPr>
                <w:rFonts w:ascii="Arial" w:cs="Arial" w:eastAsia="Arial" w:hAnsi="Arial"/>
                <w:sz w:val="16"/>
                <w:szCs w:val="16"/>
                <w:b w:val="1"/>
                <w:bCs w:val="1"/>
                <w:color w:val="auto"/>
                <w:w w:val="93"/>
              </w:rPr>
              <w:t>Three Months Ended March 31, 2022</w:t>
            </w:r>
          </w:p>
        </w:tc>
        <w:tc>
          <w:tcPr>
            <w:tcW w:w="100" w:type="dxa"/>
            <w:vAlign w:val="bottom"/>
          </w:tcPr>
          <w:p>
            <w:pPr>
              <w:spacing w:after="0"/>
              <w:rPr>
                <w:sz w:val="16"/>
                <w:szCs w:val="16"/>
                <w:color w:val="auto"/>
              </w:rPr>
            </w:pPr>
          </w:p>
        </w:tc>
        <w:tc>
          <w:tcPr>
            <w:tcW w:w="2980" w:type="dxa"/>
            <w:vAlign w:val="bottom"/>
            <w:gridSpan w:val="3"/>
            <w:vMerge w:val="restart"/>
          </w:tcPr>
          <w:p>
            <w:pPr>
              <w:jc w:val="right"/>
              <w:ind w:right="10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March 31, 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vMerge w:val="continue"/>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Revenue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Revenue</w:t>
            </w:r>
          </w:p>
        </w:tc>
        <w:tc>
          <w:tcPr>
            <w:tcW w:w="120" w:type="dxa"/>
            <w:vAlign w:val="bottom"/>
            <w:vMerge w:val="restart"/>
          </w:tcPr>
          <w:p>
            <w:pPr>
              <w:spacing w:after="0"/>
              <w:rPr>
                <w:sz w:val="13"/>
                <w:szCs w:val="13"/>
                <w:color w:val="auto"/>
              </w:rPr>
            </w:pPr>
          </w:p>
        </w:tc>
        <w:tc>
          <w:tcPr>
            <w:tcW w:w="1500" w:type="dxa"/>
            <w:vAlign w:val="bottom"/>
            <w:gridSpan w:val="3"/>
          </w:tcPr>
          <w:p>
            <w:pPr>
              <w:jc w:val="center"/>
              <w:ind w:right="140"/>
              <w:spacing w:after="0" w:line="158" w:lineRule="exact"/>
              <w:rPr>
                <w:sz w:val="20"/>
                <w:szCs w:val="20"/>
                <w:color w:val="auto"/>
              </w:rPr>
            </w:pPr>
            <w:r>
              <w:rPr>
                <w:rFonts w:ascii="Arial" w:cs="Arial" w:eastAsia="Arial" w:hAnsi="Arial"/>
                <w:sz w:val="16"/>
                <w:szCs w:val="16"/>
                <w:b w:val="1"/>
                <w:bCs w:val="1"/>
                <w:color w:val="auto"/>
                <w:w w:val="92"/>
              </w:rPr>
              <w:t>Foreign Currency</w:t>
            </w:r>
          </w:p>
        </w:tc>
        <w:tc>
          <w:tcPr>
            <w:tcW w:w="200" w:type="dxa"/>
            <w:vAlign w:val="bottom"/>
          </w:tcPr>
          <w:p>
            <w:pPr>
              <w:spacing w:after="0"/>
              <w:rPr>
                <w:sz w:val="13"/>
                <w:szCs w:val="13"/>
                <w:color w:val="auto"/>
              </w:rPr>
            </w:pPr>
          </w:p>
        </w:tc>
        <w:tc>
          <w:tcPr>
            <w:tcW w:w="118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rPr>
              <w:t>Revenue in</w:t>
            </w:r>
          </w:p>
        </w:tc>
        <w:tc>
          <w:tcPr>
            <w:tcW w:w="100" w:type="dxa"/>
            <w:vAlign w:val="bottom"/>
          </w:tcPr>
          <w:p>
            <w:pPr>
              <w:spacing w:after="0"/>
              <w:rPr>
                <w:sz w:val="13"/>
                <w:szCs w:val="13"/>
                <w:color w:val="auto"/>
              </w:rPr>
            </w:pPr>
          </w:p>
        </w:tc>
        <w:tc>
          <w:tcPr>
            <w:tcW w:w="13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Actual</w:t>
            </w:r>
          </w:p>
        </w:tc>
        <w:tc>
          <w:tcPr>
            <w:tcW w:w="120" w:type="dxa"/>
            <w:vAlign w:val="bottom"/>
            <w:vMerge w:val="restart"/>
          </w:tcPr>
          <w:p>
            <w:pPr>
              <w:spacing w:after="0"/>
              <w:rPr>
                <w:sz w:val="13"/>
                <w:szCs w:val="13"/>
                <w:color w:val="auto"/>
              </w:rPr>
            </w:pPr>
          </w:p>
        </w:tc>
        <w:tc>
          <w:tcPr>
            <w:tcW w:w="15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7"/>
              </w:rPr>
              <w:t>Constant Currency</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9"/>
              <w:spacing w:after="0" w:line="216" w:lineRule="exact"/>
              <w:rPr>
                <w:sz w:val="20"/>
                <w:szCs w:val="20"/>
                <w:color w:val="auto"/>
              </w:rPr>
            </w:pPr>
            <w:r>
              <w:rPr>
                <w:rFonts w:ascii="Arial" w:cs="Arial" w:eastAsia="Arial" w:hAnsi="Arial"/>
                <w:sz w:val="16"/>
                <w:szCs w:val="16"/>
                <w:b w:val="1"/>
                <w:bCs w:val="1"/>
                <w:color w:val="auto"/>
                <w:w w:val="89"/>
              </w:rPr>
              <w:t xml:space="preserve">Translation </w:t>
            </w:r>
            <w:r>
              <w:rPr>
                <w:rFonts w:ascii="Arial" w:cs="Arial" w:eastAsia="Arial" w:hAnsi="Arial"/>
                <w:sz w:val="21"/>
                <w:szCs w:val="21"/>
                <w:b w:val="1"/>
                <w:bCs w:val="1"/>
                <w:color w:val="auto"/>
                <w:w w:val="89"/>
                <w:vertAlign w:val="superscript"/>
              </w:rPr>
              <w:t>(a)</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Constant Currency</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3"/>
        </w:trPr>
        <w:tc>
          <w:tcPr>
            <w:tcW w:w="2160" w:type="dxa"/>
            <w:vAlign w:val="bottom"/>
          </w:tcPr>
          <w:p>
            <w:pPr>
              <w:ind w:left="2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6.8 %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80" w:hanging="454"/>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 of foreign currency is calculated by translating current period results using the average exchange rate from the prior comparative period.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Profit</w:t>
      </w:r>
    </w:p>
    <w:p>
      <w:pPr>
        <w:spacing w:after="0" w:line="252"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We present Non-GAAP Gross Profit in this MD&amp;A, which represents the total of our individual segment gross profit measures, because we believe the measure is useful in analyzing trends in our underlying, recurring gross margins. We define Non-GAAP Gross Profit as our consolidated gross profit, adjusted to exclude the impact of share-based compensation expense and other non-recurring or unusual compensation items, purchase accounting-related effects, and certain business transformation-related costs. For a reconciliation of total consolidated gross profit to Non-GAAP Gross Profit, see “G</w:t>
      </w:r>
      <w:r>
        <w:rPr>
          <w:rFonts w:ascii="Arial" w:cs="Arial" w:eastAsia="Arial" w:hAnsi="Arial"/>
          <w:sz w:val="17"/>
          <w:szCs w:val="17"/>
          <w:i w:val="1"/>
          <w:iCs w:val="1"/>
          <w:color w:val="auto"/>
        </w:rPr>
        <w:t>ross</w:t>
      </w:r>
      <w:r>
        <w:rPr>
          <w:rFonts w:ascii="Arial" w:cs="Arial" w:eastAsia="Arial" w:hAnsi="Arial"/>
          <w:sz w:val="17"/>
          <w:szCs w:val="17"/>
          <w:color w:val="auto"/>
        </w:rPr>
        <w:t xml:space="preserve"> </w:t>
      </w:r>
      <w:r>
        <w:rPr>
          <w:rFonts w:ascii="Arial" w:cs="Arial" w:eastAsia="Arial" w:hAnsi="Arial"/>
          <w:sz w:val="17"/>
          <w:szCs w:val="17"/>
          <w:i w:val="1"/>
          <w:iCs w:val="1"/>
          <w:color w:val="auto"/>
        </w:rPr>
        <w:t>Profit and Non-GAAP Gross Profit</w:t>
      </w:r>
      <w:r>
        <w:rPr>
          <w:rFonts w:ascii="Arial" w:cs="Arial" w:eastAsia="Arial" w:hAnsi="Arial"/>
          <w:sz w:val="17"/>
          <w:szCs w:val="17"/>
          <w:color w:val="auto"/>
        </w:rPr>
        <w:t>” in the year-over-year comparison under "Results of Operations" above.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(Loss), Non-GAAP Operating Profit and Adjusted EBITDA</w:t>
      </w:r>
    </w:p>
    <w:p>
      <w:pPr>
        <w:spacing w:after="0" w:line="239"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1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spacing w:after="0" w:line="195"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define Non-GAAP Net Income (Loss) as net income (loss) adjusted to exclude the impact of non-cash charges for share-based compensation, special bonuses and other compensation expense, transaction-related costs and adjustments, restructuring and transformation charges, the amortization of acquired intangible assets and certain other non-operating, non-recurring or non-core gains and losses, as well as the tax effects of these non-GAAP adjustments.</w:t>
      </w:r>
    </w:p>
    <w:p>
      <w:pPr>
        <w:spacing w:after="0" w:line="214" w:lineRule="exact"/>
        <w:rPr>
          <w:sz w:val="20"/>
          <w:szCs w:val="20"/>
          <w:color w:val="auto"/>
        </w:rPr>
      </w:pPr>
    </w:p>
    <w:p>
      <w:pPr>
        <w:ind w:right="240" w:firstLine="486"/>
        <w:spacing w:after="0" w:line="311" w:lineRule="auto"/>
        <w:rPr>
          <w:sz w:val="20"/>
          <w:szCs w:val="20"/>
          <w:color w:val="auto"/>
        </w:rPr>
      </w:pPr>
      <w:r>
        <w:rPr>
          <w:rFonts w:ascii="Arial" w:cs="Arial" w:eastAsia="Arial" w:hAnsi="Arial"/>
          <w:sz w:val="16"/>
          <w:szCs w:val="16"/>
          <w:color w:val="auto"/>
        </w:rPr>
        <w:t>We define Non-GAAP Operating Profit as income (loss) from operations adjusted to exclude the impact of non-cash charges for share-based compensation, special bonuses and other compensation expense, transaction-related costs and adjustments, restructuring and transformation charges, the amortization of acquired intangible assets and certain other non-operating, non-recurring or non-core gains and losses.</w:t>
      </w:r>
    </w:p>
    <w:p>
      <w:pPr>
        <w:spacing w:after="0" w:line="176"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define Adjusted EBITDA as net income (loss) adjusted to exclude the impact of non-cash charges for share-based compensation, special bonuses and other compensation expense, transaction-related costs and adjustments, restructuring and transformation charges, certain other non-operating, non-recurring or non-core gains and losses, interest expense, income taxes, and depreciation and amortization.</w:t>
      </w:r>
    </w:p>
    <w:p>
      <w:pPr>
        <w:spacing w:after="0" w:line="211"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spacing w:after="0" w:line="19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w:t>
      </w:r>
    </w:p>
    <w:p>
      <w:pPr>
        <w:spacing w:after="0" w:line="22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following tables present a reconciliation of Non-GAAP Net Income, Non-GAAP Operating Profit and Adjusted EBITDA to the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reconciliation to Non-GAAP Net Income</w:t>
      </w:r>
    </w:p>
    <w:p>
      <w:pPr>
        <w:spacing w:after="0" w:line="135"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Gain on sale of land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Net loss on divestiture and investments </w:t>
            </w:r>
            <w:r>
              <w:rPr>
                <w:rFonts w:ascii="Arial" w:cs="Arial" w:eastAsia="Arial" w:hAnsi="Arial"/>
                <w:sz w:val="21"/>
                <w:szCs w:val="21"/>
                <w:color w:val="auto"/>
                <w:vertAlign w:val="superscript"/>
              </w:rPr>
              <w:t>(d)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Debt modification and extinguishment costs </w:t>
            </w:r>
            <w:r>
              <w:rPr>
                <w:rFonts w:ascii="Arial" w:cs="Arial" w:eastAsia="Arial" w:hAnsi="Arial"/>
                <w:sz w:val="21"/>
                <w:szCs w:val="21"/>
                <w:color w:val="auto"/>
                <w:vertAlign w:val="superscript"/>
              </w:rPr>
              <w:t>(e)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expense, net </w:t>
            </w:r>
            <w:r>
              <w:rPr>
                <w:rFonts w:ascii="Arial" w:cs="Arial" w:eastAsia="Arial" w:hAnsi="Arial"/>
                <w:sz w:val="21"/>
                <w:szCs w:val="21"/>
                <w:color w:val="auto"/>
                <w:vertAlign w:val="superscript"/>
              </w:rPr>
              <w:t>(f)</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(g)</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42.2</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1"/>
                <w:szCs w:val="21"/>
                <w:color w:val="auto"/>
                <w:vertAlign w:val="superscript"/>
              </w:rPr>
              <w:t>(h)</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9"/>
        </w:trPr>
        <w:tc>
          <w:tcPr>
            <w:tcW w:w="7940" w:type="dxa"/>
            <w:vAlign w:val="bottom"/>
          </w:tcPr>
          <w:p>
            <w:pPr>
              <w:ind w:left="240"/>
              <w:spacing w:after="0"/>
              <w:rPr>
                <w:sz w:val="20"/>
                <w:szCs w:val="20"/>
                <w:color w:val="auto"/>
              </w:rPr>
            </w:pPr>
            <w:r>
              <w:rPr>
                <w:rFonts w:ascii="Arial" w:cs="Arial" w:eastAsia="Arial" w:hAnsi="Arial"/>
                <w:sz w:val="16"/>
                <w:szCs w:val="16"/>
                <w:color w:val="auto"/>
              </w:rPr>
              <w:t>Non-GAAP Net Income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 reconciliation to Non-GAAP Operating Profit</w:t>
      </w:r>
    </w:p>
    <w:p>
      <w:pPr>
        <w:spacing w:after="0" w:line="122"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Gain on sale of land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(g)</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r>
      <w:tr>
        <w:trPr>
          <w:trHeight w:val="210"/>
        </w:trPr>
        <w:tc>
          <w:tcPr>
            <w:tcW w:w="7940" w:type="dxa"/>
            <w:vAlign w:val="bottom"/>
          </w:tcPr>
          <w:p>
            <w:pPr>
              <w:ind w:left="240"/>
              <w:spacing w:after="0"/>
              <w:rPr>
                <w:sz w:val="20"/>
                <w:szCs w:val="20"/>
                <w:color w:val="auto"/>
              </w:rPr>
            </w:pPr>
            <w:r>
              <w:rPr>
                <w:rFonts w:ascii="Arial" w:cs="Arial" w:eastAsia="Arial" w:hAnsi="Arial"/>
                <w:sz w:val="16"/>
                <w:szCs w:val="16"/>
                <w:color w:val="auto"/>
              </w:rPr>
              <w:t>Non-GAAP Operating Profit</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reconciliation to Adjusted EBITDA</w:t>
      </w:r>
    </w:p>
    <w:p>
      <w:pPr>
        <w:spacing w:after="0" w:line="135"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Gain on sale of land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Net loss on divestiture and investments </w:t>
            </w:r>
            <w:r>
              <w:rPr>
                <w:rFonts w:ascii="Arial" w:cs="Arial" w:eastAsia="Arial" w:hAnsi="Arial"/>
                <w:sz w:val="21"/>
                <w:szCs w:val="21"/>
                <w:color w:val="auto"/>
                <w:vertAlign w:val="superscript"/>
              </w:rPr>
              <w:t>(d)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Debt modification and extinguishment costs </w:t>
            </w:r>
            <w:r>
              <w:rPr>
                <w:rFonts w:ascii="Arial" w:cs="Arial" w:eastAsia="Arial" w:hAnsi="Arial"/>
                <w:sz w:val="21"/>
                <w:szCs w:val="21"/>
                <w:color w:val="auto"/>
                <w:vertAlign w:val="superscript"/>
              </w:rPr>
              <w:t>(e)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expense, net </w:t>
            </w:r>
            <w:r>
              <w:rPr>
                <w:rFonts w:ascii="Arial" w:cs="Arial" w:eastAsia="Arial" w:hAnsi="Arial"/>
                <w:sz w:val="21"/>
                <w:szCs w:val="21"/>
                <w:color w:val="auto"/>
                <w:vertAlign w:val="superscript"/>
              </w:rPr>
              <w:t>(f)</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6"/>
        </w:trPr>
        <w:tc>
          <w:tcPr>
            <w:tcW w:w="7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(i)</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r>
      <w:tr>
        <w:trPr>
          <w:trHeight w:val="235"/>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0" w:right="100" w:hanging="339"/>
        <w:spacing w:after="0" w:line="258"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w:t>
      </w:r>
    </w:p>
    <w:p>
      <w:pPr>
        <w:spacing w:after="0" w:line="9" w:lineRule="exact"/>
        <w:rPr>
          <w:rFonts w:ascii="Arial" w:cs="Arial" w:eastAsia="Arial" w:hAnsi="Arial"/>
          <w:sz w:val="16"/>
          <w:szCs w:val="16"/>
          <w:color w:val="auto"/>
        </w:rPr>
      </w:pPr>
    </w:p>
    <w:p>
      <w:pPr>
        <w:ind w:left="480" w:hanging="344"/>
        <w:spacing w:after="0" w:line="267" w:lineRule="auto"/>
        <w:tabs>
          <w:tab w:leader="none" w:pos="4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legal, professional, accounting and other advisory fees related to acquisitions, certain one-time costs related to being a first year public company, integration costs of acquired businesses, purchase accounting adjustments (including deferred revenue fair value discount), payroll costs for employees that dedicate significant time to supporting these projects and exploratory acquisition and divestiture costs and expenses related to financing activities.</w:t>
      </w:r>
    </w:p>
    <w:p>
      <w:pPr>
        <w:spacing w:after="0" w:line="4" w:lineRule="exact"/>
        <w:rPr>
          <w:rFonts w:ascii="Arial" w:cs="Arial" w:eastAsia="Arial" w:hAnsi="Arial"/>
          <w:sz w:val="15"/>
          <w:szCs w:val="15"/>
          <w:color w:val="auto"/>
        </w:rPr>
      </w:pPr>
    </w:p>
    <w:p>
      <w:pPr>
        <w:ind w:left="480" w:right="100" w:hanging="339"/>
        <w:spacing w:after="0" w:line="238"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This amount also includes total charges of $3.2 million for the three months ended March 31, 2022 related to the July 2021 Restructuring Plan which are not accounted for as exit and disposal costs under ASC 420, consisting primarily of one-time offshore build out costs.</w:t>
      </w:r>
    </w:p>
    <w:p>
      <w:pPr>
        <w:spacing w:after="0" w:line="26" w:lineRule="exact"/>
        <w:rPr>
          <w:rFonts w:ascii="Arial" w:cs="Arial" w:eastAsia="Arial" w:hAnsi="Arial"/>
          <w:sz w:val="16"/>
          <w:szCs w:val="16"/>
          <w:color w:val="auto"/>
        </w:rPr>
      </w:pPr>
    </w:p>
    <w:p>
      <w:pPr>
        <w:ind w:left="480" w:hanging="344"/>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gains and losses on investment and from dispositions.</w:t>
      </w:r>
    </w:p>
    <w:p>
      <w:pPr>
        <w:spacing w:after="0" w:line="45" w:lineRule="exact"/>
        <w:rPr>
          <w:rFonts w:ascii="Arial" w:cs="Arial" w:eastAsia="Arial" w:hAnsi="Arial"/>
          <w:sz w:val="16"/>
          <w:szCs w:val="16"/>
          <w:color w:val="auto"/>
        </w:rPr>
      </w:pPr>
    </w:p>
    <w:p>
      <w:pPr>
        <w:ind w:left="480" w:hanging="339"/>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expenses related the February 2021 Refinancing Transaction.</w:t>
      </w:r>
    </w:p>
    <w:p>
      <w:pPr>
        <w:spacing w:after="0" w:line="45" w:lineRule="exact"/>
        <w:rPr>
          <w:rFonts w:ascii="Arial" w:cs="Arial" w:eastAsia="Arial" w:hAnsi="Arial"/>
          <w:sz w:val="16"/>
          <w:szCs w:val="16"/>
          <w:color w:val="auto"/>
        </w:rPr>
      </w:pPr>
    </w:p>
    <w:p>
      <w:pPr>
        <w:ind w:left="480" w:hanging="330"/>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Primarily consists of foreign currency gains and losses.</w:t>
      </w:r>
    </w:p>
    <w:p>
      <w:pPr>
        <w:spacing w:after="0" w:line="45" w:lineRule="exact"/>
        <w:rPr>
          <w:rFonts w:ascii="Arial" w:cs="Arial" w:eastAsia="Arial" w:hAnsi="Arial"/>
          <w:sz w:val="16"/>
          <w:szCs w:val="16"/>
          <w:color w:val="auto"/>
        </w:rPr>
      </w:pPr>
    </w:p>
    <w:p>
      <w:pPr>
        <w:ind w:left="480" w:hanging="344"/>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45" w:lineRule="exact"/>
        <w:rPr>
          <w:rFonts w:ascii="Arial" w:cs="Arial" w:eastAsia="Arial" w:hAnsi="Arial"/>
          <w:sz w:val="16"/>
          <w:szCs w:val="16"/>
          <w:color w:val="auto"/>
        </w:rPr>
      </w:pPr>
    </w:p>
    <w:p>
      <w:pPr>
        <w:ind w:left="480" w:hanging="344"/>
        <w:spacing w:after="0" w:line="250" w:lineRule="auto"/>
        <w:tabs>
          <w:tab w:leader="none" w:pos="4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2021 and 2022 interim periods, we based it on an average of the 2020 and estimated 2021 tax rates and 2021 and estimated 2022 tax rates, respectively, recomputed to remove the tax effect of non-GAAP pre-tax adjustments and non-recurring tax adjustments, resulting in a structural non-GAAP tax rate of 26% for both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21" w:lineRule="exact"/>
        <w:rPr>
          <w:sz w:val="20"/>
          <w:szCs w:val="20"/>
          <w:color w:val="auto"/>
        </w:rPr>
      </w:pPr>
    </w:p>
    <w:p>
      <w:pPr>
        <w:ind w:left="480" w:hanging="326"/>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Excludes accelerated depreciation expense related to facility closures.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Earnings Per Share (EPS)</w:t>
      </w:r>
    </w:p>
    <w:p>
      <w:pPr>
        <w:spacing w:after="0" w:line="252"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define Non-GAAP EPS as Non-GAAP Net Income divided by our GAAP weighted average number of shares outstanding for the period on a diluted basis and further adjusted for the weighted average number of shares associated with securities which are anti-dilutive to GAAP earnings per share but dilutive to Non-GAAP EPS. Management uses Non-GAAP EPS to evaluate the performance of our business on a comparable basis from period to period, including by adjusting for the impact of the issuance of shares that would be dilutive to Non-GAAP EPS. The following table reconciles Non-GAAP EPS to our GAAP net loss per share on a diluted basis:</w:t>
      </w:r>
    </w:p>
    <w:p>
      <w:pPr>
        <w:spacing w:after="0" w:line="350"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amounts)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6"/>
                <w:szCs w:val="16"/>
                <w:b w:val="1"/>
                <w:bCs w:val="1"/>
                <w:color w:val="auto"/>
              </w:rPr>
              <w:t>2022</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45.9</w:t>
            </w:r>
          </w:p>
        </w:tc>
      </w:tr>
      <w:tr>
        <w:trPr>
          <w:trHeight w:val="219"/>
        </w:trPr>
        <w:tc>
          <w:tcPr>
            <w:tcW w:w="7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Weighted average number of shares - Diluted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211.4</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(a)</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7940" w:type="dxa"/>
            <w:vAlign w:val="bottom"/>
          </w:tcPr>
          <w:p>
            <w:pPr>
              <w:ind w:left="240"/>
              <w:spacing w:after="0"/>
              <w:rPr>
                <w:sz w:val="20"/>
                <w:szCs w:val="20"/>
                <w:color w:val="auto"/>
              </w:rPr>
            </w:pPr>
            <w:r>
              <w:rPr>
                <w:rFonts w:ascii="Arial" w:cs="Arial" w:eastAsia="Arial" w:hAnsi="Arial"/>
                <w:sz w:val="16"/>
                <w:szCs w:val="16"/>
                <w:color w:val="auto"/>
              </w:rPr>
              <w:t>Non-GAAP weighted average number of shares - Diluted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Net loss per share - Diluted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(0.18)</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Per share impacts of adjustments to net loss </w:t>
            </w:r>
            <w:r>
              <w:rPr>
                <w:rFonts w:ascii="Arial" w:cs="Arial" w:eastAsia="Arial" w:hAnsi="Arial"/>
                <w:sz w:val="21"/>
                <w:szCs w:val="21"/>
                <w:color w:val="auto"/>
                <w:vertAlign w:val="superscript"/>
              </w:rPr>
              <w:t>(b)</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r>
      <w:tr>
        <w:trPr>
          <w:trHeight w:val="230"/>
        </w:trPr>
        <w:tc>
          <w:tcPr>
            <w:tcW w:w="7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6"/>
                <w:szCs w:val="16"/>
                <w:color w:val="auto"/>
              </w:rPr>
              <w:t xml:space="preserve">Per share impacts of shares dilutive after adjustments to net loss </w:t>
            </w:r>
            <w:r>
              <w:rPr>
                <w:rFonts w:ascii="Arial" w:cs="Arial" w:eastAsia="Arial" w:hAnsi="Arial"/>
                <w:sz w:val="21"/>
                <w:szCs w:val="21"/>
                <w:color w:val="auto"/>
                <w:vertAlign w:val="superscript"/>
              </w:rPr>
              <w:t>(a)</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r>
      <w:tr>
        <w:trPr>
          <w:trHeight w:val="234"/>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Non-GAAP EPS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80" w:right="40" w:hanging="454"/>
        <w:spacing w:after="0" w:line="278" w:lineRule="auto"/>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Reflects impact of awards that would have been anti-dilutive to net loss per share, and therefore not included in the calculation, but would be dilutive to Non-GAAP EPS and are therefore included in the share count for purposes of this non-GAAP measure. Potential common share equivalents consist of shares issuable upon the exercise of stock options, vesting of restricted stock units (including performance-based restricted stock units) or purchases under the Employee Stock Purchase Plan (the "ESPP"), as well as contingent shares associated with our acquisition of Datapipe Parent, Inc. Certain of our potential common share equivalents are contingent on Apollo achieving pre-established performance targets based on a multiple of their invested capital ("MOI</w:t>
      </w:r>
      <w:r>
        <w:rPr>
          <w:rFonts w:ascii="Arial" w:cs="Arial" w:eastAsia="Arial" w:hAnsi="Arial"/>
          <w:sz w:val="15"/>
          <w:szCs w:val="15"/>
          <w:color w:val="auto"/>
        </w:rPr>
        <w:t>C")</w:t>
      </w:r>
      <w:r>
        <w:rPr>
          <w:rFonts w:ascii="Arial" w:cs="Arial" w:eastAsia="Arial" w:hAnsi="Arial"/>
          <w:sz w:val="14"/>
          <w:szCs w:val="14"/>
          <w:color w:val="auto"/>
        </w:rPr>
        <w:t>, which are included in the denominator for the entire period if such shares would be issuable as of the end of the reporting period assuming the end of the reporting period was the end of the contingency period.</w:t>
      </w:r>
    </w:p>
    <w:p>
      <w:pPr>
        <w:spacing w:after="0" w:line="1" w:lineRule="exact"/>
        <w:rPr>
          <w:rFonts w:ascii="Arial" w:cs="Arial" w:eastAsia="Arial" w:hAnsi="Arial"/>
          <w:sz w:val="14"/>
          <w:szCs w:val="14"/>
          <w:color w:val="auto"/>
        </w:rPr>
      </w:pPr>
    </w:p>
    <w:p>
      <w:pPr>
        <w:ind w:left="480" w:right="260" w:hanging="454"/>
        <w:spacing w:after="0" w:line="258"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the aggregate adjustments made to reconcile Non-GAAP Net Income to our net loss, as noted in the above table, divided by the GAAP diluted number of shares outstanding for the relevant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2" w:lineRule="exact"/>
        <w:rPr>
          <w:rFonts w:ascii="Arial" w:cs="Arial" w:eastAsia="Arial" w:hAnsi="Arial"/>
          <w:sz w:val="16"/>
          <w:szCs w:val="16"/>
          <w:color w:val="auto"/>
        </w:rPr>
      </w:pPr>
    </w:p>
    <w:p>
      <w:pPr>
        <w:ind w:left="5540" w:hanging="111"/>
        <w:spacing w:after="0"/>
        <w:tabs>
          <w:tab w:leader="none" w:pos="5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6"/>
          <w:szCs w:val="16"/>
          <w:color w:val="auto"/>
        </w:rPr>
        <w:t>We primarily finance our operations and capital expenditures with internally-generated cash from operations and hardware leases, and if necessary, borrowings under the Revolving Credit Facility. As of March 31, 2022, the Revolving Credit Facility provided for up to $375 million of borrowings, none of which was drawn as of March 31, 2022. Our primary uses of cash are working capital requirements, debt service requirements and capital expenditures. Based on our current level of operations and available cash, we believe our sources will provide sufficient liquidity over at least the next twelve months.</w:t>
      </w:r>
    </w:p>
    <w:p>
      <w:pPr>
        <w:spacing w:after="0" w:line="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including the Senior Facilities, the 5.375% Senior Notes and the 3.50% Senior Secured Notes,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207"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 governing the 5.375% Senior Notes (the "5.375% Notes Indenture") or the indenture governing the 3.50% Senior Secured Notes (the "3.50% Notes Indenture" and, together with the 5.375% Notes Indenture, the "Indentures"), if applicable), for cash or other consideration.</w:t>
      </w:r>
    </w:p>
    <w:p>
      <w:pPr>
        <w:spacing w:after="0" w:line="188"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On February 2, 2021, we issued 2,665,935 shares of common stock to DPH 123, LLC, an ABRY affiliate, for no additional consideration pursuant to the Agreement and Plan of Merger, dated as of September 6, 2017, (the "Datapipe Merger Agreement"), in connection with our November 15, 2017 acquisition of Datapipe Parent, Inc. We will be required to issue additional shares of our common stock to DPH 123, LLC based on the MOIC exceeding certain thresholds as defined in the Datapipe Merger Agreement. If the MOIC exceeds 3.0x, which is indicated by a volume weighted average trading price ("VWAP") of our common stock over 30 consecutive trading days of more than $25.00, we will be required to issue an additional 2,665,935 shares.</w:t>
      </w:r>
    </w:p>
    <w:p>
      <w:pPr>
        <w:spacing w:after="0" w:line="18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On March 3, 2022, our board of directors authorized a program to repurchase up to $75 million of shares of our common stock from time to time through open-market transactions, privately negotiated transactions, accelerated share repurchases, and other transactions in accordance with applicable security laws. During the three months ended March 31, 2022, we repurchased $4 million, or 0.4 million shares, of our common stock on the open market under this program. As of March 31, 2022, approximately $71 million of the amount authorized by the board under the current program remained available for additional purchases.</w:t>
      </w:r>
    </w:p>
    <w:p>
      <w:pPr>
        <w:spacing w:after="0" w:line="215" w:lineRule="exact"/>
        <w:rPr>
          <w:sz w:val="20"/>
          <w:szCs w:val="20"/>
          <w:color w:val="auto"/>
        </w:rPr>
      </w:pPr>
    </w:p>
    <w:p>
      <w:pPr>
        <w:jc w:val="both"/>
        <w:ind w:right="100" w:firstLine="486"/>
        <w:spacing w:after="0" w:line="277" w:lineRule="auto"/>
        <w:rPr>
          <w:sz w:val="20"/>
          <w:szCs w:val="20"/>
          <w:color w:val="auto"/>
        </w:rPr>
      </w:pPr>
      <w:r>
        <w:rPr>
          <w:rFonts w:ascii="Arial" w:cs="Arial" w:eastAsia="Arial" w:hAnsi="Arial"/>
          <w:sz w:val="18"/>
          <w:szCs w:val="18"/>
          <w:color w:val="auto"/>
        </w:rPr>
        <w:t>At March 31, 2022, we held $269 million in cash and cash equivalents (not including $3 million in restricted cash, which is included in "Other non-current assets"), of which $115 million was held by foreign entities.</w:t>
      </w:r>
    </w:p>
    <w:p>
      <w:pPr>
        <w:spacing w:after="0" w:line="197"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We have entered into installment payment arrangements with certain equipment and software vendors, along with sale-leaseback arrangements for equipment and certain property leases that are considered financing obligations. We had $103 million outstanding with respect to these arrangements as of March 31, 2022. We may choose to utilize these various sources of funding in future periods.</w:t>
      </w:r>
    </w:p>
    <w:p>
      <w:pPr>
        <w:spacing w:after="0" w:line="211"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We also lease certain equipment and real estate under operating and finance lease agreements. We had $562 million outstanding with respect to operating and finance lease agreements as of March 31, 2022. We may choose to utilize such leasing arrangements in future periods.</w:t>
      </w:r>
    </w:p>
    <w:p>
      <w:pPr>
        <w:spacing w:after="0" w:line="151"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As of March 31, 2022, we had $3,377 million aggregate principal amount outstanding under our Term Loan Facility, 5.375% Senior Notes, and 3.50% Senior Secured Notes, with $375 million of borrowing capacity available under the Revolving Credit Facility. Our liquidity requirements are significant, primarily due to debt service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Facilitie</w:t>
      </w:r>
      <w:r>
        <w:rPr>
          <w:rFonts w:ascii="Arial" w:cs="Arial" w:eastAsia="Arial" w:hAnsi="Arial"/>
          <w:sz w:val="18"/>
          <w:szCs w:val="18"/>
          <w:b w:val="1"/>
          <w:bCs w:val="1"/>
          <w:i w:val="1"/>
          <w:iCs w:val="1"/>
          <w:color w:val="auto"/>
        </w:rPr>
        <w:t>s</w:t>
      </w:r>
    </w:p>
    <w:p>
      <w:pPr>
        <w:spacing w:after="0" w:line="25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On February 9, 2021, we amended and restated the credit agreement governing our senior secured credit facilities (the "First Lien Credit Agreement"), which included a new seven-year $2,300 million senior secured first lien term loan facility (the "Term Loan Facility") and the Revolving Credit Facility (together, the "Senior Facilities"). We used the borrowings under the Term Loan Facility, together with the proceeds from the issuance of the 3.50% Senior Secured Notes described below (together, the "February 2021 Refinancing Transaction"), to repay all borrowings under the prior term loan facility (the "Prior Term Loan Facility"), to pay related fees and expenses and for general corporate purposes. The Term Loan Facility will mature on February 15, 2028 and the Revolving Credit Facility will mature on August 7, 2025. We may request one or more incremental term loan facilities, one or more incremental revolving credit facilities and/or increase the commitments under the Revolving Credit Facility in an amount equal to the greater of $860 million and 1.0x Pro Forma Adjusted EBITDA (as defined in the amended First Lien Credit Agreement), plus additional amounts, subject to compliance with applicable leverage ratios and certain terms and conditions.</w:t>
      </w:r>
    </w:p>
    <w:p>
      <w:pPr>
        <w:spacing w:after="0" w:line="208"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Interest on the Term Loan Facility is due at the end of each interest period elected, not exceeding 90 days, for LIBOR loans and at the end of every calendar quarter for base rate loans. As of March 31, 2022, the interest rate on the Term Loan Facility was 3.50%. We are required to make quarterly amortization payments of $5.8 million, which began on June 30, 2021. The Revolving Credit Facility includes a commitment fee equal to 0.50% per annum in respect of the unused commitments that is due quarterly. This fee is subject to one step-down based on the net first lien leverage ratio. The Senior Facilities require us to make certain mandatory prepayments under certain conditions defined in the credit agreement.</w:t>
      </w:r>
    </w:p>
    <w:p>
      <w:pPr>
        <w:spacing w:after="0" w:line="20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Rackspace Technology Global, our wholly-owned subsidiary,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215"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As of March 31, 2022, $2,277 million aggregate principal amount of the Term Loan Facility remained outstanding. See Item 1 of Part I, Financial Statements - Note 6, "Debt," for more information regarding our Senior Facilities and the February 2021 Refinancing Transaction.</w:t>
      </w:r>
    </w:p>
    <w:p>
      <w:pPr>
        <w:spacing w:after="0" w:line="173"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We have entered into interest rate swap agreements to manage the interest rate risk associated with interest payments on the Term Loan Facility that result from fluctuations in the LIBOR rate. See Item 1 of Part I, Financial Statements - Note 12, "Derivatives," for more information on the interest rate swap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3.50% Senior Secured Notes due 2028</w:t>
      </w:r>
    </w:p>
    <w:p>
      <w:pPr>
        <w:spacing w:after="0" w:line="252"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On February 9, 2021, Rackspace Technology Global issued $550 million aggregate principal amount of 3.50% Senior Secured Notes. The 3.50% Senior Secured Notes will mature on February 15, 2028 and bear interest at an annual fixed rate of 3.50%. Interest is payable semiannually on each February 15 and August 15, commencing on August 15, 2021. We may redeem some or all of the 3.50% Senior Secured Notes at our option prior to February 15, 2024 subject to certain limitations and conditions outlined in the 3.50% Notes Indenture.</w:t>
      </w:r>
    </w:p>
    <w:p>
      <w:pPr>
        <w:spacing w:after="0" w:line="198"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The 3.50% Senior Secured Notes are secured by first-priority security interests in substantially all material owned assets of Rackspace Technology Global and the subsidiary guarantors, including the equity interest held by each, subject to certain exceptions, which assets also secure the Senior Facilities.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2022, $550 million aggregate principal amount of the 3.50% Senior Secured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5.375% Senior Notes due 2028</w:t>
      </w:r>
    </w:p>
    <w:p>
      <w:pPr>
        <w:spacing w:after="0" w:line="25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The 5.375% Senior Notes are guaranteed on a senior unsecured basis by all of Rackspace Technology Global’s wholly-owned domestic restricted subsidiaries that guarantee the Senior Facilities.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2022, $550 million aggregate principal amount of the 5.375% Senior Notes remained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52"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Our Term Loan Facility is not subject to a financial maintenance covenant. The Revolving Credit Facility includes a financial maintenance covenant that limits the borrower's net first lien leverage ratio to a maximum of 5.00 to 1.00. The net first lien leverage ratio is calculated as the ratio of (x) the total amount of the borrower’s first lien debt for borrowed money (which is currently identical to the total amount outstanding under the Senior Facilities), less the borrower’s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equal to or greater than 35% of the Revolving Credit Facility commitments as of the last day of such fiscal quarter. Additional covenants in the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19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5.375% Senior Notes and 3.50% Senior Secured Notes, respectively, at a price in cash equal to 101.000% of the aggregate principal amount, plus accrued and unpaid interest, if any, to, but not including the purchase date.</w:t>
      </w:r>
    </w:p>
    <w:p>
      <w:pPr>
        <w:spacing w:after="0" w:line="219"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Senior Facilities the calculation of consolidated EBITDA takes into account the impact of certain changes in GAAP subsequent to the original closing date other than with respect to capital leases.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2022, we were in compliance with all covenants under the Senior Facilities and the Indentures.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our capital expenditures for the periods indicated:</w:t>
      </w:r>
    </w:p>
    <w:p>
      <w:pPr>
        <w:spacing w:after="0" w:line="145"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r>
      <w:tr>
        <w:trPr>
          <w:trHeight w:val="212"/>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gear</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Data center build outs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Office build outs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Capitalized software and other projects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r>
      <w:tr>
        <w:trPr>
          <w:trHeight w:val="238"/>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capital expenditures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43" w:lineRule="auto"/>
        <w:rPr>
          <w:sz w:val="20"/>
          <w:szCs w:val="20"/>
          <w:color w:val="auto"/>
        </w:rPr>
      </w:pPr>
      <w:r>
        <w:rPr>
          <w:rFonts w:ascii="Arial" w:cs="Arial" w:eastAsia="Arial" w:hAnsi="Arial"/>
          <w:sz w:val="18"/>
          <w:szCs w:val="18"/>
          <w:color w:val="auto"/>
        </w:rPr>
        <w:t>Capital expenditures were $31 million in the three months ended March 31, 2022, compared to $59 million in the three months ended March 31, 2021, a decrease of $28 million. The decrease in capitalized customer gear is due to the continued mix shift of our revenues from high capital intensity service offerings to low capital intensity service offerings. The decrease in capitalized software and other projects is driven by the shift of internal software development work to lower cost geographies.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certain cash flow information for the periods indicated:</w:t>
      </w:r>
    </w:p>
    <w:p>
      <w:pPr>
        <w:spacing w:after="0" w:line="145"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r>
      <w:tr>
        <w:trPr>
          <w:trHeight w:val="212"/>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w w:val="96"/>
              </w:rPr>
              <w:t>64.5</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center"/>
              <w:ind w:left="859"/>
              <w:spacing w:after="0"/>
              <w:rPr>
                <w:sz w:val="20"/>
                <w:szCs w:val="20"/>
                <w:color w:val="auto"/>
              </w:rPr>
            </w:pPr>
            <w:r>
              <w:rPr>
                <w:rFonts w:ascii="Arial" w:cs="Arial" w:eastAsia="Arial" w:hAnsi="Arial"/>
                <w:sz w:val="16"/>
                <w:szCs w:val="16"/>
                <w:color w:val="auto"/>
                <w:w w:val="95"/>
              </w:rPr>
              <w:t>(25.9)</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center"/>
              <w:ind w:left="859"/>
              <w:spacing w:after="0"/>
              <w:rPr>
                <w:sz w:val="20"/>
                <w:szCs w:val="20"/>
                <w:color w:val="auto"/>
              </w:rPr>
            </w:pPr>
            <w:r>
              <w:rPr>
                <w:rFonts w:ascii="Arial" w:cs="Arial" w:eastAsia="Arial" w:hAnsi="Arial"/>
                <w:sz w:val="16"/>
                <w:szCs w:val="16"/>
                <w:color w:val="auto"/>
                <w:w w:val="95"/>
              </w:rPr>
              <w:t>(40.8)</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52"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19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Net cash provided by operating activities decreased $39 million, or 38%, in the three months ended March 31, 2022 compared to the three months ended March 31, 2021. This decrease was primarily driven by a $128 million increase in operating expense payments, largely for third-party infrastructure costs. These operating cash flow decreases were partially offset by a $48 million increase in cash collections, primarily reflecting higher revenue levels and an increased focus on collection efforts with customers, and to a lesser extent, timing of collections, and a $33 million decrease in employee-related payments mainly due to a shift in headcount to our offshore service centers.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Net cash used in investing activities primarily consists of capital expenditures to meet the demands of our customer base and our strategic initiatives. The largest outlays of cash are for purchases of customer gear, data center and office build outs, and capitalized payroll costs related to internal-use software development.</w:t>
      </w:r>
    </w:p>
    <w:p>
      <w:pPr>
        <w:spacing w:after="0" w:line="21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Net cash used in investing activities increased $22 million, or 502%, in the three months ended March 31, 2022 compared to the three months ended March 31, 2021. This increase was mainly due to net proceeds of $31 million from the January 2021 sale of a parcel of undeveloped land in the United Kingdom adjacent to one of our existing data centers. There was also an $8 million cash payment in connection with the acquisition of Just Analytics during the three months ended March 31, 2022. These drivers were partially offset by an $18 million reduction in cash purchases of property, equipment, and software year-over-year.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252"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pacing w:after="0" w:line="21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Net cash used in financing activities increased $36 million, or 807%, in the three months ended March 31, 2022 compared to the three months ended March 31, 2021. The change was primarily driven by a $21 million reduction in proceeds from employee stock plans year-over-year. The remaining variance includes a $5 million increase in finance lease principal payments, $4 million in common stock share repurchases as part of the program authorized in March 2022, and $4 million in payments on the financing component of our interest rate swap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critical accounting policies and estimates have not changed from those described in our Annual Report under "Management's Discussion and Analysis of Financial Condition and Results of Operations - Critical Accounting Policies and Estimates." For a description of accounting pronouncements recently adopted and issued, see Item 1 of Part I, Financial Statements -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52"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We are exposed to interest rate risk associated with fluctuations in interest rates on our floating-rate debt under our Senior Facilities, which includes our $375 million Revolving Credit Facility and $2,277 million outstanding under the Term Loan Facility. As of March 31, 2022, there were no outstanding borrowings under the Revolving Credit Facility and therefore our only variable-rate debt outstanding was the $2,277 million outstanding under the Term Loan Facility. As of March 31, 2022, assuming the Revolving Credit Facility was fully drawn, each 0.125% change in assumed blended interest rates would result in a $3 million change in annual interest expense on indebtedness under the Senior Facilities.</w:t>
      </w:r>
    </w:p>
    <w:p>
      <w:pPr>
        <w:spacing w:after="0" w:line="203" w:lineRule="exact"/>
        <w:rPr>
          <w:sz w:val="20"/>
          <w:szCs w:val="20"/>
          <w:color w:val="auto"/>
        </w:rPr>
      </w:pPr>
    </w:p>
    <w:p>
      <w:pPr>
        <w:jc w:val="both"/>
        <w:ind w:right="60" w:firstLine="486"/>
        <w:spacing w:after="0" w:line="257" w:lineRule="auto"/>
        <w:rPr>
          <w:sz w:val="20"/>
          <w:szCs w:val="20"/>
          <w:color w:val="auto"/>
        </w:rPr>
      </w:pPr>
      <w:r>
        <w:rPr>
          <w:rFonts w:ascii="Arial" w:cs="Arial" w:eastAsia="Arial" w:hAnsi="Arial"/>
          <w:sz w:val="18"/>
          <w:szCs w:val="18"/>
          <w:color w:val="auto"/>
        </w:rPr>
        <w:t>Our Term Loan Facility bears interest at an annual rate equal to an applicable margin plus three-month LIBOR, subject to a 0.75% floor. We have entered into interest rate swap agreements indexed to three-month LIBOR in order to manage our risk from fluctuations in three-month LIBOR above the 0.75% floor. During the three months ended March 31, 2022, three of these swap agreements matured. The fixed rate for the remaining swap agreement is presented in the table below. As of March 31, 2022, the interest rate on the Term Loan Facility was 3.50%, equal to an applicable margin of 2.75% plus the 0.75% three-month LIBOR floor.</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terms of the swap outstanding as of March 31, 2022 are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Transaction Date</w:t>
            </w:r>
          </w:p>
        </w:tc>
        <w:tc>
          <w:tcPr>
            <w:tcW w:w="120" w:type="dxa"/>
            <w:vAlign w:val="bottom"/>
            <w:vMerge w:val="restart"/>
          </w:tcPr>
          <w:p>
            <w:pPr>
              <w:spacing w:after="0"/>
              <w:rPr>
                <w:sz w:val="16"/>
                <w:szCs w:val="16"/>
                <w:color w:val="auto"/>
              </w:rPr>
            </w:pPr>
          </w:p>
        </w:tc>
        <w:tc>
          <w:tcPr>
            <w:tcW w:w="2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Effective Date</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Notional Amount (in</w:t>
            </w:r>
          </w:p>
        </w:tc>
        <w:tc>
          <w:tcPr>
            <w:tcW w:w="1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Fixed Rate Paid</w:t>
            </w:r>
          </w:p>
        </w:tc>
        <w:tc>
          <w:tcPr>
            <w:tcW w:w="100" w:type="dxa"/>
            <w:vAlign w:val="bottom"/>
            <w:vMerge w:val="restart"/>
          </w:tcPr>
          <w:p>
            <w:pPr>
              <w:spacing w:after="0"/>
              <w:rPr>
                <w:sz w:val="16"/>
                <w:szCs w:val="16"/>
                <w:color w:val="auto"/>
              </w:rPr>
            </w:pP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 Date</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millions)</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February 2021</w:t>
            </w:r>
          </w:p>
        </w:tc>
        <w:tc>
          <w:tcPr>
            <w:tcW w:w="2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9,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2.3820%</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9, 2026</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Item 1 of Part I, Financial Statements - Note 12, "Derivatives," for more information on interest rate swaps.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52"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Arial" w:cs="Arial" w:eastAsia="Arial" w:hAnsi="Arial"/>
          <w:sz w:val="17"/>
          <w:szCs w:val="17"/>
          <w:i w:val="1"/>
          <w:iCs w:val="1"/>
          <w:color w:val="auto"/>
        </w:rPr>
        <w:t>Constant Currency Revenue</w:t>
      </w:r>
      <w:r>
        <w:rPr>
          <w:rFonts w:ascii="Arial" w:cs="Arial" w:eastAsia="Arial" w:hAnsi="Arial"/>
          <w:sz w:val="17"/>
          <w:szCs w:val="17"/>
          <w:color w:val="auto"/>
        </w:rPr>
        <w:t>.”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three months ended March 31, 2022, we recognized foreign currency transaction losses of $4 million within “Other expense, net” in our Consolidated Statements of Comprehensive Income (Loss). As we grow our international operations, our exposure to foreign currency translation and transaction risk could become more significant.</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in the past and may in the future enter into foreign currency hedging instruments to limit our exposure to foreign currency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Prices</w:t>
      </w:r>
    </w:p>
    <w:p>
      <w:pPr>
        <w:spacing w:after="0" w:line="239"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We are a large consumer of power. In the three months ended March 31, 2022, we expensed approximately $12 million for utility companies to power our data centers, representing approximately 2% of our revenue. Power costs vary by geography, the source of power generation and seasonal fluctuations and are subject to certain proposed legislation that may increase our exposure to increased power costs. We have fixed price power contracts for data centers in the Dallas-Fort Worth, San Jose, Somerset, New Jersey and London areas that allow us to procure power either on a fixed price or on a variable price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252"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25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LEGAL PROCEEDINGS</w:t>
      </w:r>
    </w:p>
    <w:p>
      <w:pPr>
        <w:spacing w:after="0" w:line="256" w:lineRule="exact"/>
        <w:rPr>
          <w:sz w:val="20"/>
          <w:szCs w:val="20"/>
          <w:color w:val="auto"/>
        </w:rPr>
      </w:pPr>
    </w:p>
    <w:p>
      <w:pPr>
        <w:jc w:val="both"/>
        <w:ind w:right="620" w:firstLine="486"/>
        <w:spacing w:after="0" w:line="263" w:lineRule="auto"/>
        <w:rPr>
          <w:sz w:val="20"/>
          <w:szCs w:val="20"/>
          <w:color w:val="auto"/>
        </w:rPr>
      </w:pPr>
      <w:r>
        <w:rPr>
          <w:rFonts w:ascii="Arial" w:cs="Arial" w:eastAsia="Arial" w:hAnsi="Arial"/>
          <w:sz w:val="18"/>
          <w:szCs w:val="18"/>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211"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211"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We are not party to any litigation, the outcome of which, if determined adversely to us, would individually or in the aggregate be reasonably expected to have a material and adverse effect on our business, financial position or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56"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have disclosed under the heading “Risk Factors” in our Annual Report the risk factors which materially affect our business, financial condition or results of operations. There have been no material changes from the risk factors previously disclosed. You should carefully consider the risk factors set forth in our Annual Report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99"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information regarding purchases of our common stock during the three months ended March 31, 2022:</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4"/>
                <w:szCs w:val="14"/>
                <w:color w:val="auto"/>
              </w:rPr>
            </w:pPr>
          </w:p>
        </w:tc>
        <w:tc>
          <w:tcPr>
            <w:tcW w:w="15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Average Price Paid</w:t>
            </w:r>
          </w:p>
        </w:tc>
        <w:tc>
          <w:tcPr>
            <w:tcW w:w="29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Total Number of Shares Purchased as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1"/>
              </w:rPr>
              <w:t>Shares that May Yet Be</w:t>
            </w:r>
          </w:p>
        </w:tc>
        <w:tc>
          <w:tcPr>
            <w:tcW w:w="0" w:type="dxa"/>
            <w:vAlign w:val="bottom"/>
          </w:tcPr>
          <w:p>
            <w:pPr>
              <w:spacing w:after="0"/>
              <w:rPr>
                <w:sz w:val="1"/>
                <w:szCs w:val="1"/>
                <w:color w:val="auto"/>
              </w:rPr>
            </w:pPr>
          </w:p>
        </w:tc>
      </w:tr>
      <w:tr>
        <w:trPr>
          <w:trHeight w:val="162"/>
        </w:trPr>
        <w:tc>
          <w:tcPr>
            <w:tcW w:w="3060" w:type="dxa"/>
            <w:vAlign w:val="bottom"/>
            <w:gridSpan w:val="2"/>
            <w:vMerge w:val="restart"/>
          </w:tcPr>
          <w:p>
            <w:pPr>
              <w:ind w:left="1260"/>
              <w:spacing w:after="0"/>
              <w:rPr>
                <w:sz w:val="20"/>
                <w:szCs w:val="20"/>
                <w:color w:val="auto"/>
              </w:rPr>
            </w:pPr>
            <w:r>
              <w:rPr>
                <w:rFonts w:ascii="Arial" w:cs="Arial" w:eastAsia="Arial" w:hAnsi="Arial"/>
                <w:sz w:val="16"/>
                <w:szCs w:val="16"/>
                <w:b w:val="1"/>
                <w:bCs w:val="1"/>
                <w:color w:val="auto"/>
              </w:rPr>
              <w:t>Period</w:t>
            </w: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16"/>
        </w:trPr>
        <w:tc>
          <w:tcPr>
            <w:tcW w:w="3060" w:type="dxa"/>
            <w:vAlign w:val="bottom"/>
            <w:gridSpan w:val="2"/>
            <w:vMerge w:val="continue"/>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w w:val="94"/>
              </w:rPr>
              <w:t>Shares Purchased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Per Share</w:t>
            </w:r>
          </w:p>
        </w:tc>
        <w:tc>
          <w:tcPr>
            <w:tcW w:w="2900" w:type="dxa"/>
            <w:vAlign w:val="bottom"/>
          </w:tcPr>
          <w:p>
            <w:pPr>
              <w:jc w:val="right"/>
              <w:ind w:right="79"/>
              <w:spacing w:after="0"/>
              <w:rPr>
                <w:sz w:val="20"/>
                <w:szCs w:val="20"/>
                <w:color w:val="auto"/>
              </w:rPr>
            </w:pPr>
            <w:r>
              <w:rPr>
                <w:rFonts w:ascii="Arial" w:cs="Arial" w:eastAsia="Arial" w:hAnsi="Arial"/>
                <w:sz w:val="16"/>
                <w:szCs w:val="16"/>
                <w:b w:val="1"/>
                <w:bCs w:val="1"/>
                <w:color w:val="auto"/>
                <w:w w:val="97"/>
              </w:rPr>
              <w:t>Part of Publicly Announced Program</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center"/>
              <w:ind w:right="79"/>
              <w:spacing w:after="0" w:line="216" w:lineRule="exact"/>
              <w:rPr>
                <w:sz w:val="20"/>
                <w:szCs w:val="20"/>
                <w:color w:val="auto"/>
              </w:rPr>
            </w:pPr>
            <w:r>
              <w:rPr>
                <w:rFonts w:ascii="Arial" w:cs="Arial" w:eastAsia="Arial" w:hAnsi="Arial"/>
                <w:sz w:val="16"/>
                <w:szCs w:val="16"/>
                <w:b w:val="1"/>
                <w:bCs w:val="1"/>
                <w:color w:val="auto"/>
                <w:w w:val="86"/>
              </w:rPr>
              <w:t xml:space="preserve">Program </w:t>
            </w:r>
            <w:r>
              <w:rPr>
                <w:rFonts w:ascii="Arial" w:cs="Arial" w:eastAsia="Arial" w:hAnsi="Arial"/>
                <w:sz w:val="21"/>
                <w:szCs w:val="21"/>
                <w:b w:val="1"/>
                <w:bCs w:val="1"/>
                <w:color w:val="auto"/>
                <w:w w:val="86"/>
                <w:vertAlign w:val="superscript"/>
              </w:rPr>
              <w:t>(1)</w:t>
            </w:r>
          </w:p>
        </w:tc>
        <w:tc>
          <w:tcPr>
            <w:tcW w:w="0" w:type="dxa"/>
            <w:vAlign w:val="bottom"/>
          </w:tcPr>
          <w:p>
            <w:pPr>
              <w:spacing w:after="0"/>
              <w:rPr>
                <w:sz w:val="1"/>
                <w:szCs w:val="1"/>
                <w:color w:val="auto"/>
              </w:rPr>
            </w:pPr>
          </w:p>
        </w:tc>
      </w:tr>
      <w:tr>
        <w:trPr>
          <w:trHeight w:val="196"/>
        </w:trPr>
        <w:tc>
          <w:tcPr>
            <w:tcW w:w="2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1, 2022 - March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373,036</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120" w:type="dxa"/>
            <w:vAlign w:val="bottom"/>
            <w:shd w:val="clear" w:color="auto" w:fill="CCEEFF"/>
          </w:tcPr>
          <w:p>
            <w:pPr>
              <w:spacing w:after="0"/>
              <w:rPr>
                <w:sz w:val="18"/>
                <w:szCs w:val="18"/>
                <w:color w:val="auto"/>
              </w:rPr>
            </w:pPr>
          </w:p>
        </w:tc>
        <w:tc>
          <w:tcPr>
            <w:tcW w:w="2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373,036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70,932,006</w:t>
            </w:r>
          </w:p>
        </w:tc>
        <w:tc>
          <w:tcPr>
            <w:tcW w:w="0" w:type="dxa"/>
            <w:vAlign w:val="bottom"/>
          </w:tcPr>
          <w:p>
            <w:pPr>
              <w:spacing w:after="0"/>
              <w:rPr>
                <w:sz w:val="1"/>
                <w:szCs w:val="1"/>
                <w:color w:val="auto"/>
              </w:rPr>
            </w:pPr>
          </w:p>
        </w:tc>
      </w:tr>
      <w:tr>
        <w:trPr>
          <w:trHeight w:val="213"/>
        </w:trPr>
        <w:tc>
          <w:tcPr>
            <w:tcW w:w="306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373,036</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18"/>
                <w:szCs w:val="18"/>
                <w:color w:val="auto"/>
              </w:rPr>
            </w:pP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373,036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500" w:hanging="492"/>
        <w:spacing w:after="0" w:line="256" w:lineRule="auto"/>
        <w:tabs>
          <w:tab w:leader="none" w:pos="421"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March 3, 2022, our board of directors authorized a program to repurchase up to $75.0 million of shares of our common stock. The authorization was effective immediately, expires on September 30, 2023 and can be discontinued at any time. Under the program, shares may be repurchased from time to time through open-market transactions (including pre-set trading plans), privately negotiated transactions, accelerated share repurchases, and other transactions in accordance with applicable security laws.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 MINE SAFETY DISCLOSURES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 OTHER INFORMATION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rFonts w:ascii="Arial" w:cs="Arial" w:eastAsia="Arial" w:hAnsi="Arial"/>
                <w:sz w:val="18"/>
                <w:szCs w:val="18"/>
                <w:color w:val="0000FF"/>
                <w:w w:val="90"/>
              </w:rPr>
            </w:pPr>
            <w:hyperlink w:anchor="page2">
              <w:r>
                <w:rPr>
                  <w:rFonts w:ascii="Arial" w:cs="Arial" w:eastAsia="Arial" w:hAnsi="Arial"/>
                  <w:sz w:val="18"/>
                  <w:szCs w:val="18"/>
                  <w:color w:val="0000FF"/>
                  <w:w w:val="90"/>
                </w:rPr>
                <w:t>Table of Contents</w:t>
              </w:r>
            </w:hyperlink>
          </w:p>
        </w:tc>
        <w:tc>
          <w:tcPr>
            <w:tcW w:w="156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380" w:type="dxa"/>
            <w:vAlign w:val="bottom"/>
            <w:gridSpan w:val="5"/>
          </w:tcPr>
          <w:p>
            <w:pPr>
              <w:ind w:left="1940"/>
              <w:spacing w:after="0"/>
              <w:rPr>
                <w:sz w:val="20"/>
                <w:szCs w:val="20"/>
                <w:color w:val="auto"/>
              </w:rPr>
            </w:pPr>
            <w:r>
              <w:rPr>
                <w:rFonts w:ascii="Arial" w:cs="Arial" w:eastAsia="Arial" w:hAnsi="Arial"/>
                <w:sz w:val="18"/>
                <w:szCs w:val="18"/>
                <w:b w:val="1"/>
                <w:bCs w:val="1"/>
                <w:color w:val="auto"/>
              </w:rPr>
              <w:t>ITEM 6 – EXHIBITS</w:t>
            </w:r>
          </w:p>
        </w:tc>
        <w:tc>
          <w:tcPr>
            <w:tcW w:w="0" w:type="dxa"/>
            <w:vAlign w:val="bottom"/>
          </w:tcPr>
          <w:p>
            <w:pPr>
              <w:spacing w:after="0"/>
              <w:rPr>
                <w:sz w:val="1"/>
                <w:szCs w:val="1"/>
                <w:color w:val="auto"/>
              </w:rPr>
            </w:pPr>
          </w:p>
        </w:tc>
      </w:tr>
      <w:tr>
        <w:trPr>
          <w:trHeight w:val="445"/>
        </w:trPr>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1560" w:type="dxa"/>
            <w:vAlign w:val="bottom"/>
          </w:tcPr>
          <w:p>
            <w:pPr>
              <w:spacing w:after="0"/>
              <w:rPr>
                <w:sz w:val="24"/>
                <w:szCs w:val="24"/>
                <w:color w:val="auto"/>
              </w:rPr>
            </w:pPr>
          </w:p>
        </w:tc>
        <w:tc>
          <w:tcPr>
            <w:tcW w:w="8380" w:type="dxa"/>
            <w:vAlign w:val="bottom"/>
            <w:gridSpan w:val="5"/>
            <w:vMerge w:val="restart"/>
          </w:tcPr>
          <w:p>
            <w:pPr>
              <w:ind w:left="266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30"/>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gridSpan w:val="2"/>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38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00" w:type="dxa"/>
            <w:vAlign w:val="bottom"/>
            <w:gridSpan w:val="3"/>
          </w:tcPr>
          <w:p>
            <w:pPr>
              <w:jc w:val="center"/>
              <w:ind w:right="100"/>
              <w:spacing w:after="0" w:line="196" w:lineRule="exact"/>
              <w:rPr>
                <w:sz w:val="20"/>
                <w:szCs w:val="20"/>
                <w:color w:val="auto"/>
              </w:rPr>
            </w:pPr>
            <w:r>
              <w:rPr>
                <w:rFonts w:ascii="Arial" w:cs="Arial" w:eastAsia="Arial" w:hAnsi="Arial"/>
                <w:sz w:val="18"/>
                <w:szCs w:val="18"/>
                <w:color w:val="auto"/>
                <w:w w:val="94"/>
              </w:rPr>
              <w:t>10.1*</w:t>
            </w:r>
            <w:r>
              <w:rPr>
                <w:rFonts w:ascii="Arial" w:cs="Arial" w:eastAsia="Arial" w:hAnsi="Arial"/>
                <w:sz w:val="16"/>
                <w:szCs w:val="16"/>
                <w:color w:val="auto"/>
                <w:w w:val="94"/>
              </w:rPr>
              <w:t>†</w:t>
            </w:r>
          </w:p>
        </w:tc>
        <w:tc>
          <w:tcPr>
            <w:tcW w:w="93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w:anchor="page51">
              <w:r>
                <w:rPr>
                  <w:rFonts w:ascii="Arial" w:cs="Arial" w:eastAsia="Arial" w:hAnsi="Arial"/>
                  <w:sz w:val="18"/>
                  <w:szCs w:val="18"/>
                  <w:color w:val="0000FF"/>
                  <w:w w:val="91"/>
                </w:rPr>
                <w:t xml:space="preserve">Fourth Amendment to Employment Agreement, between Rackspace US, Inc. and Subroto Mukerji, effective as of April </w:t>
              </w:r>
            </w:hyperlink>
            <w:r>
              <w:rPr>
                <w:rFonts w:ascii="Arial" w:cs="Arial" w:eastAsia="Arial" w:hAnsi="Arial"/>
                <w:sz w:val="18"/>
                <w:szCs w:val="18"/>
                <w:color w:val="0000FF"/>
                <w:w w:val="91"/>
              </w:rPr>
              <w:t xml:space="preserve">15, </w:t>
            </w:r>
            <w:hyperlink w:anchor="page51">
              <w:r>
                <w:rPr>
                  <w:rFonts w:ascii="Arial" w:cs="Arial" w:eastAsia="Arial" w:hAnsi="Arial"/>
                  <w:sz w:val="18"/>
                  <w:szCs w:val="18"/>
                  <w:color w:val="0000FF"/>
                  <w:w w:val="91"/>
                </w:rPr>
                <w:t>2022</w:t>
              </w:r>
            </w:hyperlink>
          </w:p>
        </w:tc>
        <w:tc>
          <w:tcPr>
            <w:tcW w:w="6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10.2*</w:t>
            </w:r>
            <w:r>
              <w:rPr>
                <w:rFonts w:ascii="Arial" w:cs="Arial" w:eastAsia="Arial" w:hAnsi="Arial"/>
                <w:sz w:val="16"/>
                <w:szCs w:val="16"/>
                <w:color w:val="auto"/>
                <w:w w:val="94"/>
              </w:rPr>
              <w:t>†</w:t>
            </w:r>
          </w:p>
        </w:tc>
        <w:tc>
          <w:tcPr>
            <w:tcW w:w="9940" w:type="dxa"/>
            <w:vAlign w:val="bottom"/>
            <w:gridSpan w:val="6"/>
          </w:tcPr>
          <w:p>
            <w:pPr>
              <w:spacing w:after="0"/>
              <w:rPr>
                <w:rFonts w:ascii="Arial" w:cs="Arial" w:eastAsia="Arial" w:hAnsi="Arial"/>
                <w:sz w:val="18"/>
                <w:szCs w:val="18"/>
                <w:color w:val="0000FF"/>
                <w:w w:val="93"/>
              </w:rPr>
            </w:pPr>
            <w:hyperlink w:anchor="page54">
              <w:r>
                <w:rPr>
                  <w:rFonts w:ascii="Arial" w:cs="Arial" w:eastAsia="Arial" w:hAnsi="Arial"/>
                  <w:sz w:val="18"/>
                  <w:szCs w:val="18"/>
                  <w:color w:val="0000FF"/>
                  <w:w w:val="93"/>
                </w:rPr>
                <w:t>Form of Performance Stock Unit Agreement between Rackspace Technology, Inc. and certain of its executive officers under the 2020</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w:anchor="page54">
              <w:r>
                <w:rPr>
                  <w:rFonts w:ascii="Arial" w:cs="Arial" w:eastAsia="Arial" w:hAnsi="Arial"/>
                  <w:sz w:val="18"/>
                  <w:szCs w:val="18"/>
                  <w:color w:val="0000FF"/>
                </w:rPr>
                <w:t>Equity Incentive Plan</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69">
              <w:r>
                <w:rPr>
                  <w:rFonts w:ascii="Arial" w:cs="Arial" w:eastAsia="Arial" w:hAnsi="Arial"/>
                  <w:sz w:val="18"/>
                  <w:szCs w:val="18"/>
                  <w:color w:val="0000FF"/>
                  <w:w w:val="92"/>
                </w:rPr>
                <w:t>Certification of the Chief Executive Officer pursuant to Section 302 of the Sarbanes-Oxley Act of 2002</w:t>
              </w:r>
            </w:hyperlink>
          </w:p>
        </w:tc>
        <w:tc>
          <w:tcPr>
            <w:tcW w:w="24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6"/>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Certification of the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0" w:type="dxa"/>
            <w:vAlign w:val="bottom"/>
            <w:gridSpan w:val="2"/>
            <w:shd w:val="clear" w:color="auto" w:fill="0000FF"/>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Pr>
          <w:p>
            <w:pPr>
              <w:jc w:val="cente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71">
              <w:r>
                <w:rPr>
                  <w:rFonts w:ascii="Arial" w:cs="Arial" w:eastAsia="Arial" w:hAnsi="Arial"/>
                  <w:sz w:val="18"/>
                  <w:szCs w:val="18"/>
                  <w:color w:val="0000FF"/>
                  <w:w w:val="92"/>
                </w:rPr>
                <w:t>Certification of the Chief Executive Officer pursuant to Section 906 of the Sarbanes-Oxley Act of 2002</w:t>
              </w:r>
            </w:hyperlink>
          </w:p>
        </w:tc>
        <w:tc>
          <w:tcPr>
            <w:tcW w:w="24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80" w:type="dxa"/>
            <w:vAlign w:val="bottom"/>
          </w:tcPr>
          <w:p>
            <w:pPr>
              <w:jc w:val="cente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6"/>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 of the Chief Financial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1300" w:type="dxa"/>
            <w:vAlign w:val="bottom"/>
            <w:gridSpan w:val="3"/>
          </w:tcPr>
          <w:p>
            <w:pPr>
              <w:spacing w:after="0" w:line="20" w:lineRule="exact"/>
              <w:rPr>
                <w:sz w:val="1"/>
                <w:szCs w:val="1"/>
                <w:color w:val="auto"/>
              </w:rPr>
            </w:pPr>
          </w:p>
        </w:tc>
        <w:tc>
          <w:tcPr>
            <w:tcW w:w="7400" w:type="dxa"/>
            <w:vAlign w:val="bottom"/>
            <w:gridSpan w:val="2"/>
            <w:shd w:val="clear" w:color="auto" w:fill="0000FF"/>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101.INS*</w:t>
            </w:r>
          </w:p>
        </w:tc>
        <w:tc>
          <w:tcPr>
            <w:tcW w:w="9940" w:type="dxa"/>
            <w:vAlign w:val="bottom"/>
            <w:gridSpan w:val="6"/>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57"/>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101.SCH*</w:t>
            </w:r>
          </w:p>
        </w:tc>
        <w:tc>
          <w:tcPr>
            <w:tcW w:w="994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57"/>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101.CAL*</w:t>
            </w:r>
          </w:p>
        </w:tc>
        <w:tc>
          <w:tcPr>
            <w:tcW w:w="994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57"/>
        </w:trPr>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101.DEF*</w:t>
            </w:r>
          </w:p>
        </w:tc>
        <w:tc>
          <w:tcPr>
            <w:tcW w:w="994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56"/>
        </w:trPr>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101.LAB*</w:t>
            </w:r>
          </w:p>
        </w:tc>
        <w:tc>
          <w:tcPr>
            <w:tcW w:w="994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57"/>
        </w:trPr>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101.PRE*</w:t>
            </w:r>
          </w:p>
        </w:tc>
        <w:tc>
          <w:tcPr>
            <w:tcW w:w="994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57"/>
        </w:trPr>
        <w:tc>
          <w:tcPr>
            <w:tcW w:w="118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4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20" w:hanging="250"/>
        <w:spacing w:after="0"/>
        <w:tabs>
          <w:tab w:leader="none" w:pos="42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Filed herewith.</w:t>
      </w:r>
    </w:p>
    <w:p>
      <w:pPr>
        <w:spacing w:after="0" w:line="19" w:lineRule="exact"/>
        <w:rPr>
          <w:sz w:val="20"/>
          <w:szCs w:val="20"/>
          <w:color w:val="auto"/>
        </w:rPr>
      </w:pPr>
    </w:p>
    <w:p>
      <w:pPr>
        <w:ind w:left="500" w:hanging="330"/>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5" w:lineRule="exact"/>
        <w:rPr>
          <w:sz w:val="20"/>
          <w:szCs w:val="20"/>
          <w:color w:val="auto"/>
        </w:rPr>
      </w:pPr>
    </w:p>
    <w:p>
      <w:pPr>
        <w:ind w:left="420" w:hanging="250"/>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2260"/>
              <w:spacing w:after="0"/>
              <w:rPr>
                <w:sz w:val="20"/>
                <w:szCs w:val="20"/>
                <w:color w:val="auto"/>
              </w:rPr>
            </w:pPr>
            <w:r>
              <w:rPr>
                <w:rFonts w:ascii="Arial" w:cs="Arial" w:eastAsia="Arial" w:hAnsi="Arial"/>
                <w:sz w:val="18"/>
                <w:szCs w:val="18"/>
                <w:color w:val="auto"/>
              </w:rPr>
              <w:t>RACKSPACE TECHNOLOGY, INC.</w:t>
            </w:r>
          </w:p>
        </w:tc>
      </w:tr>
      <w:tr>
        <w:trPr>
          <w:trHeight w:val="769"/>
        </w:trPr>
        <w:tc>
          <w:tcPr>
            <w:tcW w:w="110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10, 2022</w:t>
            </w:r>
          </w:p>
        </w:tc>
        <w:tc>
          <w:tcPr>
            <w:tcW w:w="2800" w:type="dxa"/>
            <w:vAlign w:val="bottom"/>
          </w:tcPr>
          <w:p>
            <w:pPr>
              <w:ind w:left="226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30"/>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r>
      <w:tr>
        <w:trPr>
          <w:trHeight w:val="905"/>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0" w:type="dxa"/>
            <w:vAlign w:val="bottom"/>
          </w:tcPr>
          <w:p>
            <w:pPr>
              <w:jc w:val="right"/>
              <w:ind w:right="1010"/>
              <w:spacing w:after="0"/>
              <w:rPr>
                <w:sz w:val="20"/>
                <w:szCs w:val="20"/>
                <w:color w:val="auto"/>
              </w:rPr>
            </w:pPr>
            <w:r>
              <w:rPr>
                <w:rFonts w:ascii="Arial" w:cs="Arial" w:eastAsia="Arial" w:hAnsi="Arial"/>
                <w:sz w:val="18"/>
                <w:szCs w:val="18"/>
                <w:color w:val="auto"/>
              </w:rPr>
              <w:t>- 48 -</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AMENDMENT TO EMPLOYMENT AGREEMENT</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This Fourth Amendment to Employment Agreement (“Fourth Amendment”) is made effective as of ____________ (the “Fourth</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Amendment Effective Date”) by and between Subroto Mukerji (“Employee”) and Rackspace US, Inc. (“Company”).</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WHEREAS, Company and Employee are parties to that certain Employment Agreement effective July 1, 2019, First Amendment to Employment Agreement effective September 11, 2019, Second Amendment to Employment Agreement effective August 17, 2020 and Third Amendment to Employment Agreement effective September 15, 2021 (the “Agreement”);</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WHEREAS, the parties wish to enter into a two-year term agreement commencing on July 1, 2022 and ending on June 30, 2024 (the “Employment Period”). The Employment Period will thereafter be automatically extended for one year periods unless either Company or Employee gives written notice of non-renewal no later than ninety days prior to the expiration of the then-applicable Employment Period. The term “Employment Period” shall refer to the Employment Period if and as so extended.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WHEREAS, Company and Employee wish to amend the Agreement as set forth herein.</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NOW, THEREFORE, in consideration of the mutual representations, warranties, covenants and agreements contained in this Fourth Amendment, and for other good and valuable consideration, the sufficiency of which is hereby acknowledged, the parties hereto agree as follows:</w:t>
      </w:r>
    </w:p>
    <w:p>
      <w:pPr>
        <w:spacing w:after="0" w:line="132" w:lineRule="exact"/>
        <w:rPr>
          <w:sz w:val="20"/>
          <w:szCs w:val="20"/>
          <w:color w:val="auto"/>
        </w:rPr>
      </w:pPr>
    </w:p>
    <w:p>
      <w:pPr>
        <w:ind w:left="660" w:hanging="328"/>
        <w:spacing w:after="0" w:line="232"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Unless otherwise defined herein, all capitalized terms used in this Fourth Amendment shall have the same meanings ascribed to them in the Agreement.</w:t>
      </w:r>
    </w:p>
    <w:p>
      <w:pPr>
        <w:spacing w:after="0" w:line="185"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Section 7(a)</w:t>
      </w:r>
      <w:r>
        <w:rPr>
          <w:rFonts w:ascii="Arial" w:cs="Arial" w:eastAsia="Arial" w:hAnsi="Arial"/>
          <w:sz w:val="22"/>
          <w:szCs w:val="22"/>
          <w:color w:val="auto"/>
        </w:rPr>
        <w:t xml:space="preserve"> of the Agreement is hereby amended and restated in its entirety to read as follows:</w:t>
      </w:r>
    </w:p>
    <w:p>
      <w:pPr>
        <w:spacing w:after="0" w:line="138" w:lineRule="exact"/>
        <w:rPr>
          <w:rFonts w:ascii="Arial" w:cs="Arial" w:eastAsia="Arial" w:hAnsi="Arial"/>
          <w:sz w:val="22"/>
          <w:szCs w:val="22"/>
          <w:color w:val="auto"/>
        </w:rPr>
      </w:pPr>
    </w:p>
    <w:p>
      <w:pPr>
        <w:jc w:val="both"/>
        <w:ind w:left="1300" w:firstLine="4"/>
        <w:spacing w:after="0" w:line="241" w:lineRule="auto"/>
        <w:tabs>
          <w:tab w:leader="none" w:pos="1595" w:val="left"/>
        </w:tabs>
        <w:numPr>
          <w:ilvl w:val="1"/>
          <w:numId w:val="18"/>
        </w:numPr>
        <w:rPr>
          <w:rFonts w:ascii="Arial" w:cs="Arial" w:eastAsia="Arial" w:hAnsi="Arial"/>
          <w:sz w:val="19"/>
          <w:szCs w:val="19"/>
          <w:color w:val="auto"/>
        </w:rPr>
      </w:pPr>
      <w:r>
        <w:rPr>
          <w:rFonts w:ascii="Arial" w:cs="Arial" w:eastAsia="Arial" w:hAnsi="Arial"/>
          <w:sz w:val="19"/>
          <w:szCs w:val="19"/>
          <w:color w:val="auto"/>
        </w:rPr>
        <w:t>To further preserve the Confidential Information, Employee agrees that during employment and for twelve (12) months after employment termination date (“Restricted Period”), Employee will not work, as an employee, contractor, officer, owner, consultant, or director, in any business anywhere in the world that sells managed, dedicated, or cloud computing services substantially similar to those services provided by the Company, including but not limited to (i) professional advisory services for the migration, deployment or management of cloud technologies; (ii) provisioning, hosting, management, monitoring, supporting, or maintenance of applications, computer servers (whether dedicated, shared, or virtual) and network connectivity in a datacenter for remote use via the Internet; (iii) hosted or managed email, storage, collaboration, compute, virtual networking, applications and similar services, or (iv) any related IT services or products substantially similar to the Company’s products or services, all of the foregoing being defined for the purposes of this Agreement as “Competitive IT Services.” Notwithstanding the foregoing, (i) Employee shall be permitted to acquire a passive stock or equity interest in such a business, provided that the stock or other equity interest acquired is not more than two percent (2%) of the outstanding interest in such business, and (ii) the foregoing restriction shall not prevent Employee from becoming an employee of a contractor for a division of any Competitive IT Services, and as long as Employee does not, during the Restricted Period, perform services (including but not limited to providing information, advice, strategy, recruiting or any other interaction with regard to business matters) for any division of such company that provides Competitive IT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auto"/>
        </w:rPr>
        <w:t>4862-7218-4329.1</w:t>
      </w:r>
    </w:p>
    <w:p>
      <w:pPr>
        <w:sectPr>
          <w:pgSz w:w="11900" w:h="16838" w:orient="portrait"/>
          <w:cols w:equalWidth="0" w:num="1">
            <w:col w:w="11240"/>
          </w:cols>
          <w:pgMar w:left="320" w:top="121" w:right="339" w:bottom="1440" w:gutter="0" w:footer="0" w:header="0"/>
        </w:sectPr>
      </w:pPr>
    </w:p>
    <w:bookmarkStart w:id="51" w:name="page52"/>
    <w:bookmarkEnd w:id="51"/>
    <w:p>
      <w:pPr>
        <w:ind w:left="8"/>
        <w:spacing w:after="0"/>
        <w:rPr>
          <w:sz w:val="20"/>
          <w:szCs w:val="20"/>
          <w:color w:val="auto"/>
        </w:rPr>
      </w:pPr>
      <w:r>
        <w:rPr>
          <w:rFonts w:ascii="Arial" w:cs="Arial" w:eastAsia="Arial" w:hAnsi="Arial"/>
          <w:sz w:val="22"/>
          <w:szCs w:val="22"/>
          <w:color w:val="auto"/>
        </w:rPr>
        <w:t>3.  Section 9(d) of the Agreement is hereby amended and restated in its entirety to read as follows:</w:t>
      </w:r>
    </w:p>
    <w:p>
      <w:pPr>
        <w:spacing w:after="0" w:line="133" w:lineRule="exact"/>
        <w:rPr>
          <w:sz w:val="20"/>
          <w:szCs w:val="20"/>
          <w:color w:val="auto"/>
        </w:rPr>
      </w:pPr>
    </w:p>
    <w:p>
      <w:pPr>
        <w:jc w:val="both"/>
        <w:ind w:left="968"/>
        <w:spacing w:after="0" w:line="242" w:lineRule="auto"/>
        <w:rPr>
          <w:sz w:val="20"/>
          <w:szCs w:val="20"/>
          <w:color w:val="auto"/>
        </w:rPr>
      </w:pPr>
      <w:r>
        <w:rPr>
          <w:rFonts w:ascii="Arial" w:cs="Arial" w:eastAsia="Arial" w:hAnsi="Arial"/>
          <w:sz w:val="19"/>
          <w:szCs w:val="19"/>
          <w:b w:val="1"/>
          <w:bCs w:val="1"/>
          <w:color w:val="auto"/>
        </w:rPr>
        <w:t>Non-Renewal or Termination without Good Reason by Employee</w:t>
      </w:r>
      <w:r>
        <w:rPr>
          <w:rFonts w:ascii="Arial" w:cs="Arial" w:eastAsia="Arial" w:hAnsi="Arial"/>
          <w:sz w:val="19"/>
          <w:szCs w:val="19"/>
          <w:color w:val="auto"/>
        </w:rPr>
        <w:t>. If Employee gives notice of non-renewal</w:t>
      </w:r>
      <w:r>
        <w:rPr>
          <w:rFonts w:ascii="Arial" w:cs="Arial" w:eastAsia="Arial" w:hAnsi="Arial"/>
          <w:sz w:val="19"/>
          <w:szCs w:val="19"/>
          <w:b w:val="1"/>
          <w:bCs w:val="1"/>
          <w:color w:val="auto"/>
        </w:rPr>
        <w:t xml:space="preserve"> </w:t>
      </w:r>
      <w:r>
        <w:rPr>
          <w:rFonts w:ascii="Arial" w:cs="Arial" w:eastAsia="Arial" w:hAnsi="Arial"/>
          <w:sz w:val="19"/>
          <w:szCs w:val="19"/>
          <w:color w:val="auto"/>
        </w:rPr>
        <w:t>under Section 1 or gives notice of termination without Good Reason, Company shall determine the employment termination date and will pay accrued and unpaid base salary through the employment termination date, and any payments required under applicable employee benefit plans (other than plans that provide for severance or termination payments or benefits). If the employment termination date is before the end of the Notice Period (as defined herein), Employee signs and does not revoke a Severance Agreement and General Release of claims in a form reasonably satisfactory to Company (a “Release”) and subject to Employee’s compliance with the terms of this Agreement, then Company will (i) in periodic payments in accordance with ordinary payroll practices and deductions, pay Employee an amount equal to Employee’s pro-rata base salary through the end of the Notice Period, and (ii) accelerate the vesting of any time-based equity awards that would have, but for the Employee’s termination of employment, vested before the end of the Notice Period. “Notice Period” shall mean the: (i) ninety days prior to the expiration of the then-applicable Employment Period for notice of non-renewal; or (ii) sixty days prior to the last date of employment specified in his notice of termination without Good Reason.</w:t>
      </w:r>
    </w:p>
    <w:p>
      <w:pPr>
        <w:spacing w:after="0" w:line="139" w:lineRule="exact"/>
        <w:rPr>
          <w:sz w:val="20"/>
          <w:szCs w:val="20"/>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Sections 9(a) and (b) are deleted in their entirety and 9(g) is added to the Agreement:</w:t>
      </w:r>
    </w:p>
    <w:p>
      <w:pPr>
        <w:spacing w:after="0" w:line="132" w:lineRule="exact"/>
        <w:rPr>
          <w:rFonts w:ascii="Arial" w:cs="Arial" w:eastAsia="Arial" w:hAnsi="Arial"/>
          <w:sz w:val="22"/>
          <w:szCs w:val="22"/>
          <w:color w:val="auto"/>
        </w:rPr>
      </w:pPr>
    </w:p>
    <w:p>
      <w:pPr>
        <w:ind w:left="968"/>
        <w:spacing w:after="0"/>
        <w:rPr>
          <w:rFonts w:ascii="Arial" w:cs="Arial" w:eastAsia="Arial" w:hAnsi="Arial"/>
          <w:sz w:val="22"/>
          <w:szCs w:val="22"/>
          <w:color w:val="auto"/>
        </w:rPr>
      </w:pPr>
      <w:r>
        <w:rPr>
          <w:rFonts w:ascii="Arial" w:cs="Arial" w:eastAsia="Arial" w:hAnsi="Arial"/>
          <w:sz w:val="22"/>
          <w:szCs w:val="22"/>
          <w:b w:val="1"/>
          <w:bCs w:val="1"/>
          <w:color w:val="auto"/>
        </w:rPr>
        <w:t>Timing of Payments After Termination of Employment</w:t>
      </w:r>
    </w:p>
    <w:p>
      <w:pPr>
        <w:spacing w:after="0" w:line="144" w:lineRule="exact"/>
        <w:rPr>
          <w:rFonts w:ascii="Arial" w:cs="Arial" w:eastAsia="Arial" w:hAnsi="Arial"/>
          <w:sz w:val="22"/>
          <w:szCs w:val="22"/>
          <w:color w:val="auto"/>
        </w:rPr>
      </w:pPr>
    </w:p>
    <w:p>
      <w:pPr>
        <w:jc w:val="both"/>
        <w:ind w:left="968" w:firstLine="4"/>
        <w:spacing w:after="0" w:line="216" w:lineRule="auto"/>
        <w:tabs>
          <w:tab w:leader="none" w:pos="1287"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Death or Disability</w:t>
      </w:r>
      <w:r>
        <w:rPr>
          <w:rFonts w:ascii="Arial" w:cs="Arial" w:eastAsia="Arial" w:hAnsi="Arial"/>
          <w:sz w:val="22"/>
          <w:szCs w:val="22"/>
          <w:color w:val="auto"/>
        </w:rPr>
        <w:t>: If Employee’s employment is terminated by reason of death or disability, then Company shall: (i) within thirty (30) days of the employment termination date, accelerate the vesting of any equity awards that would have, but for the Employee’s termination of employment, vested within twelve (12) months of the employment termination date; and (ii) issue payment to Employee (or Employee’s designee or estate if due to death) as follows:</w:t>
      </w:r>
    </w:p>
    <w:p>
      <w:pPr>
        <w:spacing w:after="0" w:line="130" w:lineRule="exact"/>
        <w:rPr>
          <w:rFonts w:ascii="Arial" w:cs="Arial" w:eastAsia="Arial" w:hAnsi="Arial"/>
          <w:sz w:val="22"/>
          <w:szCs w:val="22"/>
          <w:color w:val="auto"/>
        </w:rPr>
      </w:pPr>
    </w:p>
    <w:p>
      <w:pPr>
        <w:ind w:left="968" w:firstLine="279"/>
        <w:spacing w:after="0" w:line="232" w:lineRule="auto"/>
        <w:tabs>
          <w:tab w:leader="none" w:pos="1563" w:val="left"/>
        </w:tabs>
        <w:numPr>
          <w:ilvl w:val="2"/>
          <w:numId w:val="19"/>
        </w:numPr>
        <w:rPr>
          <w:rFonts w:ascii="Arial" w:cs="Arial" w:eastAsia="Arial" w:hAnsi="Arial"/>
          <w:sz w:val="22"/>
          <w:szCs w:val="22"/>
          <w:color w:val="auto"/>
        </w:rPr>
      </w:pPr>
      <w:r>
        <w:rPr>
          <w:rFonts w:ascii="Arial" w:cs="Arial" w:eastAsia="Arial" w:hAnsi="Arial"/>
          <w:sz w:val="22"/>
          <w:szCs w:val="22"/>
          <w:color w:val="auto"/>
        </w:rPr>
        <w:t>Accrued but unpaid base salary shall be paid in accordance with applicable law and no later than 30 days after termination of employment;</w:t>
      </w:r>
    </w:p>
    <w:p>
      <w:pPr>
        <w:spacing w:after="0" w:line="118" w:lineRule="exact"/>
        <w:rPr>
          <w:rFonts w:ascii="Arial" w:cs="Arial" w:eastAsia="Arial" w:hAnsi="Arial"/>
          <w:sz w:val="22"/>
          <w:szCs w:val="22"/>
          <w:color w:val="auto"/>
        </w:rPr>
      </w:pPr>
    </w:p>
    <w:p>
      <w:pPr>
        <w:ind w:left="968" w:firstLine="337"/>
        <w:spacing w:after="0" w:line="232" w:lineRule="auto"/>
        <w:tabs>
          <w:tab w:leader="none" w:pos="1636" w:val="left"/>
        </w:tabs>
        <w:numPr>
          <w:ilvl w:val="3"/>
          <w:numId w:val="19"/>
        </w:numPr>
        <w:rPr>
          <w:rFonts w:ascii="Arial" w:cs="Arial" w:eastAsia="Arial" w:hAnsi="Arial"/>
          <w:sz w:val="22"/>
          <w:szCs w:val="22"/>
          <w:color w:val="auto"/>
        </w:rPr>
      </w:pPr>
      <w:r>
        <w:rPr>
          <w:rFonts w:ascii="Arial" w:cs="Arial" w:eastAsia="Arial" w:hAnsi="Arial"/>
          <w:sz w:val="22"/>
          <w:szCs w:val="22"/>
          <w:color w:val="auto"/>
        </w:rPr>
        <w:t>Pro-rata annual bonus shall be paid out at the same time as annual bonuses for such fiscal year of the Company are paid to the Company’s other similarly situated employees; and</w:t>
      </w:r>
    </w:p>
    <w:p>
      <w:pPr>
        <w:spacing w:after="0" w:line="118" w:lineRule="exact"/>
        <w:rPr>
          <w:rFonts w:ascii="Arial" w:cs="Arial" w:eastAsia="Arial" w:hAnsi="Arial"/>
          <w:sz w:val="22"/>
          <w:szCs w:val="22"/>
          <w:color w:val="auto"/>
        </w:rPr>
      </w:pPr>
    </w:p>
    <w:p>
      <w:pPr>
        <w:ind w:left="968" w:firstLine="339"/>
        <w:spacing w:after="0" w:line="232" w:lineRule="auto"/>
        <w:tabs>
          <w:tab w:leader="none" w:pos="1627" w:val="left"/>
        </w:tabs>
        <w:numPr>
          <w:ilvl w:val="3"/>
          <w:numId w:val="19"/>
        </w:numPr>
        <w:rPr>
          <w:rFonts w:ascii="Arial" w:cs="Arial" w:eastAsia="Arial" w:hAnsi="Arial"/>
          <w:sz w:val="22"/>
          <w:szCs w:val="22"/>
          <w:color w:val="auto"/>
        </w:rPr>
      </w:pPr>
      <w:r>
        <w:rPr>
          <w:rFonts w:ascii="Arial" w:cs="Arial" w:eastAsia="Arial" w:hAnsi="Arial"/>
          <w:sz w:val="22"/>
          <w:szCs w:val="22"/>
          <w:color w:val="auto"/>
        </w:rPr>
        <w:t>any payments required under the applicable employee benefits plans as promptly following the date of employment termination as is reasonably feasible.</w:t>
      </w:r>
    </w:p>
    <w:p>
      <w:pPr>
        <w:spacing w:after="0" w:line="131" w:lineRule="exact"/>
        <w:rPr>
          <w:rFonts w:ascii="Arial" w:cs="Arial" w:eastAsia="Arial" w:hAnsi="Arial"/>
          <w:sz w:val="22"/>
          <w:szCs w:val="22"/>
          <w:color w:val="auto"/>
        </w:rPr>
      </w:pPr>
    </w:p>
    <w:p>
      <w:pPr>
        <w:jc w:val="both"/>
        <w:ind w:left="968" w:firstLine="4"/>
        <w:spacing w:after="0" w:line="229" w:lineRule="auto"/>
        <w:tabs>
          <w:tab w:leader="none" w:pos="1287" w:val="left"/>
        </w:tabs>
        <w:numPr>
          <w:ilvl w:val="1"/>
          <w:numId w:val="19"/>
        </w:numPr>
        <w:rPr>
          <w:rFonts w:ascii="Arial" w:cs="Arial" w:eastAsia="Arial" w:hAnsi="Arial"/>
          <w:sz w:val="21"/>
          <w:szCs w:val="21"/>
          <w:color w:val="auto"/>
        </w:rPr>
      </w:pPr>
      <w:r>
        <w:rPr>
          <w:rFonts w:ascii="Arial" w:cs="Arial" w:eastAsia="Arial" w:hAnsi="Arial"/>
          <w:sz w:val="21"/>
          <w:szCs w:val="21"/>
          <w:u w:val="single" w:color="auto"/>
          <w:color w:val="auto"/>
        </w:rPr>
        <w:t>Timing</w:t>
      </w:r>
      <w:r>
        <w:rPr>
          <w:rFonts w:ascii="Arial" w:cs="Arial" w:eastAsia="Arial" w:hAnsi="Arial"/>
          <w:sz w:val="21"/>
          <w:szCs w:val="21"/>
          <w:color w:val="auto"/>
        </w:rPr>
        <w:t>: Whenever a payment under this Agreement specifies a payment period with a reference to a number of days (e.g., “payment shall be made within thirty (30) days following the termination date”), the actual date of payment within the specified period shall be within the sole discretion of the Company, and if such payment spans two taxable years, then payment will be made in the second taxable year.</w:t>
      </w:r>
    </w:p>
    <w:p>
      <w:pPr>
        <w:spacing w:after="0" w:line="117" w:lineRule="exact"/>
        <w:rPr>
          <w:rFonts w:ascii="Arial" w:cs="Arial" w:eastAsia="Arial" w:hAnsi="Arial"/>
          <w:sz w:val="21"/>
          <w:szCs w:val="21"/>
          <w:color w:val="auto"/>
        </w:rPr>
      </w:pPr>
    </w:p>
    <w:p>
      <w:pPr>
        <w:jc w:val="both"/>
        <w:ind w:left="968" w:firstLine="4"/>
        <w:spacing w:after="0" w:line="234" w:lineRule="auto"/>
        <w:tabs>
          <w:tab w:leader="none" w:pos="1301" w:val="left"/>
        </w:tabs>
        <w:numPr>
          <w:ilvl w:val="1"/>
          <w:numId w:val="19"/>
        </w:numPr>
        <w:rPr>
          <w:rFonts w:ascii="Arial" w:cs="Arial" w:eastAsia="Arial" w:hAnsi="Arial"/>
          <w:sz w:val="21"/>
          <w:szCs w:val="21"/>
          <w:color w:val="auto"/>
        </w:rPr>
      </w:pPr>
      <w:r>
        <w:rPr>
          <w:rFonts w:ascii="Arial" w:cs="Arial" w:eastAsia="Arial" w:hAnsi="Arial"/>
          <w:sz w:val="21"/>
          <w:szCs w:val="21"/>
          <w:u w:val="single" w:color="auto"/>
          <w:color w:val="auto"/>
        </w:rPr>
        <w:t>Offset or Reduction</w:t>
      </w:r>
      <w:r>
        <w:rPr>
          <w:rFonts w:ascii="Arial" w:cs="Arial" w:eastAsia="Arial" w:hAnsi="Arial"/>
          <w:sz w:val="21"/>
          <w:szCs w:val="21"/>
          <w:color w:val="auto"/>
        </w:rPr>
        <w:t>: There shall be no offset or reduction against any payments, compensation or benefits under this Agreement if such offset or reduction would result in the imposition of additional taxes, interest or penalties under Section 409A on any payment, benefit or entitlement payable to Employee.</w:t>
      </w:r>
    </w:p>
    <w:p>
      <w:pPr>
        <w:sectPr>
          <w:pgSz w:w="11900" w:h="16838" w:orient="portrait"/>
          <w:cols w:equalWidth="0" w:num="1">
            <w:col w:w="10908"/>
          </w:cols>
          <w:pgMar w:left="652" w:top="1401" w:right="339" w:bottom="1440" w:gutter="0" w:footer="0" w:header="0"/>
        </w:sectPr>
      </w:pPr>
    </w:p>
    <w:bookmarkStart w:id="52" w:name="page53"/>
    <w:bookmarkEnd w:id="52"/>
    <w:p>
      <w:pPr>
        <w:ind w:left="340"/>
        <w:spacing w:after="0"/>
        <w:rPr>
          <w:sz w:val="20"/>
          <w:szCs w:val="20"/>
          <w:color w:val="auto"/>
        </w:rPr>
      </w:pPr>
      <w:r>
        <w:rPr>
          <w:rFonts w:ascii="Arial" w:cs="Arial" w:eastAsia="Arial" w:hAnsi="Arial"/>
          <w:sz w:val="19"/>
          <w:szCs w:val="19"/>
          <w:color w:val="auto"/>
        </w:rPr>
        <w:t>5. All other terms of the Agreement not expressly amended herein shall remain in full force and effect.</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120" w:type="dxa"/>
            <w:vAlign w:val="bottom"/>
            <w:gridSpan w:val="2"/>
          </w:tcPr>
          <w:p>
            <w:pPr>
              <w:ind w:left="20"/>
              <w:spacing w:after="0"/>
              <w:rPr>
                <w:sz w:val="20"/>
                <w:szCs w:val="20"/>
                <w:color w:val="auto"/>
              </w:rPr>
            </w:pPr>
            <w:r>
              <w:rPr>
                <w:rFonts w:ascii="Arial" w:cs="Arial" w:eastAsia="Arial" w:hAnsi="Arial"/>
                <w:sz w:val="22"/>
                <w:szCs w:val="22"/>
                <w:b w:val="1"/>
                <w:bCs w:val="1"/>
                <w:color w:val="auto"/>
              </w:rPr>
              <w:t>EMPLOYEE:</w:t>
            </w: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91"/>
        </w:trPr>
        <w:tc>
          <w:tcPr>
            <w:tcW w:w="612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Subroto Mukerji</w:t>
            </w: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3"/>
        </w:trPr>
        <w:tc>
          <w:tcPr>
            <w:tcW w:w="612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Subroto Mukerji</w:t>
            </w:r>
          </w:p>
        </w:tc>
        <w:tc>
          <w:tcPr>
            <w:tcW w:w="1780" w:type="dxa"/>
            <w:vAlign w:val="bottom"/>
          </w:tcPr>
          <w:p>
            <w:pPr>
              <w:ind w:left="1280"/>
              <w:spacing w:after="0" w:line="243" w:lineRule="exact"/>
              <w:rPr>
                <w:sz w:val="20"/>
                <w:szCs w:val="20"/>
                <w:color w:val="auto"/>
              </w:rPr>
            </w:pPr>
            <w:r>
              <w:rPr>
                <w:rFonts w:ascii="Arial" w:cs="Arial" w:eastAsia="Arial" w:hAnsi="Arial"/>
                <w:sz w:val="22"/>
                <w:szCs w:val="22"/>
                <w:b w:val="1"/>
                <w:bCs w:val="1"/>
                <w:color w:val="auto"/>
                <w:w w:val="87"/>
              </w:rPr>
              <w:t>Date:</w:t>
            </w:r>
          </w:p>
        </w:tc>
        <w:tc>
          <w:tcPr>
            <w:tcW w:w="1680" w:type="dxa"/>
            <w:vAlign w:val="bottom"/>
            <w:tcBorders>
              <w:bottom w:val="single" w:sz="8" w:color="auto"/>
            </w:tcBorders>
          </w:tcPr>
          <w:p>
            <w:pPr>
              <w:ind w:left="200"/>
              <w:spacing w:after="0" w:line="243" w:lineRule="exact"/>
              <w:rPr>
                <w:sz w:val="20"/>
                <w:szCs w:val="20"/>
                <w:color w:val="auto"/>
              </w:rPr>
            </w:pPr>
            <w:r>
              <w:rPr>
                <w:rFonts w:ascii="Arial" w:cs="Arial" w:eastAsia="Arial" w:hAnsi="Arial"/>
                <w:sz w:val="22"/>
                <w:szCs w:val="22"/>
                <w:color w:val="auto"/>
              </w:rPr>
              <w:t>April 15, 2022</w:t>
            </w:r>
          </w:p>
        </w:tc>
      </w:tr>
      <w:tr>
        <w:trPr>
          <w:trHeight w:val="611"/>
        </w:trPr>
        <w:tc>
          <w:tcPr>
            <w:tcW w:w="6120" w:type="dxa"/>
            <w:vAlign w:val="bottom"/>
            <w:gridSpan w:val="2"/>
          </w:tcPr>
          <w:p>
            <w:pPr>
              <w:ind w:left="20"/>
              <w:spacing w:after="0"/>
              <w:rPr>
                <w:sz w:val="20"/>
                <w:szCs w:val="20"/>
                <w:color w:val="auto"/>
              </w:rPr>
            </w:pPr>
            <w:r>
              <w:rPr>
                <w:rFonts w:ascii="Arial" w:cs="Arial" w:eastAsia="Arial" w:hAnsi="Arial"/>
                <w:sz w:val="22"/>
                <w:szCs w:val="22"/>
                <w:b w:val="1"/>
                <w:bCs w:val="1"/>
                <w:color w:val="auto"/>
              </w:rPr>
              <w:t>COMPANY:</w:t>
            </w: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30"/>
        </w:trPr>
        <w:tc>
          <w:tcPr>
            <w:tcW w:w="6120" w:type="dxa"/>
            <w:vAlign w:val="bottom"/>
            <w:gridSpan w:val="2"/>
          </w:tcPr>
          <w:p>
            <w:pPr>
              <w:ind w:left="240"/>
              <w:spacing w:after="0"/>
              <w:rPr>
                <w:sz w:val="20"/>
                <w:szCs w:val="20"/>
                <w:color w:val="auto"/>
              </w:rPr>
            </w:pPr>
            <w:r>
              <w:rPr>
                <w:rFonts w:ascii="Arial" w:cs="Arial" w:eastAsia="Arial" w:hAnsi="Arial"/>
                <w:sz w:val="22"/>
                <w:szCs w:val="22"/>
                <w:color w:val="auto"/>
              </w:rPr>
              <w:t>/s/ Brenna Nava</w:t>
            </w:r>
          </w:p>
        </w:tc>
        <w:tc>
          <w:tcPr>
            <w:tcW w:w="1780" w:type="dxa"/>
            <w:vAlign w:val="bottom"/>
          </w:tcPr>
          <w:p>
            <w:pPr>
              <w:ind w:left="1280"/>
              <w:spacing w:after="0"/>
              <w:rPr>
                <w:sz w:val="20"/>
                <w:szCs w:val="20"/>
                <w:color w:val="auto"/>
              </w:rPr>
            </w:pPr>
            <w:r>
              <w:rPr>
                <w:rFonts w:ascii="Arial" w:cs="Arial" w:eastAsia="Arial" w:hAnsi="Arial"/>
                <w:sz w:val="22"/>
                <w:szCs w:val="22"/>
                <w:b w:val="1"/>
                <w:bCs w:val="1"/>
                <w:color w:val="auto"/>
                <w:w w:val="87"/>
              </w:rPr>
              <w:t>Date:</w:t>
            </w:r>
          </w:p>
        </w:tc>
        <w:tc>
          <w:tcPr>
            <w:tcW w:w="168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April 15, 2022</w:t>
            </w:r>
          </w:p>
        </w:tc>
      </w:tr>
      <w:tr>
        <w:trPr>
          <w:trHeight w:val="48"/>
        </w:trPr>
        <w:tc>
          <w:tcPr>
            <w:tcW w:w="840" w:type="dxa"/>
            <w:vAlign w:val="bottom"/>
            <w:tcBorders>
              <w:bottom w:val="single" w:sz="8" w:color="auto"/>
            </w:tcBorders>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c>
          <w:tcPr>
            <w:tcW w:w="178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287"/>
        </w:trPr>
        <w:tc>
          <w:tcPr>
            <w:tcW w:w="6120" w:type="dxa"/>
            <w:vAlign w:val="bottom"/>
            <w:gridSpan w:val="2"/>
          </w:tcPr>
          <w:p>
            <w:pPr>
              <w:ind w:left="20"/>
              <w:spacing w:after="0"/>
              <w:rPr>
                <w:sz w:val="20"/>
                <w:szCs w:val="20"/>
                <w:color w:val="auto"/>
              </w:rPr>
            </w:pPr>
            <w:r>
              <w:rPr>
                <w:rFonts w:ascii="Arial" w:cs="Arial" w:eastAsia="Arial" w:hAnsi="Arial"/>
                <w:sz w:val="22"/>
                <w:szCs w:val="22"/>
                <w:color w:val="auto"/>
              </w:rPr>
              <w:t>Rackspace US, Inc.</w:t>
            </w: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8"/>
        </w:trPr>
        <w:tc>
          <w:tcPr>
            <w:tcW w:w="840" w:type="dxa"/>
            <w:vAlign w:val="bottom"/>
          </w:tcPr>
          <w:p>
            <w:pPr>
              <w:ind w:left="20"/>
              <w:spacing w:after="0"/>
              <w:rPr>
                <w:sz w:val="20"/>
                <w:szCs w:val="20"/>
                <w:color w:val="auto"/>
              </w:rPr>
            </w:pPr>
            <w:r>
              <w:rPr>
                <w:rFonts w:ascii="Arial" w:cs="Arial" w:eastAsia="Arial" w:hAnsi="Arial"/>
                <w:sz w:val="22"/>
                <w:szCs w:val="22"/>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Brenna Nava</w:t>
            </w: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31"/>
        </w:trPr>
        <w:tc>
          <w:tcPr>
            <w:tcW w:w="840" w:type="dxa"/>
            <w:vAlign w:val="bottom"/>
          </w:tcPr>
          <w:p>
            <w:pPr>
              <w:ind w:left="20"/>
              <w:spacing w:after="0"/>
              <w:rPr>
                <w:sz w:val="20"/>
                <w:szCs w:val="20"/>
                <w:color w:val="auto"/>
              </w:rPr>
            </w:pPr>
            <w:r>
              <w:rPr>
                <w:rFonts w:ascii="Arial" w:cs="Arial" w:eastAsia="Arial" w:hAnsi="Arial"/>
                <w:sz w:val="22"/>
                <w:szCs w:val="22"/>
                <w:color w:val="auto"/>
              </w:rPr>
              <w:t>Title:</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VP &amp; Deputy General Counsel</w:t>
            </w: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139"/>
          </w:cols>
          <w:pgMar w:left="320" w:top="1401"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line="225" w:lineRule="auto"/>
        <w:rPr>
          <w:sz w:val="20"/>
          <w:szCs w:val="20"/>
          <w:color w:val="auto"/>
        </w:rPr>
      </w:pPr>
      <w:r>
        <w:rPr>
          <w:rFonts w:ascii="Arial" w:cs="Arial" w:eastAsia="Arial" w:hAnsi="Arial"/>
          <w:sz w:val="22"/>
          <w:szCs w:val="22"/>
          <w:b w:val="1"/>
          <w:bCs w:val="1"/>
          <w:color w:val="auto"/>
        </w:rPr>
        <w:t>RACKSPACE TECHNOLOGY, INC. 2020 EQUITY INCENTIVE PLAN NOTICE OF GRANT OF PERFORMANCE STOCK UNITS</w:t>
      </w:r>
    </w:p>
    <w:p>
      <w:pPr>
        <w:spacing w:after="0" w:line="294"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1"/>
          <w:szCs w:val="21"/>
          <w:color w:val="auto"/>
        </w:rPr>
        <w:t>Unless otherwise defined herein, the terms defined in the 2020 Rackspace Technology, Inc.’s Equity Incentive Plan (the “Plan”) shall have the same defined meanings in this Notice of Grant (the “Notice of Grant”) of Performance Stock Units (“Performance Stock Units” or “PSUs”) and Performance Stock Unit Agreement (the “Agreement”).</w:t>
      </w:r>
    </w:p>
    <w:p>
      <w:pPr>
        <w:spacing w:after="0" w:line="233"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22"/>
          <w:szCs w:val="22"/>
          <w:b w:val="1"/>
          <w:bCs w:val="1"/>
          <w:color w:val="auto"/>
        </w:rPr>
        <w:t>Participant:</w:t>
      </w:r>
      <w:r>
        <w:rPr>
          <w:sz w:val="20"/>
          <w:szCs w:val="20"/>
          <w:color w:val="auto"/>
        </w:rPr>
        <w:tab/>
      </w:r>
      <w:r>
        <w:rPr>
          <w:rFonts w:ascii="Arial" w:cs="Arial" w:eastAsia="Arial" w:hAnsi="Arial"/>
          <w:sz w:val="22"/>
          <w:szCs w:val="22"/>
          <w:color w:val="auto"/>
        </w:rPr>
        <w:t>[name]</w:t>
      </w:r>
    </w:p>
    <w:p>
      <w:pPr>
        <w:spacing w:after="0" w:line="37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Participant has been granted PSUs with respect to Common Stock of Rackspace Technology, Inc., subject to the terms and conditions of the Plan and this Agreement, as follows: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301"/>
        </w:trPr>
        <w:tc>
          <w:tcPr>
            <w:tcW w:w="4360" w:type="dxa"/>
            <w:vAlign w:val="bottom"/>
          </w:tcPr>
          <w:p>
            <w:pPr>
              <w:spacing w:after="0"/>
              <w:rPr>
                <w:sz w:val="20"/>
                <w:szCs w:val="20"/>
                <w:color w:val="auto"/>
              </w:rPr>
            </w:pPr>
            <w:r>
              <w:rPr>
                <w:rFonts w:ascii="Arial" w:cs="Arial" w:eastAsia="Arial" w:hAnsi="Arial"/>
                <w:sz w:val="22"/>
                <w:szCs w:val="22"/>
                <w:color w:val="auto"/>
              </w:rPr>
              <w:t>Grant Number:</w:t>
            </w:r>
          </w:p>
        </w:tc>
        <w:tc>
          <w:tcPr>
            <w:tcW w:w="2640" w:type="dxa"/>
            <w:vAlign w:val="bottom"/>
          </w:tcPr>
          <w:p>
            <w:pPr>
              <w:ind w:left="1260"/>
              <w:spacing w:after="0"/>
              <w:rPr>
                <w:sz w:val="20"/>
                <w:szCs w:val="20"/>
                <w:color w:val="auto"/>
              </w:rPr>
            </w:pPr>
            <w:r>
              <w:rPr>
                <w:rFonts w:ascii="Arial" w:cs="Arial" w:eastAsia="Arial" w:hAnsi="Arial"/>
                <w:sz w:val="22"/>
                <w:szCs w:val="22"/>
                <w:color w:val="auto"/>
              </w:rPr>
              <w:t>[insert]</w:t>
            </w:r>
          </w:p>
        </w:tc>
      </w:tr>
      <w:tr>
        <w:trPr>
          <w:trHeight w:val="279"/>
        </w:trPr>
        <w:tc>
          <w:tcPr>
            <w:tcW w:w="4360" w:type="dxa"/>
            <w:vAlign w:val="bottom"/>
          </w:tcPr>
          <w:p>
            <w:pPr>
              <w:spacing w:after="0"/>
              <w:rPr>
                <w:sz w:val="20"/>
                <w:szCs w:val="20"/>
                <w:color w:val="auto"/>
              </w:rPr>
            </w:pPr>
            <w:r>
              <w:rPr>
                <w:rFonts w:ascii="Arial" w:cs="Arial" w:eastAsia="Arial" w:hAnsi="Arial"/>
                <w:sz w:val="22"/>
                <w:szCs w:val="22"/>
                <w:color w:val="auto"/>
              </w:rPr>
              <w:t>Date of Grant:</w:t>
            </w:r>
          </w:p>
        </w:tc>
        <w:tc>
          <w:tcPr>
            <w:tcW w:w="2640" w:type="dxa"/>
            <w:vAlign w:val="bottom"/>
          </w:tcPr>
          <w:p>
            <w:pPr>
              <w:ind w:left="1260"/>
              <w:spacing w:after="0"/>
              <w:rPr>
                <w:sz w:val="20"/>
                <w:szCs w:val="20"/>
                <w:color w:val="auto"/>
              </w:rPr>
            </w:pPr>
            <w:r>
              <w:rPr>
                <w:rFonts w:ascii="Arial" w:cs="Arial" w:eastAsia="Arial" w:hAnsi="Arial"/>
                <w:sz w:val="22"/>
                <w:szCs w:val="22"/>
                <w:color w:val="auto"/>
                <w:w w:val="88"/>
              </w:rPr>
              <w:t>March 22, 2022</w:t>
            </w:r>
          </w:p>
        </w:tc>
      </w:tr>
      <w:tr>
        <w:trPr>
          <w:trHeight w:val="301"/>
        </w:trPr>
        <w:tc>
          <w:tcPr>
            <w:tcW w:w="4360" w:type="dxa"/>
            <w:vAlign w:val="bottom"/>
          </w:tcPr>
          <w:p>
            <w:pPr>
              <w:spacing w:after="0"/>
              <w:rPr>
                <w:sz w:val="20"/>
                <w:szCs w:val="20"/>
                <w:color w:val="auto"/>
              </w:rPr>
            </w:pPr>
            <w:r>
              <w:rPr>
                <w:rFonts w:ascii="Arial" w:cs="Arial" w:eastAsia="Arial" w:hAnsi="Arial"/>
                <w:sz w:val="22"/>
                <w:szCs w:val="22"/>
                <w:color w:val="auto"/>
              </w:rPr>
              <w:t>Number of PSUs Granted at Target:</w:t>
            </w:r>
          </w:p>
        </w:tc>
        <w:tc>
          <w:tcPr>
            <w:tcW w:w="2640" w:type="dxa"/>
            <w:vAlign w:val="bottom"/>
          </w:tcPr>
          <w:p>
            <w:pPr>
              <w:ind w:left="1260"/>
              <w:spacing w:after="0"/>
              <w:rPr>
                <w:sz w:val="20"/>
                <w:szCs w:val="20"/>
                <w:color w:val="auto"/>
              </w:rPr>
            </w:pPr>
            <w:r>
              <w:rPr>
                <w:rFonts w:ascii="Arial" w:cs="Arial" w:eastAsia="Arial" w:hAnsi="Arial"/>
                <w:sz w:val="22"/>
                <w:szCs w:val="22"/>
                <w:color w:val="auto"/>
                <w:w w:val="92"/>
              </w:rPr>
              <w:t>[insert number]</w:t>
            </w:r>
          </w:p>
        </w:tc>
      </w:tr>
      <w:tr>
        <w:trPr>
          <w:trHeight w:val="283"/>
        </w:trPr>
        <w:tc>
          <w:tcPr>
            <w:tcW w:w="4360" w:type="dxa"/>
            <w:vAlign w:val="bottom"/>
          </w:tcPr>
          <w:p>
            <w:pPr>
              <w:spacing w:after="0"/>
              <w:rPr>
                <w:sz w:val="20"/>
                <w:szCs w:val="20"/>
                <w:color w:val="auto"/>
              </w:rPr>
            </w:pPr>
            <w:r>
              <w:rPr>
                <w:rFonts w:ascii="Arial" w:cs="Arial" w:eastAsia="Arial" w:hAnsi="Arial"/>
                <w:sz w:val="22"/>
                <w:szCs w:val="22"/>
                <w:color w:val="auto"/>
              </w:rPr>
              <w:t>Vesting Commencement Date:</w:t>
            </w:r>
          </w:p>
        </w:tc>
        <w:tc>
          <w:tcPr>
            <w:tcW w:w="2640" w:type="dxa"/>
            <w:vAlign w:val="bottom"/>
          </w:tcPr>
          <w:p>
            <w:pPr>
              <w:ind w:left="1260"/>
              <w:spacing w:after="0"/>
              <w:rPr>
                <w:sz w:val="20"/>
                <w:szCs w:val="20"/>
                <w:color w:val="auto"/>
              </w:rPr>
            </w:pPr>
            <w:r>
              <w:rPr>
                <w:rFonts w:ascii="Arial" w:cs="Arial" w:eastAsia="Arial" w:hAnsi="Arial"/>
                <w:sz w:val="22"/>
                <w:szCs w:val="22"/>
                <w:color w:val="auto"/>
                <w:w w:val="88"/>
              </w:rPr>
              <w:t>March 22, 2022</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Vesting Schedule</w:t>
      </w:r>
      <w:r>
        <w:rPr>
          <w:rFonts w:ascii="Arial" w:cs="Arial" w:eastAsia="Arial" w:hAnsi="Arial"/>
          <w:sz w:val="22"/>
          <w:szCs w:val="22"/>
          <w:b w:val="1"/>
          <w:bCs w:val="1"/>
          <w:color w:val="auto"/>
        </w:rPr>
        <w:t>:</w:t>
      </w:r>
    </w:p>
    <w:p>
      <w:pPr>
        <w:spacing w:after="0" w:line="18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Vesting is subject to the satisfaction of the performance goals and continued employment through the applicable Measurement Date as set forth in the Agreement.</w:t>
      </w:r>
    </w:p>
    <w:p>
      <w:pPr>
        <w:sectPr>
          <w:pgSz w:w="11900" w:h="16838" w:orient="portrait"/>
          <w:cols w:equalWidth="0" w:num="1">
            <w:col w:w="11240"/>
          </w:cols>
          <w:pgMar w:left="320" w:top="607"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RACKSPACE TECHNOLOGY, INC.</w:t>
      </w:r>
    </w:p>
    <w:p>
      <w:pPr>
        <w:jc w:val="center"/>
        <w:spacing w:after="0" w:line="204" w:lineRule="auto"/>
        <w:rPr>
          <w:sz w:val="20"/>
          <w:szCs w:val="20"/>
          <w:color w:val="auto"/>
        </w:rPr>
      </w:pPr>
      <w:r>
        <w:rPr>
          <w:rFonts w:ascii="Arial" w:cs="Arial" w:eastAsia="Arial" w:hAnsi="Arial"/>
          <w:sz w:val="22"/>
          <w:szCs w:val="22"/>
          <w:b w:val="1"/>
          <w:bCs w:val="1"/>
          <w:color w:val="auto"/>
        </w:rPr>
        <w:t>2020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 AGREEMENT</w:t>
      </w:r>
    </w:p>
    <w:p>
      <w:pPr>
        <w:spacing w:after="0" w:line="39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PERFORMANCE STOCK UNIT AGREEMENT</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March 22, 2022 (the “</w:t>
      </w:r>
      <w:r>
        <w:rPr>
          <w:rFonts w:ascii="Arial" w:cs="Arial" w:eastAsia="Arial" w:hAnsi="Arial"/>
          <w:sz w:val="22"/>
          <w:szCs w:val="22"/>
          <w:u w:val="single" w:color="auto"/>
          <w:color w:val="auto"/>
        </w:rPr>
        <w:t>Grant</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xml:space="preserve">”), by and among </w:t>
      </w:r>
      <w:r>
        <w:rPr>
          <w:rFonts w:ascii="Arial" w:cs="Arial" w:eastAsia="Arial" w:hAnsi="Arial"/>
          <w:sz w:val="22"/>
          <w:szCs w:val="22"/>
          <w:b w:val="1"/>
          <w:bCs w:val="1"/>
          <w:color w:val="auto"/>
        </w:rPr>
        <w:t>RACKSPACE TECHNOLOGY, INC</w:t>
      </w:r>
      <w:r>
        <w:rPr>
          <w:rFonts w:ascii="Arial" w:cs="Arial" w:eastAsia="Arial" w:hAnsi="Arial"/>
          <w:sz w:val="22"/>
          <w:szCs w:val="22"/>
          <w:color w:val="auto"/>
        </w:rPr>
        <w:t>.,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[name of Participant]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153"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Participant is employed as the [title] of the Company [pursuant to the terms of a written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dated [date], as amended;]</w:t>
      </w:r>
    </w:p>
    <w:p>
      <w:pPr>
        <w:spacing w:after="0" w:line="15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acting through a Committee (as defined in the Company’s 2020 Equity Incentive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has granted to the Participant, effective as of the date of this Agreement, PSUs under the Plan (which, for the avoidance of doubt, shall be credited to a separate account maintained for you on the books of the Company where the value of each PSU will equal the Fair Market Value (as defined in the Plan) of one share of Common Stock, the “</w:t>
      </w:r>
      <w:r>
        <w:rPr>
          <w:rFonts w:ascii="Arial" w:cs="Arial" w:eastAsia="Arial" w:hAnsi="Arial"/>
          <w:sz w:val="22"/>
          <w:szCs w:val="22"/>
          <w:u w:val="single" w:color="auto"/>
          <w:color w:val="auto"/>
        </w:rPr>
        <w:t>Account</w:t>
      </w:r>
      <w:r>
        <w:rPr>
          <w:rFonts w:ascii="Arial" w:cs="Arial" w:eastAsia="Arial" w:hAnsi="Arial"/>
          <w:sz w:val="22"/>
          <w:szCs w:val="22"/>
          <w:color w:val="auto"/>
        </w:rPr>
        <w:t>”) to acquire a number of shares of Common Stock (as defined in the Plan) on the terms and subject to the conditions set forth in this Agreement and the Plan;</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promises and of the mutual agreements contained in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agree as follows:</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The Plan</w:t>
      </w:r>
      <w:r>
        <w:rPr>
          <w:rFonts w:ascii="Arial" w:cs="Arial" w:eastAsia="Arial" w:hAnsi="Arial"/>
          <w:sz w:val="22"/>
          <w:szCs w:val="22"/>
          <w:color w:val="auto"/>
        </w:rPr>
        <w:t xml:space="preserve">. The terms and provisions of the Plan are hereby incorporated into this Agreement as if set forth herein in their entirety (including, without limitation, the provisions of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12</w:t>
      </w:r>
      <w:r>
        <w:rPr>
          <w:rFonts w:ascii="Arial" w:cs="Arial" w:eastAsia="Arial" w:hAnsi="Arial"/>
          <w:sz w:val="22"/>
          <w:szCs w:val="22"/>
          <w:color w:val="auto"/>
        </w:rPr>
        <w:t>). In the event of a conflict between any provision of this Agreement and the Plan, the provisions of the Plan shall control. A copy of the Plan may be obtained from the Company by the Participant upon request. Capitalized terms used herein and not otherwise defined shall have the meanings ascribed thereto in the Plan.</w:t>
      </w:r>
    </w:p>
    <w:p>
      <w:pPr>
        <w:spacing w:after="0" w:line="15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Vesting</w:t>
      </w:r>
      <w:r>
        <w:rPr>
          <w:rFonts w:ascii="Arial" w:cs="Arial" w:eastAsia="Arial" w:hAnsi="Arial"/>
          <w:sz w:val="21"/>
          <w:szCs w:val="21"/>
          <w:color w:val="auto"/>
        </w:rPr>
        <w:t>. Subject to the Participant’s continued employment or other service relationship with the Company or one of its Subsidiaries (such applicable entity, the “</w:t>
      </w:r>
      <w:r>
        <w:rPr>
          <w:rFonts w:ascii="Arial" w:cs="Arial" w:eastAsia="Arial" w:hAnsi="Arial"/>
          <w:sz w:val="21"/>
          <w:szCs w:val="21"/>
          <w:u w:val="single" w:color="auto"/>
          <w:color w:val="auto"/>
        </w:rPr>
        <w:t>Employer</w:t>
      </w:r>
      <w:r>
        <w:rPr>
          <w:rFonts w:ascii="Arial" w:cs="Arial" w:eastAsia="Arial" w:hAnsi="Arial"/>
          <w:sz w:val="21"/>
          <w:szCs w:val="21"/>
          <w:color w:val="auto"/>
        </w:rPr>
        <w:t>”) through each applicable Measurement Date, the PSUs of each Tranche shall become non-forfeitable and shall vest based on the Company’s TSR Performance (as defined below) for the Measurement Period for such Tranche, as described below (the “</w:t>
      </w:r>
      <w:r>
        <w:rPr>
          <w:rFonts w:ascii="Arial" w:cs="Arial" w:eastAsia="Arial" w:hAnsi="Arial"/>
          <w:sz w:val="21"/>
          <w:szCs w:val="21"/>
          <w:u w:val="single" w:color="auto"/>
          <w:color w:val="auto"/>
        </w:rPr>
        <w:t>Performance Goal</w:t>
      </w:r>
      <w:r>
        <w:rPr>
          <w:rFonts w:ascii="Arial" w:cs="Arial" w:eastAsia="Arial" w:hAnsi="Arial"/>
          <w:sz w:val="21"/>
          <w:szCs w:val="21"/>
          <w:color w:val="auto"/>
        </w:rPr>
        <w:t>”).</w:t>
      </w:r>
    </w:p>
    <w:p>
      <w:pPr>
        <w:spacing w:after="0" w:line="158" w:lineRule="exact"/>
        <w:rPr>
          <w:sz w:val="20"/>
          <w:szCs w:val="20"/>
          <w:color w:val="auto"/>
        </w:rPr>
      </w:pPr>
    </w:p>
    <w:p>
      <w:pPr>
        <w:jc w:val="both"/>
        <w:ind w:firstLine="656"/>
        <w:spacing w:after="0"/>
        <w:tabs>
          <w:tab w:leader="none" w:pos="1293" w:val="left"/>
        </w:tabs>
        <w:numPr>
          <w:ilvl w:val="1"/>
          <w:numId w:val="20"/>
        </w:numPr>
        <w:rPr>
          <w:rFonts w:ascii="Arial" w:cs="Arial" w:eastAsia="Arial" w:hAnsi="Arial"/>
          <w:sz w:val="19"/>
          <w:szCs w:val="19"/>
          <w:color w:val="auto"/>
        </w:rPr>
      </w:pPr>
      <w:r>
        <w:rPr>
          <w:rFonts w:ascii="Arial" w:cs="Arial" w:eastAsia="Arial" w:hAnsi="Arial"/>
          <w:sz w:val="19"/>
          <w:szCs w:val="19"/>
          <w:color w:val="auto"/>
        </w:rPr>
        <w:t>For each Tranche, the Annualized TSR for the Company and the Annualized TSR for each company in the Comparator Group shall be calculated for the Measurement Period for such Tranche. Based on such calculation, a percentile rank for the Company’s Annualized TSR relative to the Annualized TSR of each company in the Comparator Group (“</w:t>
      </w:r>
      <w:r>
        <w:rPr>
          <w:rFonts w:ascii="Arial" w:cs="Arial" w:eastAsia="Arial" w:hAnsi="Arial"/>
          <w:sz w:val="19"/>
          <w:szCs w:val="19"/>
          <w:u w:val="single" w:color="auto"/>
          <w:color w:val="auto"/>
        </w:rPr>
        <w:t>TSR</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Performance</w:t>
      </w:r>
      <w:r>
        <w:rPr>
          <w:rFonts w:ascii="Arial" w:cs="Arial" w:eastAsia="Arial" w:hAnsi="Arial"/>
          <w:sz w:val="19"/>
          <w:szCs w:val="19"/>
          <w:color w:val="auto"/>
        </w:rPr>
        <w:t>”) shall be calculated, and the “</w:t>
      </w:r>
      <w:r>
        <w:rPr>
          <w:rFonts w:ascii="Arial" w:cs="Arial" w:eastAsia="Arial" w:hAnsi="Arial"/>
          <w:sz w:val="19"/>
          <w:szCs w:val="19"/>
          <w:u w:val="single" w:color="auto"/>
          <w:color w:val="auto"/>
        </w:rPr>
        <w:t>Vesting Percentage</w:t>
      </w:r>
      <w:r>
        <w:rPr>
          <w:rFonts w:ascii="Arial" w:cs="Arial" w:eastAsia="Arial" w:hAnsi="Arial"/>
          <w:sz w:val="19"/>
          <w:szCs w:val="19"/>
          <w:color w:val="auto"/>
        </w:rPr>
        <w:t>” for such Tranche shall be determined based on such percentile rank according to the table below, but subject to the caps provided in Section 2(b). Such determination shall be made as soon as reasonably practicable after, but in no event later than 20 days after, the end of the applicable Measurement Period. On the Vesting Date for such Tranche, a number of PSUs equal to the product of (A) the number of PSUs in such Tranche multiplied by</w:t>
      </w:r>
    </w:p>
    <w:p>
      <w:pPr>
        <w:ind w:left="360" w:hanging="352"/>
        <w:spacing w:after="0"/>
        <w:tabs>
          <w:tab w:leader="none" w:pos="3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Vesting Percentage for such Tranche, shall become non-forfeitable and shall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82" w:right="339" w:bottom="1440" w:gutter="0" w:footer="0" w:header="0"/>
        </w:sectPr>
      </w:pPr>
    </w:p>
    <w:bookmarkStart w:id="55" w:name="page56"/>
    <w:bookmarkEnd w:id="5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5640" w:type="dxa"/>
            <w:vAlign w:val="bottom"/>
            <w:tcBorders>
              <w:top w:val="single" w:sz="8" w:color="auto"/>
              <w:left w:val="single" w:sz="8" w:color="auto"/>
              <w:right w:val="single" w:sz="8" w:color="auto"/>
            </w:tcBorders>
            <w:shd w:val="clear" w:color="auto" w:fill="262626"/>
          </w:tcPr>
          <w:p>
            <w:pPr>
              <w:ind w:left="280"/>
              <w:spacing w:after="0" w:line="222" w:lineRule="exact"/>
              <w:rPr>
                <w:sz w:val="20"/>
                <w:szCs w:val="20"/>
                <w:color w:val="auto"/>
              </w:rPr>
            </w:pPr>
            <w:r>
              <w:rPr>
                <w:rFonts w:ascii="Arial" w:cs="Arial" w:eastAsia="Arial" w:hAnsi="Arial"/>
                <w:sz w:val="22"/>
                <w:szCs w:val="22"/>
                <w:color w:val="FFFFFF"/>
                <w:w w:val="94"/>
              </w:rPr>
              <w:t>Percentile Rank of Company’s Annualized TSR relative to</w:t>
            </w:r>
          </w:p>
        </w:tc>
        <w:tc>
          <w:tcPr>
            <w:tcW w:w="5620" w:type="dxa"/>
            <w:vAlign w:val="bottom"/>
            <w:tcBorders>
              <w:top w:val="single" w:sz="8" w:color="auto"/>
              <w:right w:val="single" w:sz="8" w:color="auto"/>
            </w:tcBorders>
            <w:vMerge w:val="restart"/>
            <w:shd w:val="clear" w:color="auto" w:fill="262626"/>
          </w:tcPr>
          <w:p>
            <w:pPr>
              <w:ind w:left="1980"/>
              <w:spacing w:after="0"/>
              <w:rPr>
                <w:sz w:val="20"/>
                <w:szCs w:val="20"/>
                <w:color w:val="auto"/>
              </w:rPr>
            </w:pPr>
            <w:r>
              <w:rPr>
                <w:rFonts w:ascii="Arial" w:cs="Arial" w:eastAsia="Arial" w:hAnsi="Arial"/>
                <w:sz w:val="22"/>
                <w:szCs w:val="22"/>
                <w:color w:val="FFFFFF"/>
              </w:rPr>
              <w:t>Vesting Percentage</w:t>
            </w:r>
          </w:p>
        </w:tc>
        <w:tc>
          <w:tcPr>
            <w:tcW w:w="0" w:type="dxa"/>
            <w:vAlign w:val="bottom"/>
          </w:tcPr>
          <w:p>
            <w:pPr>
              <w:spacing w:after="0"/>
              <w:rPr>
                <w:sz w:val="1"/>
                <w:szCs w:val="1"/>
                <w:color w:val="auto"/>
              </w:rPr>
            </w:pPr>
          </w:p>
        </w:tc>
      </w:tr>
      <w:tr>
        <w:trPr>
          <w:trHeight w:val="276"/>
        </w:trPr>
        <w:tc>
          <w:tcPr>
            <w:tcW w:w="5640" w:type="dxa"/>
            <w:vAlign w:val="bottom"/>
            <w:tcBorders>
              <w:left w:val="single" w:sz="8" w:color="auto"/>
              <w:bottom w:val="single" w:sz="8" w:color="auto"/>
              <w:right w:val="single" w:sz="8" w:color="auto"/>
            </w:tcBorders>
            <w:shd w:val="clear" w:color="auto" w:fill="262626"/>
          </w:tcPr>
          <w:p>
            <w:pPr>
              <w:ind w:left="1140"/>
              <w:spacing w:after="0"/>
              <w:rPr>
                <w:sz w:val="20"/>
                <w:szCs w:val="20"/>
                <w:color w:val="auto"/>
              </w:rPr>
            </w:pPr>
            <w:r>
              <w:rPr>
                <w:rFonts w:ascii="Arial" w:cs="Arial" w:eastAsia="Arial" w:hAnsi="Arial"/>
                <w:sz w:val="22"/>
                <w:szCs w:val="22"/>
                <w:color w:val="FFFFFF"/>
              </w:rPr>
              <w:t>Annualized TSR of Comparator Group</w:t>
            </w:r>
          </w:p>
        </w:tc>
        <w:tc>
          <w:tcPr>
            <w:tcW w:w="5620" w:type="dxa"/>
            <w:vAlign w:val="bottom"/>
            <w:tcBorders>
              <w:bottom w:val="single" w:sz="8" w:color="auto"/>
              <w:right w:val="single" w:sz="8" w:color="auto"/>
            </w:tcBorders>
            <w:vMerge w:val="continue"/>
            <w:shd w:val="clear" w:color="auto" w:fill="262626"/>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or less</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640" w:type="dxa"/>
            <w:vAlign w:val="bottom"/>
            <w:tcBorders>
              <w:left w:val="single" w:sz="8" w:color="auto"/>
              <w:right w:val="single" w:sz="8" w:color="auto"/>
            </w:tcBorders>
          </w:tcPr>
          <w:p>
            <w:pPr>
              <w:ind w:left="80"/>
              <w:spacing w:after="0" w:line="304" w:lineRule="exact"/>
              <w:rPr>
                <w:sz w:val="20"/>
                <w:szCs w:val="20"/>
                <w:color w:val="auto"/>
              </w:rPr>
            </w:pPr>
            <w:r>
              <w:rPr>
                <w:rFonts w:ascii="Arial" w:cs="Arial" w:eastAsia="Arial" w:hAnsi="Arial"/>
                <w:sz w:val="22"/>
                <w:szCs w:val="22"/>
                <w:color w:val="auto"/>
              </w:rPr>
              <w:t>Greater than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and up to 55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6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1"/>
              </w:rPr>
              <w:t>Determined by linear interpolation between 0% and 100%. For</w:t>
            </w: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19"/>
                <w:szCs w:val="19"/>
                <w:color w:val="auto"/>
              </w:rPr>
              <w:t>example, the Vesting Percentage for the 35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 shall be</w:t>
            </w: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19"/>
                <w:szCs w:val="19"/>
                <w:color w:val="auto"/>
              </w:rPr>
              <w:t>33⅓% and the Vesting Percentage for the 45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 shall</w:t>
            </w:r>
          </w:p>
        </w:tc>
        <w:tc>
          <w:tcPr>
            <w:tcW w:w="0" w:type="dxa"/>
            <w:vAlign w:val="bottom"/>
          </w:tcPr>
          <w:p>
            <w:pPr>
              <w:spacing w:after="0"/>
              <w:rPr>
                <w:sz w:val="1"/>
                <w:szCs w:val="1"/>
                <w:color w:val="auto"/>
              </w:rPr>
            </w:pPr>
          </w:p>
        </w:tc>
      </w:tr>
      <w:tr>
        <w:trPr>
          <w:trHeight w:val="338"/>
        </w:trPr>
        <w:tc>
          <w:tcPr>
            <w:tcW w:w="5640" w:type="dxa"/>
            <w:vAlign w:val="bottom"/>
            <w:tcBorders>
              <w:left w:val="single" w:sz="8" w:color="auto"/>
              <w:right w:val="single" w:sz="8" w:color="auto"/>
            </w:tcBorders>
          </w:tcPr>
          <w:p>
            <w:pPr>
              <w:spacing w:after="0"/>
              <w:rPr>
                <w:sz w:val="24"/>
                <w:szCs w:val="24"/>
                <w:color w:val="auto"/>
              </w:rPr>
            </w:pPr>
          </w:p>
        </w:tc>
        <w:tc>
          <w:tcPr>
            <w:tcW w:w="56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be 66⅔%.</w:t>
            </w:r>
          </w:p>
        </w:tc>
        <w:tc>
          <w:tcPr>
            <w:tcW w:w="0" w:type="dxa"/>
            <w:vAlign w:val="bottom"/>
          </w:tcPr>
          <w:p>
            <w:pPr>
              <w:spacing w:after="0"/>
              <w:rPr>
                <w:sz w:val="1"/>
                <w:szCs w:val="1"/>
                <w:color w:val="auto"/>
              </w:rPr>
            </w:pPr>
          </w:p>
        </w:tc>
      </w:tr>
      <w:tr>
        <w:trPr>
          <w:trHeight w:val="53"/>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55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100%</w:t>
            </w:r>
          </w:p>
        </w:tc>
        <w:tc>
          <w:tcPr>
            <w:tcW w:w="0" w:type="dxa"/>
            <w:vAlign w:val="bottom"/>
          </w:tcPr>
          <w:p>
            <w:pPr>
              <w:spacing w:after="0"/>
              <w:rPr>
                <w:sz w:val="1"/>
                <w:szCs w:val="1"/>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640" w:type="dxa"/>
            <w:vAlign w:val="bottom"/>
            <w:tcBorders>
              <w:left w:val="single" w:sz="8" w:color="auto"/>
              <w:right w:val="single" w:sz="8" w:color="auto"/>
            </w:tcBorders>
          </w:tcPr>
          <w:p>
            <w:pPr>
              <w:ind w:left="80"/>
              <w:spacing w:after="0" w:line="304" w:lineRule="exact"/>
              <w:rPr>
                <w:sz w:val="20"/>
                <w:szCs w:val="20"/>
                <w:color w:val="auto"/>
              </w:rPr>
            </w:pPr>
            <w:r>
              <w:rPr>
                <w:rFonts w:ascii="Arial" w:cs="Arial" w:eastAsia="Arial" w:hAnsi="Arial"/>
                <w:sz w:val="22"/>
                <w:szCs w:val="22"/>
                <w:color w:val="auto"/>
              </w:rPr>
              <w:t>Greater than 55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and up to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6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3"/>
              </w:rPr>
              <w:t>Determined by linear interpolation between 100% and 200%.</w:t>
            </w: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19"/>
                <w:szCs w:val="19"/>
                <w:color w:val="auto"/>
              </w:rPr>
              <w:t>For example, the Vesting Percentage for the 60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w:t>
            </w:r>
          </w:p>
        </w:tc>
        <w:tc>
          <w:tcPr>
            <w:tcW w:w="0" w:type="dxa"/>
            <w:vAlign w:val="bottom"/>
          </w:tcPr>
          <w:p>
            <w:pPr>
              <w:spacing w:after="0"/>
              <w:rPr>
                <w:sz w:val="1"/>
                <w:szCs w:val="1"/>
                <w:color w:val="auto"/>
              </w:rPr>
            </w:pPr>
          </w:p>
        </w:tc>
      </w:tr>
      <w:tr>
        <w:trPr>
          <w:trHeight w:val="222"/>
        </w:trPr>
        <w:tc>
          <w:tcPr>
            <w:tcW w:w="5640" w:type="dxa"/>
            <w:vAlign w:val="bottom"/>
            <w:tcBorders>
              <w:left w:val="single" w:sz="8" w:color="auto"/>
              <w:right w:val="single" w:sz="8" w:color="auto"/>
            </w:tcBorders>
          </w:tcPr>
          <w:p>
            <w:pPr>
              <w:spacing w:after="0"/>
              <w:rPr>
                <w:sz w:val="19"/>
                <w:szCs w:val="19"/>
                <w:color w:val="auto"/>
              </w:rPr>
            </w:pPr>
          </w:p>
        </w:tc>
        <w:tc>
          <w:tcPr>
            <w:tcW w:w="5620" w:type="dxa"/>
            <w:vAlign w:val="bottom"/>
            <w:tcBorders>
              <w:right w:val="single" w:sz="8" w:color="auto"/>
            </w:tcBorders>
          </w:tcPr>
          <w:p>
            <w:pPr>
              <w:ind w:left="60"/>
              <w:spacing w:after="0" w:line="221" w:lineRule="exact"/>
              <w:rPr>
                <w:sz w:val="20"/>
                <w:szCs w:val="20"/>
                <w:color w:val="auto"/>
              </w:rPr>
            </w:pPr>
            <w:r>
              <w:rPr>
                <w:rFonts w:ascii="Arial" w:cs="Arial" w:eastAsia="Arial" w:hAnsi="Arial"/>
                <w:sz w:val="19"/>
                <w:szCs w:val="19"/>
                <w:color w:val="auto"/>
              </w:rPr>
              <w:t>shall  be  125%  and  the  Vesting  Percentage  for  the  70</w:t>
            </w:r>
            <w:r>
              <w:rPr>
                <w:rFonts w:ascii="Arial" w:cs="Arial" w:eastAsia="Arial" w:hAnsi="Arial"/>
                <w:sz w:val="25"/>
                <w:szCs w:val="25"/>
                <w:color w:val="auto"/>
                <w:vertAlign w:val="superscript"/>
              </w:rPr>
              <w:t>th</w:t>
            </w:r>
          </w:p>
        </w:tc>
        <w:tc>
          <w:tcPr>
            <w:tcW w:w="0" w:type="dxa"/>
            <w:vAlign w:val="bottom"/>
          </w:tcPr>
          <w:p>
            <w:pPr>
              <w:spacing w:after="0"/>
              <w:rPr>
                <w:sz w:val="1"/>
                <w:szCs w:val="1"/>
                <w:color w:val="auto"/>
              </w:rPr>
            </w:pPr>
          </w:p>
        </w:tc>
      </w:tr>
      <w:tr>
        <w:trPr>
          <w:trHeight w:val="274"/>
        </w:trPr>
        <w:tc>
          <w:tcPr>
            <w:tcW w:w="5640" w:type="dxa"/>
            <w:vAlign w:val="bottom"/>
            <w:tcBorders>
              <w:left w:val="single" w:sz="8" w:color="auto"/>
              <w:right w:val="single" w:sz="8" w:color="auto"/>
            </w:tcBorders>
          </w:tcPr>
          <w:p>
            <w:pPr>
              <w:spacing w:after="0"/>
              <w:rPr>
                <w:sz w:val="23"/>
                <w:szCs w:val="23"/>
                <w:color w:val="auto"/>
              </w:rPr>
            </w:pPr>
          </w:p>
        </w:tc>
        <w:tc>
          <w:tcPr>
            <w:tcW w:w="56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percentile shall be 175%.</w:t>
            </w:r>
          </w:p>
        </w:tc>
        <w:tc>
          <w:tcPr>
            <w:tcW w:w="0" w:type="dxa"/>
            <w:vAlign w:val="bottom"/>
          </w:tcPr>
          <w:p>
            <w:pPr>
              <w:spacing w:after="0"/>
              <w:rPr>
                <w:sz w:val="1"/>
                <w:szCs w:val="1"/>
                <w:color w:val="auto"/>
              </w:rPr>
            </w:pPr>
          </w:p>
        </w:tc>
      </w:tr>
      <w:tr>
        <w:trPr>
          <w:trHeight w:val="112"/>
        </w:trPr>
        <w:tc>
          <w:tcPr>
            <w:tcW w:w="5640" w:type="dxa"/>
            <w:vAlign w:val="bottom"/>
            <w:tcBorders>
              <w:left w:val="single" w:sz="8" w:color="auto"/>
              <w:bottom w:val="single" w:sz="8" w:color="auto"/>
              <w:right w:val="single" w:sz="8" w:color="auto"/>
            </w:tcBorders>
          </w:tcPr>
          <w:p>
            <w:pPr>
              <w:spacing w:after="0"/>
              <w:rPr>
                <w:sz w:val="9"/>
                <w:szCs w:val="9"/>
                <w:color w:val="auto"/>
              </w:rPr>
            </w:pPr>
          </w:p>
        </w:tc>
        <w:tc>
          <w:tcPr>
            <w:tcW w:w="5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53"/>
        </w:trPr>
        <w:tc>
          <w:tcPr>
            <w:tcW w:w="5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or greater</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200%</w:t>
            </w:r>
          </w:p>
        </w:tc>
        <w:tc>
          <w:tcPr>
            <w:tcW w:w="0" w:type="dxa"/>
            <w:vAlign w:val="bottom"/>
          </w:tcPr>
          <w:p>
            <w:pPr>
              <w:spacing w:after="0"/>
              <w:rPr>
                <w:sz w:val="1"/>
                <w:szCs w:val="1"/>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right="20"/>
        <w:spacing w:after="0" w:line="216" w:lineRule="auto"/>
        <w:rPr>
          <w:sz w:val="20"/>
          <w:szCs w:val="20"/>
          <w:color w:val="auto"/>
        </w:rPr>
      </w:pPr>
      <w:r>
        <w:rPr>
          <w:rFonts w:ascii="Arial" w:cs="Arial" w:eastAsia="Arial" w:hAnsi="Arial"/>
          <w:sz w:val="22"/>
          <w:szCs w:val="22"/>
          <w:color w:val="auto"/>
        </w:rPr>
        <w:t>Solely for purposes of illustration, the table directly below serves to provide an example calculation for the number of PSUs that would vest in respect of a given Tranche if the Comparator Group for a Measurement Period consisted of ten companies, with the middle column showing a hypothetical Annualized TSR performance of the Company and each other company in the Comparator Group and the rightmost column showing the percentile rank of the Company and each other company in the Comparator Group:</w:t>
      </w:r>
    </w:p>
    <w:p>
      <w:pPr>
        <w:spacing w:after="0" w:line="220" w:lineRule="exact"/>
        <w:rPr>
          <w:sz w:val="20"/>
          <w:szCs w:val="20"/>
          <w:color w:val="auto"/>
        </w:rPr>
      </w:pPr>
    </w:p>
    <w:tbl>
      <w:tblPr>
        <w:tblLayout w:type="fixed"/>
        <w:tblInd w:w="1590" w:type="dxa"/>
        <w:tblCellMar>
          <w:top w:w="0" w:type="dxa"/>
          <w:left w:w="0" w:type="dxa"/>
          <w:bottom w:w="0" w:type="dxa"/>
          <w:right w:w="0" w:type="dxa"/>
        </w:tblCellMar>
      </w:tblPr>
      <w:tr>
        <w:trPr>
          <w:trHeight w:val="257"/>
        </w:trPr>
        <w:tc>
          <w:tcPr>
            <w:tcW w:w="2380" w:type="dxa"/>
            <w:vAlign w:val="bottom"/>
            <w:tcBorders>
              <w:left w:val="single" w:sz="8" w:color="auto"/>
              <w:right w:val="single" w:sz="8" w:color="auto"/>
            </w:tcBorders>
            <w:shd w:val="clear" w:color="auto" w:fill="000000"/>
          </w:tcPr>
          <w:p>
            <w:pPr>
              <w:spacing w:after="0"/>
              <w:rPr>
                <w:sz w:val="22"/>
                <w:szCs w:val="22"/>
                <w:color w:val="auto"/>
              </w:rPr>
            </w:pPr>
          </w:p>
        </w:tc>
        <w:tc>
          <w:tcPr>
            <w:tcW w:w="20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8"/>
                <w:szCs w:val="18"/>
                <w:color w:val="FFFFFF"/>
                <w:w w:val="93"/>
              </w:rPr>
              <w:t>Annualized TSR (%)</w:t>
            </w:r>
          </w:p>
        </w:tc>
        <w:tc>
          <w:tcPr>
            <w:tcW w:w="2380" w:type="dxa"/>
            <w:vAlign w:val="bottom"/>
            <w:tcBorders>
              <w:right w:val="single" w:sz="8" w:color="auto"/>
            </w:tcBorders>
            <w:shd w:val="clear" w:color="auto" w:fill="000000"/>
          </w:tcPr>
          <w:p>
            <w:pPr>
              <w:ind w:left="600"/>
              <w:spacing w:after="0"/>
              <w:rPr>
                <w:sz w:val="20"/>
                <w:szCs w:val="20"/>
                <w:color w:val="auto"/>
              </w:rPr>
            </w:pPr>
            <w:r>
              <w:rPr>
                <w:rFonts w:ascii="Arial" w:cs="Arial" w:eastAsia="Arial" w:hAnsi="Arial"/>
                <w:sz w:val="18"/>
                <w:szCs w:val="18"/>
                <w:color w:val="FFFFFF"/>
              </w:rPr>
              <w:t>Percentile Rank</w:t>
            </w:r>
          </w:p>
        </w:tc>
      </w:tr>
      <w:tr>
        <w:trPr>
          <w:trHeight w:val="229"/>
        </w:trPr>
        <w:tc>
          <w:tcPr>
            <w:tcW w:w="2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A</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9.09</w:t>
            </w:r>
          </w:p>
        </w:tc>
      </w:tr>
      <w:tr>
        <w:trPr>
          <w:trHeight w:val="223"/>
        </w:trPr>
        <w:tc>
          <w:tcPr>
            <w:tcW w:w="2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B</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18.18</w:t>
            </w:r>
          </w:p>
        </w:tc>
      </w:tr>
      <w:tr>
        <w:trPr>
          <w:trHeight w:val="223"/>
        </w:trPr>
        <w:tc>
          <w:tcPr>
            <w:tcW w:w="2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C</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27.27</w:t>
            </w:r>
          </w:p>
        </w:tc>
      </w:tr>
      <w:tr>
        <w:trPr>
          <w:trHeight w:val="223"/>
        </w:trPr>
        <w:tc>
          <w:tcPr>
            <w:tcW w:w="2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D</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36.36</w:t>
            </w:r>
          </w:p>
        </w:tc>
      </w:tr>
      <w:tr>
        <w:trPr>
          <w:trHeight w:val="223"/>
        </w:trPr>
        <w:tc>
          <w:tcPr>
            <w:tcW w:w="2380" w:type="dxa"/>
            <w:vAlign w:val="bottom"/>
            <w:tcBorders>
              <w:left w:val="single" w:sz="8" w:color="auto"/>
              <w:bottom w:val="single" w:sz="8" w:color="auto"/>
              <w:right w:val="single" w:sz="8" w:color="auto"/>
            </w:tcBorders>
            <w:shd w:val="clear" w:color="auto" w:fill="D0CECE"/>
          </w:tcPr>
          <w:p>
            <w:pPr>
              <w:ind w:left="40"/>
              <w:spacing w:after="0"/>
              <w:rPr>
                <w:sz w:val="20"/>
                <w:szCs w:val="20"/>
                <w:color w:val="auto"/>
              </w:rPr>
            </w:pPr>
            <w:r>
              <w:rPr>
                <w:rFonts w:ascii="Arial" w:cs="Arial" w:eastAsia="Arial" w:hAnsi="Arial"/>
                <w:sz w:val="18"/>
                <w:szCs w:val="18"/>
                <w:color w:val="auto"/>
              </w:rPr>
              <w:t>Company</w:t>
            </w:r>
          </w:p>
        </w:tc>
        <w:tc>
          <w:tcPr>
            <w:tcW w:w="206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color w:val="auto"/>
                <w:w w:val="89"/>
              </w:rPr>
              <w:t>25</w:t>
            </w:r>
          </w:p>
        </w:tc>
        <w:tc>
          <w:tcPr>
            <w:tcW w:w="238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color w:val="auto"/>
                <w:w w:val="93"/>
              </w:rPr>
              <w:t>45.45</w:t>
            </w:r>
          </w:p>
        </w:tc>
      </w:tr>
      <w:tr>
        <w:trPr>
          <w:trHeight w:val="223"/>
        </w:trPr>
        <w:tc>
          <w:tcPr>
            <w:tcW w:w="2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54.54</w:t>
            </w:r>
          </w:p>
        </w:tc>
      </w:tr>
      <w:tr>
        <w:trPr>
          <w:trHeight w:val="223"/>
        </w:trPr>
        <w:tc>
          <w:tcPr>
            <w:tcW w:w="2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F</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63.63</w:t>
            </w:r>
          </w:p>
        </w:tc>
      </w:tr>
      <w:tr>
        <w:trPr>
          <w:trHeight w:val="223"/>
        </w:trPr>
        <w:tc>
          <w:tcPr>
            <w:tcW w:w="2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G</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40</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72.72</w:t>
            </w:r>
          </w:p>
        </w:tc>
      </w:tr>
      <w:tr>
        <w:trPr>
          <w:trHeight w:val="223"/>
        </w:trPr>
        <w:tc>
          <w:tcPr>
            <w:tcW w:w="2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H</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45</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82.82</w:t>
            </w:r>
          </w:p>
        </w:tc>
      </w:tr>
      <w:tr>
        <w:trPr>
          <w:trHeight w:val="223"/>
        </w:trPr>
        <w:tc>
          <w:tcPr>
            <w:tcW w:w="2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I</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47</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91.91</w:t>
            </w:r>
          </w:p>
        </w:tc>
      </w:tr>
      <w:tr>
        <w:trPr>
          <w:trHeight w:val="223"/>
        </w:trPr>
        <w:tc>
          <w:tcPr>
            <w:tcW w:w="2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Comparator J</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48</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60"/>
          </w:cols>
          <w:pgMar w:left="320" w:top="1440" w:right="31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In this example, the Vesting Percentage corresponding to the percentile rank of 45.45 would be calculated as: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(45.45 – 25) / (55 – 25)</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or approximately 68.16667%.</w:t>
      </w:r>
    </w:p>
    <w:p>
      <w:pPr>
        <w:spacing w:after="0" w:line="179" w:lineRule="exact"/>
        <w:rPr>
          <w:sz w:val="20"/>
          <w:szCs w:val="20"/>
          <w:color w:val="auto"/>
        </w:rPr>
      </w:pPr>
    </w:p>
    <w:p>
      <w:pPr>
        <w:jc w:val="both"/>
        <w:ind w:right="20" w:firstLine="656"/>
        <w:spacing w:after="0" w:line="247" w:lineRule="auto"/>
        <w:tabs>
          <w:tab w:leader="none" w:pos="1291"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Vesting Percentage shall be subject to the following caps: (i) if the Company’s Annualized TSR for the Measurement Period for any Tranche is negative, then the Vesting Percentage for such Tranche shall be capped at 100% and</w:t>
      </w:r>
    </w:p>
    <w:p>
      <w:pPr>
        <w:ind w:left="320" w:hanging="312"/>
        <w:spacing w:after="0"/>
        <w:tabs>
          <w:tab w:leader="none" w:pos="3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Vesting Percentage for any Tranche shall not exceed 200%.</w:t>
      </w:r>
    </w:p>
    <w:p>
      <w:pPr>
        <w:spacing w:after="0" w:line="161" w:lineRule="exact"/>
        <w:rPr>
          <w:rFonts w:ascii="Arial" w:cs="Arial" w:eastAsia="Arial" w:hAnsi="Arial"/>
          <w:sz w:val="22"/>
          <w:szCs w:val="22"/>
          <w:color w:val="auto"/>
        </w:rPr>
      </w:pPr>
    </w:p>
    <w:p>
      <w:pPr>
        <w:jc w:val="both"/>
        <w:ind w:firstLine="656"/>
        <w:spacing w:after="0" w:line="221" w:lineRule="auto"/>
        <w:tabs>
          <w:tab w:leader="none" w:pos="1293" w:val="left"/>
        </w:tabs>
        <w:numPr>
          <w:ilvl w:val="1"/>
          <w:numId w:val="23"/>
        </w:numPr>
        <w:rPr>
          <w:rFonts w:ascii="Arial" w:cs="Arial" w:eastAsia="Arial" w:hAnsi="Arial"/>
          <w:sz w:val="21"/>
          <w:szCs w:val="21"/>
          <w:color w:val="auto"/>
        </w:rPr>
      </w:pPr>
      <w:r>
        <w:rPr>
          <w:rFonts w:ascii="Arial" w:cs="Arial" w:eastAsia="Arial" w:hAnsi="Arial"/>
          <w:sz w:val="21"/>
          <w:szCs w:val="21"/>
          <w:color w:val="auto"/>
        </w:rPr>
        <w:t>If the Company has a Change in Control during the Performance Period, then, subject to Section 2(b)(ii) but notwithstanding any other provision herein to the contrary, (i) each Measurement Period that has not ended before the effective date of such Change in Control will end as of the effective date of such Change in Control, (ii) each Measurement Date that has not occurred prior to the effective date of such Change in Control shall be deemed to be the effective date of such Change in Control, (iii) the Performance Period shall end as of the effective date of such Change in Control; (iv) the Vesting Percentage for each Tranche that has not already vested shall be determined as soon as reasonably practicable after, but in no event later than 20 days after, the effective date of such Change in Control and the Vesting Date for each such Tranche shall occur as soon as reasonably practicable after such determination; and (v) the Vesting Percentage for each such Tranche shall be not less than 100%.</w:t>
      </w:r>
    </w:p>
    <w:p>
      <w:pPr>
        <w:spacing w:after="0" w:line="158" w:lineRule="exact"/>
        <w:rPr>
          <w:rFonts w:ascii="Arial" w:cs="Arial" w:eastAsia="Arial" w:hAnsi="Arial"/>
          <w:sz w:val="21"/>
          <w:szCs w:val="21"/>
          <w:color w:val="auto"/>
        </w:rPr>
      </w:pPr>
    </w:p>
    <w:p>
      <w:pPr>
        <w:ind w:left="1300" w:hanging="644"/>
        <w:spacing w:after="0"/>
        <w:tabs>
          <w:tab w:leader="none" w:pos="1300"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hereof,</w:t>
      </w:r>
    </w:p>
    <w:p>
      <w:pPr>
        <w:spacing w:after="0" w:line="179" w:lineRule="exact"/>
        <w:rPr>
          <w:rFonts w:ascii="Arial" w:cs="Arial" w:eastAsia="Arial" w:hAnsi="Arial"/>
          <w:sz w:val="22"/>
          <w:szCs w:val="22"/>
          <w:color w:val="auto"/>
        </w:rPr>
      </w:pPr>
    </w:p>
    <w:p>
      <w:pPr>
        <w:jc w:val="both"/>
        <w:ind w:left="660" w:firstLine="482"/>
        <w:spacing w:after="0"/>
        <w:tabs>
          <w:tab w:leader="none" w:pos="1944" w:val="left"/>
        </w:tabs>
        <w:numPr>
          <w:ilvl w:val="2"/>
          <w:numId w:val="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Annualized TSR</w:t>
      </w:r>
      <w:r>
        <w:rPr>
          <w:rFonts w:ascii="Arial" w:cs="Arial" w:eastAsia="Arial" w:hAnsi="Arial"/>
          <w:sz w:val="19"/>
          <w:szCs w:val="19"/>
          <w:color w:val="auto"/>
        </w:rPr>
        <w:t>” means total shareholder return (assuming reinvestment of all dividends), computed on an annualized basis for any Measurement Period (or applicable portion thereof, in the case of a company that is added to the Comparator Group after a Measurement Period has begun). The Annualized TSR for the Company for any Measurement Period shall be determined using (A) the VWAP for the Common Stock for the 30 days ended December 31, 2021 and (B) the VWAP for the Common Stock for the 30 days ending on the last day of such Measurement Period. The Annualized TSR of each company in the Comparator Group for any Measurement Period shall be determined using</w:t>
      </w:r>
    </w:p>
    <w:p>
      <w:pPr>
        <w:spacing w:after="0" w:line="3" w:lineRule="exact"/>
        <w:rPr>
          <w:rFonts w:ascii="Arial" w:cs="Arial" w:eastAsia="Arial" w:hAnsi="Arial"/>
          <w:sz w:val="19"/>
          <w:szCs w:val="19"/>
          <w:color w:val="auto"/>
        </w:rPr>
      </w:pPr>
    </w:p>
    <w:p>
      <w:pPr>
        <w:jc w:val="both"/>
        <w:ind w:left="660"/>
        <w:spacing w:after="0" w:line="220" w:lineRule="auto"/>
        <w:rPr>
          <w:rFonts w:ascii="Arial" w:cs="Arial" w:eastAsia="Arial" w:hAnsi="Arial"/>
          <w:sz w:val="19"/>
          <w:szCs w:val="19"/>
          <w:color w:val="auto"/>
        </w:rPr>
      </w:pPr>
      <w:r>
        <w:rPr>
          <w:rFonts w:ascii="Arial" w:cs="Arial" w:eastAsia="Arial" w:hAnsi="Arial"/>
          <w:sz w:val="21"/>
          <w:szCs w:val="21"/>
          <w:color w:val="auto"/>
        </w:rPr>
        <w:t xml:space="preserve">(A) the VWAP of such company for the 30 days ended December 31, 2021 (or, for any newly public company that is added to the Comparator Group, for the 30 days ended December 31 of the year immediately preceding the year in which such company is added) and (B) the VWAP of such company for the 30 days ending on the last day of such Measurement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purposes of this clause (B), if such VWAP cannot be calculated within 20 days after the end of any Measurement Period, then the average of closing stock prices for such company for the 30 days ending on the last day of such Measurement Period shall be used instead of the VWAP for such company. Each Comparator Group company in the Index shall be weighted equally.</w:t>
      </w:r>
    </w:p>
    <w:p>
      <w:pPr>
        <w:spacing w:after="0" w:line="160" w:lineRule="exact"/>
        <w:rPr>
          <w:rFonts w:ascii="Arial" w:cs="Arial" w:eastAsia="Arial" w:hAnsi="Arial"/>
          <w:sz w:val="19"/>
          <w:szCs w:val="19"/>
          <w:color w:val="auto"/>
        </w:rPr>
      </w:pPr>
    </w:p>
    <w:p>
      <w:pPr>
        <w:ind w:left="660" w:right="20" w:firstLine="482"/>
        <w:spacing w:after="0" w:line="232" w:lineRule="auto"/>
        <w:tabs>
          <w:tab w:leader="none" w:pos="1950" w:val="left"/>
        </w:tabs>
        <w:numPr>
          <w:ilvl w:val="2"/>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Comparator Group</w:t>
      </w:r>
      <w:r>
        <w:rPr>
          <w:rFonts w:ascii="Arial" w:cs="Arial" w:eastAsia="Arial" w:hAnsi="Arial"/>
          <w:sz w:val="22"/>
          <w:szCs w:val="22"/>
          <w:color w:val="auto"/>
        </w:rPr>
        <w:t>” means a group of publicly traded IT / cloud services companies which shall initially consist of the following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57" w:name="page58"/>
    <w:bookmarkEnd w:id="57"/>
    <w:p>
      <w:pPr>
        <w:spacing w:after="0" w:line="76" w:lineRule="exact"/>
        <w:rPr>
          <w:sz w:val="20"/>
          <w:szCs w:val="20"/>
          <w:color w:val="auto"/>
        </w:rPr>
      </w:pPr>
    </w:p>
    <w:tbl>
      <w:tblPr>
        <w:tblLayout w:type="fixed"/>
        <w:tblInd w:w="464"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Infosys Limited</w:t>
            </w:r>
          </w:p>
        </w:tc>
        <w:tc>
          <w:tcPr>
            <w:tcW w:w="2800" w:type="dxa"/>
            <w:vAlign w:val="bottom"/>
          </w:tcPr>
          <w:p>
            <w:pPr>
              <w:ind w:left="180"/>
              <w:spacing w:after="0"/>
              <w:rPr>
                <w:sz w:val="20"/>
                <w:szCs w:val="20"/>
                <w:color w:val="auto"/>
              </w:rPr>
            </w:pPr>
            <w:r>
              <w:rPr>
                <w:rFonts w:ascii="Arial" w:cs="Arial" w:eastAsia="Arial" w:hAnsi="Arial"/>
                <w:sz w:val="18"/>
                <w:szCs w:val="18"/>
                <w:color w:val="auto"/>
                <w:w w:val="93"/>
              </w:rPr>
              <w:t>Tata Consultancy Services Limited</w:t>
            </w:r>
          </w:p>
        </w:tc>
        <w:tc>
          <w:tcPr>
            <w:tcW w:w="1120" w:type="dxa"/>
            <w:vAlign w:val="bottom"/>
          </w:tcPr>
          <w:p>
            <w:pPr>
              <w:ind w:left="120"/>
              <w:spacing w:after="0"/>
              <w:rPr>
                <w:sz w:val="20"/>
                <w:szCs w:val="20"/>
                <w:color w:val="auto"/>
              </w:rPr>
            </w:pPr>
            <w:r>
              <w:rPr>
                <w:rFonts w:ascii="Arial" w:cs="Arial" w:eastAsia="Arial" w:hAnsi="Arial"/>
                <w:sz w:val="18"/>
                <w:szCs w:val="18"/>
                <w:color w:val="auto"/>
                <w:w w:val="95"/>
              </w:rPr>
              <w:t>Mphasis Ltd.</w:t>
            </w:r>
          </w:p>
        </w:tc>
        <w:tc>
          <w:tcPr>
            <w:tcW w:w="0" w:type="dxa"/>
            <w:vAlign w:val="bottom"/>
          </w:tcPr>
          <w:p>
            <w:pPr>
              <w:spacing w:after="0"/>
              <w:rPr>
                <w:sz w:val="1"/>
                <w:szCs w:val="1"/>
                <w:color w:val="auto"/>
              </w:rPr>
            </w:pPr>
          </w:p>
        </w:tc>
      </w:tr>
      <w:tr>
        <w:trPr>
          <w:trHeight w:val="229"/>
        </w:trPr>
        <w:tc>
          <w:tcPr>
            <w:tcW w:w="2540" w:type="dxa"/>
            <w:vAlign w:val="bottom"/>
            <w:vMerge w:val="restart"/>
          </w:tcPr>
          <w:p>
            <w:pPr>
              <w:spacing w:after="0"/>
              <w:rPr>
                <w:sz w:val="20"/>
                <w:szCs w:val="20"/>
                <w:color w:val="auto"/>
              </w:rPr>
            </w:pPr>
            <w:r>
              <w:rPr>
                <w:rFonts w:ascii="Arial" w:cs="Arial" w:eastAsia="Arial" w:hAnsi="Arial"/>
                <w:sz w:val="18"/>
                <w:szCs w:val="18"/>
                <w:color w:val="auto"/>
              </w:rPr>
              <w:t>Wipro Limited</w:t>
            </w:r>
          </w:p>
        </w:tc>
        <w:tc>
          <w:tcPr>
            <w:tcW w:w="2800" w:type="dxa"/>
            <w:vAlign w:val="bottom"/>
          </w:tcPr>
          <w:p>
            <w:pPr>
              <w:ind w:left="180"/>
              <w:spacing w:after="0"/>
              <w:rPr>
                <w:sz w:val="20"/>
                <w:szCs w:val="20"/>
                <w:color w:val="auto"/>
              </w:rPr>
            </w:pPr>
            <w:r>
              <w:rPr>
                <w:rFonts w:ascii="Arial" w:cs="Arial" w:eastAsia="Arial" w:hAnsi="Arial"/>
                <w:sz w:val="18"/>
                <w:szCs w:val="18"/>
                <w:color w:val="auto"/>
              </w:rPr>
              <w:t>International Business Machines</w:t>
            </w:r>
          </w:p>
        </w:tc>
        <w:tc>
          <w:tcPr>
            <w:tcW w:w="1120" w:type="dxa"/>
            <w:vAlign w:val="bottom"/>
            <w:vMerge w:val="restart"/>
          </w:tcPr>
          <w:p>
            <w:pPr>
              <w:ind w:left="120"/>
              <w:spacing w:after="0"/>
              <w:rPr>
                <w:sz w:val="20"/>
                <w:szCs w:val="20"/>
                <w:color w:val="auto"/>
              </w:rPr>
            </w:pPr>
            <w:r>
              <w:rPr>
                <w:rFonts w:ascii="Arial" w:cs="Arial" w:eastAsia="Arial" w:hAnsi="Arial"/>
                <w:sz w:val="18"/>
                <w:szCs w:val="18"/>
                <w:color w:val="auto"/>
                <w:w w:val="91"/>
              </w:rPr>
              <w:t>Globant S. A.</w:t>
            </w:r>
          </w:p>
        </w:tc>
        <w:tc>
          <w:tcPr>
            <w:tcW w:w="0" w:type="dxa"/>
            <w:vAlign w:val="bottom"/>
          </w:tcPr>
          <w:p>
            <w:pPr>
              <w:spacing w:after="0"/>
              <w:rPr>
                <w:sz w:val="1"/>
                <w:szCs w:val="1"/>
                <w:color w:val="auto"/>
              </w:rPr>
            </w:pPr>
          </w:p>
        </w:tc>
      </w:tr>
      <w:tr>
        <w:trPr>
          <w:trHeight w:val="135"/>
        </w:trPr>
        <w:tc>
          <w:tcPr>
            <w:tcW w:w="2540" w:type="dxa"/>
            <w:vAlign w:val="bottom"/>
            <w:vMerge w:val="continue"/>
          </w:tcPr>
          <w:p>
            <w:pPr>
              <w:spacing w:after="0"/>
              <w:rPr>
                <w:sz w:val="11"/>
                <w:szCs w:val="11"/>
                <w:color w:val="auto"/>
              </w:rPr>
            </w:pPr>
          </w:p>
        </w:tc>
        <w:tc>
          <w:tcPr>
            <w:tcW w:w="2800" w:type="dxa"/>
            <w:vAlign w:val="bottom"/>
            <w:vMerge w:val="restart"/>
          </w:tcPr>
          <w:p>
            <w:pPr>
              <w:ind w:left="420"/>
              <w:spacing w:after="0"/>
              <w:rPr>
                <w:sz w:val="20"/>
                <w:szCs w:val="20"/>
                <w:color w:val="auto"/>
              </w:rPr>
            </w:pPr>
            <w:r>
              <w:rPr>
                <w:rFonts w:ascii="Arial" w:cs="Arial" w:eastAsia="Arial" w:hAnsi="Arial"/>
                <w:sz w:val="18"/>
                <w:szCs w:val="18"/>
                <w:color w:val="auto"/>
              </w:rPr>
              <w:t>Corporation</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28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20"/>
                <w:szCs w:val="20"/>
                <w:color w:val="auto"/>
              </w:rPr>
            </w:pPr>
            <w:r>
              <w:rPr>
                <w:rFonts w:ascii="Arial" w:cs="Arial" w:eastAsia="Arial" w:hAnsi="Arial"/>
                <w:sz w:val="18"/>
                <w:szCs w:val="18"/>
                <w:color w:val="auto"/>
                <w:w w:val="97"/>
              </w:rPr>
              <w:t>Cognizant Technology Solutions</w:t>
            </w:r>
          </w:p>
        </w:tc>
        <w:tc>
          <w:tcPr>
            <w:tcW w:w="2800" w:type="dxa"/>
            <w:vAlign w:val="bottom"/>
            <w:vMerge w:val="restart"/>
          </w:tcPr>
          <w:p>
            <w:pPr>
              <w:ind w:left="180"/>
              <w:spacing w:after="0"/>
              <w:rPr>
                <w:sz w:val="20"/>
                <w:szCs w:val="20"/>
                <w:color w:val="auto"/>
              </w:rPr>
            </w:pPr>
            <w:r>
              <w:rPr>
                <w:rFonts w:ascii="Arial" w:cs="Arial" w:eastAsia="Arial" w:hAnsi="Arial"/>
                <w:sz w:val="18"/>
                <w:szCs w:val="18"/>
                <w:color w:val="auto"/>
              </w:rPr>
              <w:t>EPAM Systems, Inc.</w:t>
            </w:r>
          </w:p>
        </w:tc>
        <w:tc>
          <w:tcPr>
            <w:tcW w:w="1120" w:type="dxa"/>
            <w:vAlign w:val="bottom"/>
            <w:vMerge w:val="restart"/>
          </w:tcPr>
          <w:p>
            <w:pPr>
              <w:ind w:left="120"/>
              <w:spacing w:after="0"/>
              <w:rPr>
                <w:sz w:val="20"/>
                <w:szCs w:val="20"/>
                <w:color w:val="auto"/>
              </w:rPr>
            </w:pPr>
            <w:r>
              <w:rPr>
                <w:rFonts w:ascii="Arial" w:cs="Arial" w:eastAsia="Arial" w:hAnsi="Arial"/>
                <w:sz w:val="18"/>
                <w:szCs w:val="18"/>
                <w:color w:val="auto"/>
                <w:w w:val="93"/>
              </w:rPr>
              <w:t>VMware, Inc.</w:t>
            </w:r>
          </w:p>
        </w:tc>
        <w:tc>
          <w:tcPr>
            <w:tcW w:w="0" w:type="dxa"/>
            <w:vAlign w:val="bottom"/>
          </w:tcPr>
          <w:p>
            <w:pPr>
              <w:spacing w:after="0"/>
              <w:rPr>
                <w:sz w:val="1"/>
                <w:szCs w:val="1"/>
                <w:color w:val="auto"/>
              </w:rPr>
            </w:pPr>
          </w:p>
        </w:tc>
      </w:tr>
      <w:tr>
        <w:trPr>
          <w:trHeight w:val="135"/>
        </w:trPr>
        <w:tc>
          <w:tcPr>
            <w:tcW w:w="2540" w:type="dxa"/>
            <w:vAlign w:val="bottom"/>
            <w:vMerge w:val="restart"/>
          </w:tcPr>
          <w:p>
            <w:pPr>
              <w:ind w:left="240"/>
              <w:spacing w:after="0"/>
              <w:rPr>
                <w:sz w:val="20"/>
                <w:szCs w:val="20"/>
                <w:color w:val="auto"/>
              </w:rPr>
            </w:pPr>
            <w:r>
              <w:rPr>
                <w:rFonts w:ascii="Arial" w:cs="Arial" w:eastAsia="Arial" w:hAnsi="Arial"/>
                <w:sz w:val="18"/>
                <w:szCs w:val="18"/>
                <w:color w:val="auto"/>
              </w:rPr>
              <w:t>Corporation</w:t>
            </w:r>
          </w:p>
        </w:tc>
        <w:tc>
          <w:tcPr>
            <w:tcW w:w="28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40" w:type="dxa"/>
            <w:vAlign w:val="bottom"/>
            <w:vMerge w:val="continue"/>
          </w:tcPr>
          <w:p>
            <w:pPr>
              <w:spacing w:after="0"/>
              <w:rPr>
                <w:sz w:val="8"/>
                <w:szCs w:val="8"/>
                <w:color w:val="auto"/>
              </w:rPr>
            </w:pPr>
          </w:p>
        </w:tc>
        <w:tc>
          <w:tcPr>
            <w:tcW w:w="2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Arial" w:cs="Arial" w:eastAsia="Arial" w:hAnsi="Arial"/>
                <w:sz w:val="18"/>
                <w:szCs w:val="18"/>
                <w:color w:val="auto"/>
              </w:rPr>
              <w:t>Accenture plc</w:t>
            </w:r>
          </w:p>
        </w:tc>
        <w:tc>
          <w:tcPr>
            <w:tcW w:w="2800" w:type="dxa"/>
            <w:vAlign w:val="bottom"/>
          </w:tcPr>
          <w:p>
            <w:pPr>
              <w:ind w:left="180"/>
              <w:spacing w:after="0"/>
              <w:rPr>
                <w:sz w:val="20"/>
                <w:szCs w:val="20"/>
                <w:color w:val="auto"/>
              </w:rPr>
            </w:pPr>
            <w:r>
              <w:rPr>
                <w:rFonts w:ascii="Arial" w:cs="Arial" w:eastAsia="Arial" w:hAnsi="Arial"/>
                <w:sz w:val="18"/>
                <w:szCs w:val="18"/>
                <w:color w:val="auto"/>
              </w:rPr>
              <w:t>Thoughtworks Holding, Inc.</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left="4"/>
        <w:spacing w:after="0" w:line="246" w:lineRule="auto"/>
        <w:rPr>
          <w:sz w:val="20"/>
          <w:szCs w:val="20"/>
          <w:color w:val="auto"/>
        </w:rPr>
      </w:pPr>
      <w:r>
        <w:rPr>
          <w:rFonts w:ascii="Arial" w:cs="Arial" w:eastAsia="Arial" w:hAnsi="Arial"/>
          <w:sz w:val="19"/>
          <w:szCs w:val="19"/>
          <w:color w:val="auto"/>
        </w:rPr>
        <w:t>The composition of the Comparator Group is subject to adjustment as follows: (A) the Committee may, in its sole discretion, add IT / cloud services companies that become publicly traded during the Performance Period, but any such company may be added to the Comparator Group only as January 1 of a year that commences after such company becomes publicly traded; and (B) any company in the Comparator Group that is acquired or otherwise ceases to be publicly traded during a Measurement Period shall be removed from the Comparator Group for all Measurement Periods in which the date of such acquisition or cessation occurs (for example, a company that is acquired after the end of the First Tranche Management Period but before the end of the Second Tranche Measurement Period shall be removed from the Comparator Group for the Second Tranche Measurement Period and the Third Tranche Measurement Period).</w:t>
      </w:r>
    </w:p>
    <w:p>
      <w:pPr>
        <w:spacing w:after="0" w:line="152" w:lineRule="exact"/>
        <w:rPr>
          <w:sz w:val="20"/>
          <w:szCs w:val="20"/>
          <w:color w:val="auto"/>
        </w:rPr>
      </w:pPr>
    </w:p>
    <w:p>
      <w:pPr>
        <w:ind w:left="1244" w:hanging="596"/>
        <w:spacing w:after="0"/>
        <w:tabs>
          <w:tab w:leader="none" w:pos="1244" w:val="left"/>
        </w:tabs>
        <w:numPr>
          <w:ilvl w:val="1"/>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Measurement Date</w:t>
      </w:r>
      <w:r>
        <w:rPr>
          <w:rFonts w:ascii="Arial" w:cs="Arial" w:eastAsia="Arial" w:hAnsi="Arial"/>
          <w:sz w:val="19"/>
          <w:szCs w:val="19"/>
          <w:color w:val="auto"/>
        </w:rPr>
        <w:t>” means (subject to Section 2(c)) each of (A) for the First Tranche, December 31, 2022,</w:t>
      </w:r>
    </w:p>
    <w:p>
      <w:pPr>
        <w:spacing w:after="0" w:line="15" w:lineRule="exact"/>
        <w:rPr>
          <w:rFonts w:ascii="Arial" w:cs="Arial" w:eastAsia="Arial" w:hAnsi="Arial"/>
          <w:sz w:val="19"/>
          <w:szCs w:val="19"/>
          <w:color w:val="auto"/>
        </w:rPr>
      </w:pPr>
    </w:p>
    <w:p>
      <w:pPr>
        <w:ind w:left="344" w:hanging="344"/>
        <w:spacing w:after="0"/>
        <w:tabs>
          <w:tab w:leader="none" w:pos="344" w:val="left"/>
        </w:tabs>
        <w:numPr>
          <w:ilvl w:val="0"/>
          <w:numId w:val="25"/>
        </w:numPr>
        <w:rPr>
          <w:rFonts w:ascii="Arial" w:cs="Arial" w:eastAsia="Arial" w:hAnsi="Arial"/>
          <w:sz w:val="22"/>
          <w:szCs w:val="22"/>
          <w:color w:val="auto"/>
        </w:rPr>
      </w:pPr>
      <w:r>
        <w:rPr>
          <w:rFonts w:ascii="Arial" w:cs="Arial" w:eastAsia="Arial" w:hAnsi="Arial"/>
          <w:sz w:val="22"/>
          <w:szCs w:val="22"/>
          <w:color w:val="auto"/>
        </w:rPr>
        <w:t>for the Second Tranche, December 31, 2023 and (C) for the Third Tranche, December 31, 2024;</w:t>
      </w:r>
    </w:p>
    <w:p>
      <w:pPr>
        <w:spacing w:after="0" w:line="161" w:lineRule="exact"/>
        <w:rPr>
          <w:rFonts w:ascii="Arial" w:cs="Arial" w:eastAsia="Arial" w:hAnsi="Arial"/>
          <w:sz w:val="22"/>
          <w:szCs w:val="22"/>
          <w:color w:val="auto"/>
        </w:rPr>
      </w:pPr>
    </w:p>
    <w:p>
      <w:pPr>
        <w:jc w:val="both"/>
        <w:ind w:left="4" w:firstLine="644"/>
        <w:spacing w:after="0" w:line="257" w:lineRule="auto"/>
        <w:tabs>
          <w:tab w:leader="none" w:pos="1288" w:val="left"/>
        </w:tabs>
        <w:numPr>
          <w:ilvl w:val="1"/>
          <w:numId w:val="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Measurement Period</w:t>
      </w:r>
      <w:r>
        <w:rPr>
          <w:rFonts w:ascii="Arial" w:cs="Arial" w:eastAsia="Arial" w:hAnsi="Arial"/>
          <w:sz w:val="19"/>
          <w:szCs w:val="19"/>
          <w:color w:val="auto"/>
        </w:rPr>
        <w:t>” means (subject to Section 2(c)) each of (A) for the First Tranche, the period from the January 1, 2022 through December 31, 2022 (the “</w:t>
      </w:r>
      <w:r>
        <w:rPr>
          <w:rFonts w:ascii="Arial" w:cs="Arial" w:eastAsia="Arial" w:hAnsi="Arial"/>
          <w:sz w:val="19"/>
          <w:szCs w:val="19"/>
          <w:u w:val="single" w:color="auto"/>
          <w:color w:val="auto"/>
        </w:rPr>
        <w:t>First Tranche Measurement Period</w:t>
      </w:r>
      <w:r>
        <w:rPr>
          <w:rFonts w:ascii="Arial" w:cs="Arial" w:eastAsia="Arial" w:hAnsi="Arial"/>
          <w:sz w:val="19"/>
          <w:szCs w:val="19"/>
          <w:color w:val="auto"/>
        </w:rPr>
        <w:t>”), (B) for the Second Tranche, the period from January 1, 2022 through December 31, 2023 (the “</w:t>
      </w:r>
      <w:r>
        <w:rPr>
          <w:rFonts w:ascii="Arial" w:cs="Arial" w:eastAsia="Arial" w:hAnsi="Arial"/>
          <w:sz w:val="19"/>
          <w:szCs w:val="19"/>
          <w:u w:val="single" w:color="auto"/>
          <w:color w:val="auto"/>
        </w:rPr>
        <w:t>Second Tranche Measurement Period</w:t>
      </w:r>
      <w:r>
        <w:rPr>
          <w:rFonts w:ascii="Arial" w:cs="Arial" w:eastAsia="Arial" w:hAnsi="Arial"/>
          <w:sz w:val="19"/>
          <w:szCs w:val="19"/>
          <w:color w:val="auto"/>
        </w:rPr>
        <w:t>”) and (C) for the Third Tranche, the period from January 1, 2022 through December 31, 2024 (the “</w:t>
      </w:r>
      <w:r>
        <w:rPr>
          <w:rFonts w:ascii="Arial" w:cs="Arial" w:eastAsia="Arial" w:hAnsi="Arial"/>
          <w:sz w:val="19"/>
          <w:szCs w:val="19"/>
          <w:u w:val="single" w:color="auto"/>
          <w:color w:val="auto"/>
        </w:rPr>
        <w:t>Third Tranche Measurement Period</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ind w:left="4" w:firstLine="644"/>
        <w:spacing w:after="0" w:line="232" w:lineRule="auto"/>
        <w:tabs>
          <w:tab w:leader="none" w:pos="1295" w:val="left"/>
        </w:tabs>
        <w:numPr>
          <w:ilvl w:val="1"/>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(subject to Section 2(c)) the period commencing January 1, 2022 and ending on (and including ) December 31, 2024.</w:t>
      </w:r>
    </w:p>
    <w:p>
      <w:pPr>
        <w:spacing w:after="0" w:line="158" w:lineRule="exact"/>
        <w:rPr>
          <w:rFonts w:ascii="Arial" w:cs="Arial" w:eastAsia="Arial" w:hAnsi="Arial"/>
          <w:sz w:val="22"/>
          <w:szCs w:val="22"/>
          <w:color w:val="auto"/>
        </w:rPr>
      </w:pPr>
    </w:p>
    <w:p>
      <w:pPr>
        <w:jc w:val="both"/>
        <w:ind w:left="4" w:firstLine="644"/>
        <w:spacing w:after="0" w:line="257" w:lineRule="auto"/>
        <w:tabs>
          <w:tab w:leader="none" w:pos="1288" w:val="left"/>
        </w:tabs>
        <w:numPr>
          <w:ilvl w:val="1"/>
          <w:numId w:val="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w:t>
      </w:r>
      <w:r>
        <w:rPr>
          <w:rFonts w:ascii="Arial" w:cs="Arial" w:eastAsia="Arial" w:hAnsi="Arial"/>
          <w:sz w:val="19"/>
          <w:szCs w:val="19"/>
          <w:color w:val="auto"/>
        </w:rPr>
        <w:t>” shall mean each of (A) _______ PSUs that shall be eligible to vest based on TSR Performance for the First Tranche Measurement Period (the “</w:t>
      </w:r>
      <w:r>
        <w:rPr>
          <w:rFonts w:ascii="Arial" w:cs="Arial" w:eastAsia="Arial" w:hAnsi="Arial"/>
          <w:sz w:val="19"/>
          <w:szCs w:val="19"/>
          <w:u w:val="single" w:color="auto"/>
          <w:color w:val="auto"/>
        </w:rPr>
        <w:t>First Tranche</w:t>
      </w:r>
      <w:r>
        <w:rPr>
          <w:rFonts w:ascii="Arial" w:cs="Arial" w:eastAsia="Arial" w:hAnsi="Arial"/>
          <w:sz w:val="19"/>
          <w:szCs w:val="19"/>
          <w:color w:val="auto"/>
        </w:rPr>
        <w:t>”), (B) _______ PSUs that shall be eligible to vest based on TSR Performance for the Second Tranche Measurement Period (the “</w:t>
      </w:r>
      <w:r>
        <w:rPr>
          <w:rFonts w:ascii="Arial" w:cs="Arial" w:eastAsia="Arial" w:hAnsi="Arial"/>
          <w:sz w:val="19"/>
          <w:szCs w:val="19"/>
          <w:u w:val="single" w:color="auto"/>
          <w:color w:val="auto"/>
        </w:rPr>
        <w:t>Second Tranche</w:t>
      </w:r>
      <w:r>
        <w:rPr>
          <w:rFonts w:ascii="Arial" w:cs="Arial" w:eastAsia="Arial" w:hAnsi="Arial"/>
          <w:sz w:val="19"/>
          <w:szCs w:val="19"/>
          <w:color w:val="auto"/>
        </w:rPr>
        <w:t>”) and (C) _______ PSUs that shall be eligible to vest based on TSR Performance for the Third Tranche Measurement Period (the “</w:t>
      </w:r>
      <w:r>
        <w:rPr>
          <w:rFonts w:ascii="Arial" w:cs="Arial" w:eastAsia="Arial" w:hAnsi="Arial"/>
          <w:sz w:val="19"/>
          <w:szCs w:val="19"/>
          <w:u w:val="single" w:color="auto"/>
          <w:color w:val="auto"/>
        </w:rPr>
        <w:t>Third Tranche</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jc w:val="both"/>
        <w:ind w:left="4" w:firstLine="644"/>
        <w:spacing w:after="0" w:line="223" w:lineRule="auto"/>
        <w:tabs>
          <w:tab w:leader="none" w:pos="1294" w:val="left"/>
        </w:tabs>
        <w:numPr>
          <w:ilvl w:val="1"/>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Date</w:t>
      </w:r>
      <w:r>
        <w:rPr>
          <w:rFonts w:ascii="Arial" w:cs="Arial" w:eastAsia="Arial" w:hAnsi="Arial"/>
          <w:sz w:val="22"/>
          <w:szCs w:val="22"/>
          <w:color w:val="auto"/>
        </w:rPr>
        <w:t xml:space="preserve">” shall mean, for each Tranche, the date that is 30 days after the Measurement Date for such Tranche; </w:t>
      </w:r>
      <w:r>
        <w:rPr>
          <w:rFonts w:ascii="Arial" w:cs="Arial" w:eastAsia="Arial" w:hAnsi="Arial"/>
          <w:sz w:val="22"/>
          <w:szCs w:val="22"/>
          <w:u w:val="single" w:color="auto"/>
          <w:color w:val="auto"/>
        </w:rPr>
        <w:t>provided</w:t>
      </w:r>
      <w:r>
        <w:rPr>
          <w:rFonts w:ascii="Arial" w:cs="Arial" w:eastAsia="Arial" w:hAnsi="Arial"/>
          <w:sz w:val="22"/>
          <w:szCs w:val="22"/>
          <w:color w:val="auto"/>
        </w:rPr>
        <w:t>, that the Committee may, in its discretion, accelerate the Vesting Date for any Tranche to a date that is after the calculation of the Vesting Percentage for such Tranche.</w:t>
      </w:r>
    </w:p>
    <w:p>
      <w:pPr>
        <w:spacing w:after="0" w:line="158" w:lineRule="exact"/>
        <w:rPr>
          <w:rFonts w:ascii="Arial" w:cs="Arial" w:eastAsia="Arial" w:hAnsi="Arial"/>
          <w:sz w:val="22"/>
          <w:szCs w:val="22"/>
          <w:color w:val="auto"/>
        </w:rPr>
      </w:pPr>
    </w:p>
    <w:p>
      <w:pPr>
        <w:ind w:left="4" w:firstLine="644"/>
        <w:spacing w:after="0" w:line="232" w:lineRule="auto"/>
        <w:tabs>
          <w:tab w:leader="none" w:pos="1300" w:val="left"/>
        </w:tabs>
        <w:numPr>
          <w:ilvl w:val="1"/>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VWAP</w:t>
      </w:r>
      <w:r>
        <w:rPr>
          <w:rFonts w:ascii="Arial" w:cs="Arial" w:eastAsia="Arial" w:hAnsi="Arial"/>
          <w:sz w:val="22"/>
          <w:szCs w:val="22"/>
          <w:color w:val="auto"/>
        </w:rPr>
        <w:t>” means the volume weighted average price as calculated by a service selected by the Company’s Chief People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4"/>
          </w:cols>
          <w:pgMar w:left="976" w:top="1440" w:right="339" w:bottom="1440" w:gutter="0" w:footer="0" w:header="0"/>
        </w:sectPr>
      </w:pPr>
    </w:p>
    <w:bookmarkStart w:id="58" w:name="page59"/>
    <w:bookmarkEnd w:id="58"/>
    <w:p>
      <w:pPr>
        <w:jc w:val="both"/>
        <w:ind w:firstLine="656"/>
        <w:spacing w:after="0" w:line="220" w:lineRule="auto"/>
        <w:tabs>
          <w:tab w:leader="none" w:pos="1293" w:val="left"/>
        </w:tabs>
        <w:numPr>
          <w:ilvl w:val="0"/>
          <w:numId w:val="26"/>
        </w:numPr>
        <w:rPr>
          <w:rFonts w:ascii="Arial" w:cs="Arial" w:eastAsia="Arial" w:hAnsi="Arial"/>
          <w:sz w:val="21"/>
          <w:szCs w:val="21"/>
          <w:color w:val="auto"/>
        </w:rPr>
      </w:pPr>
      <w:r>
        <w:rPr>
          <w:rFonts w:ascii="Arial" w:cs="Arial" w:eastAsia="Arial" w:hAnsi="Arial"/>
          <w:sz w:val="21"/>
          <w:szCs w:val="21"/>
          <w:color w:val="auto"/>
        </w:rPr>
        <w:t>Notwithstanding anything contained herein to the contrary and except as may be provided in the Participant’s employment or services agreement with the Company or the Company’s Executive Change in Control Severance Plan), the Performance Stock Units of any Tranche shall not be eligible for vesting if the Participant has a Termination of Service for any reason before the Measurement Date for such Tranche, and no Tranche of the Performance Stock Units that has a Measurement Date after the date of the Participant’s Termination of Service shall vest thereafter (</w:t>
      </w:r>
      <w:r>
        <w:rPr>
          <w:rFonts w:ascii="Arial" w:cs="Arial" w:eastAsia="Arial" w:hAnsi="Arial"/>
          <w:sz w:val="21"/>
          <w:szCs w:val="21"/>
          <w:i w:val="1"/>
          <w:iCs w:val="1"/>
          <w:color w:val="auto"/>
        </w:rPr>
        <w:t>i.e.</w:t>
      </w:r>
      <w:r>
        <w:rPr>
          <w:rFonts w:ascii="Arial" w:cs="Arial" w:eastAsia="Arial" w:hAnsi="Arial"/>
          <w:sz w:val="21"/>
          <w:szCs w:val="21"/>
          <w:color w:val="auto"/>
        </w:rPr>
        <w:t>, the Performance Stock Units in such Tranche shall be forfeited immediately). For the avoidance of doubt, if the Participant has a Termination of Service after the Measurement Date for a Tranche of the Performance Stock Units but before the Vesting Date of such Tranche, the Performance Stock Units of such Tranche shall be eligible to vest on such Vesting Date notwithstanding the Participant’s Termination of Service. Further, no Tranche (or portion thereof) of the Performance Stock Units that is not vested as of the Vesting Date for such Tranche shall vest thereafter.</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Delivery of Shares.</w:t>
      </w:r>
      <w:r>
        <w:rPr>
          <w:rFonts w:ascii="Arial" w:cs="Arial" w:eastAsia="Arial" w:hAnsi="Arial"/>
          <w:sz w:val="19"/>
          <w:szCs w:val="19"/>
          <w:color w:val="auto"/>
        </w:rPr>
        <w:t xml:space="preserve"> As soon as practicable after a Vesting Date or other vesting event under this Agreement but in no event later than the seventieth (70th) calendar day following such Vesting Date, the Company shall settle the Participant’s award of PSUs and shall therefore issue the Participant (in book-entry form) in the Participant’s name the number of Shares (or, if applicable in the event of a Change in Control, the securities or other property into which such Shares have been converted) that correspond to the number of Performance Stock Units that have become vested on the applicable Vesting Date (and, upon such settlement, those PSUs shall cease to be credited to the Account). Notwithstanding the foregoing, in accordance with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of the Plan, the Committee, at its sole discretion, may settle the Performance Stock Units in cash if necessary or appropriate for legal or administrative reasons based on laws in the Participant’s jurisdiction (including, for the avoidance of doubt, the Hart-Scott-Rodino Antitrust Improvement Act of 1976).</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Restriction on Transfer</w:t>
      </w:r>
      <w:r>
        <w:rPr>
          <w:rFonts w:ascii="Arial" w:cs="Arial" w:eastAsia="Arial" w:hAnsi="Arial"/>
          <w:sz w:val="19"/>
          <w:szCs w:val="19"/>
          <w:color w:val="auto"/>
        </w:rPr>
        <w:t>. The Performance Stock Units may not be transferred, pledged, assigned, hypothecated or otherwise disposed of in any way by the Participant, other than as provided in Section 10.3(b) of the Plan. The Performance Stock Units shall not be subject to execution, attachment or similar process. Any attempted assignment, transfer, pledge, hypothecation or other disposition of the Performance Stock Units contrary to the provisions hereof, and the levy of any execution, attachment or similar process upon the Performance Stock Units, shall be null and void and without effect.</w:t>
      </w:r>
    </w:p>
    <w:p>
      <w:pPr>
        <w:spacing w:after="0" w:line="14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Participant’s Employment or Other Service Relationship</w:t>
      </w:r>
      <w:r>
        <w:rPr>
          <w:rFonts w:ascii="Arial" w:cs="Arial" w:eastAsia="Arial" w:hAnsi="Arial"/>
          <w:sz w:val="21"/>
          <w:szCs w:val="21"/>
          <w:color w:val="auto"/>
        </w:rPr>
        <w:t>. Nothing in this Agreement nor the grant of the Performance Stock Units shall confer upon the Participant any right to continue the Participant’s employment or other service relationship with the Company or, if different, the Employer or interfere in any way with the right of the Company or, if different, the Employer to terminate the Participant’s employment or other service relationship or to increase or decrease the Participant’s compensation at any time. The grant of Performance Stock Units is an exceptional, voluntary and one-time benefit and does not create any contractual or other right to receive any other grant of other Awards (including Performance Stock Units) under the Plan in the future, or benefits in lieu of Performance Stock Units, even if Performance Stock Units have been granted in the past. The grant of the Performance Stock Units does not form or amend part of the Participant’s entitlement to remuneration or benefits in terms of his or her employment or other service relationship with the Company or, if different, the Employer, if any, at any time.</w:t>
      </w:r>
    </w:p>
    <w:p>
      <w:pPr>
        <w:spacing w:after="0" w:line="16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Termination</w:t>
      </w:r>
      <w:r>
        <w:rPr>
          <w:rFonts w:ascii="Arial" w:cs="Arial" w:eastAsia="Arial" w:hAnsi="Arial"/>
          <w:sz w:val="22"/>
          <w:szCs w:val="22"/>
          <w:color w:val="auto"/>
        </w:rPr>
        <w:t>. For the avoidance of doubt, the Performance Stock Units shall cease vesting and shall be forfeited immediately as of the date of the Participant’s Termination of Service.</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Responsibility for Taxes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9" w:name="page60"/>
    <w:bookmarkEnd w:id="59"/>
    <w:p>
      <w:pPr>
        <w:jc w:val="both"/>
        <w:ind w:firstLine="656"/>
        <w:spacing w:after="0" w:line="242" w:lineRule="auto"/>
        <w:tabs>
          <w:tab w:leader="none" w:pos="1374"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Participant acknowledges that, regardless of any action taken by the Company or the Employer, the ultimate liability for all income tax, social insurance, payroll tax, fringe benefits tax, payment on account or other tax-related items related to the Participant’s participation in the Plan and legally applicable to the Participant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the Participant’s responsibility and may exceed the amount actually withheld by the Company or the Employer. The Participant further acknowledges that the Company and/or the Employer (i) make no representations or undertakings regarding the treatment of any Tax-Related Items in connection with any aspect of the Performance Stock Units, including, but not limited to, the grant or vesting of the Performance Stock Units, the subsequent sale of Shares acquired pursuant to such vesting; and (ii) do not commit to and are under no obligation to structure the terms of the grant or any aspect of Performance Stock Units to reduce or eliminate the Participant’s liability for Tax-Related Items or achieve any particular tax result. The Participant shall not make any claim against the Company, the Employer or any other Subsidiary, or their respective board, officers or employees related to Tax-Related Items arising from the Performance Units.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60" w:lineRule="exact"/>
        <w:rPr>
          <w:rFonts w:ascii="Arial" w:cs="Arial" w:eastAsia="Arial" w:hAnsi="Arial"/>
          <w:sz w:val="19"/>
          <w:szCs w:val="19"/>
          <w:color w:val="auto"/>
        </w:rPr>
      </w:pPr>
    </w:p>
    <w:p>
      <w:pPr>
        <w:jc w:val="both"/>
        <w:ind w:firstLine="656"/>
        <w:spacing w:after="0" w:line="221" w:lineRule="auto"/>
        <w:tabs>
          <w:tab w:leader="none" w:pos="1372" w:val="left"/>
        </w:tabs>
        <w:numPr>
          <w:ilvl w:val="0"/>
          <w:numId w:val="27"/>
        </w:numPr>
        <w:rPr>
          <w:rFonts w:ascii="Arial" w:cs="Arial" w:eastAsia="Arial" w:hAnsi="Arial"/>
          <w:sz w:val="21"/>
          <w:szCs w:val="21"/>
          <w:color w:val="auto"/>
        </w:rPr>
      </w:pPr>
      <w:r>
        <w:rPr>
          <w:rFonts w:ascii="Arial" w:cs="Arial" w:eastAsia="Arial" w:hAnsi="Arial"/>
          <w:sz w:val="21"/>
          <w:szCs w:val="21"/>
          <w:color w:val="auto"/>
        </w:rPr>
        <w:t>Prior to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to satisfy any applicable withholding obligations with regard to Tax-Related Items by withholding Shares to be issued upon vesting. Alternatively, if the Company determines in its sole discretion that withholding Shares is not feasible under applicable tax or securities laws or has materially adverse accounting consequences, the Participant authorizes the Company and/or the Employer, or their respective agents, at their discretion and with no obligation to do so, to satisfy any applicable withholding obligations with regard to Tax-Related Items by one or a combination of the following:</w:t>
      </w:r>
    </w:p>
    <w:p>
      <w:pPr>
        <w:spacing w:after="0" w:line="165" w:lineRule="exact"/>
        <w:rPr>
          <w:rFonts w:ascii="Arial" w:cs="Arial" w:eastAsia="Arial" w:hAnsi="Arial"/>
          <w:sz w:val="21"/>
          <w:szCs w:val="21"/>
          <w:color w:val="auto"/>
        </w:rPr>
      </w:pPr>
    </w:p>
    <w:p>
      <w:pPr>
        <w:ind w:left="660" w:firstLine="644"/>
        <w:spacing w:after="0" w:line="232" w:lineRule="auto"/>
        <w:tabs>
          <w:tab w:leader="none" w:pos="1944" w:val="left"/>
        </w:tabs>
        <w:numPr>
          <w:ilvl w:val="1"/>
          <w:numId w:val="27"/>
        </w:numPr>
        <w:rPr>
          <w:rFonts w:ascii="Arial" w:cs="Arial" w:eastAsia="Arial" w:hAnsi="Arial"/>
          <w:sz w:val="22"/>
          <w:szCs w:val="22"/>
          <w:color w:val="auto"/>
        </w:rPr>
      </w:pPr>
      <w:r>
        <w:rPr>
          <w:rFonts w:ascii="Arial" w:cs="Arial" w:eastAsia="Arial" w:hAnsi="Arial"/>
          <w:sz w:val="22"/>
          <w:szCs w:val="22"/>
          <w:color w:val="auto"/>
        </w:rPr>
        <w:t>withholding from the Participant’s wages or other cash compensation paid to the Participant by the Company, the Employer or any other Subsidiary;</w:t>
      </w:r>
    </w:p>
    <w:p>
      <w:pPr>
        <w:spacing w:after="0" w:line="158" w:lineRule="exact"/>
        <w:rPr>
          <w:rFonts w:ascii="Arial" w:cs="Arial" w:eastAsia="Arial" w:hAnsi="Arial"/>
          <w:sz w:val="22"/>
          <w:szCs w:val="22"/>
          <w:color w:val="auto"/>
        </w:rPr>
      </w:pPr>
    </w:p>
    <w:p>
      <w:pPr>
        <w:jc w:val="both"/>
        <w:ind w:left="660" w:right="20" w:firstLine="644"/>
        <w:spacing w:after="0" w:line="223" w:lineRule="auto"/>
        <w:tabs>
          <w:tab w:leader="none" w:pos="1950" w:val="left"/>
        </w:tabs>
        <w:numPr>
          <w:ilvl w:val="1"/>
          <w:numId w:val="27"/>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vesting either through a voluntary sale or through a mandatory sale arranged by the Company (on the Participant’s behalf pursuant to this authorization) without further consent; and/or</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any other methods approved by the Committee and permitted by applicable laws.</w:t>
      </w:r>
    </w:p>
    <w:p>
      <w:pPr>
        <w:spacing w:after="0" w:line="179" w:lineRule="exact"/>
        <w:rPr>
          <w:rFonts w:ascii="Arial" w:cs="Arial" w:eastAsia="Arial" w:hAnsi="Arial"/>
          <w:sz w:val="22"/>
          <w:szCs w:val="22"/>
          <w:color w:val="auto"/>
        </w:rPr>
      </w:pPr>
    </w:p>
    <w:p>
      <w:pPr>
        <w:jc w:val="both"/>
        <w:ind w:firstLine="656"/>
        <w:spacing w:after="0" w:line="219" w:lineRule="auto"/>
        <w:tabs>
          <w:tab w:leader="none" w:pos="1374" w:val="left"/>
        </w:tabs>
        <w:numPr>
          <w:ilvl w:val="0"/>
          <w:numId w:val="27"/>
        </w:numPr>
        <w:rPr>
          <w:rFonts w:ascii="Arial" w:cs="Arial" w:eastAsia="Arial" w:hAnsi="Arial"/>
          <w:sz w:val="21"/>
          <w:szCs w:val="21"/>
          <w:color w:val="auto"/>
        </w:rPr>
      </w:pPr>
      <w:r>
        <w:rPr>
          <w:rFonts w:ascii="Arial" w:cs="Arial" w:eastAsia="Arial" w:hAnsi="Arial"/>
          <w:sz w:val="21"/>
          <w:szCs w:val="21"/>
          <w:color w:val="auto"/>
        </w:rPr>
        <w:t>Depending on the withholding method, the Company may withhold or account for Tax-Related Items by considering applicable minimum statutory withholding amounts or other applicable withholding rates, including maximum applicable rates, in which case the Participant may receive a refund of any over-withheld amount and will have no entitlement to the Share equivalent or, if not refunded, the Participant may seek a refund from the local tax authorities. If the obligation for Tax-Related Items is satisfied by withholding in Shares, the Participant is deemed, for tax purposes, to have been issued the full number of Shares subject to the vested Performance Stock Units, notwithstanding that a number of the Shares is held back solely for the purpose of paying the Tax-Related Items. Finally, 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or the proceeds of the sale of Shares, if the Participant fails to comply with his or her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60" w:name="page61"/>
    <w:bookmarkEnd w:id="60"/>
    <w:p>
      <w:pPr>
        <w:jc w:val="both"/>
        <w:ind w:firstLine="656"/>
        <w:spacing w:after="0" w:line="222" w:lineRule="auto"/>
        <w:tabs>
          <w:tab w:leader="none" w:pos="1372" w:val="left"/>
        </w:tabs>
        <w:numPr>
          <w:ilvl w:val="0"/>
          <w:numId w:val="28"/>
        </w:numPr>
        <w:rPr>
          <w:rFonts w:ascii="Arial" w:cs="Arial" w:eastAsia="Arial" w:hAnsi="Arial"/>
          <w:sz w:val="21"/>
          <w:szCs w:val="21"/>
          <w:color w:val="auto"/>
        </w:rPr>
      </w:pPr>
      <w:r>
        <w:rPr>
          <w:rFonts w:ascii="Arial" w:cs="Arial" w:eastAsia="Arial" w:hAnsi="Arial"/>
          <w:sz w:val="21"/>
          <w:szCs w:val="21"/>
          <w:color w:val="auto"/>
        </w:rPr>
        <w:t>Notwithstanding the foregoing, Participant may, at Participant’s option, satisfy, in whole or in part, any tax withholding obligations through a “net settlement” procedure by requiring that the Company (x) withhold Shares (that would otherwise be deliverable to Participant upon settlement of the Performance Stock Units) with a fair market value equal to the amount of such tax withholding liability (up to the maximum permissible amount), and (y) remit such withholding taxes to the appropriate taxing authorities (with any fractional amount of such withholding paid by Participant in cash). The withholding of Shares shall only be permitted to the extent authorized by the Committee, and management shall not be authorized to disallow the withholding of such Shares to satisfy tax withholding.</w:t>
      </w:r>
    </w:p>
    <w:p>
      <w:pPr>
        <w:spacing w:after="0" w:line="164"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Performance Stock Units, the Participant acknowledges, understands and agrees that:</w:t>
      </w:r>
    </w:p>
    <w:p>
      <w:pPr>
        <w:spacing w:after="0" w:line="159" w:lineRule="exact"/>
        <w:rPr>
          <w:sz w:val="20"/>
          <w:szCs w:val="20"/>
          <w:color w:val="auto"/>
        </w:rPr>
      </w:pPr>
    </w:p>
    <w:p>
      <w:pPr>
        <w:ind w:right="20" w:firstLine="656"/>
        <w:spacing w:after="0" w:line="232" w:lineRule="auto"/>
        <w:tabs>
          <w:tab w:leader="none" w:pos="1374"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ind w:firstLine="656"/>
        <w:spacing w:after="0" w:line="232" w:lineRule="auto"/>
        <w:tabs>
          <w:tab w:leader="none" w:pos="1372" w:val="left"/>
        </w:tabs>
        <w:numPr>
          <w:ilvl w:val="0"/>
          <w:numId w:val="29"/>
        </w:numPr>
        <w:rPr>
          <w:rFonts w:ascii="Arial" w:cs="Arial" w:eastAsia="Arial" w:hAnsi="Arial"/>
          <w:sz w:val="22"/>
          <w:szCs w:val="22"/>
          <w:color w:val="auto"/>
        </w:rPr>
      </w:pPr>
      <w:r>
        <w:rPr>
          <w:rFonts w:ascii="Arial" w:cs="Arial" w:eastAsia="Arial" w:hAnsi="Arial"/>
          <w:sz w:val="22"/>
          <w:szCs w:val="22"/>
          <w:color w:val="auto"/>
        </w:rPr>
        <w:t>all decisions with respect to future Performance Stock Units or other grants, if any, will be at the sole discretion of the Company;</w:t>
      </w:r>
    </w:p>
    <w:p>
      <w:pPr>
        <w:spacing w:after="0" w:line="158" w:lineRule="exact"/>
        <w:rPr>
          <w:rFonts w:ascii="Arial" w:cs="Arial" w:eastAsia="Arial" w:hAnsi="Arial"/>
          <w:sz w:val="22"/>
          <w:szCs w:val="22"/>
          <w:color w:val="auto"/>
        </w:rPr>
      </w:pPr>
    </w:p>
    <w:p>
      <w:pPr>
        <w:ind w:left="1380" w:hanging="724"/>
        <w:spacing w:after="0"/>
        <w:tabs>
          <w:tab w:leader="none" w:pos="13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372"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Performance Stock Units and any Shares acquired upon vesting, and the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29" w:lineRule="auto"/>
        <w:tabs>
          <w:tab w:leader="none" w:pos="1374"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Performance Stock Units and any Shares acquired upon vesting, and the income and value of same, are not part of normal or expected compensation for any purpose, including, without limitation, for purposes of calculating any severance, resignation, termination, redundancy, dismissal, end-of-service payments, bonuses, long-service awards, leave-related payments, holiday pay, pension or retirement or welfare benefits or similar mandatory payments;</w:t>
      </w:r>
    </w:p>
    <w:p>
      <w:pPr>
        <w:spacing w:after="0" w:line="158" w:lineRule="exact"/>
        <w:rPr>
          <w:rFonts w:ascii="Arial" w:cs="Arial" w:eastAsia="Arial" w:hAnsi="Arial"/>
          <w:sz w:val="21"/>
          <w:szCs w:val="21"/>
          <w:color w:val="auto"/>
        </w:rPr>
      </w:pPr>
    </w:p>
    <w:p>
      <w:pPr>
        <w:ind w:firstLine="656"/>
        <w:spacing w:after="0" w:line="232" w:lineRule="auto"/>
        <w:tabs>
          <w:tab w:leader="none" w:pos="1377"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future value of the Shares underlying the Performance Stock Units is unknown, indeterminable, and cannot be predicted with certainty;</w:t>
      </w:r>
    </w:p>
    <w:p>
      <w:pPr>
        <w:spacing w:after="0" w:line="158" w:lineRule="exact"/>
        <w:rPr>
          <w:rFonts w:ascii="Arial" w:cs="Arial" w:eastAsia="Arial" w:hAnsi="Arial"/>
          <w:sz w:val="22"/>
          <w:szCs w:val="22"/>
          <w:color w:val="auto"/>
        </w:rPr>
      </w:pPr>
    </w:p>
    <w:p>
      <w:pPr>
        <w:ind w:right="20" w:firstLine="656"/>
        <w:spacing w:after="0" w:line="232" w:lineRule="auto"/>
        <w:tabs>
          <w:tab w:leader="none" w:pos="1372" w:val="left"/>
        </w:tabs>
        <w:numPr>
          <w:ilvl w:val="0"/>
          <w:numId w:val="29"/>
        </w:numPr>
        <w:rPr>
          <w:rFonts w:ascii="Arial" w:cs="Arial" w:eastAsia="Arial" w:hAnsi="Arial"/>
          <w:sz w:val="22"/>
          <w:szCs w:val="22"/>
          <w:color w:val="auto"/>
        </w:rPr>
      </w:pPr>
      <w:r>
        <w:rPr>
          <w:rFonts w:ascii="Arial" w:cs="Arial" w:eastAsia="Arial" w:hAnsi="Arial"/>
          <w:sz w:val="22"/>
          <w:szCs w:val="22"/>
          <w:color w:val="auto"/>
        </w:rPr>
        <w:t>if the Performance Stock Units vest and the Participant acquires Shares, the value of such Stock may increase or decrease in value;</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372" w:val="left"/>
        </w:tabs>
        <w:numPr>
          <w:ilvl w:val="0"/>
          <w:numId w:val="29"/>
        </w:numPr>
        <w:rPr>
          <w:rFonts w:ascii="Arial" w:cs="Arial" w:eastAsia="Arial" w:hAnsi="Arial"/>
          <w:sz w:val="22"/>
          <w:szCs w:val="22"/>
          <w:color w:val="auto"/>
        </w:rPr>
      </w:pPr>
      <w:r>
        <w:rPr>
          <w:rFonts w:ascii="Arial" w:cs="Arial" w:eastAsia="Arial" w:hAnsi="Arial"/>
          <w:sz w:val="22"/>
          <w:szCs w:val="22"/>
          <w:color w:val="auto"/>
        </w:rPr>
        <w:t>unless otherwise agreed with the Company, the Performance Stock Units and the Shares subject to the Performance Stock Units, and the income and value of same, are not granted as consideration for, or in connection with, the service the Participant may provide as a director of any Subsidiary;</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365" w:val="left"/>
        </w:tabs>
        <w:numPr>
          <w:ilvl w:val="0"/>
          <w:numId w:val="29"/>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Performance Stock Units resulting from a Termination of Service (for any reason whatsoever, whether or not later found to be invalid or in breach of employment laws in the jurisdiction where the Participant is employed or rendering services or the terms of the Participant’s employment or service agreement, if any);</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365" w:val="left"/>
        </w:tabs>
        <w:numPr>
          <w:ilvl w:val="0"/>
          <w:numId w:val="29"/>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sole discretion, the Performance Stock Units and the benefits evidenced by this Agreement do not create any entitlement to have the Performance Stock Units or any such benefits transferred to, or assumed by, another company nor to be exchanged, cashed out or substituted for, in connection with any corporate transaction affecting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61" w:name="page62"/>
    <w:bookmarkEnd w:id="61"/>
    <w:p>
      <w:pPr>
        <w:jc w:val="both"/>
        <w:ind w:firstLine="656"/>
        <w:spacing w:after="0" w:line="218" w:lineRule="auto"/>
        <w:tabs>
          <w:tab w:leader="none" w:pos="1372" w:val="left"/>
        </w:tabs>
        <w:numPr>
          <w:ilvl w:val="0"/>
          <w:numId w:val="30"/>
        </w:numPr>
        <w:rPr>
          <w:rFonts w:ascii="Arial" w:cs="Arial" w:eastAsia="Arial" w:hAnsi="Arial"/>
          <w:sz w:val="22"/>
          <w:szCs w:val="22"/>
          <w:color w:val="auto"/>
        </w:rPr>
      </w:pPr>
      <w:r>
        <w:rPr>
          <w:rFonts w:ascii="Arial" w:cs="Arial" w:eastAsia="Arial" w:hAnsi="Arial"/>
          <w:sz w:val="22"/>
          <w:szCs w:val="22"/>
          <w:color w:val="auto"/>
        </w:rPr>
        <w:t>neither the Company, the Employer nor any other Subsidiary or Affiliate shall be liable for any foreign exchange rate fluctuation between the Participant’s local currency and the United States Dollar that may affect the value of the Performance Stock Units or of any amounts due to the Participant pursuant to the vesting of the Performance Stock Units or the subsequent sale of any Shares acquired upon vesting; and</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365"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Company is not providing any tax, legal or financial advice, nor is the Company making any recommendations regarding the Participant’s participation in the Plan or the Participant’s acquisition or sale of the Shares. The Participant should consult with his or her personal tax, legal and financial advisors regarding his or her participation in the Plan before taking any action related to the Plan.</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Adjustment of Performance Goals</w:t>
      </w:r>
      <w:r>
        <w:rPr>
          <w:rFonts w:ascii="Arial" w:cs="Arial" w:eastAsia="Arial" w:hAnsi="Arial"/>
          <w:sz w:val="19"/>
          <w:szCs w:val="19"/>
          <w:color w:val="auto"/>
        </w:rPr>
        <w:t>. The Committee shall have the right to adjust or modify the calculation of the Performance Goals as permitted under the Plan or contemplated herein. In addition, the Performance Goals and the calculated level of achievement of the Performance Goals may be equitably adjusted from time to time in any manner that the Committee deems necessary or appropriate in its sole discretion. For instance, adjustments may be made to take account of (i) subject to Section 2(c), any acquisitions, divestitures, reorganization, restructuring, or any other specific unusual or nonrecurring events or conditions that occur during the Performance Period, and/or (ii) any changes in tax laws, accounting principles, or other laws or regulatory rules affecting reported results, including such changes that result in gains, losses or expenses determined to be extraordinary or unusual in nature or infrequent in occurrence, in each case, affecting the Company or any of its subsidiaries or the financial statements of the Company or any of its subsidiaries.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8"/>
          <w:szCs w:val="18"/>
          <w:b w:val="1"/>
          <w:bCs w:val="1"/>
          <w:i w:val="1"/>
          <w:iCs w:val="1"/>
          <w:u w:val="single" w:color="auto"/>
          <w:color w:val="auto"/>
        </w:rPr>
        <w:t>Data Privacy Consent</w:t>
      </w:r>
      <w:r>
        <w:rPr>
          <w:rFonts w:ascii="Arial" w:cs="Arial" w:eastAsia="Arial" w:hAnsi="Arial"/>
          <w:sz w:val="18"/>
          <w:szCs w:val="18"/>
          <w:b w:val="1"/>
          <w:bCs w:val="1"/>
          <w:i w:val="1"/>
          <w:iCs w:val="1"/>
          <w:color w:val="auto"/>
        </w:rPr>
        <w:t>.</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b w:val="1"/>
          <w:bCs w:val="1"/>
          <w:i w:val="1"/>
          <w:iCs w:val="1"/>
          <w:color w:val="auto"/>
        </w:rPr>
        <w:t>The Company is located at 1 Fanatical Place, Windcrest, TX 78218, USA and grants employees of the Company and its other Subsidiaries and Affiliates, the opportunity to participate in the Plan, at the Company's sole discretion. If the Participant would like to participate in the Plan, the Participant understands that he or she should review the following information about the Company’s data processing practices and declare his or her consent.</w:t>
      </w:r>
    </w:p>
    <w:p>
      <w:pPr>
        <w:spacing w:after="0" w:line="144" w:lineRule="exact"/>
        <w:rPr>
          <w:sz w:val="20"/>
          <w:szCs w:val="20"/>
          <w:color w:val="auto"/>
        </w:rPr>
      </w:pPr>
    </w:p>
    <w:p>
      <w:pPr>
        <w:jc w:val="both"/>
        <w:ind w:firstLine="1304"/>
        <w:spacing w:after="0" w:line="246" w:lineRule="auto"/>
        <w:tabs>
          <w:tab w:leader="none" w:pos="1941" w:val="left"/>
        </w:tabs>
        <w:numPr>
          <w:ilvl w:val="0"/>
          <w:numId w:val="31"/>
        </w:numPr>
        <w:rPr>
          <w:rFonts w:ascii="Arial" w:cs="Arial" w:eastAsia="Arial" w:hAnsi="Arial"/>
          <w:sz w:val="19"/>
          <w:szCs w:val="19"/>
          <w:color w:val="auto"/>
        </w:rPr>
      </w:pPr>
      <w:r>
        <w:rPr>
          <w:rFonts w:ascii="Arial" w:cs="Arial" w:eastAsia="Arial" w:hAnsi="Arial"/>
          <w:sz w:val="19"/>
          <w:szCs w:val="19"/>
          <w:b w:val="1"/>
          <w:bCs w:val="1"/>
          <w:i w:val="1"/>
          <w:iCs w:val="1"/>
          <w:color w:val="auto"/>
        </w:rPr>
        <w:t>Data Collection and Usage. The Company collects, processes and uses the Participant's personal data, including, but without limitation, name, home address and telephone number, date of birth, social insurance number or other identification number (e.g., resident registration number), passport number, salary, citizenship, job title, any Shares of stock or directorships held in the Company, and details of all awards, canceled, vested, or outstanding in the Participant's favor, which the Company receives from the Participant or the Participant's Employer. If the Company offers the Participant the opportunity to participate in the Plan, then the Company will collect the Participant's personal data for purposes of allocating stock and implementing, administering and managing the Plan. The Company’s legal basis for the processing of the Participant’s personal data would be the Participant's consent.</w:t>
      </w:r>
    </w:p>
    <w:p>
      <w:pPr>
        <w:spacing w:after="0" w:line="152" w:lineRule="exact"/>
        <w:rPr>
          <w:rFonts w:ascii="Arial" w:cs="Arial" w:eastAsia="Arial" w:hAnsi="Arial"/>
          <w:sz w:val="19"/>
          <w:szCs w:val="19"/>
          <w:color w:val="auto"/>
        </w:rPr>
      </w:pPr>
    </w:p>
    <w:p>
      <w:pPr>
        <w:jc w:val="both"/>
        <w:ind w:firstLine="1304"/>
        <w:spacing w:after="0" w:line="247" w:lineRule="auto"/>
        <w:tabs>
          <w:tab w:leader="none" w:pos="1939" w:val="left"/>
        </w:tabs>
        <w:numPr>
          <w:ilvl w:val="0"/>
          <w:numId w:val="31"/>
        </w:numPr>
        <w:rPr>
          <w:rFonts w:ascii="Arial" w:cs="Arial" w:eastAsia="Arial" w:hAnsi="Arial"/>
          <w:sz w:val="19"/>
          <w:szCs w:val="19"/>
          <w:color w:val="auto"/>
        </w:rPr>
      </w:pPr>
      <w:r>
        <w:rPr>
          <w:rFonts w:ascii="Arial" w:cs="Arial" w:eastAsia="Arial" w:hAnsi="Arial"/>
          <w:sz w:val="19"/>
          <w:szCs w:val="19"/>
          <w:b w:val="1"/>
          <w:bCs w:val="1"/>
          <w:i w:val="1"/>
          <w:iCs w:val="1"/>
          <w:color w:val="auto"/>
        </w:rPr>
        <w:t>Stock Plan Administration Service Providers. The Company transfers participant data to E*Trade, an independent service provider based in the United States, which assists the Company with the implementation, administration and management of the Plan, and if the Participant’s Performance Stock Units vest, the Company transfers shareholder data to Computershare, an independent service provider based in the United States, which assists the Company with its stock administration. In the future, the Company may select different service provider(s) and share the Participant's personal data with another company that serves in similar capacities. The Company’s service providers may open an account for the Participant. The Participant will be asked to agree on separate terms and data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62" w:name="page63"/>
    <w:bookmarkEnd w:id="62"/>
    <w:p>
      <w:pPr>
        <w:ind w:right="20"/>
        <w:spacing w:after="0" w:line="232" w:lineRule="auto"/>
        <w:rPr>
          <w:sz w:val="20"/>
          <w:szCs w:val="20"/>
          <w:color w:val="auto"/>
        </w:rPr>
      </w:pPr>
      <w:r>
        <w:rPr>
          <w:rFonts w:ascii="Arial" w:cs="Arial" w:eastAsia="Arial" w:hAnsi="Arial"/>
          <w:sz w:val="22"/>
          <w:szCs w:val="22"/>
          <w:b w:val="1"/>
          <w:bCs w:val="1"/>
          <w:i w:val="1"/>
          <w:iCs w:val="1"/>
          <w:color w:val="auto"/>
        </w:rPr>
        <w:t>practices with the applicable service providers, which, as it relates to Plan administration service provider, is a condition to the Participant's ability to participate in the Plan.</w:t>
      </w:r>
    </w:p>
    <w:p>
      <w:pPr>
        <w:spacing w:after="0" w:line="159" w:lineRule="exact"/>
        <w:rPr>
          <w:sz w:val="20"/>
          <w:szCs w:val="20"/>
          <w:color w:val="auto"/>
        </w:rPr>
      </w:pPr>
    </w:p>
    <w:p>
      <w:pPr>
        <w:jc w:val="both"/>
        <w:ind w:firstLine="1304"/>
        <w:spacing w:after="0" w:line="223" w:lineRule="auto"/>
        <w:tabs>
          <w:tab w:leader="none" w:pos="1941" w:val="left"/>
        </w:tabs>
        <w:numPr>
          <w:ilvl w:val="1"/>
          <w:numId w:val="32"/>
        </w:numPr>
        <w:rPr>
          <w:rFonts w:ascii="Arial" w:cs="Arial" w:eastAsia="Arial" w:hAnsi="Arial"/>
          <w:sz w:val="22"/>
          <w:szCs w:val="22"/>
          <w:color w:val="auto"/>
        </w:rPr>
      </w:pPr>
      <w:r>
        <w:rPr>
          <w:rFonts w:ascii="Arial" w:cs="Arial" w:eastAsia="Arial" w:hAnsi="Arial"/>
          <w:sz w:val="22"/>
          <w:szCs w:val="22"/>
          <w:b w:val="1"/>
          <w:bCs w:val="1"/>
          <w:i w:val="1"/>
          <w:iCs w:val="1"/>
          <w:color w:val="auto"/>
        </w:rPr>
        <w:t>International Data Transfers. The Company and its service providers are based in the United States. If the Participant is outside of the United States, the Participant should note that his or her country may have enacted data privacy laws that are different from the United States.</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39" w:val="left"/>
        </w:tabs>
        <w:numPr>
          <w:ilvl w:val="1"/>
          <w:numId w:val="32"/>
        </w:numPr>
        <w:rPr>
          <w:rFonts w:ascii="Arial" w:cs="Arial" w:eastAsia="Arial" w:hAnsi="Arial"/>
          <w:sz w:val="22"/>
          <w:szCs w:val="22"/>
          <w:color w:val="auto"/>
        </w:rPr>
      </w:pPr>
      <w:r>
        <w:rPr>
          <w:rFonts w:ascii="Arial" w:cs="Arial" w:eastAsia="Arial" w:hAnsi="Arial"/>
          <w:sz w:val="22"/>
          <w:szCs w:val="22"/>
          <w:b w:val="1"/>
          <w:bCs w:val="1"/>
          <w:i w:val="1"/>
          <w:iCs w:val="1"/>
          <w:color w:val="auto"/>
        </w:rPr>
        <w:t>Data Retention. The Company will use the Participant's personal data only as long as is necessary to implement, administer and manage the Participant's participation in the Plan or as required to comply with legal or regulatory obligations, including under tax and security laws. When the Company no longer needs the Participant's personal data, the Company will remove it from it from its systems.</w:t>
      </w:r>
    </w:p>
    <w:p>
      <w:pPr>
        <w:spacing w:after="0" w:line="160" w:lineRule="exact"/>
        <w:rPr>
          <w:rFonts w:ascii="Arial" w:cs="Arial" w:eastAsia="Arial" w:hAnsi="Arial"/>
          <w:sz w:val="22"/>
          <w:szCs w:val="22"/>
          <w:color w:val="auto"/>
        </w:rPr>
      </w:pPr>
    </w:p>
    <w:p>
      <w:pPr>
        <w:jc w:val="both"/>
        <w:ind w:firstLine="1304"/>
        <w:spacing w:after="0" w:line="226" w:lineRule="auto"/>
        <w:tabs>
          <w:tab w:leader="none" w:pos="1941" w:val="left"/>
        </w:tabs>
        <w:numPr>
          <w:ilvl w:val="1"/>
          <w:numId w:val="32"/>
        </w:numPr>
        <w:rPr>
          <w:rFonts w:ascii="Arial" w:cs="Arial" w:eastAsia="Arial" w:hAnsi="Arial"/>
          <w:sz w:val="21"/>
          <w:szCs w:val="21"/>
          <w:color w:val="auto"/>
        </w:rPr>
      </w:pPr>
      <w:r>
        <w:rPr>
          <w:rFonts w:ascii="Arial" w:cs="Arial" w:eastAsia="Arial" w:hAnsi="Arial"/>
          <w:sz w:val="21"/>
          <w:szCs w:val="21"/>
          <w:b w:val="1"/>
          <w:bCs w:val="1"/>
          <w:i w:val="1"/>
          <w:iCs w:val="1"/>
          <w:color w:val="auto"/>
        </w:rPr>
        <w:t>Voluntariness and Consequences of Consent Denial or Withdrawal.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the Participant would merely forfeit the opportunities associated with the Plan.</w:t>
      </w:r>
    </w:p>
    <w:p>
      <w:pPr>
        <w:spacing w:after="0" w:line="159" w:lineRule="exact"/>
        <w:rPr>
          <w:rFonts w:ascii="Arial" w:cs="Arial" w:eastAsia="Arial" w:hAnsi="Arial"/>
          <w:sz w:val="21"/>
          <w:szCs w:val="21"/>
          <w:color w:val="auto"/>
        </w:rPr>
      </w:pPr>
    </w:p>
    <w:p>
      <w:pPr>
        <w:jc w:val="both"/>
        <w:ind w:firstLine="1304"/>
        <w:spacing w:after="0" w:line="257" w:lineRule="auto"/>
        <w:tabs>
          <w:tab w:leader="none" w:pos="1944" w:val="left"/>
        </w:tabs>
        <w:numPr>
          <w:ilvl w:val="1"/>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Data Subject Rights. The Participant has a number of rights under data privacy laws in his or her country. Depending on where the Participant is based, his or her rights may include the right to (i) request access or copies of personal data the Company processes, (ii) rectification of incorrect data, (iii) deletion of data, (iv) restrictions on processing,</w:t>
      </w:r>
    </w:p>
    <w:p>
      <w:pPr>
        <w:spacing w:after="0" w:line="1" w:lineRule="exact"/>
        <w:rPr>
          <w:rFonts w:ascii="Arial" w:cs="Arial" w:eastAsia="Arial" w:hAnsi="Arial"/>
          <w:sz w:val="18"/>
          <w:szCs w:val="18"/>
          <w:color w:val="auto"/>
        </w:rPr>
      </w:pPr>
    </w:p>
    <w:p>
      <w:pPr>
        <w:jc w:val="both"/>
        <w:ind w:firstLine="8"/>
        <w:spacing w:after="0" w:line="224" w:lineRule="auto"/>
        <w:tabs>
          <w:tab w:leader="none" w:pos="306" w:val="left"/>
        </w:tabs>
        <w:numPr>
          <w:ilvl w:val="0"/>
          <w:numId w:val="33"/>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portability of data, (vi) to lodge complaints with competent authorities in the Participant’s country, and/or (vii) a list with the names and addresses of any potential recipients of the Participant’s personal data. To receive clarification regarding the Participant’s rights or to exercise his or her rights, the Participant should please contact the Company at Attn: Stock Plan Administrator, 1 Fanatical Place, Windcrest, TX 78218, USA.</w:t>
      </w:r>
    </w:p>
    <w:p>
      <w:pPr>
        <w:spacing w:after="0" w:line="160" w:lineRule="exact"/>
        <w:rPr>
          <w:rFonts w:ascii="Arial" w:cs="Arial" w:eastAsia="Arial" w:hAnsi="Arial"/>
          <w:sz w:val="21"/>
          <w:szCs w:val="21"/>
          <w:b w:val="1"/>
          <w:bCs w:val="1"/>
          <w:i w:val="1"/>
          <w:iCs w:val="1"/>
          <w:color w:val="auto"/>
        </w:rPr>
      </w:pPr>
    </w:p>
    <w:p>
      <w:pPr>
        <w:jc w:val="both"/>
        <w:ind w:firstLine="1304"/>
        <w:spacing w:after="0" w:line="247" w:lineRule="auto"/>
        <w:tabs>
          <w:tab w:leader="none" w:pos="1939" w:val="left"/>
        </w:tabs>
        <w:numPr>
          <w:ilvl w:val="1"/>
          <w:numId w:val="33"/>
        </w:numPr>
        <w:rPr>
          <w:rFonts w:ascii="Arial" w:cs="Arial" w:eastAsia="Arial" w:hAnsi="Arial"/>
          <w:sz w:val="19"/>
          <w:szCs w:val="19"/>
          <w:color w:val="auto"/>
        </w:rPr>
      </w:pPr>
      <w:r>
        <w:rPr>
          <w:rFonts w:ascii="Arial" w:cs="Arial" w:eastAsia="Arial" w:hAnsi="Arial"/>
          <w:sz w:val="19"/>
          <w:szCs w:val="19"/>
          <w:b w:val="1"/>
          <w:bCs w:val="1"/>
          <w:i w:val="1"/>
          <w:iCs w:val="1"/>
          <w:color w:val="auto"/>
        </w:rPr>
        <w:t>The Participant also understands that the Company may rely on a different legal basis for the processing or transfer of data in the future and/or request the Participant to provide another data privacy consent. If applicable and upon request of the Company, the Participant agrees to provide an executed acknowledgement or data privacy consent form to the Company or the Employer (or any other acknowledgements, agreements or consents) that the Company and/or the Employer may deem necessary to obtain under the data privacy laws in the Participant's country, either now or in the future. The Participant understands that he or she will not be able to participate in the Plan if the Participant fails to execute any such acknowledgement, agreement or consent requested by the Company and/or the Employer.</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Compliance with Law</w:t>
      </w:r>
      <w:r>
        <w:rPr>
          <w:rFonts w:ascii="Arial" w:cs="Arial" w:eastAsia="Arial" w:hAnsi="Arial"/>
          <w:sz w:val="19"/>
          <w:szCs w:val="19"/>
          <w:color w:val="auto"/>
        </w:rPr>
        <w:t>. Notwithstanding any other provisions of the Plan or this Agreement, unless there is an exemption from any registration, qualification or other legal requirement applicable to the Shares, the Company shall not be required to deliver any Shares issuable upon vesting of the Performance Stock Units prior to the completion of any registration or qualification of the Shares under any U.S. or non-U.S. local, state or federal securities or exchange control law or regulation or under rulings or regulations of the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Participant understands that the Company is under no obligation to register or qualify the Shares with the SEC or any U.S. or non-U.S. state or other securities commission or to seek approval or clearance from any governmental authority for the issuance or sale of the Shares and the 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63" w:name="page64"/>
    <w:bookmarkEnd w:id="63"/>
    <w:p>
      <w:pPr>
        <w:jc w:val="both"/>
        <w:ind w:right="20"/>
        <w:spacing w:after="0" w:line="268" w:lineRule="auto"/>
        <w:rPr>
          <w:sz w:val="20"/>
          <w:szCs w:val="20"/>
          <w:color w:val="auto"/>
        </w:rPr>
      </w:pPr>
      <w:r>
        <w:rPr>
          <w:rFonts w:ascii="Arial" w:cs="Arial" w:eastAsia="Arial" w:hAnsi="Arial"/>
          <w:sz w:val="19"/>
          <w:szCs w:val="19"/>
          <w:color w:val="auto"/>
        </w:rPr>
        <w:t>of the Company to obtain approval from any regulatory body having authority deemed by the Company to be necessary for the lawful issuance and sale of any Shares pursuant to the Performance Stock Units shall relieve the Company of any liability with respect to the non-issuance or sale of the Shares as to which such approval shall not have been obtained.</w:t>
      </w:r>
    </w:p>
    <w:p>
      <w:pPr>
        <w:spacing w:after="0" w:line="13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6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Language</w:t>
      </w:r>
      <w:r>
        <w:rPr>
          <w:rFonts w:ascii="Arial" w:cs="Arial" w:eastAsia="Arial" w:hAnsi="Arial"/>
          <w:sz w:val="21"/>
          <w:szCs w:val="21"/>
          <w:color w:val="auto"/>
        </w:rPr>
        <w:t>. The Participant acknowledges that he or she is sufficiently proficient in English to understand the terms and conditions of this Agreement. Furthermore, if the Participant has received this Agreement, or any other document related to the Performance Stock Units and/or the Plan translated into a language other than English and if the meaning of the translated version is different than the English version, the English version will control.</w:t>
      </w:r>
    </w:p>
    <w:p>
      <w:pPr>
        <w:spacing w:after="0" w:line="15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Repayment of Awards</w:t>
      </w:r>
      <w:r>
        <w:rPr>
          <w:rFonts w:ascii="Arial" w:cs="Arial" w:eastAsia="Arial" w:hAnsi="Arial"/>
          <w:sz w:val="19"/>
          <w:szCs w:val="19"/>
          <w:color w:val="auto"/>
        </w:rPr>
        <w:t>. Consistent with Section 10.5 of the Plan, if, after delivery of Shares or other settlement of the Performance Stock Units (including any cash payment), the Company is required to restate previously reported financial results for any Measurement Period for which performance is measured for this grant, the Committee will require the Participant to repay any amounts paid in excess of the amounts that would have been paid based on the restated financial results. The Committee will issue a written notice of repayment documenting the corrected calculation and the amount and terms of repayment. The Participant must repay the amount specified in the notice of repayment. The Committee may, in its discretion, reduce a future payout as necessary to recoup any amounts outstanding under a previously issued notice of repayment.</w:t>
      </w:r>
    </w:p>
    <w:p>
      <w:pPr>
        <w:spacing w:after="0" w:line="15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Participant’s participation in the Plan, on the Performance Stock Units and on any Shares purchased upon vesting of the Performance Stock Units, to the extent the Company determines it is necessary or advisable for legal or administrative reasons, and to require the Participant to sign any additional agreements or undertakings that may be necessary to accomplish the foregoing.</w:t>
      </w:r>
    </w:p>
    <w:p>
      <w:pPr>
        <w:spacing w:after="0" w:line="15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claims, certificates, requests, demands and other communications hereunder shall be in writing and shall be deemed to have been duly given and delivered if personally delivered or if sent by an internationally recognized overnight courier, by facsimile, by email, or by registered or certified mail, return receipt requested and postage prepaid, addressed as follows: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 to it at its current executive offices and to:</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 Fanatical Place</w:t>
      </w:r>
    </w:p>
    <w:p>
      <w:pPr>
        <w:ind w:left="1300"/>
        <w:spacing w:after="0" w:line="204" w:lineRule="auto"/>
        <w:rPr>
          <w:sz w:val="20"/>
          <w:szCs w:val="20"/>
          <w:color w:val="auto"/>
        </w:rPr>
      </w:pPr>
      <w:r>
        <w:rPr>
          <w:rFonts w:ascii="Arial" w:cs="Arial" w:eastAsia="Arial" w:hAnsi="Arial"/>
          <w:sz w:val="22"/>
          <w:szCs w:val="22"/>
          <w:color w:val="auto"/>
        </w:rPr>
        <w:t>City of Windcrest</w:t>
      </w:r>
    </w:p>
    <w:p>
      <w:pPr>
        <w:ind w:left="1300"/>
        <w:spacing w:after="0" w:line="205" w:lineRule="auto"/>
        <w:rPr>
          <w:sz w:val="20"/>
          <w:szCs w:val="20"/>
          <w:color w:val="auto"/>
        </w:rPr>
      </w:pPr>
      <w:r>
        <w:rPr>
          <w:rFonts w:ascii="Arial" w:cs="Arial" w:eastAsia="Arial" w:hAnsi="Arial"/>
          <w:sz w:val="22"/>
          <w:szCs w:val="22"/>
          <w:color w:val="auto"/>
        </w:rPr>
        <w:t>San Antonio, Texas 78218</w:t>
      </w:r>
    </w:p>
    <w:p>
      <w:pPr>
        <w:ind w:left="1300"/>
        <w:spacing w:after="0" w:line="205" w:lineRule="auto"/>
        <w:rPr>
          <w:sz w:val="20"/>
          <w:szCs w:val="20"/>
          <w:color w:val="auto"/>
        </w:rPr>
      </w:pPr>
      <w:r>
        <w:rPr>
          <w:rFonts w:ascii="Arial" w:cs="Arial" w:eastAsia="Arial" w:hAnsi="Arial"/>
          <w:sz w:val="22"/>
          <w:szCs w:val="22"/>
          <w:color w:val="auto"/>
        </w:rPr>
        <w:t>Attn: Chief Legal Officer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Legalnotice@rackspace.com</w:t>
      </w:r>
    </w:p>
    <w:p>
      <w:pPr>
        <w:spacing w:after="0" w:line="188"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If to the Participant, to him or her at the address set forth on the signature page hereto or to such other address as the party to whom notice is to be given may have furnished to the other party in writing in accordance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64" w:name="page65"/>
    <w:bookmarkEnd w:id="64"/>
    <w:p>
      <w:pPr>
        <w:jc w:val="both"/>
        <w:ind w:firstLine="648"/>
        <w:spacing w:after="0" w:line="222" w:lineRule="auto"/>
        <w:rPr>
          <w:sz w:val="20"/>
          <w:szCs w:val="20"/>
          <w:color w:val="auto"/>
        </w:rPr>
      </w:pPr>
      <w:r>
        <w:rPr>
          <w:rFonts w:ascii="Arial" w:cs="Arial" w:eastAsia="Arial" w:hAnsi="Arial"/>
          <w:sz w:val="21"/>
          <w:szCs w:val="21"/>
          <w:color w:val="auto"/>
        </w:rPr>
        <w:t>Any such notice or communication shall be deemed to have been received (a) in the case of personal delivery, on the date of such delivery (or if such date is not a business day, on the next business day after the date of delivery), (b) in the case of internationally recognized overnight courier, on the next business day after the date sent, (c) in the case of facsimile transmission, when received (or if not sent on a business day, on the next business day after the date sent), (d) in the case of email, when transmitted via email (in each case, if no “system error” or other notice of non-delivery is generated) to the applicable party and its legal counsel set forth above, and (e) in the case of mailing, on the third business day following that on which the piece of mail containing such communication is posted.</w:t>
      </w:r>
    </w:p>
    <w:p>
      <w:pPr>
        <w:spacing w:after="0" w:line="164"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either party of a breach of any provision of this Agreement must be in writing and shall not operate or be construed as a waiver of any other or subsequent breach.</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Participant’s Undertaking</w:t>
      </w:r>
      <w:r>
        <w:rPr>
          <w:rFonts w:ascii="Arial" w:cs="Arial" w:eastAsia="Arial" w:hAnsi="Arial"/>
          <w:sz w:val="22"/>
          <w:szCs w:val="22"/>
          <w:color w:val="auto"/>
        </w:rPr>
        <w:t>. The Participant hereby agrees to take whatever additional actions and execute whatever additional documents the Company may in its reasonable judgment deem necessary or advisable in order to carry out or effect one or more of the obligations or restrictions imposed on the Participant pursuant to the express provisions of this Agreement and the Plan.</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Modification of Rights</w:t>
      </w:r>
      <w:r>
        <w:rPr>
          <w:rFonts w:ascii="Arial" w:cs="Arial" w:eastAsia="Arial" w:hAnsi="Arial"/>
          <w:sz w:val="22"/>
          <w:szCs w:val="22"/>
          <w:color w:val="auto"/>
        </w:rPr>
        <w:t>. The rights of the Participant are subject to modification and termination in certain events as provided in this Agreement and the Plan (with respect to the Performance Stock Units granted hereby). Notwithstanding the foregoing, the Participant’s rights under this Agreement and the Plan may not be impaired without the Participant’s consent.</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w:t>
      </w:r>
      <w:r>
        <w:rPr>
          <w:sz w:val="20"/>
          <w:szCs w:val="20"/>
          <w:color w:val="auto"/>
        </w:rPr>
        <w:tab/>
      </w:r>
      <w:r>
        <w:rPr>
          <w:rFonts w:ascii="Arial" w:cs="Arial" w:eastAsia="Arial" w:hAnsi="Arial"/>
          <w:sz w:val="19"/>
          <w:szCs w:val="19"/>
          <w:u w:val="single" w:color="auto"/>
          <w:color w:val="auto"/>
        </w:rPr>
        <w:t>Governing Law; Dispute Resolution</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11" w:lineRule="auto"/>
        <w:tabs>
          <w:tab w:leader="none" w:pos="1374" w:val="left"/>
        </w:tabs>
        <w:numPr>
          <w:ilvl w:val="0"/>
          <w:numId w:val="34"/>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ANY SERVICE AGREEMENT, THIS AGREEMENT WILL BE GOVERNED BY AND CONSTRUED EXCLUSIVELY IN ACCORDANCE WITH THE LAWS OF THE STATE OF DELAWARE, WITHOUT GIVING EFFECT TO ANY CHOICE OF LAW OR CONFLICTING PROVISION OR RULE (WHETHER OF THE STATE OF DELAWARE OR ANY OTHER JURISDICTION) THAT WOULD CAUSE THE LAWS OF ANY JURISDICTION OTHER THAN THE STATE OF DELAWARE TO BE APPLIED. IN FURTHERANCE OF THE FOREGOING, THE INTERNAL LAW OF THE STATE OF DELAWARE WILL CONTROL THE INTERPRETATION AND CONSTRUCTION OF THIS AGREEMENT, EVEN IF UNDER SUCH JURISDICTION’S CHOICE OF LAW OR CONFLICT OF LAW ANALYSIS, THE SUBSTANTIVE LAW OF SOME OTHER JURISDICTION WOULD ORDINARILY APPLY.</w:t>
      </w:r>
    </w:p>
    <w:p>
      <w:pPr>
        <w:spacing w:after="0" w:line="158" w:lineRule="exact"/>
        <w:rPr>
          <w:rFonts w:ascii="Arial" w:cs="Arial" w:eastAsia="Arial" w:hAnsi="Arial"/>
          <w:sz w:val="22"/>
          <w:szCs w:val="22"/>
          <w:color w:val="auto"/>
        </w:rPr>
      </w:pPr>
    </w:p>
    <w:p>
      <w:pPr>
        <w:jc w:val="both"/>
        <w:ind w:firstLine="656"/>
        <w:spacing w:after="0" w:line="224" w:lineRule="auto"/>
        <w:tabs>
          <w:tab w:leader="none" w:pos="1372" w:val="left"/>
        </w:tabs>
        <w:numPr>
          <w:ilvl w:val="0"/>
          <w:numId w:val="34"/>
        </w:numPr>
        <w:rPr>
          <w:rFonts w:ascii="Arial" w:cs="Arial" w:eastAsia="Arial" w:hAnsi="Arial"/>
          <w:sz w:val="21"/>
          <w:szCs w:val="21"/>
          <w:color w:val="auto"/>
        </w:rPr>
      </w:pPr>
      <w:r>
        <w:rPr>
          <w:rFonts w:ascii="Arial" w:cs="Arial" w:eastAsia="Arial" w:hAnsi="Arial"/>
          <w:sz w:val="21"/>
          <w:szCs w:val="21"/>
          <w:color w:val="auto"/>
        </w:rPr>
        <w:t>Notwithstanding anything to the contrary set forth in the Plan, the Company and the Participant agree that any suit, action or proceeding brought by or against a party in connection with this Agreement or Executive’s employment with or separation from the Company shall be brought solely in the state districts courts of Texas. Each party expressly and irrevocably consents and submits to the jurisdiction, forum, and venue of such courts in connection with any such legal proceedings, including to enforce this Agreement or its/his rights or obligations hereunder, and both parties agree to accept service of process by the other party or any of its agents in connection with any such proceeding.</w:t>
      </w:r>
    </w:p>
    <w:p>
      <w:pPr>
        <w:spacing w:after="0" w:line="1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Insider Trading/Market Abuse Restrictions</w:t>
      </w:r>
      <w:r>
        <w:rPr>
          <w:rFonts w:ascii="Arial" w:cs="Arial" w:eastAsia="Arial" w:hAnsi="Arial"/>
          <w:sz w:val="19"/>
          <w:szCs w:val="19"/>
          <w:color w:val="auto"/>
        </w:rPr>
        <w:t>. Depending on the Participant's country, the Participant may be subject to insider trading restrictions and/or market abuse laws in applicable jurisdictions, which may affect the Participant's ability to, directly or indirectly, acquire, sell or attempt to sell Shares or otherwise dispose of Shares or rights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65" w:name="page66"/>
    <w:bookmarkEnd w:id="65"/>
    <w:p>
      <w:pPr>
        <w:jc w:val="both"/>
        <w:spacing w:after="0" w:line="246" w:lineRule="auto"/>
        <w:rPr>
          <w:sz w:val="20"/>
          <w:szCs w:val="20"/>
          <w:color w:val="auto"/>
        </w:rPr>
      </w:pPr>
      <w:r>
        <w:rPr>
          <w:rFonts w:ascii="Arial" w:cs="Arial" w:eastAsia="Arial" w:hAnsi="Arial"/>
          <w:sz w:val="19"/>
          <w:szCs w:val="19"/>
          <w:color w:val="auto"/>
        </w:rPr>
        <w:t>Shares (</w:t>
      </w:r>
      <w:r>
        <w:rPr>
          <w:rFonts w:ascii="Arial" w:cs="Arial" w:eastAsia="Arial" w:hAnsi="Arial"/>
          <w:sz w:val="19"/>
          <w:szCs w:val="19"/>
          <w:i w:val="1"/>
          <w:iCs w:val="1"/>
          <w:color w:val="auto"/>
        </w:rPr>
        <w:t>e.g.</w:t>
      </w:r>
      <w:r>
        <w:rPr>
          <w:rFonts w:ascii="Arial" w:cs="Arial" w:eastAsia="Arial" w:hAnsi="Arial"/>
          <w:sz w:val="19"/>
          <w:szCs w:val="19"/>
          <w:color w:val="auto"/>
        </w:rPr>
        <w:t>, the Performance Stock Units) under the Plan during such times as the Participant is considered to have “inside information” regarding the Company (as defined by the laws in the applicable jurisdictions or the Participant's country). The Participant could be prohibited from (i) disclosing the inside information to any third party, which may include fellow employees (other than on a “need to know” basis); (ii) “tipping” third parties or causing them to otherwise buy or sell securities; and (iii) cancelling or amending orders the Participant placed before he or she possessed inside information. Any restrictions under these laws or regulations are separate from and in addition to any restrictions that may be imposed under any applicable Company insider trading policy. The Participant is responsible for ensuring the Participant's compliance with any applicable restrictions and is advised to speak with his or her personal legal advisor on this matter.</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Exchange Control, Tax And/Or Foreign Asset/Account Reporting</w:t>
      </w:r>
      <w:r>
        <w:rPr>
          <w:rFonts w:ascii="Arial" w:cs="Arial" w:eastAsia="Arial" w:hAnsi="Arial"/>
          <w:sz w:val="19"/>
          <w:szCs w:val="19"/>
          <w:color w:val="auto"/>
        </w:rPr>
        <w:t>. The Participant acknowledges that, depending on his or her country, the Participant may be subject to foreign asset/account, exchange control and/or tax reporting requirements as a result of the acquisition, holding and/or transfer of Shares or cash derived from his or her participation in the Plan, in, to and/or from a brokerage/bank account or legal entity located outside the Participant’s country. The applicable laws of the Participant’s country may require that the Participant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tax reporting requirements and is advised to consult his or her personal legal advisor on this matter.</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26" w:lineRule="auto"/>
        <w:tabs>
          <w:tab w:leader="none" w:pos="1374" w:val="left"/>
        </w:tabs>
        <w:numPr>
          <w:ilvl w:val="0"/>
          <w:numId w:val="35"/>
        </w:numPr>
        <w:rPr>
          <w:rFonts w:ascii="Arial" w:cs="Arial" w:eastAsia="Arial" w:hAnsi="Arial"/>
          <w:sz w:val="21"/>
          <w:szCs w:val="21"/>
          <w:color w:val="auto"/>
        </w:rPr>
      </w:pPr>
      <w:r>
        <w:rPr>
          <w:rFonts w:ascii="Arial" w:cs="Arial" w:eastAsia="Arial" w:hAnsi="Arial"/>
          <w:sz w:val="21"/>
          <w:szCs w:val="21"/>
          <w:color w:val="auto"/>
        </w:rPr>
        <w:t>It is the intent of this Agreement that it and all payments and benefits hereunder be exempt from, or comply with, the requirements of Section 409A so that none of the Performance Stock Units provided under this Agreement or Shares issuable thereunder will be subject to the additional tax imposed under Section 409A, and any ambiguities herein will be interpreted to be so exempt or so comply. Each payment payable under this Agreement is intended to constitute a separate payment for purposes of Treasury Regulation Section 1.409A-2(b)(2).</w:t>
      </w:r>
    </w:p>
    <w:p>
      <w:pPr>
        <w:spacing w:after="0" w:line="159" w:lineRule="exact"/>
        <w:rPr>
          <w:rFonts w:ascii="Arial" w:cs="Arial" w:eastAsia="Arial" w:hAnsi="Arial"/>
          <w:sz w:val="21"/>
          <w:szCs w:val="21"/>
          <w:color w:val="auto"/>
        </w:rPr>
      </w:pPr>
    </w:p>
    <w:p>
      <w:pPr>
        <w:jc w:val="both"/>
        <w:ind w:firstLine="656"/>
        <w:spacing w:after="0" w:line="212" w:lineRule="auto"/>
        <w:tabs>
          <w:tab w:leader="none" w:pos="1372"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This paragraph applies only if the Company determines that Participant is a “specified employee,” as defined in the regulations under Section 409A at the time of Participant’s “separation from service,” as defined in Treasury Regulation Section 1.409A-1(h), and it is determined that settlement of these PSUs is not exempt from Section 409A. If this paragraph applies, and the event triggering settlement is Participant’s “separation from service,” then any PSUs that otherwise would have been settled during the first six months following Participant’s “separation from service” will instead be settled on the first business day following the earlier of (i) the six-month anniversary of Participant’s separation from service or (ii) Participant’s death.</w:t>
      </w:r>
    </w:p>
    <w:p>
      <w:pPr>
        <w:spacing w:after="0" w:line="164"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 xml:space="preserve">Section 24.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and each such counterpart shall be deemed to be an original, but all such counterparts together shall constitute but one agreement.</w:t>
      </w:r>
    </w:p>
    <w:p>
      <w:pPr>
        <w:spacing w:after="0" w:line="15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Plan (and the other writings referred to herein) constitute the entire agreement between the parties with respect to the subject matter hereof and thereof and supersede all prior written or oral negotiations, commitments, representations and agreements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66" w:name="page67"/>
    <w:bookmarkEnd w:id="66"/>
    <w:p>
      <w:pPr>
        <w:jc w:val="both"/>
        <w:ind w:firstLine="648"/>
        <w:spacing w:after="0" w:line="246"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Severability</w:t>
      </w:r>
      <w:r>
        <w:rPr>
          <w:rFonts w:ascii="Arial" w:cs="Arial" w:eastAsia="Arial" w:hAnsi="Arial"/>
          <w:sz w:val="19"/>
          <w:szCs w:val="19"/>
          <w:color w:val="auto"/>
        </w:rPr>
        <w:t>. It is the desire and intent of the parties hereto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5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27. </w:t>
      </w:r>
      <w:r>
        <w:rPr>
          <w:rFonts w:ascii="Arial" w:cs="Arial" w:eastAsia="Arial" w:hAnsi="Arial"/>
          <w:sz w:val="22"/>
          <w:szCs w:val="22"/>
          <w:u w:val="single" w:color="auto"/>
          <w:color w:val="auto"/>
        </w:rPr>
        <w:t>Enforcement</w:t>
      </w:r>
      <w:r>
        <w:rPr>
          <w:rFonts w:ascii="Arial" w:cs="Arial" w:eastAsia="Arial" w:hAnsi="Arial"/>
          <w:sz w:val="22"/>
          <w:szCs w:val="22"/>
          <w:color w:val="auto"/>
        </w:rPr>
        <w:t>. In the event the Company or the Participant institutes litigation to enforce or protect its rights under this Agreement or the Plan, each party shall be solely responsible for all attorneys’ fees, out-of-pocket costs and disbursements it incurs relating to such litigation.</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28.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IRREVOCABLY AND UNCONDITIONALLY WAIVES, TO THE FULLEST EXTENT THAT IT MAY LEGALLY AND EFFECTIVELY DO SO, TRIAL BY JURY IN ANY SUIT, ACTION OR PROCEEDING ARISING HEREUNDER.</w:t>
      </w:r>
    </w:p>
    <w:p>
      <w:pPr>
        <w:spacing w:after="0" w:line="15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Section 29. </w:t>
      </w:r>
      <w:r>
        <w:rPr>
          <w:rFonts w:ascii="Arial" w:cs="Arial" w:eastAsia="Arial" w:hAnsi="Arial"/>
          <w:sz w:val="21"/>
          <w:szCs w:val="21"/>
          <w:u w:val="single" w:color="auto"/>
          <w:color w:val="auto"/>
        </w:rPr>
        <w:t>Required Acceptance; Termination of Prior Agreement.</w:t>
      </w:r>
      <w:r>
        <w:rPr>
          <w:rFonts w:ascii="Arial" w:cs="Arial" w:eastAsia="Arial" w:hAnsi="Arial"/>
          <w:sz w:val="21"/>
          <w:szCs w:val="21"/>
          <w:color w:val="auto"/>
        </w:rPr>
        <w:t xml:space="preserve"> If the Participant does not agree (whether electronically or otherwise) to this Agreement within thirty (30) days from the Grant Date of the Performance Stock Units, the Performance Stock Units shall be terminable by the Company. Upon acceptance of this Agreement by Participant, that certain Performance-Based Restricted Stock Unit Award Agreement, dated effective as of April 22, 2019, by and between the Company and Participant shall be terminated and of no further force and effect.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67" w:name="page68"/>
    <w:bookmarkEnd w:id="67"/>
    <w:p>
      <w:pPr>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Performance Stock Unit Agreement as of the date first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RACKSPACE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370840</wp:posOffset>
            </wp:positionV>
            <wp:extent cx="3557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480"/>
        <w:spacing w:after="0"/>
        <w:tabs>
          <w:tab w:leader="none" w:pos="5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Name: Holly B. Windham</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Title: EVP, Chief Legal and People Officer</w:t>
      </w:r>
    </w:p>
    <w:p>
      <w:pPr>
        <w:spacing w:after="0" w:line="277"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362585</wp:posOffset>
            </wp:positionV>
            <wp:extent cx="43033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39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Kevin Jones, certify that:</w:t>
      </w:r>
    </w:p>
    <w:p>
      <w:pPr>
        <w:spacing w:after="0" w:line="252" w:lineRule="exact"/>
        <w:rPr>
          <w:sz w:val="20"/>
          <w:szCs w:val="20"/>
          <w:color w:val="auto"/>
        </w:rPr>
      </w:pPr>
    </w:p>
    <w:p>
      <w:pPr>
        <w:ind w:left="900" w:hanging="40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00" w:hanging="398"/>
        <w:spacing w:after="0" w:line="286" w:lineRule="auto"/>
        <w:tabs>
          <w:tab w:leader="none" w:pos="153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60" w:hanging="398"/>
        <w:spacing w:after="0" w:line="263"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hanging="398"/>
        <w:spacing w:after="0" w:line="263"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10, 2022</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Kevin Jones</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Kevin Jones</w:t>
            </w:r>
          </w:p>
        </w:tc>
      </w:tr>
      <w:tr>
        <w:trPr>
          <w:trHeight w:val="230"/>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Amar Maletira, certify that:</w:t>
      </w:r>
    </w:p>
    <w:p>
      <w:pPr>
        <w:spacing w:after="0" w:line="252" w:lineRule="exact"/>
        <w:rPr>
          <w:sz w:val="20"/>
          <w:szCs w:val="20"/>
          <w:color w:val="auto"/>
        </w:rPr>
      </w:pPr>
    </w:p>
    <w:p>
      <w:pPr>
        <w:ind w:left="900" w:hanging="40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00" w:hanging="398"/>
        <w:spacing w:after="0" w:line="286" w:lineRule="auto"/>
        <w:tabs>
          <w:tab w:leader="none" w:pos="153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60" w:hanging="398"/>
        <w:spacing w:after="0" w:line="263"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hanging="398"/>
        <w:spacing w:after="0" w:line="263"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3620" w:type="dxa"/>
            <w:vAlign w:val="bottom"/>
            <w:gridSpan w:val="2"/>
          </w:tcPr>
          <w:p>
            <w:pPr>
              <w:ind w:left="400"/>
              <w:spacing w:after="0"/>
              <w:rPr>
                <w:sz w:val="20"/>
                <w:szCs w:val="20"/>
                <w:color w:val="auto"/>
              </w:rPr>
            </w:pPr>
            <w:r>
              <w:rPr>
                <w:rFonts w:ascii="Arial" w:cs="Arial" w:eastAsia="Arial" w:hAnsi="Arial"/>
                <w:sz w:val="18"/>
                <w:szCs w:val="18"/>
                <w:color w:val="auto"/>
              </w:rPr>
              <w:t>May 10, 2022</w:t>
            </w:r>
          </w:p>
        </w:tc>
        <w:tc>
          <w:tcPr>
            <w:tcW w:w="2120" w:type="dxa"/>
            <w:vAlign w:val="bottom"/>
          </w:tcPr>
          <w:p>
            <w:pPr>
              <w:ind w:left="1460"/>
              <w:spacing w:after="0"/>
              <w:rPr>
                <w:sz w:val="20"/>
                <w:szCs w:val="20"/>
                <w:color w:val="auto"/>
              </w:rPr>
            </w:pPr>
            <w:r>
              <w:rPr>
                <w:rFonts w:ascii="Arial" w:cs="Arial" w:eastAsia="Arial" w:hAnsi="Arial"/>
                <w:sz w:val="18"/>
                <w:szCs w:val="18"/>
                <w:color w:val="auto"/>
              </w:rPr>
              <w:t>By:</w:t>
            </w:r>
          </w:p>
        </w:tc>
        <w:tc>
          <w:tcPr>
            <w:tcW w:w="4540" w:type="dxa"/>
            <w:vAlign w:val="bottom"/>
          </w:tcPr>
          <w:p>
            <w:pPr>
              <w:ind w:left="40"/>
              <w:spacing w:after="0"/>
              <w:rPr>
                <w:sz w:val="20"/>
                <w:szCs w:val="20"/>
                <w:color w:val="auto"/>
              </w:rPr>
            </w:pPr>
            <w:r>
              <w:rPr>
                <w:rFonts w:ascii="Arial" w:cs="Arial" w:eastAsia="Arial" w:hAnsi="Arial"/>
                <w:sz w:val="18"/>
                <w:szCs w:val="18"/>
                <w:color w:val="auto"/>
              </w:rPr>
              <w:t>/s/ Amar Maletira</w:t>
            </w:r>
          </w:p>
        </w:tc>
      </w:tr>
      <w:tr>
        <w:trPr>
          <w:trHeight w:val="222"/>
        </w:trPr>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60" w:type="dxa"/>
            <w:vAlign w:val="bottom"/>
            <w:tcBorders>
              <w:top w:val="single" w:sz="8" w:color="auto"/>
            </w:tcBorders>
          </w:tcPr>
          <w:p>
            <w:pPr>
              <w:spacing w:after="0"/>
              <w:rPr>
                <w:sz w:val="19"/>
                <w:szCs w:val="19"/>
                <w:color w:val="auto"/>
              </w:rPr>
            </w:pPr>
          </w:p>
        </w:tc>
        <w:tc>
          <w:tcPr>
            <w:tcW w:w="2120" w:type="dxa"/>
            <w:vAlign w:val="bottom"/>
          </w:tcPr>
          <w:p>
            <w:pPr>
              <w:spacing w:after="0"/>
              <w:rPr>
                <w:sz w:val="19"/>
                <w:szCs w:val="19"/>
                <w:color w:val="auto"/>
              </w:rPr>
            </w:pPr>
          </w:p>
        </w:tc>
        <w:tc>
          <w:tcPr>
            <w:tcW w:w="4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Amar Maletira</w:t>
            </w:r>
          </w:p>
        </w:tc>
      </w:tr>
      <w:tr>
        <w:trPr>
          <w:trHeight w:val="230"/>
        </w:trPr>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540" w:type="dxa"/>
            <w:vAlign w:val="bottom"/>
          </w:tcPr>
          <w:p>
            <w:pPr>
              <w:ind w:left="4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4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36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 Kevin Jones, Chief Executive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2022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10, 2022</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Kevin Jones</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Kevin Jones</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I, Amar Maletira, President and Chief Financial Officer of Rackspace Technology, Inc. (the “Company”), certify pursuant to Section 906 of the Sarbanes-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Oxley Act of 2002, 18 U.S.C. Section 1350, that:</w:t>
      </w:r>
    </w:p>
    <w:p>
      <w:pPr>
        <w:spacing w:after="0" w:line="238" w:lineRule="exact"/>
        <w:rPr>
          <w:sz w:val="20"/>
          <w:szCs w:val="20"/>
          <w:color w:val="auto"/>
        </w:rPr>
      </w:pPr>
    </w:p>
    <w:p>
      <w:pPr>
        <w:ind w:left="660" w:right="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2022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10, 2022</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lvl w:ilvl="1">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lvl w:ilvl="1">
      <w:lvlJc w:val="left"/>
      <w:lvlText w:val="-"/>
      <w:numFmt w:val="bullet"/>
      <w:start w:val="1"/>
    </w:lvl>
  </w:abstractNum>
  <w:abstractNum w:abstractNumId="7">
    <w:nsid w:val="6763845E"/>
    <w:multiLevelType w:val="hybridMultilevel"/>
    <w:lvl w:ilvl="0">
      <w:lvlJc w:val="left"/>
      <w:lvlText w:val="(%1)"/>
      <w:numFmt w:val="decimal"/>
      <w:start w:val="1"/>
    </w:lvl>
    <w:lvl w:ilvl="1">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Roman"/>
      <w:start w:val="1"/>
    </w:lvl>
  </w:abstractNum>
  <w:abstractNum w:abstractNumId="12">
    <w:nsid w:val="B03E0C6"/>
    <w:multiLevelType w:val="hybridMultilevel"/>
    <w:lvl w:ilvl="0">
      <w:lvlJc w:val="left"/>
      <w:lvlText w:val="(%1)"/>
      <w:numFmt w:val="lowerLetter"/>
      <w:start w:val="1"/>
    </w:lvl>
    <w:lvl w:ilvl="1">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lvl w:ilvl="1">
      <w:lvlJc w:val="left"/>
      <w:lvlText w:val="(%2)"/>
      <w:numFmt w:val="lowerLetter"/>
      <w:start w:val="1"/>
    </w:lvl>
  </w:abstractNum>
  <w:abstractNum w:abstractNumId="18">
    <w:nsid w:val="2901D82"/>
    <w:multiLevelType w:val="hybridMultilevel"/>
    <w:lvl w:ilvl="0">
      <w:lvlJc w:val="left"/>
      <w:lvlText w:val="%1."/>
      <w:numFmt w:val="decimal"/>
      <w:start w:val="4"/>
    </w:lvl>
    <w:lvl w:ilvl="1">
      <w:lvlJc w:val="left"/>
      <w:lvlText w:val="(%2)"/>
      <w:numFmt w:val="decimal"/>
      <w:start w:val="1"/>
    </w:lvl>
    <w:lvl w:ilvl="2">
      <w:lvlJc w:val="left"/>
      <w:lvlText w:val="(%3)"/>
      <w:numFmt w:val="lowerLetter"/>
      <w:start w:val="24"/>
    </w:lvl>
    <w:lvl w:ilvl="3">
      <w:lvlJc w:val="left"/>
      <w:lvlText w:val="(%4)"/>
      <w:numFmt w:val="lowerLetter"/>
      <w:start w:val="25"/>
    </w:lvl>
  </w:abstractNum>
  <w:abstractNum w:abstractNumId="19">
    <w:nsid w:val="3A95F874"/>
    <w:multiLevelType w:val="hybridMultilevel"/>
    <w:lvl w:ilvl="0">
      <w:lvlJc w:val="left"/>
      <w:lvlText w:val="%1"/>
      <w:numFmt w:val="upperLetter"/>
      <w:start w:val="1"/>
    </w:lvl>
    <w:lvl w:ilvl="1">
      <w:lvlJc w:val="left"/>
      <w:lvlText w:val="(%2)"/>
      <w:numFmt w:val="lowerLetter"/>
      <w:start w:val="1"/>
    </w:lvl>
  </w:abstractNum>
  <w:abstractNum w:abstractNumId="20">
    <w:nsid w:val="8138641"/>
    <w:multiLevelType w:val="hybridMultilevel"/>
    <w:lvl w:ilvl="0">
      <w:lvlJc w:val="left"/>
      <w:lvlText w:val="(%1)"/>
      <w:numFmt w:val="upperLetter"/>
      <w:start w:val="2"/>
    </w:lvl>
    <w:lvl w:ilvl="1">
      <w:lvlJc w:val="left"/>
      <w:lvlText w:val="%2"/>
      <w:numFmt w:val="lowerLetter"/>
      <w:start w:val="1"/>
    </w:lvl>
  </w:abstractNum>
  <w:abstractNum w:abstractNumId="21">
    <w:nsid w:val="1E7FF52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2">
    <w:nsid w:val="7C3DBD3D"/>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23">
    <w:nsid w:val="737B8DDC"/>
    <w:multiLevelType w:val="hybridMultilevel"/>
    <w:lvl w:ilvl="0">
      <w:lvlJc w:val="left"/>
      <w:lvlText w:val="%1"/>
      <w:numFmt w:val="upperLetter"/>
      <w:start w:val="1"/>
    </w:lvl>
    <w:lvl w:ilvl="1">
      <w:lvlJc w:val="left"/>
      <w:lvlText w:val="(%2)"/>
      <w:numFmt w:val="lowerRoman"/>
      <w:start w:val="3"/>
    </w:lvl>
  </w:abstractNum>
  <w:abstractNum w:abstractNumId="24">
    <w:nsid w:val="6CEAF087"/>
    <w:multiLevelType w:val="hybridMultilevel"/>
    <w:lvl w:ilvl="0">
      <w:lvlJc w:val="left"/>
      <w:lvlText w:val="(%1)"/>
      <w:numFmt w:val="upperLetter"/>
      <w:start w:val="2"/>
    </w:lvl>
    <w:lvl w:ilvl="1">
      <w:lvlJc w:val="left"/>
      <w:lvlText w:val="(%2)"/>
      <w:numFmt w:val="lowerRoman"/>
      <w:start w:val="4"/>
    </w:lvl>
  </w:abstractNum>
  <w:abstractNum w:abstractNumId="25">
    <w:nsid w:val="22221A70"/>
    <w:multiLevelType w:val="hybridMultilevel"/>
    <w:lvl w:ilvl="0">
      <w:lvlJc w:val="left"/>
      <w:lvlText w:val="(%1)"/>
      <w:numFmt w:val="lowerLetter"/>
      <w:start w:val="5"/>
    </w:lvl>
  </w:abstractNum>
  <w:abstractNum w:abstractNumId="26">
    <w:nsid w:val="4516DDE9"/>
    <w:multiLevelType w:val="hybridMultilevel"/>
    <w:lvl w:ilvl="0">
      <w:lvlJc w:val="left"/>
      <w:lvlText w:val="(%1)"/>
      <w:numFmt w:val="lowerLetter"/>
      <w:start w:val="1"/>
    </w:lvl>
    <w:lvl w:ilvl="1">
      <w:lvlJc w:val="left"/>
      <w:lvlText w:val="(%2)"/>
      <w:numFmt w:val="lowerRoman"/>
      <w:start w:val="1"/>
    </w:lvl>
  </w:abstractNum>
  <w:abstractNum w:abstractNumId="27">
    <w:nsid w:val="3006C83E"/>
    <w:multiLevelType w:val="hybridMultilevel"/>
    <w:lvl w:ilvl="0">
      <w:lvlJc w:val="left"/>
      <w:lvlText w:val="(%1)"/>
      <w:numFmt w:val="lowerLetter"/>
      <w:start w:val="4"/>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1"/>
    </w:lvl>
    <w:lvl w:ilvl="1">
      <w:lvlJc w:val="left"/>
      <w:lvlText w:val="(%2)"/>
      <w:numFmt w:val="lowerLetter"/>
      <w:start w:val="3"/>
    </w:lvl>
  </w:abstractNum>
  <w:abstractNum w:abstractNumId="32">
    <w:nsid w:val="5072367"/>
    <w:multiLevelType w:val="hybridMultilevel"/>
    <w:lvl w:ilvl="0">
      <w:lvlJc w:val="left"/>
      <w:lvlText w:val="(%1)"/>
      <w:numFmt w:val="lowerLetter"/>
      <w:start w:val="22"/>
    </w:lvl>
    <w:lvl w:ilvl="1">
      <w:lvlJc w:val="left"/>
      <w:lvlText w:val="(%2)"/>
      <w:numFmt w:val="lowerLetter"/>
      <w:start w:val="7"/>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2022-05-10T16:33:56Z</dcterms:created>
  <dcterms:modified xsi:type="dcterms:W3CDTF">2022-05-10T16:33:56Z</dcterms:modified>
</cp:coreProperties>
</file>