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001-39420</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48"/>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drawing>
          <wp:inline distT="0" distB="0" distL="0" distR="0">
            <wp:extent cx="400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 cy="504825"/>
                    </a:xfrm>
                    <a:prstGeom prst="rect">
                      <a:avLst/>
                    </a:prstGeom>
                  </pic:spPr>
                </pic:pic>
              </a:graphicData>
            </a:graphic>
          </wp:inline>
        </w:drawing>
      </w:r>
      <w:bookmarkStart w:id="0" w:name="i-1"/>
      <w:bookmarkEnd w:id="0"/>
    </w:p>
    <w:p>
      <w:pPr>
        <w:pStyle w:val="TextBody"/>
        <w:bidi w:val="0"/>
        <w:spacing w:before="0" w:after="0"/>
        <w:jc w:val="left"/>
        <w:rPr/>
      </w:pPr>
      <w:r>
        <w:rPr/>
      </w:r>
    </w:p>
    <w:tbl>
      <w:tblPr>
        <w:tblW w:w="8695" w:type="dxa"/>
        <w:jc w:val="left"/>
        <w:tblInd w:w="0" w:type="dxa"/>
        <w:tblLayout w:type="fixed"/>
        <w:tblCellMar>
          <w:top w:w="28" w:type="dxa"/>
          <w:left w:w="28" w:type="dxa"/>
          <w:bottom w:w="28" w:type="dxa"/>
          <w:right w:w="28" w:type="dxa"/>
        </w:tblCellMar>
      </w:tblPr>
      <w:tblGrid>
        <w:gridCol w:w="1892"/>
        <w:gridCol w:w="1663"/>
        <w:gridCol w:w="1679"/>
        <w:gridCol w:w="109"/>
        <w:gridCol w:w="109"/>
        <w:gridCol w:w="109"/>
        <w:gridCol w:w="915"/>
        <w:gridCol w:w="915"/>
        <w:gridCol w:w="1304"/>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81-3369925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19122 US Highway 281N, Suite 128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Antonio, Texas 78258</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1-800-961-4454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540"/>
        <w:jc w:val="left"/>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On May 5, 2025</w:t>
      </w:r>
      <w:r>
        <w:rPr>
          <w:rFonts w:ascii="Times New Roman;sans-serif" w:hAnsi="Times New Roman;sans-serif"/>
          <w:b w:val="false"/>
          <w:color w:val="000000"/>
          <w:sz w:val="20"/>
          <w:shd w:fill="FFFFFF" w:val="clear"/>
        </w:rPr>
        <w:t>, 237,388,710 sh</w:t>
      </w:r>
      <w:r>
        <w:rPr>
          <w:rFonts w:ascii="Times New Roman;sans-serif" w:hAnsi="Times New Roman;sans-serif"/>
          <w:b w:val="false"/>
          <w:color w:val="000000"/>
          <w:sz w:val="20"/>
        </w:rPr>
        <w:t xml:space="preserve">ares of the registrant's common stock, par value $0.01 per share, were outstanding.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18"/>
        <w:gridCol w:w="367"/>
        <w:gridCol w:w="367"/>
        <w:gridCol w:w="2969"/>
        <w:gridCol w:w="2863"/>
        <w:gridCol w:w="2847"/>
        <w:gridCol w:w="109"/>
        <w:gridCol w:w="109"/>
        <w:gridCol w:w="15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9">
              <w:r>
                <w:rPr>
                  <w:rStyle w:val="InternetLink"/>
                  <w:rFonts w:ascii="Times New Roman;sans-serif" w:hAnsi="Times New Roman;sans-serif"/>
                  <w:b w:val="false"/>
                  <w:color w:val="000080"/>
                  <w:sz w:val="20"/>
                  <w:u w:val="single"/>
                </w:rPr>
                <w:t>Unaudited Condensed Consolidated Balance Sheets as of December 31, 202</w:t>
              </w:r>
            </w:hyperlink>
            <w:hyperlink w:anchor="ib56cab79517b4392ae88dfd079d5beee_19">
              <w:r>
                <w:rPr>
                  <w:rStyle w:val="InternetLink"/>
                  <w:rFonts w:ascii="Times New Roman;sans-serif" w:hAnsi="Times New Roman;sans-serif"/>
                  <w:b w:val="false"/>
                  <w:color w:val="000080"/>
                  <w:sz w:val="20"/>
                  <w:u w:val="single"/>
                </w:rPr>
                <w:t>4</w:t>
              </w:r>
            </w:hyperlink>
            <w:hyperlink w:anchor="ib56cab79517b4392ae88dfd079d5beee_19">
              <w:r>
                <w:rPr>
                  <w:rStyle w:val="InternetLink"/>
                  <w:rFonts w:ascii="Times New Roman;sans-serif" w:hAnsi="Times New Roman;sans-serif"/>
                  <w:b w:val="false"/>
                  <w:color w:val="000080"/>
                  <w:sz w:val="20"/>
                  <w:u w:val="single"/>
                </w:rPr>
                <w:t xml:space="preserve"> and </w:t>
              </w:r>
            </w:hyperlink>
            <w:hyperlink w:anchor="ib56cab79517b4392ae88dfd079d5beee_19">
              <w:r>
                <w:rPr>
                  <w:rStyle w:val="InternetLink"/>
                  <w:rFonts w:ascii="Times New Roman;sans-serif" w:hAnsi="Times New Roman;sans-serif"/>
                  <w:b w:val="false"/>
                  <w:color w:val="000080"/>
                  <w:sz w:val="20"/>
                  <w:u w:val="single"/>
                </w:rPr>
                <w:t>March</w:t>
              </w:r>
            </w:hyperlink>
            <w:hyperlink w:anchor="ib56cab79517b4392ae88dfd079d5beee_19">
              <w:r>
                <w:rPr>
                  <w:rStyle w:val="InternetLink"/>
                  <w:rFonts w:ascii="Times New Roman;sans-serif" w:hAnsi="Times New Roman;sans-serif"/>
                  <w:b w:val="false"/>
                  <w:color w:val="000080"/>
                  <w:sz w:val="20"/>
                  <w:u w:val="single"/>
                </w:rPr>
                <w:t xml:space="preserve"> 3</w:t>
              </w:r>
            </w:hyperlink>
            <w:hyperlink w:anchor="ib56cab79517b4392ae88dfd079d5beee_19">
              <w:r>
                <w:rPr>
                  <w:rStyle w:val="InternetLink"/>
                  <w:rFonts w:ascii="Times New Roman;sans-serif" w:hAnsi="Times New Roman;sans-serif"/>
                  <w:b w:val="false"/>
                  <w:color w:val="000080"/>
                  <w:sz w:val="20"/>
                  <w:u w:val="single"/>
                </w:rPr>
                <w:t>1</w:t>
              </w:r>
            </w:hyperlink>
            <w:hyperlink w:anchor="ib56cab79517b4392ae88dfd079d5beee_19">
              <w:r>
                <w:rPr>
                  <w:rStyle w:val="InternetLink"/>
                  <w:rFonts w:ascii="Times New Roman;sans-serif" w:hAnsi="Times New Roman;sans-serif"/>
                  <w:b w:val="false"/>
                  <w:color w:val="000080"/>
                  <w:sz w:val="20"/>
                  <w:u w:val="single"/>
                </w:rPr>
                <w:t>, 202</w:t>
              </w:r>
            </w:hyperlink>
            <w:hyperlink w:anchor="ib56cab79517b4392ae88dfd079d5beee_19">
              <w:r>
                <w:rPr>
                  <w:rStyle w:val="InternetLink"/>
                  <w:rFonts w:ascii="Times New Roman;sans-serif" w:hAnsi="Times New Roman;sans-serif"/>
                  <w:b w:val="false"/>
                  <w:color w:val="000080"/>
                  <w:sz w:val="20"/>
                  <w:u w:val="single"/>
                </w:rPr>
                <w:t>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9">
              <w:r>
                <w:rPr>
                  <w:rStyle w:val="InternetLink"/>
                  <w:rFonts w:ascii="Times New Roman;sans-serif" w:hAnsi="Times New Roman;sans-serif"/>
                  <w:b w:val="false"/>
                  <w:color w:val="0000FF"/>
                  <w:sz w:val="20"/>
                  <w:u w:val="single"/>
                </w:rPr>
                <w:t>3</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22">
              <w:r>
                <w:rPr>
                  <w:rStyle w:val="InternetLink"/>
                  <w:rFonts w:ascii="Times New Roman;sans-serif" w:hAnsi="Times New Roman;sans-serif"/>
                  <w:b w:val="false"/>
                  <w:color w:val="0000FF"/>
                  <w:sz w:val="20"/>
                  <w:u w:val="single"/>
                </w:rPr>
                <w:t>Unaudited Condensed Consolidated Statements of Comprehensive Loss for the Three Months Ended March 31, 2024 and March 31,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22">
              <w:r>
                <w:rPr>
                  <w:rStyle w:val="InternetLink"/>
                  <w:rFonts w:ascii="Times New Roman;sans-serif" w:hAnsi="Times New Roman;sans-serif"/>
                  <w:b w:val="false"/>
                  <w:color w:val="0000FF"/>
                  <w:sz w:val="20"/>
                  <w:u w:val="single"/>
                </w:rPr>
                <w:t>4</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25">
              <w:r>
                <w:rPr>
                  <w:rStyle w:val="InternetLink"/>
                  <w:rFonts w:ascii="Times New Roman;sans-serif" w:hAnsi="Times New Roman;sans-serif"/>
                  <w:b w:val="false"/>
                  <w:color w:val="0000FF"/>
                  <w:sz w:val="20"/>
                  <w:u w:val="single"/>
                </w:rPr>
                <w:t>Unaudited Condensed Consolidated Statements of Cash Flows for the Three Months Ended March 31, 2024 and March 31,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25">
              <w:r>
                <w:rPr>
                  <w:rStyle w:val="InternetLink"/>
                  <w:rFonts w:ascii="Times New Roman;sans-serif" w:hAnsi="Times New Roman;sans-serif"/>
                  <w:b w:val="false"/>
                  <w:color w:val="0000FF"/>
                  <w:sz w:val="20"/>
                  <w:u w:val="single"/>
                </w:rPr>
                <w:t>5</w:t>
              </w:r>
            </w:hyperlink>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28">
              <w:r>
                <w:rPr>
                  <w:rStyle w:val="InternetLink"/>
                  <w:rFonts w:ascii="Times New Roman;sans-serif" w:hAnsi="Times New Roman;sans-serif"/>
                  <w:b w:val="false"/>
                  <w:color w:val="0000FF"/>
                  <w:sz w:val="20"/>
                  <w:u w:val="single"/>
                </w:rPr>
                <w:t>Unaudited Condensed Consolidated Statements of Stockholders' Deficit for the Three Months Ended March 31, 2024 and March 31,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28">
              <w:r>
                <w:rPr>
                  <w:rStyle w:val="InternetLink"/>
                  <w:rFonts w:ascii="Times New Roman;sans-serif" w:hAnsi="Times New Roman;sans-serif"/>
                  <w:b w:val="false"/>
                  <w:color w:val="0000FF"/>
                  <w:sz w:val="20"/>
                  <w:u w:val="single"/>
                </w:rPr>
                <w:t>7</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31">
              <w:r>
                <w:rPr>
                  <w:rStyle w:val="InternetLink"/>
                  <w:rFonts w:ascii="Times New Roman;sans-serif" w:hAnsi="Times New Roman;sans-serif"/>
                  <w:b w:val="false"/>
                  <w:color w:val="0000FF"/>
                  <w:sz w:val="20"/>
                  <w:u w:val="single"/>
                </w:rPr>
                <w:t>Notes to the Unaudited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31">
              <w:r>
                <w:rPr>
                  <w:rStyle w:val="InternetLink"/>
                  <w:rFonts w:ascii="Times New Roman;sans-serif" w:hAnsi="Times New Roman;sans-serif"/>
                  <w:b w:val="false"/>
                  <w:color w:val="0000FF"/>
                  <w:sz w:val="20"/>
                  <w:u w:val="single"/>
                </w:rPr>
                <w:t>8</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76">
              <w:r>
                <w:rPr>
                  <w:rStyle w:val="InternetLink"/>
                  <w:rFonts w:ascii="Times New Roman;sans-serif" w:hAnsi="Times New Roman;sans-serif"/>
                  <w:b w:val="false"/>
                  <w:color w:val="0000FF"/>
                  <w:sz w:val="20"/>
                  <w:u w:val="single"/>
                </w:rPr>
                <w:t>34</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03">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03">
              <w:r>
                <w:rPr>
                  <w:rStyle w:val="InternetLink"/>
                  <w:rFonts w:ascii="Times New Roman;sans-serif" w:hAnsi="Times New Roman;sans-serif"/>
                  <w:b w:val="false"/>
                  <w:color w:val="0000FF"/>
                  <w:sz w:val="20"/>
                  <w:u w:val="single"/>
                </w:rPr>
                <w:t>57</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06">
              <w:r>
                <w:rPr>
                  <w:rStyle w:val="InternetLink"/>
                  <w:rFonts w:ascii="Times New Roman;sans-serif" w:hAnsi="Times New Roman;sans-serif"/>
                  <w:b w:val="false"/>
                  <w:color w:val="0000FF"/>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06">
              <w:r>
                <w:rPr>
                  <w:rStyle w:val="InternetLink"/>
                  <w:rFonts w:ascii="Times New Roman;sans-serif" w:hAnsi="Times New Roman;sans-serif"/>
                  <w:b w:val="false"/>
                  <w:color w:val="0000FF"/>
                  <w:sz w:val="20"/>
                  <w:u w:val="single"/>
                </w:rPr>
                <w:t>58</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12">
              <w:r>
                <w:rPr>
                  <w:rStyle w:val="InternetLink"/>
                  <w:rFonts w:ascii="Times New Roman;sans-serif" w:hAnsi="Times New Roman;sans-serif"/>
                  <w:b w:val="false"/>
                  <w:color w:val="0000FF"/>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12">
              <w:r>
                <w:rPr>
                  <w:rStyle w:val="InternetLink"/>
                  <w:rFonts w:ascii="Times New Roman;sans-serif" w:hAnsi="Times New Roman;sans-serif"/>
                  <w:b w:val="false"/>
                  <w:color w:val="0000FF"/>
                  <w:sz w:val="20"/>
                  <w:u w:val="single"/>
                </w:rPr>
                <w:t>59</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15">
              <w:r>
                <w:rPr>
                  <w:rStyle w:val="InternetLink"/>
                  <w:rFonts w:ascii="Times New Roman;sans-serif" w:hAnsi="Times New Roman;sans-serif"/>
                  <w:b w:val="false"/>
                  <w:color w:val="0000FF"/>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15">
              <w:r>
                <w:rPr>
                  <w:rStyle w:val="InternetLink"/>
                  <w:rFonts w:ascii="Times New Roman;sans-serif" w:hAnsi="Times New Roman;sans-serif"/>
                  <w:b w:val="false"/>
                  <w:color w:val="0000FF"/>
                  <w:sz w:val="20"/>
                  <w:u w:val="single"/>
                </w:rPr>
                <w:t>59</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18">
              <w:r>
                <w:rPr>
                  <w:rStyle w:val="InternetLink"/>
                  <w:rFonts w:ascii="Times New Roman;sans-serif" w:hAnsi="Times New Roman;sans-serif"/>
                  <w:b w:val="false"/>
                  <w:color w:val="0000FF"/>
                  <w:sz w:val="20"/>
                  <w:u w:val="singl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18">
              <w:r>
                <w:rPr>
                  <w:rStyle w:val="InternetLink"/>
                  <w:rFonts w:ascii="Times New Roman;sans-serif" w:hAnsi="Times New Roman;sans-serif"/>
                  <w:b w:val="false"/>
                  <w:color w:val="0000FF"/>
                  <w:sz w:val="20"/>
                  <w:u w:val="single"/>
                </w:rPr>
                <w:t>59</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21">
              <w:r>
                <w:rPr>
                  <w:rStyle w:val="InternetLink"/>
                  <w:rFonts w:ascii="Times New Roman;sans-serif" w:hAnsi="Times New Roman;sans-serif"/>
                  <w:b w:val="false"/>
                  <w:color w:val="0000FF"/>
                  <w:sz w:val="20"/>
                  <w:u w:val="singl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21">
              <w:r>
                <w:rPr>
                  <w:rStyle w:val="InternetLink"/>
                  <w:rFonts w:ascii="Times New Roman;sans-serif" w:hAnsi="Times New Roman;sans-serif"/>
                  <w:b w:val="false"/>
                  <w:color w:val="0000FF"/>
                  <w:sz w:val="20"/>
                  <w:u w:val="single"/>
                </w:rPr>
                <w:t>59</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4.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24">
              <w:r>
                <w:rPr>
                  <w:rStyle w:val="InternetLink"/>
                  <w:rFonts w:ascii="Times New Roman;sans-serif" w:hAnsi="Times New Roman;sans-serif"/>
                  <w:b w:val="false"/>
                  <w:color w:val="0000FF"/>
                  <w:sz w:val="20"/>
                  <w:u w:val="singl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24">
              <w:r>
                <w:rPr>
                  <w:rStyle w:val="InternetLink"/>
                  <w:rFonts w:ascii="Times New Roman;sans-serif" w:hAnsi="Times New Roman;sans-serif"/>
                  <w:b w:val="false"/>
                  <w:color w:val="0000FF"/>
                  <w:sz w:val="20"/>
                  <w:u w:val="single"/>
                </w:rPr>
                <w:t>59</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27">
              <w:r>
                <w:rPr>
                  <w:rStyle w:val="InternetLink"/>
                  <w:rFonts w:ascii="Times New Roman;sans-serif" w:hAnsi="Times New Roman;sans-serif"/>
                  <w:b w:val="false"/>
                  <w:color w:val="0000FF"/>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27">
              <w:r>
                <w:rPr>
                  <w:rStyle w:val="InternetLink"/>
                  <w:rFonts w:ascii="Times New Roman;sans-serif" w:hAnsi="Times New Roman;sans-serif"/>
                  <w:b w:val="false"/>
                  <w:color w:val="0000FF"/>
                  <w:sz w:val="20"/>
                  <w:u w:val="single"/>
                </w:rPr>
                <w:t>59</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33">
              <w:r>
                <w:rPr>
                  <w:rStyle w:val="InternetLink"/>
                  <w:rFonts w:ascii="Times New Roman;sans-serif" w:hAnsi="Times New Roman;sans-serif"/>
                  <w:b w:val="false"/>
                  <w:color w:val="0000FF"/>
                  <w:sz w:val="20"/>
                  <w:u w:val="singl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33">
              <w:r>
                <w:rPr>
                  <w:rStyle w:val="InternetLink"/>
                  <w:rFonts w:ascii="Times New Roman;sans-serif" w:hAnsi="Times New Roman;sans-serif"/>
                  <w:b w:val="false"/>
                  <w:color w:val="0000FF"/>
                  <w:sz w:val="20"/>
                  <w:u w:val="single"/>
                </w:rPr>
                <w:t>60</w:t>
              </w:r>
            </w:hyperlink>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56cab79517b4392ae88dfd079d5beee_136">
              <w:r>
                <w:rPr>
                  <w:rStyle w:val="InternetLink"/>
                  <w:rFonts w:ascii="Times New Roman;sans-serif" w:hAnsi="Times New Roman;sans-serif"/>
                  <w:b w:val="false"/>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56cab79517b4392ae88dfd079d5beee_136">
              <w:r>
                <w:rPr>
                  <w:rStyle w:val="InternetLink"/>
                  <w:rFonts w:ascii="Times New Roman;sans-serif" w:hAnsi="Times New Roman;sans-serif"/>
                  <w:b w:val="false"/>
                  <w:color w:val="0000FF"/>
                  <w:sz w:val="20"/>
                  <w:u w:val="singl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on Form 10-Q for the quarterly period ended March 31, 2025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2024.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TRADEMARKS, TRADE NAMES AND SERVICE MARKS</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ans-serif" w:hAnsi="Times New Roman;sans-serif"/>
          <w:b w:val="false"/>
          <w:i/>
          <w:color w:val="000000"/>
          <w:sz w:val="20"/>
        </w:rPr>
        <w:t>"Rackspace," "Rackspace Technology," "Fanatical," "Fanatical Experience," "Rackspace Fabric," "Rackspace Data Freedom," "Rackspace Services for VMware Cloud</w:t>
      </w:r>
      <w:r>
        <w:rPr>
          <w:rFonts w:ascii="Times New Roman;sans-serif" w:hAnsi="Times New Roman;sans-serif"/>
          <w:b w:val="false"/>
          <w:i/>
          <w:color w:val="000000"/>
          <w:sz w:val="13"/>
        </w:rPr>
        <w:t>TM</w:t>
      </w:r>
      <w:r>
        <w:rPr>
          <w:rFonts w:ascii="Times New Roman;sans-serif" w:hAnsi="Times New Roman;sans-serif"/>
          <w:b w:val="false"/>
          <w:i/>
          <w:color w:val="000000"/>
          <w:sz w:val="20"/>
        </w:rPr>
        <w:t>" and "My Rackspace" are registered or unregistered trademarks of Rackspace US, Inc. in the United States and/or other countries. OpenStack</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08"/>
        <w:gridCol w:w="2358"/>
        <w:gridCol w:w="2379"/>
        <w:gridCol w:w="214"/>
        <w:gridCol w:w="757"/>
        <w:gridCol w:w="119"/>
        <w:gridCol w:w="109"/>
        <w:gridCol w:w="109"/>
        <w:gridCol w:w="109"/>
        <w:gridCol w:w="196"/>
        <w:gridCol w:w="691"/>
        <w:gridCol w:w="156"/>
      </w:tblGrid>
      <w:tr>
        <w:trPr/>
        <w:tc>
          <w:tcPr>
            <w:tcW w:w="300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credit losses and accrued customer credits of $27.0 and $23.9,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interest </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8)</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per share: 5.0 shares authorized; no shares issued or outstanding</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per share: 1,495.0 shares authorized; 232.2 and 240.4 shares issued; 229.1 and 237.3 shares outstanding,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3.1 shares held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color w:val="000000"/>
        </w:rPr>
      </w:pPr>
      <w:r>
        <w:rPr>
          <w:color w:val="000000"/>
        </w:rPr>
        <w:t xml:space="preserve">  </w:t>
      </w:r>
    </w:p>
    <w:tbl>
      <w:tblPr>
        <w:tblW w:w="9253" w:type="dxa"/>
        <w:jc w:val="left"/>
        <w:tblInd w:w="0" w:type="dxa"/>
        <w:tblLayout w:type="fixed"/>
        <w:tblCellMar>
          <w:top w:w="28" w:type="dxa"/>
          <w:left w:w="28" w:type="dxa"/>
          <w:bottom w:w="28" w:type="dxa"/>
          <w:right w:w="28" w:type="dxa"/>
        </w:tblCellMar>
      </w:tblPr>
      <w:tblGrid>
        <w:gridCol w:w="2242"/>
        <w:gridCol w:w="1968"/>
        <w:gridCol w:w="1985"/>
        <w:gridCol w:w="238"/>
        <w:gridCol w:w="766"/>
        <w:gridCol w:w="132"/>
        <w:gridCol w:w="132"/>
        <w:gridCol w:w="132"/>
        <w:gridCol w:w="132"/>
        <w:gridCol w:w="238"/>
        <w:gridCol w:w="675"/>
        <w:gridCol w:w="132"/>
        <w:gridCol w:w="109"/>
        <w:gridCol w:w="109"/>
        <w:gridCol w:w="109"/>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extinguishment, net of debt modification costs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contracts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reclassified from accumulated other comprehensive income (loss) to earnings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outstanding:</w:t>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13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75" w:type="dxa"/>
        <w:jc w:val="center"/>
        <w:tblInd w:w="0" w:type="dxa"/>
        <w:tblLayout w:type="fixed"/>
        <w:tblCellMar>
          <w:top w:w="28" w:type="dxa"/>
          <w:left w:w="28" w:type="dxa"/>
          <w:bottom w:w="28" w:type="dxa"/>
          <w:right w:w="28" w:type="dxa"/>
        </w:tblCellMar>
      </w:tblPr>
      <w:tblGrid>
        <w:gridCol w:w="2159"/>
        <w:gridCol w:w="1894"/>
        <w:gridCol w:w="1902"/>
        <w:gridCol w:w="237"/>
        <w:gridCol w:w="763"/>
        <w:gridCol w:w="131"/>
        <w:gridCol w:w="131"/>
        <w:gridCol w:w="131"/>
        <w:gridCol w:w="131"/>
        <w:gridCol w:w="237"/>
        <w:gridCol w:w="673"/>
        <w:gridCol w:w="186"/>
      </w:tblGrid>
      <w:tr>
        <w:trPr/>
        <w:tc>
          <w:tcPr>
            <w:tcW w:w="2159"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operating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carrying amount of operating right-of-use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extinguishment, net of debt modification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 and accrued customer credits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debt discount and premium</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fees paid in connection with the March 2024 Refinancing Transactions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current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equipment and software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headquarters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withheld for employee taxes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under long-term debt arrangements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long-term debt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extinguishment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financing component of interest rate swap</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of finance lease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of financing obligations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cash equivalents, and restricted cash</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tbl>
      <w:tblPr>
        <w:tblW w:w="7434" w:type="dxa"/>
        <w:jc w:val="center"/>
        <w:tblInd w:w="0" w:type="dxa"/>
        <w:tblLayout w:type="fixed"/>
        <w:tblCellMar>
          <w:top w:w="28" w:type="dxa"/>
          <w:left w:w="28" w:type="dxa"/>
          <w:bottom w:w="28" w:type="dxa"/>
          <w:right w:w="28" w:type="dxa"/>
        </w:tblCellMar>
      </w:tblPr>
      <w:tblGrid>
        <w:gridCol w:w="2002"/>
        <w:gridCol w:w="1754"/>
        <w:gridCol w:w="1764"/>
        <w:gridCol w:w="196"/>
        <w:gridCol w:w="466"/>
        <w:gridCol w:w="109"/>
        <w:gridCol w:w="109"/>
        <w:gridCol w:w="109"/>
        <w:gridCol w:w="109"/>
        <w:gridCol w:w="196"/>
        <w:gridCol w:w="46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interest, net of amount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equipment and software by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property, equipment and software accrued in liabilities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activity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purchases of property, equipment and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the total of such amounts shown on the Condensed Consolidated Statements of Cash Flows.</w:t>
      </w:r>
    </w:p>
    <w:p>
      <w:pPr>
        <w:pStyle w:val="TextBody"/>
        <w:bidi w:val="0"/>
        <w:spacing w:before="0" w:after="0"/>
        <w:ind w:left="0" w:right="0" w:firstLine="540"/>
        <w:jc w:val="left"/>
        <w:rPr/>
      </w:pPr>
      <w:r>
        <w:rPr/>
      </w:r>
    </w:p>
    <w:tbl>
      <w:tblPr>
        <w:tblW w:w="8770" w:type="dxa"/>
        <w:jc w:val="center"/>
        <w:tblInd w:w="0" w:type="dxa"/>
        <w:tblLayout w:type="fixed"/>
        <w:tblCellMar>
          <w:top w:w="28" w:type="dxa"/>
          <w:left w:w="28" w:type="dxa"/>
          <w:bottom w:w="28" w:type="dxa"/>
          <w:right w:w="28" w:type="dxa"/>
        </w:tblCellMar>
      </w:tblPr>
      <w:tblGrid>
        <w:gridCol w:w="2230"/>
        <w:gridCol w:w="1956"/>
        <w:gridCol w:w="1963"/>
        <w:gridCol w:w="245"/>
        <w:gridCol w:w="697"/>
        <w:gridCol w:w="136"/>
        <w:gridCol w:w="136"/>
        <w:gridCol w:w="136"/>
        <w:gridCol w:w="136"/>
        <w:gridCol w:w="245"/>
        <w:gridCol w:w="697"/>
        <w:gridCol w:w="193"/>
      </w:tblGrid>
      <w:tr>
        <w:trPr/>
        <w:tc>
          <w:tcPr>
            <w:tcW w:w="223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non-current assets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 shown in the statement of cash flows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55"/>
        <w:gridCol w:w="744"/>
        <w:gridCol w:w="202"/>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 for equity classified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1054"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5"/>
        <w:gridCol w:w="812"/>
        <w:gridCol w:w="179"/>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release of stock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 for equity classified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RACKSPACE TECHNOLOGY, INC.</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 xml:space="preserve">NOTES TO THE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Company Overview,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ease of reference, the terms "we," "our company," "the company," "us," or "our" as used in this report refer to Rackspace Technology and its consolidated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include the accounts of Rackspace Technology, Inc. and our wholly-owned subsidiaries. Intercompany transactions and balances have been eliminated in consolidation.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as of March 31, 2025, and for the three months ended March 31, 2024 and 2025,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 periods. These unaudited interim condensed consolidated financial statements should be read in conjunction with the audited consolidated financial statements and the related notes thereto included in our Annual Report on Form 10-K for the year ended December 31, 2024 as filed with the SEC on March 21, 2025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March 31, 2025, our results of operations, cash flows, and stockholders' deficit for the three months ended March 31, 2024 and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months ended March 31, 2025 are not necessarily indicative of the results of operations to be expected for the year ending December 31, 2025, or for any other interim period, or for any other future year.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Liquidity Overview</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highly leveraged company. As of March 31, 2025, we had $2,444.4 million aggregate principal amount outstanding under our debt instruments, which are comprised of the first lien first out senior secured term loan facility (the “FLFO Term Loan Facility”), the first lien second out senior secured term loan facility (the “FLSO Term Loan Facility”), the first lien term loan facility (the "Term Loan Facility"), 3.50% FLSO Senior Secured Notes due 2028 (the “3.50% FLSO Senior Secured Notes”), 5.375% Senior Notes due 2028 (the "5.375% Senior Notes"), and 3.50% Senior Secured Notes due 2028 (the "3.50% Senior Secured Notes"). We primarily finance our operations and capital expenditures with internally-generated cash from operations and hardware leases, and if necessary, borrowings under the senior secured first lien first out revolving credit facility (the "New Revolving Credit Facility"). As of March 31, 2025, the New Revolving Credit Facility provided for up to $375.0 million of borrowings, $30.0 million of which was drawn and outstanding as of March 31, 2025. Our primary uses of cash are working capital requirements, debt service requirements and capital expenditures. Based on our current level of operations and available cash and cash equivalents of $128.0 million as of March 31, 2025,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our ability to deliver on our strategic objectives and prevailing economic conditions and other factors, many of which are beyond our control.</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 and Estimates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Annual Report includes an additional discussion of the significant accounting policies and estimates used in the preparation of our consolidated financial statements. There were no material changes to our significant accounting policies and estimates during the three months ended March 31, 2025.</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Indefinite-Lived Intangible Assets and Long-Lived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identifiable net assets of businesses acquired.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connection with the debt refinancing transactions that were completed in March and April 2024, as further described in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 macroeconomic factors, to achieving our forecasts.</w:t>
      </w:r>
      <w:r>
        <w:rPr>
          <w:color w:val="000000"/>
        </w:rPr>
        <w:t xml:space="preserve"> </w:t>
      </w:r>
      <w:r>
        <w:rPr>
          <w:rFonts w:ascii="Times New Roman;sans-serif" w:hAnsi="Times New Roman;sans-serif"/>
          <w:b w:val="false"/>
          <w:color w:val="000000"/>
          <w:sz w:val="20"/>
        </w:rPr>
        <w:t xml:space="preserve">Our Board of Directors reviewed and approved our internal budget for fiscal year 2024 on February 28, 2024. As of February 29, 2024, we assessed our Board of Directors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currently have two reporting units: Public Cloud and Private Cloud.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interim quantitative goodwill impairment analyses performed,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capital expenditures, risk-adjusted discount rates, terminal period growth rates, and economic market trends. 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our quantitative goodwill impairment analysis as of February 29, 2024 indicated an impairment of goodwill within our Public Cloud and Private Cloud reporting units of $385.4 million and $187.8 million, respectively. We recorded these non-cash impairment charges within "Impairment of goodwill" in our Condensed Consolidated Statements of Comprehensive Loss in the first quarter of 2024.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Indefinite-Lived Intangible Assets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indefinite-lived intangible asset consists of our Rackspace trade name, which was recorded at fair value on our balance sheet at the date of the Rackspace Acquisition. 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Due to the factors discussed in the goodwill analysis above and prior to testing our goodwill for impairment, we performed a quantitative assessment of our indefinite-lived intangible asset as of February 29, 2024. The quantitative assessment performed indicated the estimated fair value of the Rackspace trade name was less than its carrying value. As a result, we recorded a $20.0 million non-cash impairment charge as of February 29, 2024, which is included in "Impairment of assets, net" in our Condensed Consolidated Statements of Comprehensive Loss in the first quarter of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growth rates, projected gross profit margins, projected operating costs, projected EBITDA margins, and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decreases in future cash flows due to lower than expected sales or greater than expected customer churn, or (iv) fluctuations in foreign currency exchange rates that may negatively impact our reported results of operations. Accordingly, if our current cash flow assumptions are not realized, we experience sustained declines in our stock price or market capitalization, or increases in costs of capital, it is possible that an additional impairment charge may be recorded in the future, which could be material.</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Long-Lived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conjunction with the goodwill impairment analysis as of February 29, 2024, we performed a recoverability test of our long-lived assets, including finite-lived intangible assets, by comparing the net book value of our long-lived assets or asset groups, to the future undiscounted net cash flows attributable to such assets, which did not result in any impairment charges.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Customer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balances related to customer contracts:</w:t>
      </w:r>
    </w:p>
    <w:tbl>
      <w:tblPr>
        <w:tblW w:w="10205" w:type="dxa"/>
        <w:jc w:val="center"/>
        <w:tblInd w:w="0" w:type="dxa"/>
        <w:tblLayout w:type="fixed"/>
        <w:tblCellMar>
          <w:top w:w="28" w:type="dxa"/>
          <w:left w:w="28" w:type="dxa"/>
          <w:bottom w:w="28" w:type="dxa"/>
          <w:right w:w="28" w:type="dxa"/>
        </w:tblCellMar>
      </w:tblPr>
      <w:tblGrid>
        <w:gridCol w:w="1055"/>
        <w:gridCol w:w="920"/>
        <w:gridCol w:w="922"/>
        <w:gridCol w:w="1270"/>
        <w:gridCol w:w="1270"/>
        <w:gridCol w:w="1273"/>
        <w:gridCol w:w="109"/>
        <w:gridCol w:w="109"/>
        <w:gridCol w:w="109"/>
        <w:gridCol w:w="345"/>
        <w:gridCol w:w="981"/>
        <w:gridCol w:w="193"/>
        <w:gridCol w:w="109"/>
        <w:gridCol w:w="109"/>
        <w:gridCol w:w="109"/>
        <w:gridCol w:w="285"/>
        <w:gridCol w:w="809"/>
        <w:gridCol w:w="228"/>
      </w:tblGrid>
      <w:tr>
        <w:trPr/>
        <w:tc>
          <w:tcPr>
            <w:tcW w:w="105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Accounts receivable, net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contract assets</w:t>
            </w:r>
          </w:p>
        </w:tc>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contract assets</w:t>
            </w:r>
          </w:p>
        </w:tc>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deferred revenue</w:t>
            </w:r>
          </w:p>
        </w:tc>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deferred revenue</w:t>
            </w:r>
          </w:p>
        </w:tc>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Allowance for credit losses and accrued customer credits was $27.0 million and $23.9 million as of December 31, 2024 and March 31, 2025, respectively.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recognized in revenue for the three months ended March 31, 2024, and 2025, which were included in deferred revenue as of the beginning of each period totaled $45.6 million and $49.6 million, respectively. </w:t>
      </w:r>
    </w:p>
    <w:p>
      <w:pPr>
        <w:pStyle w:val="TextBody"/>
        <w:bidi w:val="0"/>
        <w:spacing w:before="0" w:after="0"/>
        <w:ind w:left="0" w:right="0" w:firstLine="540"/>
        <w:jc w:val="left"/>
        <w:rPr/>
      </w:pPr>
      <w:r>
        <w:rPr/>
      </w:r>
    </w:p>
    <w:p>
      <w:pPr>
        <w:pStyle w:val="TextBody"/>
        <w:bidi w:val="0"/>
        <w:spacing w:lineRule="auto" w:line="276" w:before="0" w:after="0"/>
        <w:ind w:left="0" w:right="0" w:hanging="540"/>
        <w:jc w:val="left"/>
        <w:rPr>
          <w:rFonts w:ascii="Times New Roman;sans-serif" w:hAnsi="Times New Roman;sans-serif"/>
          <w:b/>
          <w:i/>
          <w:color w:val="000000"/>
          <w:sz w:val="20"/>
        </w:rPr>
      </w:pPr>
      <w:r>
        <w:rPr>
          <w:rFonts w:ascii="Times New Roman;sans-serif" w:hAnsi="Times New Roman;sans-serif"/>
          <w:b/>
          <w:i/>
          <w:color w:val="000000"/>
          <w:sz w:val="20"/>
        </w:rPr>
        <w:t xml:space="preserve">Cost Incurred to Obtain and Fulfill a Contract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March 31, 2025, the balances of capitalized costs to obtain a contract were $38.6 million and $34.9 million, respectively, and the balances of capitalized costs to fulfill a contract were $13.7 million and $14.4 million, respectively. These capitalized costs are included in "Other non-current assets" on the Condensed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sales commissions and implementation costs was as follows:</w:t>
      </w:r>
    </w:p>
    <w:tbl>
      <w:tblPr>
        <w:tblW w:w="6612" w:type="dxa"/>
        <w:jc w:val="left"/>
        <w:tblInd w:w="0" w:type="dxa"/>
        <w:tblLayout w:type="fixed"/>
        <w:tblCellMar>
          <w:top w:w="28" w:type="dxa"/>
          <w:left w:w="28" w:type="dxa"/>
          <w:bottom w:w="28" w:type="dxa"/>
          <w:right w:w="28" w:type="dxa"/>
        </w:tblCellMar>
      </w:tblPr>
      <w:tblGrid>
        <w:gridCol w:w="1286"/>
        <w:gridCol w:w="1129"/>
        <w:gridCol w:w="1140"/>
        <w:gridCol w:w="299"/>
        <w:gridCol w:w="574"/>
        <w:gridCol w:w="166"/>
        <w:gridCol w:w="166"/>
        <w:gridCol w:w="166"/>
        <w:gridCol w:w="166"/>
        <w:gridCol w:w="299"/>
        <w:gridCol w:w="574"/>
        <w:gridCol w:w="166"/>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capitalized sales commissions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capitalized implementation costs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aggregate amount of transaction price allocated to remaining performance obligations was $612.1 million, of which approximately 49% is expected to be recognized as revenue during the remainder of 2025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Sale of Receivables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2023, Rackspace US, Inc. and Rackspace Receivables II, LLC, a bankruptcy-remote special purpose vehicle (“SPV”), each an indirect subsidiary of the company, entered into an accounts receivable purchase agreement with PNC Bank, National Association (“PNC”) and other parties thereto. On February 12, 2024, the accounts receivable purchase agreement was amended to include certain international subsidiaries of the company as parties to the agreement and Rackspace Receivables Canada Limited, a Canadian indirect subsidiary of the company, was established as a SPV.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accounts receivable sold during the three months ended March 31, 2024 and 2025, we recorded $5.8 million and $5.0 million of expense, respectively, within “Other expense, net” in the Condensed Consolidated Statements of Comprehensive Loss. This expense consisted of $5.3 million and $5.0 million of yield charges and fees in the three months ended March 31, 2024 and 2025, respectively, and $0.5 million of upfront transaction costs associated with the execution of the agreement in the three months ended March 31,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portfolio of sold accounts receivable derecognized from our Condensed Consolidated Balance Sheet as of December 31, 2024 and March 31, 2025 was $218.7 million and $225.4 million, respectively. The SPVs hold unsold accounts receivable of $57.7 million as of March 31, 2025 that are pledged as collateral to PNC.</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Net Loss Per Share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attributable to common stockholders by the weighted average number of shares of common stock outstanding during the period. Diluted net loss per share is calculated based on the weighted average number of shares of common stock plus the dilutive effect of potential common share equivalents outstanding during the period as determined under the treasury stock method.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w:t>
      </w:r>
    </w:p>
    <w:tbl>
      <w:tblPr>
        <w:tblW w:w="6688" w:type="dxa"/>
        <w:jc w:val="left"/>
        <w:tblInd w:w="0" w:type="dxa"/>
        <w:tblLayout w:type="fixed"/>
        <w:tblCellMar>
          <w:top w:w="28" w:type="dxa"/>
          <w:left w:w="28" w:type="dxa"/>
          <w:bottom w:w="28" w:type="dxa"/>
          <w:right w:w="28" w:type="dxa"/>
        </w:tblCellMar>
      </w:tblPr>
      <w:tblGrid>
        <w:gridCol w:w="1314"/>
        <w:gridCol w:w="1153"/>
        <w:gridCol w:w="1163"/>
        <w:gridCol w:w="239"/>
        <w:gridCol w:w="772"/>
        <w:gridCol w:w="133"/>
        <w:gridCol w:w="133"/>
        <w:gridCol w:w="133"/>
        <w:gridCol w:w="133"/>
        <w:gridCol w:w="239"/>
        <w:gridCol w:w="662"/>
        <w:gridCol w:w="133"/>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data)</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Basic and diluted net loss per share:</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used in per share computations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both periods presented, basic net loss per share is the same as diluted net loss per share for both periods as the inclusion of all potential common shares outstanding would have been anti-dilutive. We excluded 30.3 million and 19.4 million potential common shares from the computation of dilutive loss per share for the three months ended March 31, 2024 and 2025, respectively, because the effect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Property, Equipment and Software, net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consisted of the following: </w:t>
      </w:r>
    </w:p>
    <w:tbl>
      <w:tblPr>
        <w:tblW w:w="5567" w:type="dxa"/>
        <w:jc w:val="left"/>
        <w:tblInd w:w="0" w:type="dxa"/>
        <w:tblLayout w:type="fixed"/>
        <w:tblCellMar>
          <w:top w:w="28" w:type="dxa"/>
          <w:left w:w="28" w:type="dxa"/>
          <w:bottom w:w="28" w:type="dxa"/>
          <w:right w:w="28" w:type="dxa"/>
        </w:tblCellMar>
      </w:tblPr>
      <w:tblGrid>
        <w:gridCol w:w="1109"/>
        <w:gridCol w:w="974"/>
        <w:gridCol w:w="977"/>
        <w:gridCol w:w="224"/>
        <w:gridCol w:w="791"/>
        <w:gridCol w:w="124"/>
        <w:gridCol w:w="109"/>
        <w:gridCol w:w="109"/>
        <w:gridCol w:w="109"/>
        <w:gridCol w:w="196"/>
        <w:gridCol w:w="691"/>
        <w:gridCol w:w="154"/>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equipment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Buildings and leasehold improvements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at cost</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Accumulated depreciation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equipment and software,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March 2024, we completed the sale of our corporate headquarters facility located in Windcrest, Texas and relocated our corporate headquarters to leased office space in San Antonio, Texas. The property’s estimated fair value, less estimated cost to sell prior to the sale was $16.9 million and we received cash proceeds of $17.5 million, less brokerage and professional fees of $0.6 million, resulting in net cash proceeds of $16.9 million. In connection with the completion of the sale, we paid a $9.0 million early termination fee to certain local governments related to our termination of the Master Economic Incentives Agreement (the “MEIA”) associated with the property. This amount is included in “Selling, general and administrative expenses” in our Condensed Consolidated Statements of Comprehensive Loss for the three months ended March 31, 2024.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Goodwill and Intangible Assets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following table sets forth the changes in the carrying amounts of goodwill by reportable segment</w:t>
      </w:r>
      <w:r>
        <w:rPr>
          <w:rFonts w:ascii="Times New Roman;sans-serif" w:hAnsi="Times New Roman;sans-serif"/>
          <w:b w:val="false"/>
          <w:color w:val="000000"/>
          <w:sz w:val="20"/>
          <w:shd w:fill="FFFFFF" w:val="clear"/>
        </w:rPr>
        <w:t xml:space="preserve">. </w:t>
      </w:r>
    </w:p>
    <w:p>
      <w:pPr>
        <w:pStyle w:val="TextBody"/>
        <w:bidi w:val="0"/>
        <w:spacing w:before="0" w:after="0"/>
        <w:ind w:left="0" w:right="0" w:firstLine="540"/>
        <w:jc w:val="left"/>
        <w:rPr/>
      </w:pPr>
      <w:r>
        <w:rPr/>
      </w:r>
    </w:p>
    <w:tbl>
      <w:tblPr>
        <w:tblW w:w="8014" w:type="dxa"/>
        <w:jc w:val="left"/>
        <w:tblInd w:w="0" w:type="dxa"/>
        <w:tblLayout w:type="fixed"/>
        <w:tblCellMar>
          <w:top w:w="28" w:type="dxa"/>
          <w:left w:w="28" w:type="dxa"/>
          <w:bottom w:w="28" w:type="dxa"/>
          <w:right w:w="28" w:type="dxa"/>
        </w:tblCellMar>
      </w:tblPr>
      <w:tblGrid>
        <w:gridCol w:w="1107"/>
        <w:gridCol w:w="972"/>
        <w:gridCol w:w="980"/>
        <w:gridCol w:w="109"/>
        <w:gridCol w:w="109"/>
        <w:gridCol w:w="109"/>
        <w:gridCol w:w="252"/>
        <w:gridCol w:w="717"/>
        <w:gridCol w:w="140"/>
        <w:gridCol w:w="109"/>
        <w:gridCol w:w="109"/>
        <w:gridCol w:w="109"/>
        <w:gridCol w:w="230"/>
        <w:gridCol w:w="812"/>
        <w:gridCol w:w="128"/>
        <w:gridCol w:w="109"/>
        <w:gridCol w:w="109"/>
        <w:gridCol w:w="109"/>
        <w:gridCol w:w="109"/>
        <w:gridCol w:w="109"/>
        <w:gridCol w:w="109"/>
        <w:gridCol w:w="109"/>
        <w:gridCol w:w="109"/>
        <w:gridCol w:w="109"/>
        <w:gridCol w:w="196"/>
        <w:gridCol w:w="69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Cloud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Private 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Less: accumulated impairment charges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On a consolidated basis, gross and net goodwill as of March 31, 2025 was $3,042.9 million and $737.3 million, respectively. Accumulated impairment charges on a consolidated basis was $2,305.6 million as of March 31, 2025.</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See Note 1, "Company Overview, Basis of Presentation, and Summary of Significant Accounting Policies," for discussion of the goodwill impairment charges recorded during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our intangible assets other than goodwill: </w:t>
      </w:r>
    </w:p>
    <w:tbl>
      <w:tblPr>
        <w:tblW w:w="10205" w:type="dxa"/>
        <w:jc w:val="center"/>
        <w:tblInd w:w="0" w:type="dxa"/>
        <w:tblLayout w:type="fixed"/>
        <w:tblCellMar>
          <w:top w:w="28" w:type="dxa"/>
          <w:left w:w="28" w:type="dxa"/>
          <w:bottom w:w="28" w:type="dxa"/>
          <w:right w:w="28" w:type="dxa"/>
        </w:tblCellMar>
      </w:tblPr>
      <w:tblGrid>
        <w:gridCol w:w="689"/>
        <w:gridCol w:w="441"/>
        <w:gridCol w:w="445"/>
        <w:gridCol w:w="227"/>
        <w:gridCol w:w="801"/>
        <w:gridCol w:w="126"/>
        <w:gridCol w:w="109"/>
        <w:gridCol w:w="109"/>
        <w:gridCol w:w="109"/>
        <w:gridCol w:w="253"/>
        <w:gridCol w:w="912"/>
        <w:gridCol w:w="141"/>
        <w:gridCol w:w="109"/>
        <w:gridCol w:w="109"/>
        <w:gridCol w:w="109"/>
        <w:gridCol w:w="230"/>
        <w:gridCol w:w="653"/>
        <w:gridCol w:w="128"/>
        <w:gridCol w:w="109"/>
        <w:gridCol w:w="109"/>
        <w:gridCol w:w="109"/>
        <w:gridCol w:w="227"/>
        <w:gridCol w:w="801"/>
        <w:gridCol w:w="126"/>
        <w:gridCol w:w="109"/>
        <w:gridCol w:w="109"/>
        <w:gridCol w:w="109"/>
        <w:gridCol w:w="253"/>
        <w:gridCol w:w="912"/>
        <w:gridCol w:w="141"/>
        <w:gridCol w:w="109"/>
        <w:gridCol w:w="109"/>
        <w:gridCol w:w="109"/>
        <w:gridCol w:w="228"/>
        <w:gridCol w:w="648"/>
        <w:gridCol w:w="188"/>
      </w:tblGrid>
      <w:tr>
        <w:trPr/>
        <w:tc>
          <w:tcPr>
            <w:tcW w:w="68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definite-lived intangible assets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 (indefinite-lived)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other than goodwill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(1,291.1)</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three months ended March 31, 2024 we recognized impairment charges of $20.0 million related to our trade name indefinite-lived intangible asset.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see the discussion of our impairment charges in Note 1, "Company Overview, Basis of Presentation, and Summary of Significant Accounting Policies."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Debt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consisted of the following: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69"/>
        <w:gridCol w:w="1002"/>
        <w:gridCol w:w="1012"/>
        <w:gridCol w:w="109"/>
        <w:gridCol w:w="109"/>
        <w:gridCol w:w="109"/>
        <w:gridCol w:w="401"/>
        <w:gridCol w:w="388"/>
        <w:gridCol w:w="390"/>
        <w:gridCol w:w="109"/>
        <w:gridCol w:w="109"/>
        <w:gridCol w:w="109"/>
        <w:gridCol w:w="344"/>
        <w:gridCol w:w="344"/>
        <w:gridCol w:w="345"/>
        <w:gridCol w:w="109"/>
        <w:gridCol w:w="109"/>
        <w:gridCol w:w="109"/>
        <w:gridCol w:w="196"/>
        <w:gridCol w:w="691"/>
        <w:gridCol w:w="109"/>
        <w:gridCol w:w="109"/>
        <w:gridCol w:w="109"/>
        <w:gridCol w:w="109"/>
        <w:gridCol w:w="344"/>
        <w:gridCol w:w="344"/>
        <w:gridCol w:w="345"/>
        <w:gridCol w:w="109"/>
        <w:gridCol w:w="109"/>
        <w:gridCol w:w="109"/>
        <w:gridCol w:w="196"/>
        <w:gridCol w:w="691"/>
        <w:gridCol w:w="159"/>
      </w:tblGrid>
      <w:tr>
        <w:trPr/>
        <w:tc>
          <w:tcPr>
            <w:tcW w:w="126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Interest Rate</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Interest Rate</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FLSO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FLFO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3.50% FLSO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3.50%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5.375%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principal amount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debt issuance costs, debt premium,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excluding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Contractual interest rate as of each respective balance sheet date.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March 2024 Refinancing Transactions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Exchange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we (together with certain of our subsidiaries) closed a private debt exchange (the “Private Exchange”) with (i) holders of the 3.50% Senior Secured Notes (the “Existing Secured Notes”) issued by Rackspace Technology Global (the “Existing Borrower”) representing more than 64% of the aggregate principal amount outstanding of the Existing Secured Notes as of December 31, 2023, and (ii) lenders representing more than 72% of the aggregate principal amount of the outstanding term loan facility under the First Lien Credit Agreement (the “Existing Term Loans”) as of December 31, 2023.</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Private Exchange, (i) $331.4 million aggregate principal amount of Existing Secured Notes and $1,588.8 million aggregate principal amount of the Existing Term Loans were exchanged or purchased for cancellation and (ii) $267.3 million aggregate principal amount of 3.50% FLSO Senior Secured Notes and $1,312.0 million aggregate principal amount the FLSO Term Loan Facility were issued by Rackspace Finance, LLC, a new subsidiary of the company (the “New Borrower”).</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New Borrower issued $275.0 million aggregate principal amount of the FLFO Term Loan Facility and we repurchased and cancelled $69.3 million aggregate principal amount of the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New Debt Instruments</w:t>
      </w:r>
      <w:r>
        <w:rPr>
          <w:color w:val="000000"/>
        </w:rPr>
        <w:t xml:space="preserve">” </w:t>
      </w:r>
      <w:r>
        <w:rPr>
          <w:rFonts w:ascii="Times New Roman;sans-serif" w:hAnsi="Times New Roman;sans-serif"/>
          <w:b w:val="false"/>
          <w:color w:val="000000"/>
          <w:sz w:val="20"/>
        </w:rPr>
        <w:t xml:space="preserve">below for additional discussion of the new 3.50% FLSO Senior Secured Notes, FLSO Term Loan Facility, and FLFO Term Loan Facility.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Public Exchanges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13, 2024, we launched an offer to all of the holders of the Existing Borrower’s remaining Existing Term Loans (the “Public Term Loan Exchange”). On March 26, 2024, we closed the Public Term Loan Exchange, pursuant to which (i) $529.9 million aggregate principal amount of the Existing Term Loans were exchanged or purchased for cancellation and (ii) $375.1 million aggregate principal amount of FLSO Term Loans was issued by the New Borrower.</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14, 2024, we launched an offer to all of the holders of the Existing Borrower’s remaining Existing Secured Notes (the “Public Note Exchange”). On April 16, 2024, we completed the Public Note Exchange, pursuant to which (i) $138.4 million aggregate principal amount of Existing Secured Notes were exchanged or purchased for cancellation and (ii) $96.9 million aggregate principal amount of 3.50% FLSO Senior Secured Notes were issued by the New Borrower.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On March 12, 2024, the New Borrower also established the New Revolving Credit Facility with commitments in an aggregate principal amount of $375.0 million.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 See “</w:t>
      </w:r>
      <w:r>
        <w:rPr>
          <w:rFonts w:ascii="Times New Roman;sans-serif" w:hAnsi="Times New Roman;sans-serif"/>
          <w:b w:val="false"/>
          <w:i/>
          <w:color w:val="000000"/>
          <w:sz w:val="20"/>
        </w:rPr>
        <w:t>New Debt Instruments</w:t>
      </w:r>
      <w:r>
        <w:rPr>
          <w:color w:val="000000"/>
        </w:rPr>
        <w:t xml:space="preserve">” </w:t>
      </w:r>
      <w:r>
        <w:rPr>
          <w:rFonts w:ascii="Times New Roman;sans-serif" w:hAnsi="Times New Roman;sans-serif"/>
          <w:b w:val="false"/>
          <w:color w:val="000000"/>
          <w:sz w:val="20"/>
        </w:rPr>
        <w:t>below for additional discussion of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refer to the Private Exchange, the Public Term Loan Exchange, the Public Note Exchange and the entry into the New Revolving Credit Facility, collectively, as the “March 2024 Refinancing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Impacts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company performed an assessment of the March 2024 Refinancing Transactions and determined it met the criteria to be accounted for as a troubled debt restructuring under Accounting Standards Codification No. 470-60,</w:t>
      </w:r>
      <w:r>
        <w:rPr>
          <w:color w:val="000000"/>
        </w:rPr>
        <w:t xml:space="preserve"> </w:t>
      </w:r>
      <w:r>
        <w:rPr>
          <w:rFonts w:ascii="Times New Roman;sans-serif" w:hAnsi="Times New Roman;sans-serif"/>
          <w:b w:val="false"/>
          <w:i/>
          <w:color w:val="000000"/>
          <w:sz w:val="20"/>
        </w:rPr>
        <w:t>Troubled Debt Restructurings by Debtors</w:t>
      </w:r>
      <w:r>
        <w:rPr>
          <w:rFonts w:ascii="Times New Roman;sans-serif" w:hAnsi="Times New Roman;sans-serif"/>
          <w:b w:val="false"/>
          <w:color w:val="000000"/>
          <w:sz w:val="20"/>
        </w:rPr>
        <w:t xml:space="preserve">. For each series of </w:t>
      </w:r>
      <w:r>
        <w:rPr>
          <w:rFonts w:ascii="Times New Roman;sans-serif" w:hAnsi="Times New Roman;sans-serif"/>
          <w:b w:val="false"/>
          <w:color w:val="000000"/>
          <w:sz w:val="20"/>
          <w:shd w:fill="FFFFFF" w:val="clear"/>
        </w:rPr>
        <w:t xml:space="preserve">the Existing Debt Instruments exchanged, the undiscounted cash flows associated with the </w:t>
      </w:r>
      <w:r>
        <w:rPr>
          <w:rFonts w:ascii="Times New Roman;sans-serif" w:hAnsi="Times New Roman;sans-serif"/>
          <w:b w:val="false"/>
          <w:color w:val="000000"/>
          <w:sz w:val="20"/>
        </w:rPr>
        <w:t xml:space="preserve">New Debt Instruments </w:t>
      </w:r>
      <w:r>
        <w:rPr>
          <w:rFonts w:ascii="Times New Roman;sans-serif" w:hAnsi="Times New Roman;sans-serif"/>
          <w:b w:val="false"/>
          <w:color w:val="000000"/>
          <w:sz w:val="20"/>
          <w:shd w:fill="FFFFFF" w:val="clear"/>
        </w:rPr>
        <w:t>issued were compared to the</w:t>
      </w:r>
      <w:r>
        <w:rPr>
          <w:color w:val="000000"/>
        </w:rPr>
        <w:t xml:space="preserve"> </w:t>
      </w:r>
      <w:r>
        <w:rPr>
          <w:rFonts w:ascii="Times New Roman;sans-serif" w:hAnsi="Times New Roman;sans-serif"/>
          <w:b w:val="false"/>
          <w:color w:val="000000"/>
          <w:sz w:val="20"/>
        </w:rPr>
        <w:t>carrying value of the Existing</w:t>
      </w:r>
      <w:r>
        <w:rPr>
          <w:color w:val="000000"/>
          <w:shd w:fill="FFFFFF" w:val="clear"/>
        </w:rPr>
        <w:t xml:space="preserve"> </w:t>
      </w:r>
      <w:r>
        <w:rPr>
          <w:rFonts w:ascii="Times New Roman;sans-serif" w:hAnsi="Times New Roman;sans-serif"/>
          <w:b w:val="false"/>
          <w:color w:val="000000"/>
          <w:sz w:val="20"/>
          <w:shd w:fill="FFFFFF" w:val="clear"/>
        </w:rPr>
        <w:t xml:space="preserve">Debt Instruments exchanged for such </w:t>
      </w:r>
      <w:r>
        <w:rPr>
          <w:rFonts w:ascii="Times New Roman;sans-serif" w:hAnsi="Times New Roman;sans-serif"/>
          <w:b w:val="false"/>
          <w:color w:val="000000"/>
          <w:sz w:val="20"/>
        </w:rPr>
        <w:t>New Debt Instruments</w:t>
      </w:r>
      <w:r>
        <w:rPr>
          <w:color w:val="000000"/>
          <w:shd w:fill="FFFFFF" w:val="clear"/>
        </w:rPr>
        <w:t xml:space="preserve"> </w:t>
      </w:r>
      <w:r>
        <w:rPr>
          <w:rFonts w:ascii="Times New Roman;sans-serif" w:hAnsi="Times New Roman;sans-serif"/>
          <w:b w:val="false"/>
          <w:color w:val="000000"/>
          <w:sz w:val="20"/>
          <w:shd w:fill="FFFFFF" w:val="clear"/>
        </w:rPr>
        <w:t xml:space="preserve">and the applicable exchange was accounted for as follows: (i) to the extent the undiscounted cash flows of the </w:t>
      </w:r>
      <w:r>
        <w:rPr>
          <w:rFonts w:ascii="Times New Roman;sans-serif" w:hAnsi="Times New Roman;sans-serif"/>
          <w:b w:val="false"/>
          <w:color w:val="000000"/>
          <w:sz w:val="20"/>
        </w:rPr>
        <w:t>New Debt Instruments</w:t>
      </w:r>
      <w:r>
        <w:rPr>
          <w:color w:val="000000"/>
          <w:shd w:fill="FFFFFF" w:val="clear"/>
        </w:rPr>
        <w:t xml:space="preserve"> </w:t>
      </w:r>
      <w:r>
        <w:rPr>
          <w:rFonts w:ascii="Times New Roman;sans-serif" w:hAnsi="Times New Roman;sans-serif"/>
          <w:b w:val="false"/>
          <w:color w:val="000000"/>
          <w:sz w:val="20"/>
          <w:shd w:fill="FFFFFF" w:val="clear"/>
        </w:rPr>
        <w:t xml:space="preserve">in question were lower than the carrying value of the applicable Existing Debt Instruments exchanged, the carrying value of the applicable </w:t>
      </w:r>
      <w:r>
        <w:rPr>
          <w:rFonts w:ascii="Times New Roman;sans-serif" w:hAnsi="Times New Roman;sans-serif"/>
          <w:b w:val="false"/>
          <w:color w:val="000000"/>
          <w:sz w:val="20"/>
        </w:rPr>
        <w:t>New Debt Instruments</w:t>
      </w:r>
      <w:r>
        <w:rPr>
          <w:color w:val="000000"/>
          <w:shd w:fill="FFFFFF" w:val="clear"/>
        </w:rPr>
        <w:t xml:space="preserve"> </w:t>
      </w:r>
      <w:r>
        <w:rPr>
          <w:rFonts w:ascii="Times New Roman;sans-serif" w:hAnsi="Times New Roman;sans-serif"/>
          <w:b w:val="false"/>
          <w:color w:val="000000"/>
          <w:sz w:val="20"/>
          <w:shd w:fill="FFFFFF" w:val="clear"/>
        </w:rPr>
        <w:t xml:space="preserve">was established at the total of these undiscounted cash flows, with a gain recorded for the remaining difference between this value and the carrying value of the applicable Existing Debt Instruments (as such, no interest expense will be recorded for the applicable </w:t>
      </w:r>
      <w:r>
        <w:rPr>
          <w:rFonts w:ascii="Times New Roman;sans-serif" w:hAnsi="Times New Roman;sans-serif"/>
          <w:b w:val="false"/>
          <w:color w:val="000000"/>
          <w:sz w:val="20"/>
        </w:rPr>
        <w:t>3.50%</w:t>
      </w:r>
      <w:r>
        <w:rPr>
          <w:color w:val="000000"/>
          <w:shd w:fill="FFFFFF" w:val="clear"/>
        </w:rPr>
        <w:t xml:space="preserve"> </w:t>
      </w:r>
      <w:r>
        <w:rPr>
          <w:rFonts w:ascii="Times New Roman;sans-serif" w:hAnsi="Times New Roman;sans-serif"/>
          <w:b w:val="false"/>
          <w:color w:val="000000"/>
          <w:sz w:val="20"/>
        </w:rPr>
        <w:t>FLSO Senior Secured Notes</w:t>
      </w:r>
      <w:r>
        <w:rPr>
          <w:color w:val="000000"/>
          <w:shd w:fill="FFFFFF" w:val="clear"/>
        </w:rPr>
        <w:t xml:space="preserve"> </w:t>
      </w:r>
      <w:r>
        <w:rPr>
          <w:rFonts w:ascii="Times New Roman;sans-serif" w:hAnsi="Times New Roman;sans-serif"/>
          <w:b w:val="false"/>
          <w:color w:val="000000"/>
          <w:sz w:val="20"/>
          <w:shd w:fill="FFFFFF" w:val="clear"/>
        </w:rPr>
        <w:t xml:space="preserve">prospectively) and (ii) to the extent the undiscounted cash flows of the New Debt Instruments in question exceeded the carrying value of the applicable Existing Debt Instruments exchanged, the carrying value of the applicable </w:t>
      </w:r>
      <w:r>
        <w:rPr>
          <w:rFonts w:ascii="Times New Roman;sans-serif" w:hAnsi="Times New Roman;sans-serif"/>
          <w:b w:val="false"/>
          <w:color w:val="000000"/>
          <w:sz w:val="20"/>
        </w:rPr>
        <w:t>New Debt Instruments</w:t>
      </w:r>
      <w:r>
        <w:rPr>
          <w:color w:val="000000"/>
          <w:shd w:fill="FFFFFF" w:val="clear"/>
        </w:rPr>
        <w:t xml:space="preserve"> </w:t>
      </w:r>
      <w:r>
        <w:rPr>
          <w:rFonts w:ascii="Times New Roman;sans-serif" w:hAnsi="Times New Roman;sans-serif"/>
          <w:b w:val="false"/>
          <w:color w:val="000000"/>
          <w:sz w:val="20"/>
          <w:shd w:fill="FFFFFF" w:val="clear"/>
        </w:rPr>
        <w:t>was established at the carrying value of the applicable Existing Debt Instruments and the company established new effective interest rates based on the carrying value of the applicable Existing Term Loans prior to the March 2024 Refinancing Transactions.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The difference between the principal amount of the </w:t>
      </w:r>
      <w:r>
        <w:rPr>
          <w:rFonts w:ascii="Times New Roman;sans-serif" w:hAnsi="Times New Roman;sans-serif"/>
          <w:b w:val="false"/>
          <w:color w:val="000000"/>
          <w:sz w:val="20"/>
        </w:rPr>
        <w:t>3.50%</w:t>
      </w:r>
      <w:r>
        <w:rPr>
          <w:color w:val="000000"/>
          <w:shd w:fill="FFFFFF" w:val="clear"/>
        </w:rPr>
        <w:t xml:space="preserve"> </w:t>
      </w:r>
      <w:r>
        <w:rPr>
          <w:rFonts w:ascii="Times New Roman;sans-serif" w:hAnsi="Times New Roman;sans-serif"/>
          <w:b w:val="false"/>
          <w:color w:val="000000"/>
          <w:sz w:val="20"/>
        </w:rPr>
        <w:t>FLSO Senior Secured Notes</w:t>
      </w:r>
      <w:r>
        <w:rPr>
          <w:color w:val="000000"/>
          <w:shd w:fill="FFFFFF" w:val="clear"/>
        </w:rPr>
        <w:t xml:space="preserve"> </w:t>
      </w:r>
      <w:r>
        <w:rPr>
          <w:rFonts w:ascii="Times New Roman;sans-serif" w:hAnsi="Times New Roman;sans-serif"/>
          <w:b w:val="false"/>
          <w:color w:val="000000"/>
          <w:sz w:val="20"/>
          <w:shd w:fill="FFFFFF" w:val="clear"/>
        </w:rPr>
        <w:t xml:space="preserve">and the carrying value was recorded as a premium and is included in long-term debt on the company’s Condensed Consolidated Balance Sheets.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premium recorded on the 3.50%</w:t>
      </w:r>
      <w:r>
        <w:rPr>
          <w:color w:val="000000"/>
          <w:shd w:fill="FFFFFF" w:val="clear"/>
        </w:rPr>
        <w:t xml:space="preserve"> </w:t>
      </w:r>
      <w:r>
        <w:rPr>
          <w:rFonts w:ascii="Times New Roman;sans-serif" w:hAnsi="Times New Roman;sans-serif"/>
          <w:b w:val="false"/>
          <w:color w:val="000000"/>
          <w:sz w:val="20"/>
        </w:rPr>
        <w:t>FLSO Senior Secured Notes was $39.1 million, which will be reduced as contractual interest payments are made on the 3.50%</w:t>
      </w:r>
      <w:r>
        <w:rPr>
          <w:color w:val="000000"/>
          <w:shd w:fill="FFFFFF" w:val="clear"/>
        </w:rPr>
        <w:t xml:space="preserve"> </w:t>
      </w:r>
      <w:r>
        <w:rPr>
          <w:rFonts w:ascii="Times New Roman;sans-serif" w:hAnsi="Times New Roman;sans-serif"/>
          <w:b w:val="false"/>
          <w:color w:val="000000"/>
          <w:sz w:val="20"/>
        </w:rPr>
        <w:t xml:space="preserve">FLSO Senior Secured Notes.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In connection with the March 2024 Refinancing Transactions, the company r</w:t>
      </w:r>
      <w:r>
        <w:rPr>
          <w:rFonts w:ascii="Times New Roman;sans-serif" w:hAnsi="Times New Roman;sans-serif"/>
          <w:b w:val="false"/>
          <w:color w:val="000000"/>
          <w:sz w:val="20"/>
        </w:rPr>
        <w:t>ecorded a gain in the first quarter of 2024 of $56.7 million after deducting third-party costs and lender fees incurred. The gain is included in "Gain on debt extinguishment, net of debt modification costs" in our Condensed Consolidated Statements of Comprehensive Loss. We incurred third party fees of $28.4 million.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March 2024 Refinancing Transactions were completed in April 2024 with the closing of the Public Note Exchange. In connection with the Public Note Exchange, we recorded a $23.3 million gain, after deducting $3.3 million of third-party fees, in the second quarter of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 Debt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New Senior Facilities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2024, Rackspace Finance Holdings, LLC (“Rackspace Finance Holdings”), the New Borrower,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FLSO Term Loan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The New Borrower issued the FLSO Term Loan Facility in an aggregate principal amount of $1,687.2 million. The FLSO Term Loan Facility matures on May 15, 2028. Borrowings under the FLSO Term Loan Facility bear interest at an annual rate equal to </w:t>
      </w:r>
      <w:r>
        <w:rPr>
          <w:rFonts w:ascii="Times New Roman;sans-serif" w:hAnsi="Times New Roman;sans-serif"/>
          <w:b w:val="false"/>
          <w:color w:val="000000"/>
          <w:sz w:val="20"/>
          <w:shd w:fill="FFFFFF" w:val="clear"/>
        </w:rPr>
        <w:t>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2.75%.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2025, the contractual interest rate on the FLSO Term Loan Facility was 7.19%. We are required to make quarterly principal payments of $4.2 million, which began on March 31, 20</w:t>
      </w:r>
      <w:r>
        <w:rPr>
          <w:rFonts w:ascii="Times New Roman;sans-serif" w:hAnsi="Times New Roman;sans-serif"/>
          <w:b w:val="false"/>
          <w:color w:val="000000"/>
          <w:sz w:val="20"/>
          <w:shd w:fill="FFFFFF" w:val="clear"/>
        </w:rPr>
        <w:t xml:space="preserve">24. See Note </w:t>
      </w:r>
      <w:r>
        <w:rPr>
          <w:rFonts w:ascii="Times New Roman;sans-serif" w:hAnsi="Times New Roman;sans-serif"/>
          <w:b w:val="false"/>
          <w:color w:val="000000"/>
          <w:sz w:val="20"/>
        </w:rPr>
        <w:t>11</w:t>
      </w:r>
      <w:r>
        <w:rPr>
          <w:rFonts w:ascii="Times New Roman;sans-serif" w:hAnsi="Times New Roman;sans-serif"/>
          <w:b w:val="false"/>
          <w:color w:val="000000"/>
          <w:sz w:val="20"/>
          <w:shd w:fill="FFFFFF" w:val="clear"/>
        </w:rPr>
        <w:t>, “</w:t>
      </w:r>
      <w:r>
        <w:rPr>
          <w:rFonts w:ascii="Times New Roman;sans-serif" w:hAnsi="Times New Roman;sans-serif"/>
          <w:b w:val="false"/>
          <w:color w:val="000000"/>
          <w:sz w:val="20"/>
        </w:rPr>
        <w:t>Derivatives</w:t>
      </w:r>
      <w:r>
        <w:rPr>
          <w:rFonts w:ascii="Times New Roman;sans-serif" w:hAnsi="Times New Roman;sans-serif"/>
          <w:b w:val="false"/>
          <w:color w:val="000000"/>
          <w:sz w:val="20"/>
          <w:shd w:fill="FFFFFF" w:val="clear"/>
        </w:rPr>
        <w:t xml:space="preserve">,” for information on interest rate swap agreements we utilize to manage the interest rate risk on the </w:t>
      </w:r>
      <w:r>
        <w:rPr>
          <w:rFonts w:ascii="Times New Roman;sans-serif" w:hAnsi="Times New Roman;sans-serif"/>
          <w:b w:val="false"/>
          <w:color w:val="000000"/>
          <w:sz w:val="20"/>
        </w:rPr>
        <w:t xml:space="preserve">FLSO </w:t>
      </w:r>
      <w:r>
        <w:rPr>
          <w:rFonts w:ascii="Times New Roman;sans-serif" w:hAnsi="Times New Roman;sans-serif"/>
          <w:b w:val="false"/>
          <w:color w:val="000000"/>
          <w:sz w:val="20"/>
          <w:shd w:fill="FFFFFF" w:val="clear"/>
        </w:rPr>
        <w:t xml:space="preserve">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Affiliates of Apollo are FLSO Term Loan Facility lenders under the New First Lien Credit Agreement. As of March 31, 2025, the outstanding principal amount of the FLSO Term Loan Facility was $1,622.6 million, of which $80.3 million, or 4.9%, is due to Apollo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September 12, 2025, the New Borrower may prepay some or all of the FLSO Term Loan Facility, together with accrued and unpaid interest, subject to the applicable “make-whole” premium. On or after September 12, 2025, the New Borrower may prepay some or all of the FLSO Term Loan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FLSO Term Loan Facility as of March 31, 2025 was $831.6 million, based on quoted market prices for identical assets that are traded in over-the-counter secondary markets that are not considered active. The fair value of the FLSO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New Borrower is the borrower and all obligations under the FLSO Term Loan Facility are guaranteed on a senior secured basis, jointly and severally, by Rackspace Finance Holdings on a limited-recourse basis and by certain of the New Borrower’s subsidiaries (the “Subsidiary Guarantors”). The obligations under the FLSO Term Loan Facility are secured by a pledge of the New Borrower’s capital stock directly held by Rackspace Finance Holdings and substantially all of the New Borrower’s and the Subsidiary Guarantors’ assets, subject to exceptions.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FLSO Term Loan Facility contains certain customary affirmative covenants, negative covenants, and events of default.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FLFO Term Loan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New Borrower issued the FLFO Term Loan Facility in an initial aggregate principal amount of $275.0 million. The FLFO Term Loan Facility matures on May 15, 2028. Borrowings under the FLFO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6.25% and were issued with 1.00% of original issue discount.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contractual interest rate on the FLFO Term Loan Facility was 10.69%. We are required to make quarterly principal payments of $0.7 million, which began on June 30, 2024. See Note 11, “Derivatives,” for information on interest rate swap agreements we utilize to manage the interest rate risk on the FLFO Term Loan Facility.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September 12, 2025, the New Borrower may prepay some or all of the FLFO Term Loan Facility, together with accrued and unpaid interest, subject to the applicable “make-whole” premium. On or after September 12, 2025 but prior to September 12, 2027, the New Borrower 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the New Borrower may prepay some or all of the FLFO Term Loan Facility, together with accrued and unpaid interest, without prepayment premium or penalty.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FLFO Term Loan Facility as of March 31, 2025 was $280.1 million, based on quoted market prices for identical assets that are traded in over-the-counter secondary markets that are not considered active. The fair value of the FLFO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New Borrower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FLFO Term Loan Facility contains certain customary affirmative covenants, negative covenants, and events of default.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New Revolving Credit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New Borrower established the New Revolving Credit Facility in an aggregate principal amount of $375.0 million of commitments. The New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After June 30, 2024, the applicable margin became subject to a net first lien leverage-based pricing grid as set forth in the New First Lien Credit Agreement. In addition to paying interest on the outstanding principal under the New Revolving Credit Facility, the New Borrower is required to pay a commitment fee equal to initially 0.50% per annum to the lenders under the New Revolving Credit Facility in respect of the unutilized commitments thereunder. After June 30, 2024, the commitment fee became subject to a net first lien leverage-based pricing grid as set forth in the New First Lien Credit Agreement. The New Borrower may prepay loans incurred under the New Revolving Credit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New Borrower is the borrower and all obligations under the </w:t>
      </w:r>
      <w:r>
        <w:rPr>
          <w:rFonts w:ascii="Times New Roman;sans-serif" w:hAnsi="Times New Roman;sans-serif"/>
          <w:b w:val="false"/>
          <w:color w:val="000000"/>
          <w:sz w:val="20"/>
          <w:shd w:fill="FFFFFF" w:val="clear"/>
        </w:rPr>
        <w:t>New Revolving Credit Facility</w:t>
      </w:r>
      <w:r>
        <w:rPr>
          <w:color w:val="000000"/>
        </w:rPr>
        <w:t xml:space="preserve"> </w:t>
      </w:r>
      <w:r>
        <w:rPr>
          <w:rFonts w:ascii="Times New Roman;sans-serif" w:hAnsi="Times New Roman;sans-serif"/>
          <w:b w:val="false"/>
          <w:color w:val="000000"/>
          <w:sz w:val="20"/>
        </w:rPr>
        <w:t xml:space="preserve">are guaranteed on a senior secured basis, jointly and severally, by Rackspace Finance Holdings on a limited-recourse basis and by the Subsidiary Guarantors. The obligations under the </w:t>
      </w:r>
      <w:r>
        <w:rPr>
          <w:rFonts w:ascii="Times New Roman;sans-serif" w:hAnsi="Times New Roman;sans-serif"/>
          <w:b w:val="false"/>
          <w:color w:val="000000"/>
          <w:sz w:val="20"/>
          <w:shd w:fill="FFFFFF" w:val="clear"/>
        </w:rPr>
        <w:t>New Revolving Credit Facility</w:t>
      </w:r>
      <w:r>
        <w:rPr>
          <w:color w:val="000000"/>
        </w:rPr>
        <w:t xml:space="preserve"> </w:t>
      </w:r>
      <w:r>
        <w:rPr>
          <w:rFonts w:ascii="Times New Roman;sans-serif" w:hAnsi="Times New Roman;sans-serif"/>
          <w:b w:val="false"/>
          <w:color w:val="000000"/>
          <w:sz w:val="20"/>
        </w:rPr>
        <w:t>are secured by the same collateral that secures the FLSO Term Loan Facility, the FLFO Term Loan Facility and the 3.50% FLSO Senior Secured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New Revolving Credit Facility contains certain customary affirmative covenants, negative covenants, and events of default. In addition, the New Revolving Credit Facility contains a financial covenant which limits the super-priority net senior secured leverage ratio to a maximum of 5.00 to 1.00; however, this covenant is only applicable and tested if the aggregate amount of outstanding borrowings under the New Revolving Credit Facility and letters of credit issued thereunder (excluding $25.0 million of undrawn letters of credit and cash collateralized letters of credit) as of the last day of a fiscal quarter is greater than 35% of the New Revolving Credit Facility commitments as of the last day of such fiscal quarter.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During the three months ended March 31, 2025, we borrowed $30.0 million.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we had total commitments of $375.0 million, $30.0 million of outstanding borrowings under the New Revolving Credit Facility, and $23.5 million of letters of credit issued thereunder. As such,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we had $345.0 million of available commitments remaining.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were in compliance with all covenants under the New Senior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3.50% FLSO Senior Secured Notes due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the New Borrower issued $267.3 million initial aggregate principal amount of the 3.50% FLSO Senior Secured Notes. On April 2, 2024 and April 16, 2024, the New Borrower issued additional 3.50% FLSO Senior Secured Notes in an aggregate principal amount of $93.3 million and $3.6 million, respectively. The 3.50% FLSO Senior Secured Notes will mature on May 15, 2028 and bear interest at an annual fixed rate of 3.50%. Interest is payable semiannually on February 15 and August 15, commencing on August 15, 2024. The 3.50% FLSO Senior Secured Notes are not subject to registration rights.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Borrower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Borrower may redeem some or all of the 3.50% FLSO Senior Secured Notes at its option prior to September 12, 2025 at a redemption price equal to 100% of the principal amount of the 3.50% FLSO Senior Secured Notes redeemed, plus a “make-whole” premium described in the indenture governing the 3.50% FLSO Senior Secured Notes (the “3.50% FLSO Senior Secured Notes Indenture”), plus accrued and unpaid interest, if any, to, but excluding, the redemption date. Commencing September 12, 2025, the New Borrower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were in compliance with all covenants under the 3.50% FLSO Senior Secured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The fair value of the 3.50% FLSO Senior Secured Notes as of March 31, 2025 was </w:t>
      </w:r>
      <w:r>
        <w:rPr>
          <w:rFonts w:ascii="Times New Roman;sans-serif" w:hAnsi="Times New Roman;sans-serif"/>
          <w:b w:val="false"/>
          <w:color w:val="000000"/>
          <w:sz w:val="20"/>
        </w:rPr>
        <w:t>$151.2 million</w:t>
      </w:r>
      <w:r>
        <w:rPr>
          <w:color w:val="000000"/>
          <w:shd w:fill="FFFFFF" w:val="clear"/>
        </w:rPr>
        <w:t xml:space="preserve"> </w:t>
      </w:r>
      <w:r>
        <w:rPr>
          <w:rFonts w:ascii="Times New Roman;sans-serif" w:hAnsi="Times New Roman;sans-serif"/>
          <w:b w:val="false"/>
          <w:color w:val="000000"/>
          <w:sz w:val="20"/>
          <w:shd w:fill="FFFFFF" w:val="clear"/>
        </w:rPr>
        <w:t>based on quoted market prices for identical assets that are traded in over-the-counter secondary markets that are not considered active. The fair value of the 3.50% FLSO Senior Secured Notes are classified as Level 2 within the fair value hierarchy.</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Existing Debt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senior secured credit facilities include the Term Loan Facility and the prior Revolving Credit Facility (together, the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2021, we amended and restated the credit agreement governing our Senior Facilities (the "First Lien Credit Agreement"), which included a seven-year $2,300.0 million senior secured first lien term loan facility due on February 15, 2028 and our existing $375.0 million Revolving Credit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26, 2023, we executed an amendment to our First Lien Credit Agreement to establish Term SOFR as the benchmark rate for determining the applicable interest rate, replacing LIBOR.</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duration, and 0.43% for an interest period of six-months' duration, subject to a 0.75% floor, in the case of the Term Loan Facility, and a 1.00% floor, in the case of the prior Revolving Credit Facility, or (b) a base rate determined by reference to the highest of (i) the federal funds rate plus 0.50%, (ii) the prime rate last quoted by The Wall Street Journal and (iii) adjusted Term SOFR for a one-month tenor plus 1.00%.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applicable margin for the Term Loan Facility is 2.75% for SOFR loans and 1.75% for base rate loans and the applicable margin for the prior Revolving Credit Facility was 3.00% for SOFR loans and 2.00% for base rate loans. Interest is due at the end of each interest period elected, not exceeding 90 days, for SOFR loans and at the end of every calendar quarter for base rate loans.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other material terms and conditions of the First Lien Credit Agreement were unchanged.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paying interest on the outstanding principal under the Senior Facilities, the prior Revolving Credit Facility also included a commitment fee equal to 0.50% per annum in respect of the unused commitments that was due quarterly. This commitment fee was subject to one step-down based on the net first lien leverage ratio.</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contractual interest rate on the Term Loan Facility was 7.19%. We are required to make quarterly principal payments of $0.2 million. See Note 11, “Derivatives,” for information on interest rate swap agreements we utilize to manage the interest rate risk on the Term Loan Facility.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a result of the Private Exchange and the Public Term Loan Exchange, discussed within “</w:t>
      </w:r>
      <w:r>
        <w:rPr>
          <w:rFonts w:ascii="Times New Roman;sans-serif" w:hAnsi="Times New Roman;sans-serif"/>
          <w:b w:val="false"/>
          <w:i/>
          <w:color w:val="000000"/>
          <w:sz w:val="20"/>
        </w:rPr>
        <w:t>March 2024 Refinancing Transactions</w:t>
      </w:r>
      <w:r>
        <w:rPr>
          <w:color w:val="000000"/>
        </w:rPr>
        <w:t xml:space="preserve">” </w:t>
      </w:r>
      <w:r>
        <w:rPr>
          <w:rFonts w:ascii="Times New Roman;sans-serif" w:hAnsi="Times New Roman;sans-serif"/>
          <w:b w:val="false"/>
          <w:color w:val="000000"/>
          <w:sz w:val="20"/>
        </w:rPr>
        <w:t>above, over 97% of the $2,181.2 million aggregate principal amount of the Term Loan Facility outstanding as of December 31, 2023 was exchanged or purchased for cancellation.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The only financial covenant was with respect to the prior Revolving Credit Facility. As discussed in “</w:t>
      </w:r>
      <w:r>
        <w:rPr>
          <w:rFonts w:ascii="Times New Roman;sans-serif" w:hAnsi="Times New Roman;sans-serif"/>
          <w:b w:val="false"/>
          <w:i/>
          <w:color w:val="000000"/>
          <w:sz w:val="20"/>
        </w:rPr>
        <w:t>March 2024 Refinancing Transactions</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above, on March 12, 2024, a</w:t>
      </w:r>
      <w:r>
        <w:rPr>
          <w:rFonts w:ascii="Times New Roman;sans-serif" w:hAnsi="Times New Roman;sans-serif"/>
          <w:b w:val="false"/>
          <w:color w:val="000000"/>
          <w:sz w:val="20"/>
        </w:rPr>
        <w:t>ll revolving lenders under the prior Revolving Credit Facility exchanged their revolving loan commitments for commitments in respect of the New Revolving Credit Facility, which replaced in full the prior Revolving Credit Facility. See “</w:t>
      </w:r>
      <w:r>
        <w:rPr>
          <w:rFonts w:ascii="Times New Roman;sans-serif" w:hAnsi="Times New Roman;sans-serif"/>
          <w:b w:val="false"/>
          <w:i/>
          <w:color w:val="000000"/>
          <w:sz w:val="20"/>
        </w:rPr>
        <w:t>New Revolving Credit Facility</w:t>
      </w:r>
      <w:r>
        <w:rPr>
          <w:color w:val="000000"/>
        </w:rPr>
        <w:t xml:space="preserve">” </w:t>
      </w:r>
      <w:r>
        <w:rPr>
          <w:rFonts w:ascii="Times New Roman;sans-serif" w:hAnsi="Times New Roman;sans-serif"/>
          <w:b w:val="false"/>
          <w:color w:val="000000"/>
          <w:sz w:val="20"/>
        </w:rPr>
        <w:t xml:space="preserve">above for information regarding this new debt instrument.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were in compliance with all covenants under the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Term Loan Facility as of March 31, 2025 was $21.6 million, based on quoted market prices for identical assets that are traded in over-the-counter secondary markets that are not considered active. The fair value of the Term Loan Facility is classified as Level 2 within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2021, Rackspace Technology Global issued $550.0 million aggregate principal amount of the 3.50% Senior Secured Notes. The 3.50% Senior Secured Notes will mature on February 15, 2028 and bear interest at an annual fixed rate of 3.50%. Interest is payable semiannually on February 15 and August 15, commencing on August 15, 2021. The 3.50% Senior Secured Notes are not subject to registration rights. </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Rackspace Technology Global may redeem the 3.50% Senior Secured Notes at its option, in whole at any time or in part from time to time, at the following redemption prices: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w:t>
      </w:r>
      <w:r>
        <w:rPr>
          <w:rFonts w:ascii="Times New Roman;sans-serif" w:hAnsi="Times New Roman;sans-serif"/>
          <w:b w:val="false"/>
          <w:color w:val="000000"/>
          <w:sz w:val="20"/>
          <w:shd w:fill="FFFFFF" w:val="clear"/>
        </w:rPr>
        <w:t xml:space="preserve">ay redeem during each twelve-month period, commencing with February 9, 2021, up to 10.0% of the original aggregate principal amount of the </w:t>
      </w:r>
      <w:r>
        <w:rPr>
          <w:rFonts w:ascii="Times New Roman;sans-serif" w:hAnsi="Times New Roman;sans-serif"/>
          <w:b w:val="false"/>
          <w:color w:val="000000"/>
          <w:sz w:val="20"/>
        </w:rPr>
        <w:t xml:space="preserve">3.50% Senior Secured Notes </w:t>
      </w:r>
      <w:r>
        <w:rPr>
          <w:rFonts w:ascii="Times New Roman;sans-serif" w:hAnsi="Times New Roman;sans-serif"/>
          <w:b w:val="false"/>
          <w:color w:val="000000"/>
          <w:sz w:val="20"/>
          <w:shd w:fill="FFFFFF" w:val="clear"/>
        </w:rPr>
        <w:t>at a redemption price of 103.000%, plus accrued and unpaid interest, if any, to, but excluding, the applicable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Private Exchange and the Public Note Exchange, discussed above, over 91% of the $513.7 million aggregate principal amount of the 3.50% Senior Secured Notes outstanding as of December 31, 2023 was exchanged or purchased for cancellation.</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3.50% Senior Secured Notes (the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Rackspace Technology Global was in compliance with all covenants under the 3.50%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the 3.50% Senior Secured Notes as of March 31, 2025 was $12.2 million, based on quoted market prices for identical assets that are traded in over-the-counter secondary markets that are not considered active. The fair value of the 3.50% Senior Secured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2020, Rackspace Technology Global issued $550.0 million aggregate principal amount of the 5.375% Senior Notes. The 5.375% Senior Notes will mature on December 1, 2028 and bear interest at an annual fixed rate of 5.375%. Interest is payable semiannually on June 1 and December 1, commencing on June 1, 2021. The 5.375% Senior Notes are not subject to registration rights.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Global may redeem the 5.375% Senior Notes at its option, in whole at any time or in part from time to time, at the following redemption prices: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previously described in “</w:t>
      </w:r>
      <w:r>
        <w:rPr>
          <w:rFonts w:ascii="Times New Roman;sans-serif" w:hAnsi="Times New Roman;sans-serif"/>
          <w:b w:val="false"/>
          <w:i/>
          <w:color w:val="000000"/>
          <w:sz w:val="20"/>
        </w:rPr>
        <w:t>March 2024 Refinancing Transactions</w:t>
      </w:r>
      <w:r>
        <w:rPr>
          <w:color w:val="000000"/>
        </w:rPr>
        <w:t xml:space="preserve">” </w:t>
      </w:r>
      <w:r>
        <w:rPr>
          <w:rFonts w:ascii="Times New Roman;sans-serif" w:hAnsi="Times New Roman;sans-serif"/>
          <w:b w:val="false"/>
          <w:color w:val="000000"/>
          <w:sz w:val="20"/>
        </w:rPr>
        <w:t>above, as part of the Private Exchange, we repurchased and cancelled $69.3 million aggregate principal amount of the 5.375% Senior Notes during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5.375% Senior Notes (the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Rackspace Technology Global was in compliance with all covenants under the 5.375%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5.375% Senior Notes as of March 31, 2025 was $33.2 million, based on quoted market prices for identical assets that are traded in over-the-counter secondary markets that are not considered active. The fair value of the 5.375% Senior Notes are classified as Level 2 within the fair value hierarchy.</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Commitments and Contingencies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contingencies that arise from various litigation, claims and commitments, none of which we consider to be material.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party to various legal proceedings arising in the ordinary course of business. In addition, third parties may bring intellectual property claims against us asserting that certain of our offerings, services and technologies infringe, misappropriate or otherwise violate the intellectual property or proprietary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a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Share-Based Compensation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granted 0.3 million restricted stock units ("RSUs") under the 2020 Incentive Plan with a weighted-average grant date fair value of $2.58. The majority of the RSUs were granted as part of our promotion and recruitment process and vest ratably over a three-year period, subject to continued service.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is comprised of the following equity and liability classified award amounts:</w:t>
      </w:r>
    </w:p>
    <w:p>
      <w:pPr>
        <w:pStyle w:val="TextBody"/>
        <w:bidi w:val="0"/>
        <w:spacing w:before="0" w:after="0"/>
        <w:ind w:left="0" w:right="0" w:firstLine="540"/>
        <w:jc w:val="left"/>
        <w:rPr/>
      </w:pPr>
      <w:r>
        <w:rPr/>
      </w:r>
    </w:p>
    <w:tbl>
      <w:tblPr>
        <w:tblW w:w="6057" w:type="dxa"/>
        <w:jc w:val="left"/>
        <w:tblInd w:w="0" w:type="dxa"/>
        <w:tblLayout w:type="fixed"/>
        <w:tblCellMar>
          <w:top w:w="28" w:type="dxa"/>
          <w:left w:w="28" w:type="dxa"/>
          <w:bottom w:w="28" w:type="dxa"/>
          <w:right w:w="28" w:type="dxa"/>
        </w:tblCellMar>
      </w:tblPr>
      <w:tblGrid>
        <w:gridCol w:w="1087"/>
        <w:gridCol w:w="955"/>
        <w:gridCol w:w="958"/>
        <w:gridCol w:w="270"/>
        <w:gridCol w:w="643"/>
        <w:gridCol w:w="150"/>
        <w:gridCol w:w="150"/>
        <w:gridCol w:w="150"/>
        <w:gridCol w:w="150"/>
        <w:gridCol w:w="270"/>
        <w:gridCol w:w="643"/>
        <w:gridCol w:w="150"/>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classified awards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classified awards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Total share-based compensation expense recogniz</w:t>
      </w:r>
      <w:r>
        <w:rPr>
          <w:rFonts w:ascii="Times New Roman;sans-serif" w:hAnsi="Times New Roman;sans-serif"/>
          <w:b w:val="false"/>
          <w:color w:val="000000"/>
          <w:sz w:val="20"/>
          <w:shd w:fill="FFFFFF" w:val="clear"/>
        </w:rPr>
        <w:t xml:space="preserve">ed </w:t>
      </w:r>
      <w:r>
        <w:rPr>
          <w:rFonts w:ascii="Times New Roman;sans-serif" w:hAnsi="Times New Roman;sans-serif"/>
          <w:b w:val="false"/>
          <w:color w:val="000000"/>
          <w:sz w:val="20"/>
        </w:rPr>
        <w:t>was as follows: </w:t>
      </w:r>
    </w:p>
    <w:tbl>
      <w:tblPr>
        <w:tblW w:w="6809" w:type="dxa"/>
        <w:jc w:val="left"/>
        <w:tblInd w:w="0" w:type="dxa"/>
        <w:tblLayout w:type="fixed"/>
        <w:tblCellMar>
          <w:top w:w="28" w:type="dxa"/>
          <w:left w:w="28" w:type="dxa"/>
          <w:bottom w:w="28" w:type="dxa"/>
          <w:right w:w="28" w:type="dxa"/>
        </w:tblCellMar>
      </w:tblPr>
      <w:tblGrid>
        <w:gridCol w:w="1359"/>
        <w:gridCol w:w="1193"/>
        <w:gridCol w:w="1197"/>
        <w:gridCol w:w="284"/>
        <w:gridCol w:w="676"/>
        <w:gridCol w:w="158"/>
        <w:gridCol w:w="158"/>
        <w:gridCol w:w="158"/>
        <w:gridCol w:w="158"/>
        <w:gridCol w:w="284"/>
        <w:gridCol w:w="545"/>
        <w:gridCol w:w="158"/>
        <w:gridCol w:w="109"/>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share-based compensation expense</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Income tax benefit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 net of tax</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2025, there was $24.9 million of total unrecognized compensation cost related to RSUs, performance stock units, and the ESPP, which will be recognized using the service period or over our best estimate of the period over which the performance condition will be met, as applicable.</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10. Taxes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March 31, 2025, our effective tax rate is lower than the U.S. federal statutory rate of 21% primarily due to the tax impact associated with changes in valuation allowance, executive compensation that is nondeductible under Internal Revenue Code (“IRC”) Section 162(m), the net impact of the geographic distribution of our earnings, and the tax effects from nondeductible share-based compensation.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Derivatives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Condensed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w:t>
      </w:r>
      <w:r>
        <w:rPr>
          <w:rFonts w:ascii="Times New Roman;sans-serif" w:hAnsi="Times New Roman;sans-serif"/>
          <w:b w:val="false"/>
          <w:color w:val="000000"/>
          <w:sz w:val="20"/>
          <w:shd w:fill="FFFFFF" w:val="clear"/>
        </w:rPr>
        <w:t xml:space="preserve">pproach.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amount remaining in "Accumulated other comprehensive income" for the de-designated December 2016 and December 2018 swaps at the de-designation date was app</w:t>
      </w:r>
      <w:r>
        <w:rPr>
          <w:rFonts w:ascii="Times New Roman;sans-serif" w:hAnsi="Times New Roman;sans-serif"/>
          <w:b w:val="false"/>
          <w:color w:val="000000"/>
          <w:sz w:val="20"/>
          <w:shd w:fill="FFFFFF" w:val="clear"/>
        </w:rPr>
        <w:t>roximately $51.6 million, and was amortized as an increase to "Interest expense" over the effective period of the original swap agreements.</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new receive-fixed interest rate swap qualifies as a hybrid instrument in accordance with ASC No.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Condensed Consolidated Statements of Cash Flows.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The new pay-fixed interest rate swap also qualifies as a hybrid instrument in accordance with ASC No. 815, </w:t>
      </w:r>
      <w:r>
        <w:rPr>
          <w:rFonts w:ascii="Times New Roman;sans-serif" w:hAnsi="Times New Roman;sans-serif"/>
          <w:b w:val="false"/>
          <w:i/>
          <w:color w:val="000000"/>
          <w:sz w:val="20"/>
          <w:shd w:fill="FFFFFF" w:val="clear"/>
        </w:rPr>
        <w:t>Derivatives and Hedging</w:t>
      </w:r>
      <w:r>
        <w:rPr>
          <w:rFonts w:ascii="Times New Roman;sans-serif" w:hAnsi="Times New Roman;sans-serif"/>
          <w:b w:val="false"/>
          <w:color w:val="000000"/>
          <w:sz w:val="20"/>
          <w:shd w:fill="FFFFFF" w:val="clear"/>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Condensed Consolidated Statements of Cash Flows while the portion treated as an at-market derivative will be classified as operating activities.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discussed in Note 7, "Debt", on April 26, 2023 </w:t>
      </w:r>
      <w:r>
        <w:rPr>
          <w:rFonts w:ascii="Times New Roman;sans-serif" w:hAnsi="Times New Roman;sans-serif"/>
          <w:b w:val="false"/>
          <w:color w:val="000000"/>
          <w:sz w:val="20"/>
          <w:shd w:fill="FFFFFF" w:val="clear"/>
        </w:rPr>
        <w:t xml:space="preserve">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 monthly basis, we net settle with the counterparty for the difference between the fixed rate of 2.34150% and the variable rate based upon the one-month Term SOFR (subject to a floor of 0.75%) as applied to the notional amount of the swap.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In conjunction with the March 2024 Refinancing Transactions, as discussed in </w:t>
      </w:r>
      <w:r>
        <w:rPr>
          <w:rFonts w:ascii="Times New Roman;sans-serif" w:hAnsi="Times New Roman;sans-serif"/>
          <w:b w:val="false"/>
          <w:color w:val="000000"/>
          <w:sz w:val="20"/>
        </w:rPr>
        <w:t>Note 7, “Debt”, we issued additional borrowings and used the proceeds to repay previously hedged borrowings under the Term Loan Facility. Given that the specific intent of the new borrowings was a replacement of the previously hedged borrowings and the economic characteristics were the same, we continue to apply hedge accounting on the replacement borrowings.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March 31, 2025, the cash flow hedge was highly effective.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key terms of our remaining interest rate swap is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7"/>
        <w:gridCol w:w="348"/>
        <w:gridCol w:w="351"/>
        <w:gridCol w:w="109"/>
        <w:gridCol w:w="109"/>
        <w:gridCol w:w="109"/>
        <w:gridCol w:w="439"/>
        <w:gridCol w:w="344"/>
        <w:gridCol w:w="324"/>
        <w:gridCol w:w="109"/>
        <w:gridCol w:w="109"/>
        <w:gridCol w:w="109"/>
        <w:gridCol w:w="641"/>
        <w:gridCol w:w="561"/>
        <w:gridCol w:w="563"/>
        <w:gridCol w:w="143"/>
        <w:gridCol w:w="143"/>
        <w:gridCol w:w="143"/>
        <w:gridCol w:w="200"/>
        <w:gridCol w:w="200"/>
        <w:gridCol w:w="201"/>
        <w:gridCol w:w="109"/>
        <w:gridCol w:w="109"/>
        <w:gridCol w:w="109"/>
        <w:gridCol w:w="641"/>
        <w:gridCol w:w="561"/>
        <w:gridCol w:w="563"/>
        <w:gridCol w:w="127"/>
        <w:gridCol w:w="127"/>
        <w:gridCol w:w="127"/>
        <w:gridCol w:w="200"/>
        <w:gridCol w:w="200"/>
        <w:gridCol w:w="201"/>
        <w:gridCol w:w="109"/>
        <w:gridCol w:w="109"/>
        <w:gridCol w:w="109"/>
        <w:gridCol w:w="333"/>
        <w:gridCol w:w="333"/>
        <w:gridCol w:w="486"/>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Fixed Rate Paid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479"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479"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479"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2.34150%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2026</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Fixed rate paid prior to the May 9, 2023 amendment was 2.3820%.</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rate swap agreement, excluding the portion treated as debt, is recognized at fair value in the Condensed Consolidated Balance Sheets and is valued using pricing models that rely on market observable inputs such as yield curve data, which are classified as Level 2 inputs within the fair value hierarchy.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Values of Derivatives on the Condensed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our derivatives and their location on the Condensed Consolidated Balance Sheets as of December 31, 2024 and March 31, 2025 were as follows: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30"/>
        <w:gridCol w:w="1169"/>
        <w:gridCol w:w="1180"/>
        <w:gridCol w:w="747"/>
        <w:gridCol w:w="747"/>
        <w:gridCol w:w="749"/>
        <w:gridCol w:w="196"/>
        <w:gridCol w:w="466"/>
        <w:gridCol w:w="109"/>
        <w:gridCol w:w="109"/>
        <w:gridCol w:w="109"/>
        <w:gridCol w:w="109"/>
        <w:gridCol w:w="217"/>
        <w:gridCol w:w="517"/>
        <w:gridCol w:w="122"/>
        <w:gridCol w:w="109"/>
        <w:gridCol w:w="109"/>
        <w:gridCol w:w="109"/>
        <w:gridCol w:w="196"/>
        <w:gridCol w:w="466"/>
        <w:gridCol w:w="109"/>
        <w:gridCol w:w="109"/>
        <w:gridCol w:w="109"/>
        <w:gridCol w:w="109"/>
        <w:gridCol w:w="216"/>
        <w:gridCol w:w="514"/>
        <w:gridCol w:w="174"/>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current liabilities </w:t>
            </w:r>
            <w:r>
              <w:rPr>
                <w:rFonts w:ascii="Times New Roman;sans-serif" w:hAnsi="Times New Roman;sans-serif"/>
                <w:b w:val="false"/>
                <w:color w:val="000000"/>
                <w:sz w:val="12"/>
              </w:rPr>
              <w:t>(1)</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non-current liabilities </w:t>
            </w:r>
            <w:r>
              <w:rPr>
                <w:rFonts w:ascii="Times New Roman;sans-serif" w:hAnsi="Times New Roman;sans-serif"/>
                <w:b w:val="false"/>
                <w:color w:val="000000"/>
                <w:sz w:val="12"/>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entire balance is comprised of the financing component of the pay-fixed interest rate swap.</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financial statement presentation purposes, we do not offset assets and liabilities under master netting arrangements and all amounts above are presented on a gross basis. The following table, however, is presented on a net asset and net liability basis:</w:t>
      </w:r>
    </w:p>
    <w:p>
      <w:pPr>
        <w:pStyle w:val="TextBody"/>
        <w:bidi w:val="0"/>
        <w:spacing w:before="0" w:after="0"/>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461"/>
        <w:gridCol w:w="278"/>
        <w:gridCol w:w="279"/>
        <w:gridCol w:w="331"/>
        <w:gridCol w:w="791"/>
        <w:gridCol w:w="187"/>
        <w:gridCol w:w="109"/>
        <w:gridCol w:w="109"/>
        <w:gridCol w:w="109"/>
        <w:gridCol w:w="382"/>
        <w:gridCol w:w="937"/>
        <w:gridCol w:w="213"/>
        <w:gridCol w:w="109"/>
        <w:gridCol w:w="109"/>
        <w:gridCol w:w="109"/>
        <w:gridCol w:w="229"/>
        <w:gridCol w:w="548"/>
        <w:gridCol w:w="129"/>
        <w:gridCol w:w="109"/>
        <w:gridCol w:w="109"/>
        <w:gridCol w:w="109"/>
        <w:gridCol w:w="331"/>
        <w:gridCol w:w="791"/>
        <w:gridCol w:w="187"/>
        <w:gridCol w:w="109"/>
        <w:gridCol w:w="109"/>
        <w:gridCol w:w="109"/>
        <w:gridCol w:w="382"/>
        <w:gridCol w:w="937"/>
        <w:gridCol w:w="213"/>
        <w:gridCol w:w="109"/>
        <w:gridCol w:w="109"/>
        <w:gridCol w:w="109"/>
        <w:gridCol w:w="228"/>
        <w:gridCol w:w="544"/>
        <w:gridCol w:w="192"/>
      </w:tblGrid>
      <w:tr>
        <w:trPr/>
        <w:tc>
          <w:tcPr>
            <w:tcW w:w="4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Amounts</w:t>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1018"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Effect of Derivatives on the Condensed Consolidated Statements of Comprehensive Loss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of our derivatives and their location on the Condensed Consolidated Statements of Comprehensive Loss for the three months ended March 31, 2024 and 2025 was as follows: </w:t>
      </w:r>
    </w:p>
    <w:tbl>
      <w:tblPr>
        <w:tblW w:w="8665" w:type="dxa"/>
        <w:jc w:val="left"/>
        <w:tblInd w:w="0" w:type="dxa"/>
        <w:tblLayout w:type="fixed"/>
        <w:tblCellMar>
          <w:top w:w="28" w:type="dxa"/>
          <w:left w:w="28" w:type="dxa"/>
          <w:bottom w:w="28" w:type="dxa"/>
          <w:right w:w="28" w:type="dxa"/>
        </w:tblCellMar>
      </w:tblPr>
      <w:tblGrid>
        <w:gridCol w:w="1334"/>
        <w:gridCol w:w="1172"/>
        <w:gridCol w:w="1183"/>
        <w:gridCol w:w="639"/>
        <w:gridCol w:w="639"/>
        <w:gridCol w:w="641"/>
        <w:gridCol w:w="270"/>
        <w:gridCol w:w="643"/>
        <w:gridCol w:w="150"/>
        <w:gridCol w:w="150"/>
        <w:gridCol w:w="150"/>
        <w:gridCol w:w="150"/>
        <w:gridCol w:w="270"/>
        <w:gridCol w:w="643"/>
        <w:gridCol w:w="150"/>
        <w:gridCol w:w="109"/>
        <w:gridCol w:w="109"/>
        <w:gridCol w:w="109"/>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w:t>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$43.7 million and $19.4 million for the three months ended March 31, 2024 and 2025, respectively. As of March 31, 2025, the amount of cash flow hedge gain included within "Accumulated other comprehensive income" that is expected to be reclassified as a reduction to "Interest expense" over the next 12 months is approximately $34.7 million. See Note 12, "Accumulated Other Comprehensive Income," for information regarding changes in fair value of our derivatives designated as hedging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Credit-risk-related Contingent Features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agreements with interest rate swap counterparties that contain a provision whereby if we default on any of our material indebtedness, then we could also be declared in default of our interest rate swap agreements. As of March 31, 2025, our outstanding interest rate swap agreement was in a net asset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Accumulated Other Comprehensive Income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other comprehensive income consisted of the following: </w:t>
      </w:r>
    </w:p>
    <w:tbl>
      <w:tblPr>
        <w:tblW w:w="10205" w:type="dxa"/>
        <w:jc w:val="center"/>
        <w:tblInd w:w="0" w:type="dxa"/>
        <w:tblLayout w:type="fixed"/>
        <w:tblCellMar>
          <w:top w:w="28" w:type="dxa"/>
          <w:left w:w="28" w:type="dxa"/>
          <w:bottom w:w="28" w:type="dxa"/>
          <w:right w:w="28" w:type="dxa"/>
        </w:tblCellMar>
      </w:tblPr>
      <w:tblGrid>
        <w:gridCol w:w="1392"/>
        <w:gridCol w:w="1040"/>
        <w:gridCol w:w="979"/>
        <w:gridCol w:w="625"/>
        <w:gridCol w:w="1247"/>
        <w:gridCol w:w="349"/>
        <w:gridCol w:w="109"/>
        <w:gridCol w:w="109"/>
        <w:gridCol w:w="109"/>
        <w:gridCol w:w="473"/>
        <w:gridCol w:w="1126"/>
        <w:gridCol w:w="265"/>
        <w:gridCol w:w="109"/>
        <w:gridCol w:w="109"/>
        <w:gridCol w:w="109"/>
        <w:gridCol w:w="491"/>
        <w:gridCol w:w="1170"/>
        <w:gridCol w:w="394"/>
      </w:tblGrid>
      <w:tr>
        <w:trPr/>
        <w:tc>
          <w:tcPr>
            <w:tcW w:w="139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 benefit of $0.2</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contracts, net of tax expense of $4.5</w:t>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 reclassified from Accumulated comprehensive income (loss) into earnings, net of tax expense of $3.8 </w:t>
            </w:r>
            <w:r>
              <w:rPr>
                <w:rFonts w:ascii="Times New Roman;sans-serif" w:hAnsi="Times New Roman;sans-serif"/>
                <w:b w:val="false"/>
                <w:color w:val="000000"/>
                <w:sz w:val="12"/>
              </w:rPr>
              <w:t>(1)</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a reduction to interest expense recognized of $14.9 million related to the cash flow hedge gain for the three months ended March 31, 2024.</w:t>
      </w:r>
    </w:p>
    <w:p>
      <w:pPr>
        <w:pStyle w:val="TextBody"/>
        <w:bidi w:val="0"/>
        <w:spacing w:before="0" w:after="0"/>
        <w:ind w:left="0" w:right="0" w:hanging="540"/>
        <w:jc w:val="left"/>
        <w:rPr/>
      </w:pPr>
      <w:r>
        <w:rPr/>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92"/>
        <w:gridCol w:w="1040"/>
        <w:gridCol w:w="979"/>
        <w:gridCol w:w="552"/>
        <w:gridCol w:w="1359"/>
        <w:gridCol w:w="309"/>
        <w:gridCol w:w="109"/>
        <w:gridCol w:w="109"/>
        <w:gridCol w:w="109"/>
        <w:gridCol w:w="473"/>
        <w:gridCol w:w="1126"/>
        <w:gridCol w:w="265"/>
        <w:gridCol w:w="109"/>
        <w:gridCol w:w="109"/>
        <w:gridCol w:w="109"/>
        <w:gridCol w:w="491"/>
        <w:gridCol w:w="1170"/>
        <w:gridCol w:w="395"/>
      </w:tblGrid>
      <w:tr>
        <w:trPr/>
        <w:tc>
          <w:tcPr>
            <w:tcW w:w="139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 net of tax expense of $0.6</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 contracts, net of tax benefit of $0.1</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 reclassified from Accumulated comprehensive income (loss) into earnings, net of tax expense of $2.9 </w:t>
            </w:r>
            <w:r>
              <w:rPr>
                <w:rFonts w:ascii="Times New Roman;sans-serif" w:hAnsi="Times New Roman;sans-serif"/>
                <w:b w:val="false"/>
                <w:color w:val="000000"/>
                <w:sz w:val="12"/>
              </w:rPr>
              <w:t>(1)</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a reduction to interest expense recognized of $11.4 million related to the cash flow hedge gain for the three months ended March 31, 2025.</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Segment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Amazon Web Services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two-business unit operating model allows for each segment to be managed separately based on the different service offerings and respective operational and marketing strategies, ensuring increased focus, delivery, and service quality for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segments are based upon a number of factors, including, the basis for our budgets and forecasts, organizational and management structure and the financial information regularly provided to our Chief Operating Decision Maker (“CODM”), who we have determined to be our Chief Executive Officer. The CODM is responsible for making key operating and strategic decisions to assess performance for each segment. We assess financial performance of our segments on the basis of revenue and segment operating profit. The CODM utilizes both revenue and segment operating profit or loss before interest and income taxes to allocate resources and assesses performance of each segment by comparing actual revenue and operating profit or loss results, respectively, to historical results and previously forecasted financial information.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the fourth quarter of 2024, we updated the presentation of our segment operating profit to no longer exclude certain cash compensation paid to employees who remain employed with Rackspace which were previously included in the “special bonuses and other compensation expenses” and “restructuring and transformation expenses” line items of our reconciliation below. Additionally, we removed the “special bonuses and other compensation expenses” line item and the remaining adjustments are now presented within the “restructuring and transformation expenses” line item. The prior period has been recast to reflect current period presentation.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presentation change, we also updated segment operating profit included in the financial information provided to our CODM. Certain cash compensation paid to employees who remain employed with Rackspace is now included in the Public Cloud and Private Cloud segment operating profit performance measure.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revenue and segment operating profit by reportable segment and a reconciliation of consolidated segment operating profit to consolidated loss before income taxes for the three months ended March 31, 2024 and 2025. </w:t>
      </w:r>
    </w:p>
    <w:tbl>
      <w:tblPr>
        <w:tblW w:w="10205" w:type="dxa"/>
        <w:jc w:val="center"/>
        <w:tblInd w:w="0" w:type="dxa"/>
        <w:tblLayout w:type="fixed"/>
        <w:tblCellMar>
          <w:top w:w="28" w:type="dxa"/>
          <w:left w:w="28" w:type="dxa"/>
          <w:bottom w:w="28" w:type="dxa"/>
          <w:right w:w="28" w:type="dxa"/>
        </w:tblCellMar>
      </w:tblPr>
      <w:tblGrid>
        <w:gridCol w:w="2920"/>
        <w:gridCol w:w="2155"/>
        <w:gridCol w:w="2160"/>
        <w:gridCol w:w="230"/>
        <w:gridCol w:w="731"/>
        <w:gridCol w:w="127"/>
        <w:gridCol w:w="127"/>
        <w:gridCol w:w="127"/>
        <w:gridCol w:w="127"/>
        <w:gridCol w:w="230"/>
        <w:gridCol w:w="654"/>
        <w:gridCol w:w="127"/>
        <w:gridCol w:w="109"/>
        <w:gridCol w:w="109"/>
        <w:gridCol w:w="109"/>
        <w:gridCol w:w="163"/>
      </w:tblGrid>
      <w:tr>
        <w:trPr/>
        <w:tc>
          <w:tcPr>
            <w:tcW w:w="292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Public Cloud</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Third party infrastructure </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cost of revenue </w:t>
            </w:r>
            <w:r>
              <w:rPr>
                <w:rFonts w:ascii="Times New Roman;sans-serif" w:hAnsi="Times New Roman;sans-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segment items </w:t>
            </w:r>
            <w:r>
              <w:rPr>
                <w:rFonts w:ascii="Times New Roman;sans-serif" w:hAnsi="Times New Roman;sans-serif"/>
                <w:b w:val="false"/>
                <w:color w:val="000000"/>
                <w:sz w:val="12"/>
              </w:rPr>
              <w:t>(3)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profit</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Private Cloud</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segment items </w:t>
            </w:r>
            <w:r>
              <w:rPr>
                <w:rFonts w:ascii="Times New Roman;sans-serif" w:hAnsi="Times New Roman;sans-serif"/>
                <w:b w:val="false"/>
                <w:color w:val="000000"/>
                <w:sz w:val="12"/>
              </w:rPr>
              <w:t>(3)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profit</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Total Consolidated</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operating profit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extinguishment, net of debt modification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loss before income taxes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869"/>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usage charges from public cloud infrastructure providers.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cost of revenue excludes third party infrastructure expenses and is comprised of certain license costs, labor, and other designated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segment items for each segment include directly allocable research and development expenses, sales and marketing expenses, and certain other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three months ended March 31, 2024 also includes a </w:t>
            </w:r>
            <w:r>
              <w:rPr>
                <w:rFonts w:ascii="Times New Roman;sans-serif" w:hAnsi="Times New Roman;sans-serif"/>
                <w:b w:val="false"/>
                <w:color w:val="000000"/>
                <w:sz w:val="18"/>
                <w:shd w:fill="FFFFFF" w:val="clear"/>
              </w:rPr>
              <w:t xml:space="preserve">$9.0 million </w:t>
            </w:r>
            <w:r>
              <w:rPr>
                <w:rFonts w:ascii="Times New Roman;sans-serif" w:hAnsi="Times New Roman;sans-serif"/>
                <w:b w:val="false"/>
                <w:color w:val="000000"/>
                <w:sz w:val="18"/>
              </w:rPr>
              <w:t>MEIA early termination fee associated with the sale of our corporate headquarters in March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depreciation expense included in segment operating profit above for the three months ended March 31, 2024 and 2025. </w:t>
      </w:r>
    </w:p>
    <w:p>
      <w:pPr>
        <w:pStyle w:val="TextBody"/>
        <w:bidi w:val="0"/>
        <w:spacing w:before="0" w:after="0"/>
        <w:ind w:left="0" w:right="0" w:firstLine="540"/>
        <w:jc w:val="left"/>
        <w:rPr/>
      </w:pPr>
      <w:r>
        <w:rPr/>
      </w:r>
    </w:p>
    <w:tbl>
      <w:tblPr>
        <w:tblW w:w="5292" w:type="dxa"/>
        <w:jc w:val="left"/>
        <w:tblInd w:w="0" w:type="dxa"/>
        <w:tblLayout w:type="fixed"/>
        <w:tblCellMar>
          <w:top w:w="28" w:type="dxa"/>
          <w:left w:w="28" w:type="dxa"/>
          <w:bottom w:w="28" w:type="dxa"/>
          <w:right w:w="28" w:type="dxa"/>
        </w:tblCellMar>
      </w:tblPr>
      <w:tblGrid>
        <w:gridCol w:w="811"/>
        <w:gridCol w:w="711"/>
        <w:gridCol w:w="713"/>
        <w:gridCol w:w="270"/>
        <w:gridCol w:w="643"/>
        <w:gridCol w:w="150"/>
        <w:gridCol w:w="150"/>
        <w:gridCol w:w="150"/>
        <w:gridCol w:w="150"/>
        <w:gridCol w:w="270"/>
        <w:gridCol w:w="643"/>
        <w:gridCol w:w="150"/>
        <w:gridCol w:w="109"/>
        <w:gridCol w:w="109"/>
        <w:gridCol w:w="109"/>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depreciation expense</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use total assets by segment to evaluate segment performance or allocate resources. As such, total assets by segment are not disclosed.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ITEM 2 - MANAGEMENT'S DISCUSSION AND ANALYSIS OF FINANCIAL CONDITION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The following Management</w:t>
      </w:r>
      <w:r>
        <w:rPr>
          <w:rFonts w:ascii="Times New Roman;sans-serif" w:hAnsi="Times New Roman;sans-serif"/>
          <w:b w:val="false"/>
          <w:color w:val="000000"/>
          <w:sz w:val="20"/>
        </w:rPr>
        <w:t>'</w:t>
      </w:r>
      <w:r>
        <w:rPr>
          <w:rFonts w:ascii="Times New Roman;sans-serif" w:hAnsi="Times New Roman;sans-serif"/>
          <w:b w:val="false"/>
          <w:i/>
          <w:color w:val="000000"/>
          <w:sz w:val="20"/>
        </w:rPr>
        <w:t>s Discussion and Analysis of Financial Condition and Results of Operations (</w:t>
      </w:r>
      <w:r>
        <w:rPr>
          <w:rFonts w:ascii="Times New Roman;sans-serif" w:hAnsi="Times New Roman;sans-serif"/>
          <w:b w:val="false"/>
          <w:color w:val="000000"/>
          <w:sz w:val="20"/>
        </w:rPr>
        <w:t>"</w:t>
      </w:r>
      <w:r>
        <w:rPr>
          <w:rFonts w:ascii="Times New Roman;sans-serif" w:hAnsi="Times New Roman;sans-serif"/>
          <w:b w:val="false"/>
          <w:i/>
          <w:color w:val="000000"/>
          <w:sz w:val="20"/>
        </w:rPr>
        <w:t>MD&amp;A</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Times New Roman;sans-serif" w:hAnsi="Times New Roman;sans-serif"/>
          <w:b w:val="false"/>
          <w:color w:val="000000"/>
          <w:sz w:val="20"/>
        </w:rPr>
        <w:t>"</w:t>
      </w:r>
      <w:r>
        <w:rPr>
          <w:rFonts w:ascii="Times New Roman;sans-serif" w:hAnsi="Times New Roman;sans-serif"/>
          <w:b w:val="false"/>
          <w:i/>
          <w:color w:val="000000"/>
          <w:sz w:val="20"/>
        </w:rPr>
        <w:t>Rackspace Technology,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we,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our company,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the company,</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us,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 xml:space="preserve">or </w:t>
      </w:r>
      <w:r>
        <w:rPr>
          <w:rFonts w:ascii="Times New Roman;sans-serif" w:hAnsi="Times New Roman;sans-serif"/>
          <w:b w:val="false"/>
          <w:color w:val="000000"/>
          <w:sz w:val="20"/>
        </w:rPr>
        <w:t>"</w:t>
      </w:r>
      <w:r>
        <w:rPr>
          <w:rFonts w:ascii="Times New Roman;sans-serif" w:hAnsi="Times New Roman;sans-serif"/>
          <w:b w:val="false"/>
          <w:i/>
          <w:color w:val="000000"/>
          <w:sz w:val="20"/>
        </w:rPr>
        <w:t>our</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refer to Rackspace Technology, Inc.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The following discussion contains forward-looking statements that are subject to risks and uncertainties. Actual results may differ materially from those contained in any forward-looking statements. See </w:t>
      </w:r>
      <w:r>
        <w:rPr>
          <w:rFonts w:ascii="Times New Roman;sans-serif" w:hAnsi="Times New Roman;sans-serif"/>
          <w:b w:val="false"/>
          <w:color w:val="000000"/>
          <w:sz w:val="20"/>
        </w:rPr>
        <w:t>"</w:t>
      </w:r>
      <w:r>
        <w:rPr>
          <w:rFonts w:ascii="Times New Roman;sans-serif" w:hAnsi="Times New Roman;sans-serif"/>
          <w:b w:val="false"/>
          <w:i/>
          <w:color w:val="000000"/>
          <w:sz w:val="20"/>
        </w:rPr>
        <w:t>Special Note Regarding Forward-Looking Statements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 xml:space="preserve">contained elsewhere in this Quarterly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end-to-end, hybrid 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operate our business and report our results through two reportable segments: Public Cloud and Private Cloud. </w:t>
      </w:r>
      <w:r>
        <w:rPr>
          <w:rFonts w:ascii="Times New Roman;sans-serif" w:hAnsi="Times New Roman;sans-serif"/>
          <w:b w:val="false"/>
          <w:color w:val="000000"/>
          <w:sz w:val="20"/>
          <w:shd w:fill="FFFFFF" w:val="clear"/>
        </w:rPr>
        <w:t>Our Public Cloud segment is a services-centric, capital-light model providing value-added cloud solutions through</w:t>
      </w:r>
      <w:r>
        <w:rPr>
          <w:color w:val="000000"/>
        </w:rPr>
        <w:t xml:space="preserve"> </w:t>
      </w:r>
      <w:r>
        <w:rPr>
          <w:rFonts w:ascii="Times New Roman;sans-serif" w:hAnsi="Times New Roman;sans-serif"/>
          <w:b w:val="false"/>
          <w:color w:val="000000"/>
          <w:sz w:val="20"/>
        </w:rPr>
        <w:t>managed services, Elastic Engineering and professional services offerings for customer environments hosted on the AWS, Microsoft Azure and Google Cloud public cloud platforms</w:t>
      </w:r>
      <w:r>
        <w:rPr>
          <w:rFonts w:ascii="Times New Roman;sans-serif" w:hAnsi="Times New Roman;sans-serif"/>
          <w:b w:val="false"/>
          <w:color w:val="000000"/>
          <w:sz w:val="20"/>
          <w:shd w:fill="FFFFFF" w:val="clear"/>
        </w:rPr>
        <w:t xml:space="preserve">. Our Private Cloud segment is a technology-forward, capital-intensive model providing </w:t>
      </w:r>
      <w:r>
        <w:rPr>
          <w:rFonts w:ascii="Times New Roman;sans-serif" w:hAnsi="Times New Roman;sans-serif"/>
          <w:b w:val="false"/>
          <w:color w:val="000000"/>
          <w:sz w:val="20"/>
        </w:rPr>
        <w:t>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r>
        <w:rPr>
          <w:rFonts w:ascii="Times New Roman;sans-serif" w:hAnsi="Times New Roman;sans-serif"/>
          <w:b w:val="false"/>
          <w:color w:val="000000"/>
          <w:sz w:val="20"/>
          <w:shd w:fill="FFFFFF" w:val="clear"/>
        </w:rPr>
        <w:t xml:space="preserve">. See Item 1 of Part I, Financial Statements - Note 13, "Segment Reporting," for additional information about our segments.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combination of proprietary technology, automation capabilities and technical expertise creates a value proposition for our customers that is hard to replicate for both competitors and in-house IT departments. We and our customers face a variety of challenges, including evolving technologies (including AI and GenAI) and an uncertain regulatory landscape, including international trade policies and tariffs, as well as other macroeconomic and geopolitical factors. These factors have and will continue to affect demand for our products and services. Our continued success depends to a significant extent on our ability to respond to these and other challenges presented by our highly competitive and dynamic market, including the following key factors: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Differentiating Our Service Offerings in a Competitive Market Environment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w:t>
      </w:r>
      <w:r>
        <w:rPr>
          <w:color w:val="000000"/>
          <w:shd w:fill="FFFFFF" w:val="clear"/>
        </w:rPr>
        <w:t xml:space="preserve"> </w:t>
      </w:r>
      <w:r>
        <w:rPr>
          <w:rFonts w:ascii="Times New Roman;sans-serif" w:hAnsi="Times New Roman;sans-serif"/>
          <w:b w:val="false"/>
          <w:color w:val="000000"/>
          <w:sz w:val="20"/>
          <w:shd w:fill="FFFFFF" w:val="clear"/>
        </w:rPr>
        <w:t xml:space="preserve">new recurring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Customer Relationships and Retention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Mix Shift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Key Components of Statement of Operations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 (SG&amp;A)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SG&amp;A also includes transaction costs related to acquisitions and financings along with costs related to integration and business transformation initiatives which may impact the comparability of SG&amp;A between periods.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w:t>
      </w:r>
      <w:r>
        <w:rPr>
          <w:rFonts w:ascii="Times New Roman;sans-serif" w:hAnsi="Times New Roman;sans-serif"/>
          <w:b w:val="false"/>
          <w:color w:val="000000"/>
          <w:sz w:val="20"/>
          <w:shd w:fill="FFFFFF" w:val="clear"/>
        </w:rPr>
        <w:t>"Taxes."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discuss our historical results of operations, and the key components of those results, below. Past financial results are not necessarily indicative of future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Three Months Ended March 31, 2024 Compared to Three Months Ended March 31, 2025</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063"/>
        <w:gridCol w:w="684"/>
        <w:gridCol w:w="670"/>
        <w:gridCol w:w="196"/>
        <w:gridCol w:w="593"/>
        <w:gridCol w:w="109"/>
        <w:gridCol w:w="109"/>
        <w:gridCol w:w="109"/>
        <w:gridCol w:w="109"/>
        <w:gridCol w:w="278"/>
        <w:gridCol w:w="278"/>
        <w:gridCol w:w="537"/>
        <w:gridCol w:w="109"/>
        <w:gridCol w:w="109"/>
        <w:gridCol w:w="109"/>
        <w:gridCol w:w="196"/>
        <w:gridCol w:w="556"/>
        <w:gridCol w:w="109"/>
        <w:gridCol w:w="109"/>
        <w:gridCol w:w="109"/>
        <w:gridCol w:w="109"/>
        <w:gridCol w:w="278"/>
        <w:gridCol w:w="278"/>
        <w:gridCol w:w="537"/>
        <w:gridCol w:w="109"/>
        <w:gridCol w:w="109"/>
        <w:gridCol w:w="109"/>
        <w:gridCol w:w="226"/>
        <w:gridCol w:w="641"/>
        <w:gridCol w:w="125"/>
        <w:gridCol w:w="125"/>
        <w:gridCol w:w="125"/>
        <w:gridCol w:w="125"/>
        <w:gridCol w:w="295"/>
        <w:gridCol w:w="298"/>
        <w:gridCol w:w="575"/>
      </w:tblGrid>
      <w:tr>
        <w:trPr/>
        <w:tc>
          <w:tcPr>
            <w:tcW w:w="106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Year-Over-Year Comparison</w:t>
            </w:r>
          </w:p>
        </w:tc>
      </w:tr>
      <w:tr>
        <w:trPr/>
        <w:tc>
          <w:tcPr>
            <w:tcW w:w="2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 net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NM </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extinguishment, net of debt modification costs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NM </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NM </w:t>
            </w:r>
          </w:p>
        </w:tc>
      </w:tr>
      <w:tr>
        <w:trPr/>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$25 million, or 3.7%, to $665 million in the three months ended March 31, 2025 from $691 million in the three months ended March 31, 2024. Revenue declined due to decreases in both Private Cloud and Public Cloud revenue,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After removing the impact of foreign currency fluctuations, on a constant currency basis, revenue decreased 3.4% year-over-year. The following table presents revenue growth by segment:</w:t>
      </w:r>
    </w:p>
    <w:tbl>
      <w:tblPr>
        <w:tblW w:w="7569" w:type="dxa"/>
        <w:jc w:val="center"/>
        <w:tblInd w:w="0" w:type="dxa"/>
        <w:tblLayout w:type="fixed"/>
        <w:tblCellMar>
          <w:top w:w="28" w:type="dxa"/>
          <w:left w:w="28" w:type="dxa"/>
          <w:bottom w:w="28" w:type="dxa"/>
          <w:right w:w="28" w:type="dxa"/>
        </w:tblCellMar>
      </w:tblPr>
      <w:tblGrid>
        <w:gridCol w:w="619"/>
        <w:gridCol w:w="543"/>
        <w:gridCol w:w="548"/>
        <w:gridCol w:w="246"/>
        <w:gridCol w:w="700"/>
        <w:gridCol w:w="137"/>
        <w:gridCol w:w="137"/>
        <w:gridCol w:w="137"/>
        <w:gridCol w:w="137"/>
        <w:gridCol w:w="246"/>
        <w:gridCol w:w="700"/>
        <w:gridCol w:w="137"/>
        <w:gridCol w:w="109"/>
        <w:gridCol w:w="109"/>
        <w:gridCol w:w="109"/>
        <w:gridCol w:w="224"/>
        <w:gridCol w:w="226"/>
        <w:gridCol w:w="334"/>
        <w:gridCol w:w="109"/>
        <w:gridCol w:w="109"/>
        <w:gridCol w:w="109"/>
        <w:gridCol w:w="387"/>
        <w:gridCol w:w="387"/>
        <w:gridCol w:w="107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Constant Currency </w:t>
            </w:r>
            <w:r>
              <w:rPr>
                <w:rFonts w:ascii="Times New Roman;sans-serif" w:hAnsi="Times New Roman;sans-serif"/>
                <w:b/>
                <w:color w:val="000000"/>
                <w:sz w:val="12"/>
              </w:rPr>
              <w:t>(a)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hanging="540"/>
        <w:jc w:val="left"/>
        <w:rPr/>
      </w:pPr>
      <w:r>
        <w:rPr>
          <w:rFonts w:ascii="Times New Roman;sans-serif" w:hAnsi="Times New Roman;sans-serif"/>
          <w:b w:val="false"/>
          <w:color w:val="000000"/>
          <w:sz w:val="18"/>
        </w:rPr>
        <w:t>(a)     Refer to "</w:t>
      </w:r>
      <w:r>
        <w:rPr>
          <w:rFonts w:ascii="Times New Roman;sans-serif" w:hAnsi="Times New Roman;sans-serif"/>
          <w:b w:val="false"/>
          <w:i/>
          <w:color w:val="000000"/>
          <w:sz w:val="18"/>
        </w:rPr>
        <w:t>Non-GAAP Financial Measures</w:t>
      </w:r>
      <w:r>
        <w:rPr>
          <w:rFonts w:ascii="Times New Roman;sans-serif" w:hAnsi="Times New Roman;sans-serif"/>
          <w:b w:val="false"/>
          <w:color w:val="000000"/>
          <w:sz w:val="18"/>
        </w:rPr>
        <w:t xml:space="preserve">" in this section for further explanation and reconciliation. </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Public Cloud revenue in the three months ended March 31, 2025 decreased 1.6% on an actual basis and 1.3% on a constant currency basis, from the three months ended March 31, 2024. The decline was due to lower infrastructure volumes and a reduction in services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Private Cloud revenue in the three months ended March 31, 2025 decreased 6.9% on an actual basis and 6.6% on a constant currency basis, from the three months ended March 31, 2024, due to customers rolling off legacy private cloud offerings.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$20 million, or 3%, to $539 million in the three months ended March 31, 2025 from $558 million in the three months ended March 31, 2024. The largest driver of the decrease was a reduction in license expense due to decreased usage between periods. Usage charges for third-party infrastructure also declined, consistent with the decrease in revenue. Also contributing to the overall reduction in cost of revenue was a decline in personnel costs, driven by a decrease in headcount between periods, and data center expense as a result of continued optimization initiatives.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a percentage of revenue, cost of revenue increased 10 basis points in the three months ended March 31, 2025</w:t>
      </w:r>
      <w:r>
        <w:rPr>
          <w:color w:val="000000"/>
        </w:rPr>
        <w:t xml:space="preserve"> </w:t>
      </w:r>
      <w:r>
        <w:rPr>
          <w:rFonts w:ascii="Times New Roman;sans-serif" w:hAnsi="Times New Roman;sans-serif"/>
          <w:b w:val="false"/>
          <w:color w:val="000000"/>
          <w:sz w:val="20"/>
        </w:rPr>
        <w:t>to 80.9% from 80.8% in the three months ended March 31, 2024.</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Our gross profit was $127 million in the three months ended March 31, 2025, a</w:t>
      </w:r>
      <w:r>
        <w:rPr>
          <w:color w:val="000000"/>
          <w:shd w:fill="FFFFFF" w:val="clear"/>
        </w:rPr>
        <w:t xml:space="preserve"> </w:t>
      </w:r>
      <w:r>
        <w:rPr>
          <w:rFonts w:ascii="Times New Roman;sans-serif" w:hAnsi="Times New Roman;sans-serif"/>
          <w:b w:val="false"/>
          <w:color w:val="000000"/>
          <w:sz w:val="20"/>
          <w:shd w:fill="FFFFFF" w:val="clear"/>
        </w:rPr>
        <w:t>decrease</w:t>
      </w:r>
      <w:r>
        <w:rPr>
          <w:color w:val="000000"/>
        </w:rPr>
        <w:t xml:space="preserve"> </w:t>
      </w:r>
      <w:r>
        <w:rPr>
          <w:rFonts w:ascii="Times New Roman;sans-serif" w:hAnsi="Times New Roman;sans-serif"/>
          <w:b w:val="false"/>
          <w:color w:val="000000"/>
          <w:sz w:val="20"/>
        </w:rPr>
        <w:t xml:space="preserve">of $6 million from $133 million in the three months ended March 31, 2024. Our gross margin was 19.1% in the three months ended March 31, 2025, a decrease of 10 basis points from 19.2% in the three months ended March 31, 2024.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decreased $27 million, or 14%, to $165 million in the three months ended March 31, 2025 from $192 million in the three months ended March 31, 2024, driven by a $9 million early termination fee associated with the sale of our corporate headquarters in the first quarter of 2024. Other cost fluctuations between periods included a reduction in depreciation and amortization expense and personnel costs. Personnel costs decreased primarily due to a decline in headcount between periods and a reduction in non-equity incentive compensation, partially offset by an increase in severance expense.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 selling, general and administrative expenses decreased 310 basis points, to 24.8% in the three months ended March 31, 2025 from 27.9% in the three months ended March 31, 2024 for the reasons discussed above.</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loss from operations was $38 million in the three months ended March 31, 2025 compared to $653 million in the three months ended March 31, 2024. Our Non-GAAP Operating Profit was $26 million in the three months ended March 31, 2025, an increase of $12 million from $14 million in the three months ended March 31, 2024. Non-GAAP Operating Profit is a non-GAAP financial measure. See "Non-GAAP Financial Measures"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loss from operations to Non-GAAP Operating Profit.</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2823"/>
        <w:gridCol w:w="2415"/>
        <w:gridCol w:w="2414"/>
        <w:gridCol w:w="233"/>
        <w:gridCol w:w="746"/>
        <w:gridCol w:w="129"/>
        <w:gridCol w:w="129"/>
        <w:gridCol w:w="129"/>
        <w:gridCol w:w="129"/>
        <w:gridCol w:w="233"/>
        <w:gridCol w:w="638"/>
        <w:gridCol w:w="187"/>
      </w:tblGrid>
      <w:tr>
        <w:trPr/>
        <w:tc>
          <w:tcPr>
            <w:tcW w:w="2823"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(a)</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(b)</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5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(c)</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Profit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61"/>
        <w:gridCol w:w="2852"/>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three months ended March 31, 2024 also includes a </w:t>
            </w:r>
            <w:r>
              <w:rPr>
                <w:rFonts w:ascii="Times New Roman;sans-serif" w:hAnsi="Times New Roman;sans-serif"/>
                <w:b w:val="false"/>
                <w:color w:val="000000"/>
                <w:sz w:val="18"/>
                <w:shd w:fill="FFFFFF" w:val="clear"/>
              </w:rPr>
              <w:t xml:space="preserve">$9.0 million </w:t>
            </w:r>
            <w:r>
              <w:rPr>
                <w:rFonts w:ascii="Times New Roman;sans-serif" w:hAnsi="Times New Roman;sans-serif"/>
                <w:b w:val="false"/>
                <w:color w:val="000000"/>
                <w:sz w:val="18"/>
              </w:rPr>
              <w:t>MEIA early termination fee associated with the sale of our corporate headquarters in March 2024.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705"/>
        <w:gridCol w:w="526"/>
        <w:gridCol w:w="531"/>
        <w:gridCol w:w="196"/>
        <w:gridCol w:w="466"/>
        <w:gridCol w:w="109"/>
        <w:gridCol w:w="109"/>
        <w:gridCol w:w="109"/>
        <w:gridCol w:w="109"/>
        <w:gridCol w:w="380"/>
        <w:gridCol w:w="339"/>
        <w:gridCol w:w="798"/>
        <w:gridCol w:w="109"/>
        <w:gridCol w:w="109"/>
        <w:gridCol w:w="109"/>
        <w:gridCol w:w="196"/>
        <w:gridCol w:w="466"/>
        <w:gridCol w:w="109"/>
        <w:gridCol w:w="109"/>
        <w:gridCol w:w="109"/>
        <w:gridCol w:w="109"/>
        <w:gridCol w:w="380"/>
        <w:gridCol w:w="339"/>
        <w:gridCol w:w="798"/>
        <w:gridCol w:w="109"/>
        <w:gridCol w:w="109"/>
        <w:gridCol w:w="109"/>
        <w:gridCol w:w="256"/>
        <w:gridCol w:w="608"/>
        <w:gridCol w:w="141"/>
        <w:gridCol w:w="141"/>
        <w:gridCol w:w="141"/>
        <w:gridCol w:w="141"/>
        <w:gridCol w:w="278"/>
        <w:gridCol w:w="278"/>
        <w:gridCol w:w="575"/>
      </w:tblGrid>
      <w:tr>
        <w:trPr/>
        <w:tc>
          <w:tcPr>
            <w:tcW w:w="70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Year-Over-Year Comparison</w:t>
            </w:r>
          </w:p>
        </w:tc>
      </w:tr>
      <w:tr>
        <w:trPr/>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Segment operating profit: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functions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76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Public Cloud operating profit increased 111% in the three months ended March 31, 2025 from the three months ended </w:t>
      </w:r>
      <w:r>
        <w:rPr>
          <w:rFonts w:ascii="Times New Roman;sans-serif" w:hAnsi="Times New Roman;sans-serif"/>
          <w:b w:val="false"/>
          <w:color w:val="000000"/>
          <w:sz w:val="20"/>
        </w:rPr>
        <w:t>March 31, 2024. Segment operating profit as a percentage of segment revenue increased by 230 basis points, reflecting a 4% decrease in segment operating expenses, partially offset by a 2% decrease in segment revenue. The decrease in expenses was mainly driven by operational improvements and cost optimization initiatives executed during 2024.</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Private Cloud operating profit decreased 14% in the three months ended March 31, 2025 from the three months ended March 31, 2024. Segment operating profit as a percentage of segment revenue decreased by 210 basis points due to a 7% decrease in segment revenue, partially offset by a 4% decrease in segment operating expenses. The decrease in expenses was mainly driven by cost optimization activities executed throughout 2024.</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ans-serif" w:hAnsi="Times New Roman;sans-serif"/>
          <w:b w:val="false"/>
          <w:color w:val="000000"/>
          <w:sz w:val="20"/>
        </w:rPr>
        <w:t>Centralized corporate functions that provide services to the segments in areas such as accounting, information t</w:t>
      </w:r>
      <w:r>
        <w:rPr>
          <w:rFonts w:ascii="Times New Roman;sans-serif" w:hAnsi="Times New Roman;sans-serif"/>
          <w:b w:val="false"/>
          <w:color w:val="000000"/>
          <w:sz w:val="20"/>
          <w:shd w:fill="FFFFFF" w:val="clear"/>
        </w:rPr>
        <w:t>ec</w:t>
      </w:r>
      <w:r>
        <w:rPr>
          <w:rFonts w:ascii="Times New Roman;sans-serif" w:hAnsi="Times New Roman;sans-serif"/>
          <w:b w:val="false"/>
          <w:color w:val="000000"/>
          <w:sz w:val="20"/>
        </w:rPr>
        <w:t>hnology, marketing, legal and human resources are not allocated to the segments and are included in "corporate functions" in the table above. This expense decreased 19% in the three months ended March 31, 2025 from the three months ended March 31, 2024 due to our continued focus on cost management.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For more information about our segment </w:t>
      </w:r>
      <w:r>
        <w:rPr>
          <w:rFonts w:ascii="Times New Roman;sans-serif" w:hAnsi="Times New Roman;sans-serif"/>
          <w:b w:val="false"/>
          <w:color w:val="000000"/>
          <w:sz w:val="20"/>
          <w:shd w:fill="FFFFFF" w:val="clear"/>
        </w:rPr>
        <w:t>operating profit</w:t>
      </w:r>
      <w:r>
        <w:rPr>
          <w:rFonts w:ascii="Times New Roman;sans-serif" w:hAnsi="Times New Roman;sans-serif"/>
          <w:b w:val="false"/>
          <w:color w:val="000000"/>
          <w:sz w:val="20"/>
        </w:rPr>
        <w:t>, see Item 1 of Part I, Financial Statements - Note 13, "Segment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Goodwill</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connection with the March 2024 Refinancing Transactions that were completed in March and April 2024, as further described in Item 1 of Part I, Financial Statements - Note 7, “Debt", we updated our internal forecasts.</w:t>
      </w:r>
      <w:r>
        <w:rPr>
          <w:color w:val="000000"/>
        </w:rPr>
        <w:t xml:space="preserve"> </w:t>
      </w:r>
      <w:r>
        <w:rPr>
          <w:rFonts w:ascii="Times New Roman;sans-serif" w:hAnsi="Times New Roman;sans-serif"/>
          <w:b w:val="false"/>
          <w:color w:val="000000"/>
          <w:sz w:val="20"/>
        </w:rPr>
        <w:t>As of February 29, 2024, we assessed our Board of Directors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first quarter of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such impairment in the first quarter of 2025.</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Assets, Net</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evaluated our indefinite-lived intangible asset for impairment as of February 29, 2024. As a result of this evaluation, we recorded a $20 million impairment of our indefinite-lived intangible asset in the first quarter of 2024.</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such impairment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Expense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Interest expense decreased $24 million, or 56%, to $19 million in the three months ended March 31, 2025 from $44 million in the three months ended March 31, 2024, primarily due to the accounting for contractual interest payments on debt instruments entered into as part of the </w:t>
      </w:r>
      <w:r>
        <w:rPr>
          <w:rFonts w:ascii="Times New Roman;sans-serif" w:hAnsi="Times New Roman;sans-serif"/>
          <w:b w:val="false"/>
          <w:color w:val="000000"/>
          <w:sz w:val="20"/>
        </w:rPr>
        <w:t>March 2024 Refinancing Transactions, portions of which are recorded as a reduction of related premiums and not as interest expense, which reduces interest expense relative to contractual interest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Gain on Debt Extinguishment, Net of Debt Modification Costs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recorded a $57 million gain on debt extinguishment, net of debt modification costs in the three months ended </w:t>
      </w:r>
      <w:r>
        <w:rPr>
          <w:rFonts w:ascii="Times New Roman;sans-serif" w:hAnsi="Times New Roman;sans-serif"/>
          <w:b w:val="false"/>
          <w:color w:val="000000"/>
          <w:sz w:val="20"/>
          <w:shd w:fill="FFFFFF" w:val="clear"/>
        </w:rPr>
        <w:t>March 31, 2024 r</w:t>
      </w:r>
      <w:r>
        <w:rPr>
          <w:rFonts w:ascii="Times New Roman;sans-serif" w:hAnsi="Times New Roman;sans-serif"/>
          <w:b w:val="false"/>
          <w:color w:val="000000"/>
          <w:sz w:val="20"/>
        </w:rPr>
        <w:t>elated to the March 2024 Refinancing Transactions.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see Item 1 of Part I, Financial Statements - Note 7,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Expense, Net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had $5 million and $6 million of other expense in </w:t>
      </w:r>
      <w:r>
        <w:rPr>
          <w:rFonts w:ascii="Times New Roman;sans-serif" w:hAnsi="Times New Roman;sans-serif"/>
          <w:b w:val="false"/>
          <w:color w:val="000000"/>
          <w:sz w:val="20"/>
          <w:shd w:fill="FFFFFF" w:val="clear"/>
        </w:rPr>
        <w:t xml:space="preserve">the three months ended March 31, 2025 and 2024, respectively. This line item is primarily comprised of </w:t>
      </w:r>
      <w:r>
        <w:rPr>
          <w:rFonts w:ascii="Times New Roman;sans-serif" w:hAnsi="Times New Roman;sans-serif"/>
          <w:b w:val="false"/>
          <w:color w:val="000000"/>
          <w:sz w:val="20"/>
        </w:rPr>
        <w:t>expense related to our accounts receivable purchase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see Item 1 of Part I, Financial Statements - Note 3, "Sale of Receivables."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i/>
          <w:color w:val="000000"/>
          <w:sz w:val="20"/>
          <w:shd w:fill="FFFFFF" w:val="clear"/>
        </w:rPr>
        <w:t>Benefit (Provision) for Income T</w:t>
      </w:r>
      <w:r>
        <w:rPr>
          <w:rFonts w:ascii="Times New Roman;sans-serif" w:hAnsi="Times New Roman;sans-serif"/>
          <w:b w:val="false"/>
          <w:i/>
          <w:color w:val="000000"/>
          <w:sz w:val="20"/>
        </w:rPr>
        <w:t>axes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Our income tax expense was </w:t>
      </w:r>
      <w:r>
        <w:rPr>
          <w:rFonts w:ascii="Times New Roman;sans-serif" w:hAnsi="Times New Roman;sans-serif"/>
          <w:b w:val="false"/>
          <w:color w:val="000000"/>
          <w:sz w:val="20"/>
        </w:rPr>
        <w:t>$8 million</w:t>
      </w:r>
      <w:r>
        <w:rPr>
          <w:color w:val="000000"/>
          <w:shd w:fill="FFFFFF" w:val="clear"/>
        </w:rPr>
        <w:t xml:space="preserve"> </w:t>
      </w:r>
      <w:r>
        <w:rPr>
          <w:rFonts w:ascii="Times New Roman;sans-serif" w:hAnsi="Times New Roman;sans-serif"/>
          <w:b w:val="false"/>
          <w:color w:val="000000"/>
          <w:sz w:val="20"/>
          <w:shd w:fill="FFFFFF" w:val="clear"/>
        </w:rPr>
        <w:t xml:space="preserve">in the three months ended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 xml:space="preserve">compared to </w:t>
      </w:r>
      <w:r>
        <w:rPr>
          <w:rFonts w:ascii="Times New Roman;sans-serif" w:hAnsi="Times New Roman;sans-serif"/>
          <w:b w:val="false"/>
          <w:color w:val="000000"/>
          <w:sz w:val="20"/>
        </w:rPr>
        <w:t>$5 million</w:t>
      </w:r>
      <w:r>
        <w:rPr>
          <w:color w:val="000000"/>
          <w:shd w:fill="FFFFFF" w:val="clear"/>
        </w:rPr>
        <w:t xml:space="preserve"> </w:t>
      </w:r>
      <w:r>
        <w:rPr>
          <w:rFonts w:ascii="Times New Roman;sans-serif" w:hAnsi="Times New Roman;sans-serif"/>
          <w:b w:val="false"/>
          <w:color w:val="000000"/>
          <w:sz w:val="20"/>
          <w:shd w:fill="FFFFFF" w:val="clear"/>
        </w:rPr>
        <w:t xml:space="preserve">income tax benefit in the three months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Our effective tax rate decreased to (12.9)% in the three months ended March 31, 2025 from 0.7% in the three months ended March 31, 2024. The decrease in the effective tax rate year-over-year is primarily due to the tax impact associated with changes in valuation allowance, executive compensation that is nondeductible under Internal Revenue Code (“IRC”) Section 162(m), the net impact of the geographic distribution of our earnings, tax effects from nondeductible share-based compensation, and the tax impact of the March 2024 Refinancing Transactions. The difference between the effective tax rate and the statutory rate for the three months ended March 31, 2025 is primarily due to the tax impact associated with changes in valuation allowance, executive compensation that is nondeductible under IRC Section 162(m), the net impact of the geographic distribution of our earnings, and tax effects from nondeductible share-based compensation.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Update to Non-GAAP Financial Measures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the fourth quarter of 2024, we updated the presentation of our non-GAAP financial measures to no longer exclude certain cash compensation paid to employees who remain employed with Rackspace which were previously included in the “special bonuses and other compensation expenses” and “restructuring and transformation expenses” line items of our reconciliations. Additionally, we removed the “special bonuses and other compensation expenses” line item and the remaining adjustments are now presented within the “restructuring and transformation expenses” line item. All prior period Non-GAAP Gross Profit, Non-GAAP Net Income (Loss), Non-GAAP Operating Profit, Adjusted EBITDA and Non-GAAP Earnings (Loss) Per Share financial measures have been recast to reflect current period presentation.</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Constant Currency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by segment, actual and constant currency revenue and constant currency revenue growth rates, for and between the periods indicated:</w:t>
      </w:r>
    </w:p>
    <w:p>
      <w:pPr>
        <w:pStyle w:val="TextBody"/>
        <w:bidi w:val="0"/>
        <w:spacing w:before="0" w:after="0"/>
        <w:ind w:left="0" w:right="0" w:firstLine="612"/>
        <w:jc w:val="left"/>
        <w:rPr/>
      </w:pPr>
      <w:r>
        <w:rPr/>
      </w:r>
    </w:p>
    <w:tbl>
      <w:tblPr>
        <w:tblW w:w="10205" w:type="dxa"/>
        <w:jc w:val="left"/>
        <w:tblInd w:w="0" w:type="dxa"/>
        <w:tblLayout w:type="fixed"/>
        <w:tblCellMar>
          <w:top w:w="28" w:type="dxa"/>
          <w:left w:w="28" w:type="dxa"/>
          <w:bottom w:w="28" w:type="dxa"/>
          <w:right w:w="28" w:type="dxa"/>
        </w:tblCellMar>
      </w:tblPr>
      <w:tblGrid>
        <w:gridCol w:w="392"/>
        <w:gridCol w:w="344"/>
        <w:gridCol w:w="347"/>
        <w:gridCol w:w="373"/>
        <w:gridCol w:w="1059"/>
        <w:gridCol w:w="207"/>
        <w:gridCol w:w="109"/>
        <w:gridCol w:w="109"/>
        <w:gridCol w:w="109"/>
        <w:gridCol w:w="196"/>
        <w:gridCol w:w="556"/>
        <w:gridCol w:w="109"/>
        <w:gridCol w:w="109"/>
        <w:gridCol w:w="109"/>
        <w:gridCol w:w="109"/>
        <w:gridCol w:w="458"/>
        <w:gridCol w:w="879"/>
        <w:gridCol w:w="256"/>
        <w:gridCol w:w="109"/>
        <w:gridCol w:w="109"/>
        <w:gridCol w:w="109"/>
        <w:gridCol w:w="333"/>
        <w:gridCol w:w="945"/>
        <w:gridCol w:w="185"/>
        <w:gridCol w:w="109"/>
        <w:gridCol w:w="109"/>
        <w:gridCol w:w="109"/>
        <w:gridCol w:w="205"/>
        <w:gridCol w:w="207"/>
        <w:gridCol w:w="334"/>
        <w:gridCol w:w="109"/>
        <w:gridCol w:w="109"/>
        <w:gridCol w:w="109"/>
        <w:gridCol w:w="256"/>
        <w:gridCol w:w="244"/>
        <w:gridCol w:w="685"/>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w:t>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Foreign Currency Translation </w:t>
            </w:r>
            <w:r>
              <w:rPr>
                <w:rFonts w:ascii="Times New Roman;sans-serif" w:hAnsi="Times New Roman;sans-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w:t>
            </w:r>
          </w:p>
        </w:tc>
      </w:tr>
      <w:tr>
        <w:trPr/>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Cloud</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Cloud</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8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690.8 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effect of foreign currency is calculated by translating current period results using the average exchange rate from the prior comparative period.</w:t>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Non-GAAP Gross Profit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Non-GAAP Gross Profit in this MD&amp;A because we believe the measure is useful in analyzing trends in our underlying, recurring gross margins. We define Non-GAAP Gross Profit as gross profit, adjusted to exclude the impact of share-based compensation expense, purchase accounting-related effects, and certain business transformation-related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reconciliation of gross profit to Non-GAAP Gross Profit:</w:t>
      </w:r>
    </w:p>
    <w:p>
      <w:pPr>
        <w:pStyle w:val="TextBody"/>
        <w:bidi w:val="0"/>
        <w:spacing w:before="0" w:after="0"/>
        <w:ind w:left="0" w:right="0" w:firstLine="540"/>
        <w:jc w:val="left"/>
        <w:rPr/>
      </w:pPr>
      <w:r>
        <w:rPr/>
      </w:r>
    </w:p>
    <w:tbl>
      <w:tblPr>
        <w:tblW w:w="6402" w:type="dxa"/>
        <w:jc w:val="left"/>
        <w:tblInd w:w="0" w:type="dxa"/>
        <w:tblLayout w:type="fixed"/>
        <w:tblCellMar>
          <w:top w:w="28" w:type="dxa"/>
          <w:left w:w="28" w:type="dxa"/>
          <w:bottom w:w="28" w:type="dxa"/>
          <w:right w:w="28" w:type="dxa"/>
        </w:tblCellMar>
      </w:tblPr>
      <w:tblGrid>
        <w:gridCol w:w="1212"/>
        <w:gridCol w:w="1061"/>
        <w:gridCol w:w="1071"/>
        <w:gridCol w:w="246"/>
        <w:gridCol w:w="700"/>
        <w:gridCol w:w="137"/>
        <w:gridCol w:w="137"/>
        <w:gridCol w:w="137"/>
        <w:gridCol w:w="137"/>
        <w:gridCol w:w="246"/>
        <w:gridCol w:w="700"/>
        <w:gridCol w:w="137"/>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Purchase accounting impact on expense </w:t>
            </w:r>
            <w:r>
              <w:rPr>
                <w:rFonts w:ascii="Times New Roman;sans-serif" w:hAnsi="Times New Roman;sans-serif"/>
                <w:b w:val="false"/>
                <w:color w:val="000000"/>
                <w:sz w:val="12"/>
              </w:rPr>
              <w:t>(a)</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(b)</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9"/>
        <w:gridCol w:w="2847"/>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 for the impact of purchase accounting from the Rackspace Acquisition on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w:t>
      </w:r>
      <w:r>
        <w:rPr>
          <w:rFonts w:ascii="Times New Roman;sans-serif" w:hAnsi="Times New Roman;sans-serif"/>
          <w:b w:val="false"/>
          <w:color w:val="000000"/>
          <w:sz w:val="20"/>
          <w:shd w:fill="FFFFFF" w:val="clear"/>
        </w:rPr>
        <w:t>debt to partially finance the Rackspace Acquisition resulted in interest payments that reflect our high leverage and cost of debt capital, and the conversion of Rackspace Technology Global’s unvested equity compensation into a cash-settled bonus plan and obliga</w:t>
      </w:r>
      <w:r>
        <w:rPr>
          <w:rFonts w:ascii="Times New Roman;sans-serif" w:hAnsi="Times New Roman;sans-serif"/>
          <w:b w:val="false"/>
          <w:color w:val="000000"/>
          <w:sz w:val="20"/>
        </w:rPr>
        <w:t>tion to pay management fees to our equity 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Net Income (Loss) as net income (loss)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the interest expense impact from the March 2024 Refinancing Transactions, and certain other non-operating, non-recurring or non-core gains and losses, as well as the tax effects of these non-GAAP adjustments.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Operating Profit as income (loss) from operations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and certain other non-operating, non-recurring or non-core gains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adjusted to exclude the impact of non-cash charges for share-based compensation, transaction-related costs and adjustments, restructuring and transformation charges, costs related to the Hosted Exchange incident, certain other non-operating, non-recurring or non-core gains and losses, interest expense, expenses for our accounts receivable purchase agreement, income taxes, depreciation and amortization, and goodwill and asset impairment charges.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following tables present a reconciliation of Non-GAAP Net Loss and Adjusted EBITDA to the most directly comparable GAAP financial measures. For a reconciliation of income (loss) from operations to Non-GAAP Operating Profit, see "</w:t>
      </w:r>
      <w:r>
        <w:rPr>
          <w:rFonts w:ascii="Times New Roman;sans-serif" w:hAnsi="Times New Roman;sans-serif"/>
          <w:b w:val="false"/>
          <w:i/>
          <w:color w:val="000000"/>
          <w:sz w:val="20"/>
        </w:rPr>
        <w:t>Loss from Operations, Segment Operating Profit, and Non-GAAP Operating Profit</w:t>
      </w:r>
      <w:r>
        <w:rPr>
          <w:rFonts w:ascii="Times New Roman;sans-serif" w:hAnsi="Times New Roman;sans-serif"/>
          <w:b w:val="false"/>
          <w:color w:val="000000"/>
          <w:sz w:val="20"/>
        </w:rPr>
        <w:t>" in the year-over-year comparison under "Results of Operations"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loss reconciliation to Non-GAAP Net Loss</w:t>
      </w:r>
    </w:p>
    <w:tbl>
      <w:tblPr>
        <w:tblW w:w="10205" w:type="dxa"/>
        <w:jc w:val="left"/>
        <w:tblInd w:w="0" w:type="dxa"/>
        <w:tblLayout w:type="fixed"/>
        <w:tblCellMar>
          <w:top w:w="28" w:type="dxa"/>
          <w:left w:w="28" w:type="dxa"/>
          <w:bottom w:w="28" w:type="dxa"/>
          <w:right w:w="28" w:type="dxa"/>
        </w:tblCellMar>
      </w:tblPr>
      <w:tblGrid>
        <w:gridCol w:w="2668"/>
        <w:gridCol w:w="2281"/>
        <w:gridCol w:w="2298"/>
        <w:gridCol w:w="231"/>
        <w:gridCol w:w="737"/>
        <w:gridCol w:w="128"/>
        <w:gridCol w:w="128"/>
        <w:gridCol w:w="128"/>
        <w:gridCol w:w="128"/>
        <w:gridCol w:w="231"/>
        <w:gridCol w:w="630"/>
        <w:gridCol w:w="128"/>
        <w:gridCol w:w="109"/>
        <w:gridCol w:w="109"/>
        <w:gridCol w:w="109"/>
        <w:gridCol w:w="162"/>
      </w:tblGrid>
      <w:tr>
        <w:trPr/>
        <w:tc>
          <w:tcPr>
            <w:tcW w:w="2668"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7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(a)</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(b)</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(gain) loss on divestiture and investments</w:t>
            </w:r>
            <w:r>
              <w:rPr>
                <w:color w:val="000000"/>
              </w:rPr>
              <w:t xml:space="preserve"> </w:t>
            </w:r>
            <w:r>
              <w:rPr>
                <w:rFonts w:ascii="Times New Roman;sans-serif" w:hAnsi="Times New Roman;sans-serif"/>
                <w:b w:val="false"/>
                <w:color w:val="000000"/>
                <w:sz w:val="12"/>
              </w:rPr>
              <w:t>(c)</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extinguishment, net of debt modification costs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expense impact from the March 2024 Refinancing Transactions </w:t>
            </w:r>
            <w:r>
              <w:rPr>
                <w:rFonts w:ascii="Times New Roman;sans-serif" w:hAnsi="Times New Roman;sans-serif"/>
                <w:b w:val="false"/>
                <w:color w:val="000000"/>
                <w:sz w:val="12"/>
              </w:rPr>
              <w:t>(d)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adjustments </w:t>
            </w:r>
            <w:r>
              <w:rPr>
                <w:rFonts w:ascii="Times New Roman;sans-serif" w:hAnsi="Times New Roman;sans-serif"/>
                <w:b w:val="false"/>
                <w:color w:val="000000"/>
                <w:sz w:val="12"/>
              </w:rPr>
              <w:t>(e)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intangible assets </w:t>
            </w:r>
            <w:r>
              <w:rPr>
                <w:rFonts w:ascii="Times New Roman;sans-serif" w:hAnsi="Times New Roman;sans-serif"/>
                <w:b w:val="false"/>
                <w:color w:val="000000"/>
                <w:sz w:val="12"/>
              </w:rPr>
              <w:t>(f)</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Tax effect of non-GAAP adjustments </w:t>
            </w:r>
            <w:r>
              <w:rPr>
                <w:rFonts w:ascii="Times New Roman;sans-serif" w:hAnsi="Times New Roman;sans-serif"/>
                <w:b w:val="false"/>
                <w:color w:val="000000"/>
                <w:sz w:val="12"/>
              </w:rPr>
              <w:t>(g)</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Loss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00" w:after="283"/>
        <w:jc w:val="left"/>
        <w:rPr>
          <w:rFonts w:ascii="Times New Roman;sans-serif" w:hAnsi="Times New Roman;sans-serif"/>
          <w:b/>
          <w:color w:val="000000"/>
          <w:sz w:val="20"/>
        </w:rPr>
      </w:pPr>
      <w:r>
        <w:rPr>
          <w:rFonts w:ascii="Times New Roman;sans-serif" w:hAnsi="Times New Roman;sans-serif"/>
          <w:b/>
          <w:color w:val="000000"/>
          <w:sz w:val="20"/>
        </w:rPr>
        <w:t>Net loss reconciliation to Adjusted EBITDA</w:t>
      </w:r>
    </w:p>
    <w:tbl>
      <w:tblPr>
        <w:tblW w:w="10205" w:type="dxa"/>
        <w:jc w:val="left"/>
        <w:tblInd w:w="0" w:type="dxa"/>
        <w:tblLayout w:type="fixed"/>
        <w:tblCellMar>
          <w:top w:w="28" w:type="dxa"/>
          <w:left w:w="28" w:type="dxa"/>
          <w:bottom w:w="28" w:type="dxa"/>
          <w:right w:w="28" w:type="dxa"/>
        </w:tblCellMar>
      </w:tblPr>
      <w:tblGrid>
        <w:gridCol w:w="2668"/>
        <w:gridCol w:w="2281"/>
        <w:gridCol w:w="2298"/>
        <w:gridCol w:w="231"/>
        <w:gridCol w:w="737"/>
        <w:gridCol w:w="128"/>
        <w:gridCol w:w="128"/>
        <w:gridCol w:w="128"/>
        <w:gridCol w:w="128"/>
        <w:gridCol w:w="231"/>
        <w:gridCol w:w="630"/>
        <w:gridCol w:w="128"/>
        <w:gridCol w:w="109"/>
        <w:gridCol w:w="109"/>
        <w:gridCol w:w="109"/>
        <w:gridCol w:w="162"/>
      </w:tblGrid>
      <w:tr>
        <w:trPr/>
        <w:tc>
          <w:tcPr>
            <w:tcW w:w="2668"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7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Transaction-related adjustments, net </w:t>
            </w:r>
            <w:r>
              <w:rPr>
                <w:rFonts w:ascii="Times New Roman;sans-serif" w:hAnsi="Times New Roman;sans-serif"/>
                <w:b w:val="false"/>
                <w:color w:val="000000"/>
                <w:sz w:val="12"/>
              </w:rPr>
              <w:t>(a)</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and transformation expenses </w:t>
            </w:r>
            <w:r>
              <w:rPr>
                <w:rFonts w:ascii="Times New Roman;sans-serif" w:hAnsi="Times New Roman;sans-serif"/>
                <w:b w:val="false"/>
                <w:color w:val="000000"/>
                <w:sz w:val="12"/>
              </w:rPr>
              <w:t>(b)</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Hosted Exchange incident expenses, net of proceeds received or expected to be received under our insurance coverage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goodwill</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Net (gain) loss on divestiture and investments</w:t>
            </w:r>
            <w:r>
              <w:rPr>
                <w:color w:val="000000"/>
              </w:rPr>
              <w:t xml:space="preserve"> </w:t>
            </w:r>
            <w:r>
              <w:rPr>
                <w:rFonts w:ascii="Times New Roman;sans-serif" w:hAnsi="Times New Roman;sans-serif"/>
                <w:b w:val="false"/>
                <w:color w:val="000000"/>
                <w:sz w:val="12"/>
              </w:rPr>
              <w:t>(c)</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debt extinguishment, net of debt modification costs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expense, net </w:t>
            </w:r>
            <w:r>
              <w:rPr>
                <w:rFonts w:ascii="Times New Roman;sans-serif" w:hAnsi="Times New Roman;sans-serif"/>
                <w:b w:val="false"/>
                <w:color w:val="000000"/>
                <w:sz w:val="12"/>
              </w:rPr>
              <w:t>(h)</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(benefit) for income taxes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Depreciation and amortization </w:t>
            </w:r>
            <w:r>
              <w:rPr>
                <w:rFonts w:ascii="Times New Roman;sans-serif" w:hAnsi="Times New Roman;sans-serif"/>
                <w:b w:val="false"/>
                <w:color w:val="000000"/>
                <w:sz w:val="12"/>
              </w:rPr>
              <w:t>(i)</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79"/>
        <w:gridCol w:w="2845"/>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three months ended March 31, 2024 also includes a $9.0 million MEIA early termination fee associated with the sale of our corporate headquarters in March 2024.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Includes gains and losses on investment and from dispositions.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impact due to the accounting for contractual interest payments on debt instruments entered into as part of the March 2024 Refinancing Transactions, which reduced interest expense relative to contractual interest cost.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2024 and 2025 interim periods, we based it on an average of the 2023 and estimated 2024 tax rates and 2024 and estimated 2025 tax rates, respectively, recomputed to remove the tax effect of non-GAAP pre-tax adjustments and non-recurring tax adjustments, resulting in a structural non-GAAP tax</w:t>
            </w:r>
            <w:r>
              <w:rPr>
                <w:color w:val="000000"/>
                <w:shd w:fill="FFFFFF" w:val="clear"/>
              </w:rPr>
              <w:t xml:space="preserve"> </w:t>
            </w:r>
            <w:r>
              <w:rPr>
                <w:rFonts w:ascii="Times New Roman;sans-serif" w:hAnsi="Times New Roman;sans-serif"/>
                <w:b w:val="false"/>
                <w:color w:val="000000"/>
                <w:sz w:val="18"/>
                <w:shd w:fill="FFFFFF" w:val="clear"/>
              </w:rPr>
              <w:t xml:space="preserve">rate of 26% </w:t>
            </w:r>
            <w:r>
              <w:rPr>
                <w:rFonts w:ascii="Times New Roman;sans-serif" w:hAnsi="Times New Roman;sans-serif"/>
                <w:b w:val="false"/>
                <w:color w:val="000000"/>
                <w:sz w:val="18"/>
              </w:rPr>
              <w:t>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Primarily consists of foreign currency gains and losses and expense related to our accounts receivable purchase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accelerated depreciation expense related to facility closures.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but dilutive to Non-GAAP Earnings (Loss) Per Share. Management uses Non-GAAP Earnings (Loss) Per Share to evaluate the performance of our business on a comparable basis from period to period, including by adjusting for the impact of the issuance of shares that would be dilutive to Non-GAAP Earnings (Loss) Per Share. The following table reconciles Non-GAAP Loss Per Share to our GAAP net loss per share on a diluted basis:</w:t>
      </w:r>
    </w:p>
    <w:p>
      <w:pPr>
        <w:pStyle w:val="TextBody"/>
        <w:bidi w:val="0"/>
        <w:spacing w:before="0" w:after="0"/>
        <w:ind w:left="0" w:right="0" w:firstLine="540"/>
        <w:jc w:val="left"/>
        <w:rPr/>
      </w:pPr>
      <w:r>
        <w:rPr/>
      </w:r>
    </w:p>
    <w:tbl>
      <w:tblPr>
        <w:tblW w:w="7887" w:type="dxa"/>
        <w:jc w:val="left"/>
        <w:tblInd w:w="0" w:type="dxa"/>
        <w:tblLayout w:type="fixed"/>
        <w:tblCellMar>
          <w:top w:w="28" w:type="dxa"/>
          <w:left w:w="28" w:type="dxa"/>
          <w:bottom w:w="28" w:type="dxa"/>
          <w:right w:w="28" w:type="dxa"/>
        </w:tblCellMar>
      </w:tblPr>
      <w:tblGrid>
        <w:gridCol w:w="1748"/>
        <w:gridCol w:w="1534"/>
        <w:gridCol w:w="1547"/>
        <w:gridCol w:w="239"/>
        <w:gridCol w:w="772"/>
        <w:gridCol w:w="133"/>
        <w:gridCol w:w="133"/>
        <w:gridCol w:w="133"/>
        <w:gridCol w:w="133"/>
        <w:gridCol w:w="239"/>
        <w:gridCol w:w="662"/>
        <w:gridCol w:w="133"/>
        <w:gridCol w:w="109"/>
        <w:gridCol w:w="109"/>
        <w:gridCol w:w="109"/>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 except per share amounts)</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Loss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 Diluted</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Effect of dilutive securities </w:t>
            </w:r>
            <w:r>
              <w:rPr>
                <w:rFonts w:ascii="Times New Roman;sans-serif" w:hAnsi="Times New Roman;sans-serif"/>
                <w:b w:val="false"/>
                <w:color w:val="000000"/>
                <w:sz w:val="12"/>
              </w:rPr>
              <w:t>(a)</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weighted average number of shares - Diluted</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 Diluted</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Per share impacts of adjustments to net loss </w:t>
            </w:r>
            <w:r>
              <w:rPr>
                <w:rFonts w:ascii="Times New Roman;sans-serif" w:hAnsi="Times New Roman;sans-serif"/>
                <w:b w:val="false"/>
                <w:color w:val="000000"/>
                <w:sz w:val="12"/>
              </w:rPr>
              <w:t>(b)</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Per share impacts of shares dilutive after adjustments to net loss </w:t>
            </w:r>
            <w:r>
              <w:rPr>
                <w:rFonts w:ascii="Times New Roman;sans-serif" w:hAnsi="Times New Roman;sans-serif"/>
                <w:b w:val="false"/>
                <w:color w:val="000000"/>
                <w:sz w:val="12"/>
              </w:rPr>
              <w:t>(a)</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Loss Per Share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8"/>
              </w:rPr>
              <w:t>Reflects impact of awards that would have been anti-dilutive to net loss per share, and therefore not included in the calculation, but would be dilutive to Non-GAAP Loss Per Share and are therefore included in the share count for purposes of this non-GAAP measure. 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certain investment funds managed by affiliates of Apollo achieving pre-established performance targets based on a multiple of their invested capital ("MOI</w:t>
            </w:r>
            <w:r>
              <w:rPr>
                <w:rFonts w:ascii="Times New Roman;sans-serif" w:hAnsi="Times New Roman;sans-serif"/>
                <w:b w:val="false"/>
                <w:color w:val="000000"/>
                <w:sz w:val="20"/>
              </w:rPr>
              <w:t>C")</w:t>
            </w:r>
            <w:r>
              <w:rPr>
                <w:rFonts w:ascii="Times New Roman;sans-serif" w:hAnsi="Times New Roman;sans-serif"/>
                <w:b w:val="false"/>
                <w:color w:val="000000"/>
                <w:sz w:val="18"/>
              </w:rPr>
              <w:t xml:space="preserve">, which are included in the denominator for the entire period if such shares would be issuable as of the end of the reporting period assuming the end of the reporting period was the end of the contingency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Reflects the aggregate adjustments made to reconcile Non-GAAP Net Loss to our net loss, as noted in the above table, divided by the GAAP diluted number of shares outstanding for the relevant period.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primarily finance our operations and capital expenditures with internally-generated cash from operations and hardware leases, and if necessary, borrowings under the New Revolving Credit Facility. As of March 31, 2025, the New Revolving Credit Facility provided for up to $375 million of borrowings, $30 million of which was drawn and outstanding as of March 31, 2025.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w:t>
      </w:r>
      <w:r>
        <w:rPr>
          <w:rFonts w:ascii="Times New Roman;sans-serif" w:hAnsi="Times New Roman;sans-serif"/>
          <w:b w:val="false"/>
          <w:color w:val="000000"/>
          <w:sz w:val="20"/>
        </w:rPr>
        <w:t xml:space="preserve">indenture governing the 3.50% FLSO Senior Secured Notes (the “3.50% FLSO Senior Secured Notes Indenture”), the </w:t>
      </w:r>
      <w:r>
        <w:rPr>
          <w:rFonts w:ascii="Times New Roman;sans-serif" w:hAnsi="Times New Roman;sans-serif"/>
          <w:b w:val="false"/>
          <w:color w:val="000000"/>
          <w:sz w:val="20"/>
          <w:shd w:fill="FFFFFF" w:val="clear"/>
        </w:rPr>
        <w:t xml:space="preserve">indenture governing the 5.375% Senior Notes (the "5.375% Notes Indenture") or the indenture governing the 3.50% Senior Secured Notes (the "3.50% Notes Indenture" and, together with the </w:t>
      </w:r>
      <w:r>
        <w:rPr>
          <w:rFonts w:ascii="Times New Roman;sans-serif" w:hAnsi="Times New Roman;sans-serif"/>
          <w:b w:val="false"/>
          <w:color w:val="000000"/>
          <w:sz w:val="20"/>
        </w:rPr>
        <w:t>3.50% FLSO Senior Secured Notes Indenture and</w:t>
      </w:r>
      <w:r>
        <w:rPr>
          <w:color w:val="000000"/>
          <w:shd w:fill="FFFFFF" w:val="clear"/>
        </w:rPr>
        <w:t xml:space="preserve"> </w:t>
      </w:r>
      <w:r>
        <w:rPr>
          <w:rFonts w:ascii="Times New Roman;sans-serif" w:hAnsi="Times New Roman;sans-serif"/>
          <w:b w:val="false"/>
          <w:color w:val="000000"/>
          <w:sz w:val="20"/>
          <w:shd w:fill="FFFFFF" w:val="clear"/>
        </w:rPr>
        <w:t xml:space="preserve">5.375% Notes Indenture, the "Indentures"), if applicable), for cash or other consideration.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we held $128 million in cash and cash equivalents (not including $3 million in restricted cash, which is included in "Other non-current assets"), of which $102 million was held by foreign entities.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installment payment arrangements with certain equipment and software vendors, along with sale-leaseback arrangements for equipment and certain property leases that are considered financing obligations. We had $49 million outstanding with respect to these arrangements as of March 31, 2025. We may choose to utilize these various sources of funding in future periods.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lease certain equipment and real estate under operating and finance lease agreements. We had $492 million outstanding with respect to operating and finance lease agreements as of March 31, 2025. We may choose to utilize such leasing arrangements in future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As of March 31, 2025, we had $2,444 million aggregate principal amount outstanding under the </w:t>
      </w:r>
      <w:r>
        <w:rPr>
          <w:rFonts w:ascii="Times New Roman;sans-serif" w:hAnsi="Times New Roman;sans-serif"/>
          <w:b w:val="false"/>
          <w:color w:val="000000"/>
          <w:sz w:val="20"/>
        </w:rPr>
        <w:t xml:space="preserve">FLSO Term Loan Facility, the FLFO Term Loan Facility, the </w:t>
      </w:r>
      <w:r>
        <w:rPr>
          <w:rFonts w:ascii="Times New Roman;sans-serif" w:hAnsi="Times New Roman;sans-serif"/>
          <w:b w:val="false"/>
          <w:color w:val="000000"/>
          <w:sz w:val="20"/>
          <w:shd w:fill="FFFFFF" w:val="clear"/>
        </w:rPr>
        <w:t>Term Loan Facility, 3</w:t>
      </w:r>
      <w:r>
        <w:rPr>
          <w:rFonts w:ascii="Times New Roman;sans-serif" w:hAnsi="Times New Roman;sans-serif"/>
          <w:b w:val="false"/>
          <w:color w:val="000000"/>
          <w:sz w:val="20"/>
        </w:rPr>
        <w:t xml:space="preserve">.50% FLSO Senior Secured Notes, </w:t>
      </w:r>
      <w:r>
        <w:rPr>
          <w:rFonts w:ascii="Times New Roman;sans-serif" w:hAnsi="Times New Roman;sans-serif"/>
          <w:b w:val="false"/>
          <w:color w:val="000000"/>
          <w:sz w:val="20"/>
          <w:shd w:fill="FFFFFF" w:val="clear"/>
        </w:rPr>
        <w:t xml:space="preserve">5.375% Senior Notes, and 3.50% Senior Secured Notes. The New Revolving Credit Facility provides for up to $375 million of borrowings, $30 million of which was drawn and outstanding as of March 31, 2025. Our liquidity requirements are significant, primarily due to debt service requirements.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Debt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In March 2024, we initiated a series of debt refinancing transactions that substantially impacted our existing debt instruments: the Senior Facilities, the 3.50% Senior Secured Notes, and the 5.375% Senior Notes. We also entered into new debt instruments: the New Senior Facilities, which includes the FLSO Term Loan Facility, the FLFO Term Loan Facility, and the New Revolving Credit Facility, and the </w:t>
      </w:r>
      <w:r>
        <w:rPr>
          <w:rFonts w:ascii="Times New Roman;sans-serif" w:hAnsi="Times New Roman;sans-serif"/>
          <w:b w:val="false"/>
          <w:color w:val="000000"/>
          <w:sz w:val="20"/>
          <w:shd w:fill="FFFFFF" w:val="clear"/>
        </w:rPr>
        <w:t>3</w:t>
      </w:r>
      <w:r>
        <w:rPr>
          <w:rFonts w:ascii="Times New Roman;sans-serif" w:hAnsi="Times New Roman;sans-serif"/>
          <w:b w:val="false"/>
          <w:color w:val="000000"/>
          <w:sz w:val="20"/>
        </w:rPr>
        <w:t>.50% FLSO Senior Secured Notes.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1 of Part I, Financial Statements - Note 7, “Debt,” for more information regarding the March 2024 Refinancing Transactions and the related accounting impacts.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 Debt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New Senior Facilities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2024, Rackspace Finance Holdings, LLC ( “Rackspace Finance Holdings”), Rackspace Finance, LLC ( “Rackspace Finance”),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FLSO Term Loan Facility</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Finance issued the FLSO Term Loan Facility in an aggregate principal amount of $1,687 million. The FLSO Term Loan Facility matures on May 15, 2028.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2025, the contractual interest rate on the FLSO Term Loan Facility was 7.19%. We are required to make quarterly principal payments of $4 million, which began on March 31, 20</w:t>
      </w:r>
      <w:r>
        <w:rPr>
          <w:rFonts w:ascii="Times New Roman;sans-serif" w:hAnsi="Times New Roman;sans-serif"/>
          <w:b w:val="false"/>
          <w:color w:val="000000"/>
          <w:sz w:val="20"/>
          <w:shd w:fill="FFFFFF" w:val="clear"/>
        </w:rPr>
        <w:t>24.</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Rackspace Finance is the borrower and all obligations under the FLSO Term Loan Facility are guaranteed on a senior secured basis, jointly and severally, by Rackspace Finance Holdings on a limited-recourse basis and by certain of Rackspace Finance’s subsidiaries (the “Subsidiary Guarantors”). The obligations under the FLSO Term Loan Facility are secured by a pledge of Rackspace Finance’s capital stock directly held by Rackspace Finance Holdings and substantially all of Rackspace Finance’s and the Subsidiary Guarantors’ assets, subject to exceptions.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2025, $1,623 million</w:t>
      </w:r>
      <w:r>
        <w:rPr>
          <w:color w:val="000000"/>
          <w:shd w:fill="FFFFFF" w:val="clear"/>
        </w:rPr>
        <w:t xml:space="preserve"> </w:t>
      </w:r>
      <w:r>
        <w:rPr>
          <w:rFonts w:ascii="Times New Roman;sans-serif" w:hAnsi="Times New Roman;sans-serif"/>
          <w:b w:val="false"/>
          <w:color w:val="000000"/>
          <w:sz w:val="20"/>
          <w:shd w:fill="FFFFFF" w:val="clear"/>
        </w:rPr>
        <w:t>in aggregate</w:t>
      </w:r>
      <w:r>
        <w:rPr>
          <w:color w:val="000000"/>
        </w:rPr>
        <w:t xml:space="preserve"> </w:t>
      </w:r>
      <w:r>
        <w:rPr>
          <w:rFonts w:ascii="Times New Roman;sans-serif" w:hAnsi="Times New Roman;sans-serif"/>
          <w:b w:val="false"/>
          <w:color w:val="000000"/>
          <w:sz w:val="20"/>
        </w:rPr>
        <w:t>principal amount of the FLSO Term Loan Facility remained outstanding.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We have entered into interest rate swap agreements to manage the interest rate risk associated with interest payments on the FLSO Term Loan Fac</w:t>
      </w:r>
      <w:r>
        <w:rPr>
          <w:rFonts w:ascii="Times New Roman;sans-serif" w:hAnsi="Times New Roman;sans-serif"/>
          <w:b w:val="false"/>
          <w:color w:val="000000"/>
          <w:sz w:val="20"/>
          <w:shd w:fill="FFFFFF" w:val="clear"/>
        </w:rPr>
        <w:t xml:space="preserve">ility that result from fluctuations in Term SOFR. See Item 1 of Part </w:t>
      </w:r>
      <w:r>
        <w:rPr>
          <w:rFonts w:ascii="Times New Roman;sans-serif" w:hAnsi="Times New Roman;sans-serif"/>
          <w:b w:val="false"/>
          <w:color w:val="000000"/>
          <w:sz w:val="20"/>
        </w:rPr>
        <w:t>I, Financial Statements - Note 11, “Derivatives,” for more information on the interest rate swap agreements.</w:t>
      </w:r>
    </w:p>
    <w:p>
      <w:pPr>
        <w:pStyle w:val="TextBody"/>
        <w:bidi w:val="0"/>
        <w:spacing w:before="0" w:after="0"/>
        <w:ind w:left="0" w:right="0" w:firstLine="540"/>
        <w:jc w:val="left"/>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FLFO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Rackspace Finance issued the FLFO Term Loan Facility in an aggregate principal amount $275 million. The FLFO Term Loan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2025, the contractual interest rate on the FLFO Term Loan Facility was 10.69%. We are required to make quarterly principal payments of $0.7 million, which began on June 30, 2024</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Rackspace Finance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As of March 31, 2025, $272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FLFO Term Loan Facility remained outstanding.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We have entered into interest rate swap agreements to manage the interest rate risk associated with interest payments on the FLFO Term Loan Fac</w:t>
      </w:r>
      <w:r>
        <w:rPr>
          <w:rFonts w:ascii="Times New Roman;sans-serif" w:hAnsi="Times New Roman;sans-serif"/>
          <w:b w:val="false"/>
          <w:color w:val="000000"/>
          <w:sz w:val="20"/>
          <w:shd w:fill="FFFFFF" w:val="clear"/>
        </w:rPr>
        <w:t xml:space="preserve">ility that result from fluctuations in Term SOFR. See Item 1 of Part </w:t>
      </w:r>
      <w:r>
        <w:rPr>
          <w:rFonts w:ascii="Times New Roman;sans-serif" w:hAnsi="Times New Roman;sans-serif"/>
          <w:b w:val="false"/>
          <w:color w:val="000000"/>
          <w:sz w:val="20"/>
        </w:rPr>
        <w:t>I, Financial Statements - Note 11, “Derivatives,” for more information on the interest rate swap agreements.</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New 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Rackspace Finance established the New Revolving Credit Facility in an aggregate principal amount of $375 million of commitments. All revolving lenders under the prior Revolving Credit Facility exchanged their revolving loan commitments for commitments in respect of the New Revolving Credit Facility, which replaced in full the prior Revolving Credit Facility. The New Revolving Credit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Revolving Credit Facility includes a commitment fee equal to 0.50% per annum in respect of the unused commitments that is due quarterly. This fee is subject to one step-down based on the net first lien leverage ratio.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Rackspace Finance is the borrower and all obligations under the </w:t>
      </w:r>
      <w:r>
        <w:rPr>
          <w:rFonts w:ascii="Times New Roman;sans-serif" w:hAnsi="Times New Roman;sans-serif"/>
          <w:b w:val="false"/>
          <w:color w:val="000000"/>
          <w:sz w:val="20"/>
          <w:shd w:fill="FFFFFF" w:val="clear"/>
        </w:rPr>
        <w:t>New Revolving Credit Facility</w:t>
      </w:r>
      <w:r>
        <w:rPr>
          <w:color w:val="000000"/>
        </w:rPr>
        <w:t xml:space="preserve"> </w:t>
      </w:r>
      <w:r>
        <w:rPr>
          <w:rFonts w:ascii="Times New Roman;sans-serif" w:hAnsi="Times New Roman;sans-serif"/>
          <w:b w:val="false"/>
          <w:color w:val="000000"/>
          <w:sz w:val="20"/>
        </w:rPr>
        <w:t xml:space="preserve">are guaranteed on a senior secured basis, jointly and severally, by Rackspace Finance Holdings on a limited-recourse basis and by the Subsidiary Guarantors. The obligations under the </w:t>
      </w:r>
      <w:r>
        <w:rPr>
          <w:rFonts w:ascii="Times New Roman;sans-serif" w:hAnsi="Times New Roman;sans-serif"/>
          <w:b w:val="false"/>
          <w:color w:val="000000"/>
          <w:sz w:val="20"/>
          <w:shd w:fill="FFFFFF" w:val="clear"/>
        </w:rPr>
        <w:t>New Revolving Credit Facility</w:t>
      </w:r>
      <w:r>
        <w:rPr>
          <w:color w:val="000000"/>
        </w:rPr>
        <w:t xml:space="preserve"> </w:t>
      </w:r>
      <w:r>
        <w:rPr>
          <w:rFonts w:ascii="Times New Roman;sans-serif" w:hAnsi="Times New Roman;sans-serif"/>
          <w:b w:val="false"/>
          <w:color w:val="000000"/>
          <w:sz w:val="20"/>
        </w:rPr>
        <w:t>are secured by the same collateral that secures the FLSO Term Loan Facility, the FLFO Term Loan Facility and the 3.50% FLSO Senior Secured Notes.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we had total commitments of $375 million, $30 million of outstanding borrowings under the New Revolving Credit Facility, and $24 million of letters of credit issued thereunder. As such, as of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we had $345 million of available commitments remaining.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3.50% FLSO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2024, Rackspace Finance issued $267 million initial aggregate principal amount of 3.50% FLSO Senior Secured Notes. The 3.50% FLSO Senior Secured Notes will mature on May 15, 2028 and bear interest at an annual fixed rate of 3.50%. Interest is payable semiannually on February 15 and August 15, commencing on August 15, 2024.</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16, 2024, we completed the Public Note Exchange, pursuant to which (i) $138 million aggregate principal amount of the existing 3.50% Senior Secured Notes were exchanged or purchased for cancellation and (ii) $97 million aggregate principal amount of 3.50% FLSO Senior Secured Notes were issued by Rackspace Finance.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Rackspace Finance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2025, $319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3.50% FLSO Senior Secured Notes were outstanding.</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Existing Debt Instruments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Senior Facilitie</w:t>
      </w:r>
      <w:r>
        <w:rPr>
          <w:rFonts w:ascii="Times New Roman;sans-serif" w:hAnsi="Times New Roman;sans-serif"/>
          <w:b/>
          <w:i/>
          <w:color w:val="000000"/>
          <w:sz w:val="20"/>
        </w:rPr>
        <w: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we amended and restated the credit agreement governing our senior secured credit facilities (the "First Lien Credit Agreement"), which included a new seven-year $2,300 million senior secured first lien term loan facility (the "Term Loan Facility") and the prior Revolving Credit Facility (together, the "Senior Facilities"). The Term Loan Facility will mature on February 15, 2028 and the prior Revolving Credit Facility was set to mature on August 7,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Interest on the Term Loan Facility is due at the end of each interest period elected, not exceeding 90 days, for SOFR loans and at the end of every calendar quarter for base rate loans. As of March 31, 2025, the contractual interest rate on the Term Loan Facility was 7.19%. </w:t>
      </w:r>
      <w:r>
        <w:rPr>
          <w:rFonts w:ascii="Times New Roman;sans-serif" w:hAnsi="Times New Roman;sans-serif"/>
          <w:b w:val="false"/>
          <w:color w:val="000000"/>
          <w:sz w:val="20"/>
        </w:rPr>
        <w:t>We are required to make quarterly amortization payments of $0.2 million. The Revolving Credit Facility included a commitment fee equal to 0.50% per annum in respect of the unused commitments that was due quarterly. This fee was subject to one step-down based on the net first lien leverage ratio. The Senior Facilities require us to make certain mandatory prepayments under certain conditions defined in the First Lien Credit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2025, $62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Term Loan Facility remained outstanding and the prior Revolving Credit Facility was replaced in full by the New Revolving Credit Facility. See Item 1 of Part I, Financial Statements - Note 7, “Debt,” for more information regarding our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have entered into interest rate swap agreements to manage the interest rate risk associated with interest payments on the Term Loan Fac</w:t>
      </w:r>
      <w:r>
        <w:rPr>
          <w:rFonts w:ascii="Times New Roman;sans-serif" w:hAnsi="Times New Roman;sans-serif"/>
          <w:b w:val="false"/>
          <w:color w:val="000000"/>
          <w:sz w:val="20"/>
          <w:shd w:fill="FFFFFF" w:val="clear"/>
        </w:rPr>
        <w:t xml:space="preserve">ility that result from fluctuations in Term SOFR. See Item 1 of Part </w:t>
      </w:r>
      <w:r>
        <w:rPr>
          <w:rFonts w:ascii="Times New Roman;sans-serif" w:hAnsi="Times New Roman;sans-serif"/>
          <w:b w:val="false"/>
          <w:color w:val="000000"/>
          <w:sz w:val="20"/>
        </w:rPr>
        <w:t>I, Financial Statements - Note 11, "Derivatives," for more information on the interest rate swap agreements.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2021, Rackspace Technology Global issued $550 million aggregate principal amount of 3.50% Senior Secured Notes. The 3.50% Senior Secured Notes will mature on February 15, 2028 and bear interest at an annual fixed rate of 3.50%. Interest is payable semiannually on February 15 and August 15, commencing on August 15, 2021.</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2025, $44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3.50% Senior Secured Notes remained outstanding.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Rackspace Technology Global issued $550 million aggregate principal amount of the 5.375% Senior Notes on December 1, 2020. The 5.375% Senior Notes will mature on December 1, 2028 and bear interest at a fixed rate of 5.375% per year, payable semi-annually on June 1 and December 1, commencing on June 1, 2021. The 5.375% Senior Notes are guaranteed on a senior unsecured basis by all of Rackspace Technology Global's wholly-owned domestic restricted subsidiaries that guarantee the Senior Facilities.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2025, $125 million</w:t>
      </w:r>
      <w:r>
        <w:rPr>
          <w:color w:val="000000"/>
          <w:shd w:fill="FFFFFF" w:val="clear"/>
        </w:rPr>
        <w:t xml:space="preserve"> </w:t>
      </w:r>
      <w:r>
        <w:rPr>
          <w:rFonts w:ascii="Times New Roman;sans-serif" w:hAnsi="Times New Roman;sans-serif"/>
          <w:b w:val="false"/>
          <w:color w:val="000000"/>
          <w:sz w:val="20"/>
          <w:shd w:fill="FFFFFF" w:val="clear"/>
        </w:rPr>
        <w:t>aggregate</w:t>
      </w:r>
      <w:r>
        <w:rPr>
          <w:color w:val="000000"/>
        </w:rPr>
        <w:t xml:space="preserve"> </w:t>
      </w:r>
      <w:r>
        <w:rPr>
          <w:rFonts w:ascii="Times New Roman;sans-serif" w:hAnsi="Times New Roman;sans-serif"/>
          <w:b w:val="false"/>
          <w:color w:val="000000"/>
          <w:sz w:val="20"/>
        </w:rPr>
        <w:t>principal amount of the 5.375% Senior Notes remained outstanding.</w:t>
      </w:r>
      <w:r>
        <w:rPr>
          <w:color w:val="000000"/>
        </w:rPr>
        <w:t xml:space="preserve">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covenants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FLSO Term Loan Facility, FLFO Term Loan Facility, and Term Loan Facility are not subject to a financial maintenance covenant. The New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New First Lien Credit Agreement governing the New Senior Facilities). However, this financial maintenance covenant will only be applicable and tested if the aggregate amount of outstanding borrowings under the New Revolving Credit Facility and letters of credit issued thereunder (excluding $25 million of undrawn letters of credit and cash collateralized letters of credit) as of the last day of a fiscal quarter is greater than 35% of the New Revolving Credit Facility commitments as of the last day of such fiscal quarter. Additional covenants in the New Senior Facilities and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substantially any changes in GAAP subsequent to the date of issuance, whereas under the New Senior Facilities and Senior Facilities the calculation of consolidated EBITDA takes into account the impact of certain changes in GAAP subsequent to December 1, 2020 other than with respect to capital leases.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were in compliance with all covenants under the New Senior Facilities, the Senior Facilities and the Indentures.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New Credit Group had total assets of $2,931 million and total liabilities of $3,794 million, which included total debt of $2,558 million. The financial information for the New Credit Group differs from the financial information for the company and its consolidated subsidiaries primarily because Rackspace Technology Global has (i) debt that is not guaranteed by the New Credit Group, which debt was $229 million as of March 31, 2025, and (ii) Rackspace Technology Global is the party to the interest rate swap which had a net asset value of $19 million as of March 31, 2025.</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our total capital expenditures for the periods indicated:</w:t>
      </w:r>
    </w:p>
    <w:tbl>
      <w:tblPr>
        <w:tblW w:w="5486" w:type="dxa"/>
        <w:jc w:val="center"/>
        <w:tblInd w:w="0" w:type="dxa"/>
        <w:tblLayout w:type="fixed"/>
        <w:tblCellMar>
          <w:top w:w="28" w:type="dxa"/>
          <w:left w:w="28" w:type="dxa"/>
          <w:bottom w:w="28" w:type="dxa"/>
          <w:right w:w="28" w:type="dxa"/>
        </w:tblCellMar>
      </w:tblPr>
      <w:tblGrid>
        <w:gridCol w:w="1040"/>
        <w:gridCol w:w="911"/>
        <w:gridCol w:w="914"/>
        <w:gridCol w:w="268"/>
        <w:gridCol w:w="639"/>
        <w:gridCol w:w="149"/>
        <w:gridCol w:w="149"/>
        <w:gridCol w:w="149"/>
        <w:gridCol w:w="149"/>
        <w:gridCol w:w="268"/>
        <w:gridCol w:w="639"/>
        <w:gridCol w:w="211"/>
      </w:tblGrid>
      <w:tr>
        <w:trPr/>
        <w:tc>
          <w:tcPr>
            <w:tcW w:w="10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gear</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Data center build outs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build outs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and other projects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 expenditures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were $27 million in the three months ended March 31, 2025, compared to $46 million in the three months ended March 31, 2024, a decrease of $19 million. The decrease in capital expenditures was driven by an internal focus on optimizing current inventory of assets, purchases of gear early last year to support several large healthcare deals, and lower capital requirements on recent deals.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summary of certain cash flow information for the periods indicated: </w:t>
      </w:r>
    </w:p>
    <w:tbl>
      <w:tblPr>
        <w:tblW w:w="6040" w:type="dxa"/>
        <w:jc w:val="left"/>
        <w:tblInd w:w="0" w:type="dxa"/>
        <w:tblLayout w:type="fixed"/>
        <w:tblCellMar>
          <w:top w:w="28" w:type="dxa"/>
          <w:left w:w="28" w:type="dxa"/>
          <w:bottom w:w="28" w:type="dxa"/>
          <w:right w:w="28" w:type="dxa"/>
        </w:tblCellMar>
      </w:tblPr>
      <w:tblGrid>
        <w:gridCol w:w="1240"/>
        <w:gridCol w:w="1088"/>
        <w:gridCol w:w="1091"/>
        <w:gridCol w:w="247"/>
        <w:gridCol w:w="702"/>
        <w:gridCol w:w="137"/>
        <w:gridCol w:w="137"/>
        <w:gridCol w:w="137"/>
        <w:gridCol w:w="137"/>
        <w:gridCol w:w="247"/>
        <w:gridCol w:w="683"/>
        <w:gridCol w:w="19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operating activities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financing activities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(Used in)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Net cash provided by operating activities was $13 million in the three months ended March 31, 2025 compared to </w:t>
      </w:r>
      <w:r>
        <w:rPr>
          <w:rFonts w:ascii="Times New Roman;sans-serif" w:hAnsi="Times New Roman;sans-serif"/>
          <w:b w:val="false"/>
          <w:color w:val="000000"/>
          <w:sz w:val="20"/>
          <w:shd w:fill="FFFFFF" w:val="clear"/>
        </w:rPr>
        <w:t>$90 million of net cash used in</w:t>
      </w:r>
      <w:r>
        <w:rPr>
          <w:color w:val="000000"/>
        </w:rPr>
        <w:t xml:space="preserve"> </w:t>
      </w:r>
      <w:r>
        <w:rPr>
          <w:rFonts w:ascii="Times New Roman;sans-serif" w:hAnsi="Times New Roman;sans-serif"/>
          <w:b w:val="false"/>
          <w:color w:val="000000"/>
          <w:sz w:val="20"/>
        </w:rPr>
        <w:t>operating activities</w:t>
      </w:r>
      <w:r>
        <w:rPr>
          <w:color w:val="000000"/>
          <w:shd w:fill="FFFFFF" w:val="clear"/>
        </w:rPr>
        <w:t xml:space="preserve"> </w:t>
      </w:r>
      <w:r>
        <w:rPr>
          <w:rFonts w:ascii="Times New Roman;sans-serif" w:hAnsi="Times New Roman;sans-serif"/>
          <w:b w:val="false"/>
          <w:color w:val="000000"/>
          <w:sz w:val="20"/>
          <w:shd w:fill="FFFFFF" w:val="clear"/>
        </w:rPr>
        <w:t>in the three months ended March 31, 2024. The increase in operating cash between periods was primarily driven by a decrease of $58 million of cash paid for operating expenses in the first quarter of 2025 compared to the first quarter of 2024. Additionally, in the first quarter of 2024, $28 million in third party fees were paid in connection with the March 2024 Refinancing Transactions and a $9 million early termination fee associated with the sale of our corporate headquarters was paid. There were no similar one time fees paid in the first quarter of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Investing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$2 million, or 21%, in the three months ended March 31, 2025 compared to the three months ended March 31, 2024 primarily due to a $20 million reduction in cash purchases of property, equipment, and software between periods, partially offset by $17 million of net proceeds received in the first quarter of 2024 from the March 2024 sale of our corporate headquarters facility.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(Used in) Financing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$21 million in the three months ended March 31, 2025 compared to $188 million of net cash provided by financing activities in the three months ended March 31, 2024. The change was primarily driven by $275 million of proceeds received in the first quarter of 2024 from the FLFO Term Loan Facility as part of the March 2024 Refinancing Transactions compared to $30 million of debt proceeds in the current period from borrowings on the New Revolving Credit Facility. This activity was partially offset by a reduction in debt repayments of $10 million between periods and $22 million of payments in the first quarter of 2024 related to debt extinguishment costs.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have not changed from those described in our Annual Report under "Management's Discussion and Analysis of Financial Condition and Results of Operations - Critical Accounting Policies and Estimates."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Goodwill and Indefinite-Lived Intangible Assets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Goodwill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identifiable net assets of businesses acquired. Our indefinite-lived intangible assets consists of our Rackspace trade name, which was recorded at fair value on our balance sheet at the date of the Rackspace Acquisition.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the goodwill and other indefinite-lived intangible asset impairment test requires judgment, including the identification of reporting units, assignment of assets and liabilities to reporting units, assignment of goodwill to reporting units and determination of the fair value of each reporting unit. We test goodwill and our indefinite-lived intangible asset, the Rackspace trade name, for impairment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the results of our most recent annual or interim impairment testing, (ii) downward revisions to internal forecasts, and the magnitude thereof, if any, (iii) declines in our market capitalization below our book value, and the magnitude and duration of those declines, if any,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currently have two reporting units: Public Cloud and Private Cloud.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values of our reporting units and the Rackspace trade name using the discounted cash flow method and relief-from-royalty method, respectively. These calculations require the use of significant estimates and assumptions, such as: (i) the royalty rate; (ii) the estimation of future revenue growth rates, projected gross profit margins, projected operating costs, projected EBITDA margins, and projected capital expenditures, which are dependent on internal cash flow forecasts; (iii) estimation of the terminal growth rates; and (iv) determination of the risk-adjusted discount rates. The discount rates used are based on our weighted average cost of capital and are adjusted for risks and uncertainties inherent in our business and in our estimation of future cash flows. As part of the goodwill impairment test, we also consider our market capitalization in assessing the reasonableness of the combined fair values estimated for our reporting units, including OpenStack Public Cloud. The estimates and assumptions used to calculate the fair value of our reporting units and the Rackspace trade name from year to year are based on operating results, market conditions, and other factors. Changes in these estimates and assumptions could produce materially different results.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quantitative goodwill impairment analysis, we utilize the income approach to determine the fair value of our reporting units. The income approach utilizes a discounted cash flow method which is based on the present value of projected cash flows. The discounted cash flow models reflect our assumptions and considerations regarding revenue growth rates, projected gross profit margins, projected operating costs, projected EBITDA margins, projected capital expenditures, risk-adjusted discount rates, terminal period growth rates, and economic market trends. The terminal period growth rate is selected based on economic conditions and consideration of growth rates used in the forecast period and historical performance of the reporting unit.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February 29, 2024 Assessment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connection with the debt refinancing transactions that were completed in March and April 2024, as further described in Item 1 of Part I, Financial Statements -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 macroeconomic factors, to achieving our forecasts.</w:t>
      </w:r>
      <w:r>
        <w:rPr>
          <w:color w:val="000000"/>
        </w:rPr>
        <w:t xml:space="preserve"> </w:t>
      </w:r>
      <w:r>
        <w:rPr>
          <w:rFonts w:ascii="Times New Roman;sans-serif" w:hAnsi="Times New Roman;sans-serif"/>
          <w:b w:val="false"/>
          <w:color w:val="000000"/>
          <w:sz w:val="20"/>
        </w:rPr>
        <w:t xml:space="preserve">Our Board of Directors reviewed and approved our internal budget for fiscal year 2024 on February 28, 2024. As of February 29, 2024, we assessed our Board of Directors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quantitative goodwill impairment analysis performed as of February 29, 2024, we utilized a range of our weighted-average cost of capital of 13.0% to 14.0% as our base rate, which was then subsequently risk-adjusted to determine the discount rate used for each reporting unit. After determining the fair value of our reporting units, we reconciled the combined fair value of the reporting units to the company's market capitalization as of February 29, 2024. As a result, we determined that the carrying amount of our Public Cloud and Private Cloud reporting units exceeded their fair value. We recorded a goodwill impairment charge of $385 million and $188 million for Public Cloud and Private Cloud, respectively, during the first quarter of 2024, which is included in "Impairment of goodwill" in our Condensed Consolidated Statements of Comprehensive Loss. The impairment was driven by the company's cash flow projections as revised in the first quarter of 2024 to reflect current market conditions and expected business performance, including strategic business shifts and the timing when the benefits of such shifts will be realized.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performed sensitivity analyses on the key inputs and assumptions used in determining the estimated fair value of our reporting units by utilizing changes in assumptions that reflect reasonably likely future changes in the discount rate used in the weighted-average cost of capital calculation and the terminal growth rate. Assuming all other assumptions and inputs used in the discounted cash flow analysis are held constant, a 50 basis point increase or decrease in the discount rate assumption would result in decreases or increases in fair value of our Private Cloud and Public Cloud reporting units of approximately $101 million and $14 million, respectively.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29, 2024, due to the factors discussed above, we performed a quantitative assessment of our indefinite-lived intangible asset utilizing a relief from royalty method. Significant estimates and assumptions included in the relief from royalty method are expectations of revenue growth rates, and selection of royalty rate and discount rate. We utilized a royalty rate of 0.5% and a discount rate of 13.7% as of February 29, 2024.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quantitative test as of February 29, 2024 indicated that the estimated fair value of the Rackspace trade name was less than its carrying value. As a result, we recorded a $20 million non-cash impairment charge during the first quarter of 2024 which is included in "Impairment of assets, net" in our Condensed Consolidated Statements of Comprehensive Loss.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- 55 -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determination of our reporting units and our indefinite-lived intangible asset is judgmental in nature and requires the use of estimates and assumptions that are sensitive to changes. Assumptions include estimation of the royalty rate for the trade name, estimation of future revenue growth rates, projected gross profit margins, projected operating costs, projected EBITDA margins,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goodwill and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 in future cash flows due to lower than expected sales, or (iv) fluctuations in foreign currency exchange rates that may negatively impact our reported results of operations. Accordingly, if our current cash flow assumptions are not realized, we experience further sustained declines in our stock price or market capitalization, or increases in costs of capital, it is possible that an additional impairment charge may be recorded in the future, which could be material.</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performed recoverability tests of our long-lived assets in conjunction with the goodwill impairment analysis as of February 29, 2024, which did not result in any impairment charges.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- 56 -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 QUANTITATIVE AND QUALITATIVE DISCLOSURES ABOUT MARKET RISK</w:t>
      </w:r>
    </w:p>
    <w:p>
      <w:pPr>
        <w:pStyle w:val="TextBody"/>
        <w:bidi w:val="0"/>
        <w:spacing w:before="0" w:after="0"/>
        <w:ind w:left="0" w:right="0" w:firstLine="54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are exposed to interest rate risk associated with fluctuations in interest rates on our floating-rate debt under our Senior Facilities and New Senior Facilities, which includes our $375 million New Revolving Credit Facility and $1,957 million outstanding under the Term Loan Facility, FLSO Term Loan Facility, and FLFO Term Loan Facility. As of March 31, 2025, there was $30 million of </w:t>
      </w:r>
      <w:r>
        <w:rPr>
          <w:rFonts w:ascii="Times New Roman;sans-serif" w:hAnsi="Times New Roman;sans-serif"/>
          <w:b w:val="false"/>
          <w:color w:val="000000"/>
          <w:sz w:val="20"/>
          <w:shd w:fill="FFFFFF" w:val="clear"/>
        </w:rPr>
        <w:t>out</w:t>
      </w:r>
      <w:r>
        <w:rPr>
          <w:rFonts w:ascii="Times New Roman;sans-serif" w:hAnsi="Times New Roman;sans-serif"/>
          <w:b w:val="false"/>
          <w:color w:val="000000"/>
          <w:sz w:val="20"/>
        </w:rPr>
        <w:t>standing borrowings under the New Revolving Credit Facility. As of March 31, 2025, assuming the New Revolving Credit Facility was fully drawn, each 0.125% change in assumed blended interest rates would res</w:t>
      </w:r>
      <w:r>
        <w:rPr>
          <w:rFonts w:ascii="Times New Roman;sans-serif" w:hAnsi="Times New Roman;sans-serif"/>
          <w:b w:val="false"/>
          <w:color w:val="000000"/>
          <w:sz w:val="20"/>
          <w:shd w:fill="FFFFFF" w:val="clear"/>
        </w:rPr>
        <w:t>ult in a $3 million cha</w:t>
      </w:r>
      <w:r>
        <w:rPr>
          <w:rFonts w:ascii="Times New Roman;sans-serif" w:hAnsi="Times New Roman;sans-serif"/>
          <w:b w:val="false"/>
          <w:color w:val="000000"/>
          <w:sz w:val="20"/>
        </w:rPr>
        <w:t>nge in annual interest expense on indebtedness under the Senior Facilities and New Senior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Term Loan Facility, FLSO Term Loan Facility, and FLFO Term Loan Facility bear interest at an annual rate equal to an applicable margin plus one-month Term SOFR, subject to a 0.75% floor. We have entered into an interest rate swap agreement indexed to one-month Term SOFR (subject to a floor of 0.75%) in order to manage our risk from fluctuations in one-month Term SOFR above the 0.75% floor.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key terms of the swap outstanding as of March 31, 2025 are presented below:</w:t>
      </w:r>
    </w:p>
    <w:p>
      <w:pPr>
        <w:pStyle w:val="TextBody"/>
        <w:bidi w:val="0"/>
        <w:spacing w:before="0" w:after="0"/>
        <w:ind w:left="0" w:right="0" w:firstLine="540"/>
        <w:jc w:val="left"/>
        <w:rPr/>
      </w:pPr>
      <w:r>
        <w:rPr/>
      </w:r>
    </w:p>
    <w:tbl>
      <w:tblPr>
        <w:tblW w:w="9210" w:type="dxa"/>
        <w:jc w:val="left"/>
        <w:tblInd w:w="0" w:type="dxa"/>
        <w:tblLayout w:type="fixed"/>
        <w:tblCellMar>
          <w:top w:w="28" w:type="dxa"/>
          <w:left w:w="28" w:type="dxa"/>
          <w:bottom w:w="28" w:type="dxa"/>
          <w:right w:w="28" w:type="dxa"/>
        </w:tblCellMar>
      </w:tblPr>
      <w:tblGrid>
        <w:gridCol w:w="527"/>
        <w:gridCol w:w="462"/>
        <w:gridCol w:w="465"/>
        <w:gridCol w:w="109"/>
        <w:gridCol w:w="109"/>
        <w:gridCol w:w="109"/>
        <w:gridCol w:w="444"/>
        <w:gridCol w:w="444"/>
        <w:gridCol w:w="446"/>
        <w:gridCol w:w="109"/>
        <w:gridCol w:w="109"/>
        <w:gridCol w:w="109"/>
        <w:gridCol w:w="475"/>
        <w:gridCol w:w="1676"/>
        <w:gridCol w:w="264"/>
        <w:gridCol w:w="109"/>
        <w:gridCol w:w="109"/>
        <w:gridCol w:w="109"/>
        <w:gridCol w:w="439"/>
        <w:gridCol w:w="439"/>
        <w:gridCol w:w="442"/>
        <w:gridCol w:w="109"/>
        <w:gridCol w:w="109"/>
        <w:gridCol w:w="109"/>
        <w:gridCol w:w="403"/>
        <w:gridCol w:w="403"/>
        <w:gridCol w:w="573"/>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Transaction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2.34150%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9, 2026</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Item 1 of Part I, Financial Statements - Note 11, "Derivatives," for more information on interest rate swaps.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sans-serif" w:hAnsi="Times New Roman;sans-serif"/>
          <w:b w:val="false"/>
          <w:i/>
          <w:color w:val="000000"/>
          <w:sz w:val="20"/>
        </w:rPr>
        <w:t>Constant Currency Revenue</w:t>
      </w:r>
      <w:r>
        <w:rPr>
          <w:rFonts w:ascii="Times New Roman;sans-serif" w:hAnsi="Times New Roman;sans-serif"/>
          <w:b w:val="false"/>
          <w:color w:val="000000"/>
          <w:sz w:val="20"/>
        </w:rPr>
        <w:t xml:space="preserve">."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three months ended March 31, 2025, we recognized foreign currency transaction losses </w:t>
      </w:r>
      <w:r>
        <w:rPr>
          <w:rFonts w:ascii="Times New Roman;sans-serif" w:hAnsi="Times New Roman;sans-serif"/>
          <w:b w:val="false"/>
          <w:color w:val="000000"/>
          <w:sz w:val="20"/>
          <w:shd w:fill="FFFFFF" w:val="clear"/>
        </w:rPr>
        <w:t>of $0.5 million wit</w:t>
      </w:r>
      <w:r>
        <w:rPr>
          <w:rFonts w:ascii="Times New Roman;sans-serif" w:hAnsi="Times New Roman;sans-serif"/>
          <w:b w:val="false"/>
          <w:color w:val="000000"/>
          <w:sz w:val="20"/>
        </w:rPr>
        <w:t>hin "Other expense, net" in our Condensed Consolidated Statements of Comprehensive Loss. As we grow our international operations, our exposure to foreign currency translation and transaction risk could become more significant.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and may in the future enter into foreign currency hedging instruments to limit our exposure to foreign currency risk.</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Power Prices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We are a large consumer of power. In the three months ended March 31, 2025, we expensed a</w:t>
      </w:r>
      <w:r>
        <w:rPr>
          <w:rFonts w:ascii="Times New Roman;sans-serif" w:hAnsi="Times New Roman;sans-serif"/>
          <w:b w:val="false"/>
          <w:color w:val="000000"/>
          <w:sz w:val="20"/>
          <w:shd w:fill="FFFFFF" w:val="clear"/>
        </w:rPr>
        <w:t>pproximately $9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w:t>
      </w:r>
      <w:r>
        <w:rPr>
          <w:color w:val="000000"/>
        </w:rPr>
        <w:t xml:space="preserve"> </w:t>
      </w:r>
      <w:r>
        <w:rPr>
          <w:rFonts w:ascii="Times New Roman;sans-serif" w:hAnsi="Times New Roman;sans-serif"/>
          <w:b w:val="false"/>
          <w:color w:val="000000"/>
          <w:sz w:val="20"/>
        </w:rPr>
        <w:t>the Dallas-Fort Worth, San Jose, Somerset, New Jersey and London areas that allow us to procure power either on a fixed price or on a variable price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- 57 -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4 – CONTROLS AND PROCEDURES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Inherent Limitations of Internal Controls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- 58 -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 LEGAL PROCEEDINGS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1A – RISK FACTORS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ITEM 2 –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3 – DEFAULTS UPON SENIOR SECURITIES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4 – MINE SAFETY DISCLOSURES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5 – OTHER INFORMATION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fiscal quarter ended March 31, 2025, none of the company’s directors or officers (as defined in Rule 16a-1(f) of the Exchange Act) adopted, modified or terminated a "Rule 10b5-1 trading arrangement" or a "non-Rule 10b5-1 trading arrangement" (as each term is defined in Item 408 of Regulation S-K).</w:t>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- 59 -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 EXHIBITS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5"/>
        <w:gridCol w:w="213"/>
        <w:gridCol w:w="213"/>
        <w:gridCol w:w="193"/>
        <w:gridCol w:w="193"/>
        <w:gridCol w:w="194"/>
        <w:gridCol w:w="109"/>
        <w:gridCol w:w="109"/>
        <w:gridCol w:w="109"/>
        <w:gridCol w:w="2556"/>
        <w:gridCol w:w="2514"/>
        <w:gridCol w:w="3517"/>
      </w:tblGrid>
      <w:tr>
        <w:trPr/>
        <w:tc>
          <w:tcPr>
            <w:tcW w:w="2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12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rxt311q12025.htm">
              <w:r>
                <w:rPr>
                  <w:rStyle w:val="InternetLink"/>
                  <w:rFonts w:ascii="Times New Roman;sans-serif" w:hAnsi="Times New Roman;sans-serif"/>
                  <w:b w:val="false"/>
                  <w:color w:val="0000FF"/>
                  <w:sz w:val="20"/>
                  <w:u w:val="single"/>
                </w:rPr>
                <w:t>Certification of the Chief Executive Officer pursuant to Section 302 of the Sarbanes-Oxley Act of 2002</w:t>
              </w:r>
            </w:hyperlink>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2q12025.htm">
              <w:r>
                <w:rPr>
                  <w:rStyle w:val="InternetLink"/>
                  <w:rFonts w:ascii="Times New Roman;sans-serif" w:hAnsi="Times New Roman;sans-serif"/>
                  <w:b w:val="false"/>
                  <w:color w:val="0000FF"/>
                  <w:sz w:val="20"/>
                  <w:u w:val="single"/>
                </w:rPr>
                <w:t>Certification of the Chief Financial Officer pursuant to Section 302 of the Sarbanes-Oxley Act of 2002</w:t>
              </w:r>
            </w:hyperlink>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1q12025.htm">
              <w:r>
                <w:rPr>
                  <w:rStyle w:val="InternetLink"/>
                  <w:rFonts w:ascii="Times New Roman;sans-serif" w:hAnsi="Times New Roman;sans-serif"/>
                  <w:b w:val="false"/>
                  <w:color w:val="0000FF"/>
                  <w:sz w:val="20"/>
                  <w:u w:val="single"/>
                </w:rPr>
                <w:t>Certification of the Chief Executive Officer pursuant to Section 906 of the Sarbanes-Oxley Act of 2002</w:t>
              </w:r>
            </w:hyperlink>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2q12025.htm">
              <w:r>
                <w:rPr>
                  <w:rStyle w:val="InternetLink"/>
                  <w:rFonts w:ascii="Times New Roman;sans-serif" w:hAnsi="Times New Roman;sans-serif"/>
                  <w:b w:val="false"/>
                  <w:color w:val="0000FF"/>
                  <w:sz w:val="20"/>
                  <w:u w:val="single"/>
                </w:rPr>
                <w:t>Certification of the Chief Financial Officer pursuant to Section 906 of the Sarbanes-Oxley Act of 2002</w:t>
              </w:r>
            </w:hyperlink>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pPr>
      <w:r>
        <w:rPr>
          <w:rFonts w:ascii="Times New Roman;sans-serif" w:hAnsi="Times New Roman;sans-serif"/>
          <w:b/>
          <w:color w:val="000000"/>
          <w:sz w:val="18"/>
        </w:rPr>
        <w:t>*    </w:t>
      </w:r>
      <w:r>
        <w:rPr>
          <w:rFonts w:ascii="Times New Roman;sans-serif" w:hAnsi="Times New Roman;sans-serif"/>
          <w:b w:val="false"/>
          <w:color w:val="000000"/>
          <w:sz w:val="18"/>
        </w:rPr>
        <w:t>Filed herewith.</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Furnished herewith.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- 60 -</w:t>
                      </w:r>
                    </w:p>
                  </w:txbxContent>
                </v:textbox>
                <w10:wrap type="none"/>
              </v:rect>
            </w:pict>
          </mc:Fallback>
        </mc:AlternateContent>
      </w:r>
    </w:p>
    <w:p>
      <w:pPr>
        <w:pStyle w:val="TextBody"/>
        <w:bidi w:val="0"/>
        <w:spacing w:lineRule="auto" w:line="288" w:before="0" w:after="0"/>
        <w:jc w:val="left"/>
        <w:rPr/>
      </w:pPr>
      <w:hyperlink w:anchor="ib56cab79517b4392ae88dfd079d5bee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5589"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484"/>
        <w:gridCol w:w="484"/>
        <w:gridCol w:w="48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- 61 -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Amar Maletira,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ans-serif" w:hAnsi="Times New Roman;sans-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36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Marino,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ans-serif" w:hAnsi="Times New Roman;sans-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454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Amar Maletira, Chief Executive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March 31, 2025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5365"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829"/>
        <w:gridCol w:w="829"/>
        <w:gridCol w:w="11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Amar Maletira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Mark Marino, Chief Financial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March 31, 2025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454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28259</Words>
  <Characters>155975</Characters>
  <CharactersWithSpaces>182608</CharactersWithSpaces>
  <Paragraphs>2507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