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48"/>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bookmarkStart w:id="0" w:name="i-1"/>
      <w:bookmarkEnd w:id="0"/>
    </w:p>
    <w:p>
      <w:pPr>
        <w:pStyle w:val="TextBody"/>
        <w:bidi w:val="0"/>
        <w:spacing w:before="0" w:after="0"/>
        <w:jc w:val="left"/>
        <w:rPr/>
      </w:pPr>
      <w:r>
        <w:rPr/>
      </w:r>
    </w:p>
    <w:tbl>
      <w:tblPr>
        <w:tblW w:w="8561"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876"/>
        <w:gridCol w:w="876"/>
        <w:gridCol w:w="1248"/>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 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128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1-800-961-4454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aggregate market value of the voting and non-voting common equity held by non-affiliates of the registrant as of June 30, 2025, the last business day of our most recently completed second fiscal quarter, was</w:t>
      </w:r>
      <w:r>
        <w:rPr>
          <w:color w:val="000000"/>
          <w:shd w:fill="FFFFFF" w:val="clear"/>
        </w:rPr>
        <w:t xml:space="preserve"> </w:t>
      </w:r>
      <w:r>
        <w:rPr>
          <w:rFonts w:ascii="Times New Roman;serif" w:hAnsi="Times New Roman;serif"/>
          <w:b w:val="false"/>
          <w:color w:val="000000"/>
          <w:sz w:val="20"/>
          <w:shd w:fill="FFFFFF" w:val="clear"/>
        </w:rPr>
        <w:t xml:space="preserve">$131 million </w:t>
      </w:r>
      <w:r>
        <w:rPr>
          <w:rFonts w:ascii="Times New Roman;serif" w:hAnsi="Times New Roman;serif"/>
          <w:b w:val="false"/>
          <w:color w:val="000000"/>
          <w:sz w:val="20"/>
        </w:rPr>
        <w:t>based upon the closing price of such shares on the Nasdaq Stock Market LLC on such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246,914,399 shares of the registrant’s common stock, par value $0.01 per share, were outstanding.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Portions of the registrant's definitive Proxy Statement relating to the 2026 Annual Meeting of Stockholders are incorporated herein by reference into Part III of this Annual Report on Form 10-K to the extent stated herein. Such Proxy Statement will be filed with the Securities and Exchange Commission within 120 days of the registrant's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pPr>
      <w:r>
        <w:rPr>
          <w:color w:val="000000"/>
        </w:rPr>
        <w:t> </w:t>
      </w:r>
      <w:r>
        <w:rPr>
          <w:rFonts w:ascii="Times New Roman;serif" w:hAnsi="Times New Roman;serif"/>
          <w:b/>
          <w:color w:val="000000"/>
          <w:sz w:val="20"/>
        </w:rPr>
        <w:t>TABLE OF CONTENTS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71"/>
        <w:gridCol w:w="2963"/>
        <w:gridCol w:w="2954"/>
        <w:gridCol w:w="2972"/>
        <w:gridCol w:w="136"/>
        <w:gridCol w:w="136"/>
        <w:gridCol w:w="198"/>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6">
              <w:r>
                <w:rPr>
                  <w:rStyle w:val="InternetLink"/>
                  <w:rFonts w:ascii="Times New Roman;serif" w:hAnsi="Times New Roman;serif"/>
                  <w:b w:val="false"/>
                  <w:color w:val="0000FF"/>
                  <w:sz w:val="20"/>
                  <w:u w:val="single"/>
                </w:rPr>
                <w:t>PART 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9">
              <w:r>
                <w:rPr>
                  <w:rStyle w:val="InternetLink"/>
                  <w:rFonts w:ascii="Times New Roman;serif" w:hAnsi="Times New Roman;serif"/>
                  <w:b w:val="false"/>
                  <w:color w:val="0000FF"/>
                  <w:sz w:val="20"/>
                  <w:u w:val="single"/>
                </w:rPr>
                <w:t>Business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9">
              <w:r>
                <w:rPr>
                  <w:rStyle w:val="InternetLink"/>
                  <w:rFonts w:ascii="Times New Roman;serif" w:hAnsi="Times New Roman;serif"/>
                  <w:b w:val="false"/>
                  <w:color w:val="0000FF"/>
                  <w:sz w:val="20"/>
                  <w:u w:val="single"/>
                </w:rPr>
                <w:t>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22">
              <w:r>
                <w:rPr>
                  <w:rStyle w:val="InternetLink"/>
                  <w:rFonts w:ascii="Times New Roman;serif" w:hAnsi="Times New Roman;serif"/>
                  <w:b w:val="false"/>
                  <w:color w:val="0000FF"/>
                  <w:sz w:val="20"/>
                  <w:u w:val="single"/>
                </w:rPr>
                <w:t>Risk Factors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22">
              <w:r>
                <w:rPr>
                  <w:rStyle w:val="InternetLink"/>
                  <w:rFonts w:ascii="Times New Roman;serif" w:hAnsi="Times New Roman;serif"/>
                  <w:b w:val="false"/>
                  <w:color w:val="0000FF"/>
                  <w:sz w:val="20"/>
                  <w:u w:val="single"/>
                </w:rPr>
                <w:t>17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25">
              <w:r>
                <w:rPr>
                  <w:rStyle w:val="InternetLink"/>
                  <w:rFonts w:ascii="Times New Roman;serif" w:hAnsi="Times New Roman;serif"/>
                  <w:b w:val="false"/>
                  <w:color w:val="0000FF"/>
                  <w:sz w:val="20"/>
                  <w:u w:val="single"/>
                </w:rPr>
                <w:t>Unresolved Staff Comments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25">
              <w:r>
                <w:rPr>
                  <w:rStyle w:val="InternetLink"/>
                  <w:rFonts w:ascii="Times New Roman;serif" w:hAnsi="Times New Roman;serif"/>
                  <w:b w:val="false"/>
                  <w:color w:val="0000FF"/>
                  <w:sz w:val="20"/>
                  <w:u w:val="single"/>
                </w:rPr>
                <w:t>45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28">
              <w:r>
                <w:rPr>
                  <w:rStyle w:val="InternetLink"/>
                  <w:rFonts w:ascii="Times New Roman;serif" w:hAnsi="Times New Roman;serif"/>
                  <w:b w:val="false"/>
                  <w:color w:val="0000FF"/>
                  <w:sz w:val="20"/>
                  <w:u w:val="single"/>
                </w:rPr>
                <w:t>Cybersecurity</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28">
              <w:r>
                <w:rPr>
                  <w:rStyle w:val="InternetLink"/>
                  <w:rFonts w:ascii="Times New Roman;serif" w:hAnsi="Times New Roman;serif"/>
                  <w:b w:val="false"/>
                  <w:color w:val="0000FF"/>
                  <w:sz w:val="20"/>
                  <w:u w:val="single"/>
                </w:rPr>
                <w:t>46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31">
              <w:r>
                <w:rPr>
                  <w:rStyle w:val="InternetLink"/>
                  <w:rFonts w:ascii="Times New Roman;serif" w:hAnsi="Times New Roman;serif"/>
                  <w:b w:val="false"/>
                  <w:color w:val="0000FF"/>
                  <w:sz w:val="20"/>
                  <w:u w:val="single"/>
                </w:rPr>
                <w:t>Properties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31">
              <w:r>
                <w:rPr>
                  <w:rStyle w:val="InternetLink"/>
                  <w:rFonts w:ascii="Times New Roman;serif" w:hAnsi="Times New Roman;serif"/>
                  <w:b w:val="false"/>
                  <w:color w:val="0000FF"/>
                  <w:sz w:val="20"/>
                  <w:u w:val="single"/>
                </w:rPr>
                <w:t>48</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34">
              <w:r>
                <w:rPr>
                  <w:rStyle w:val="InternetLink"/>
                  <w:rFonts w:ascii="Times New Roman;serif" w:hAnsi="Times New Roman;serif"/>
                  <w:b w:val="false"/>
                  <w:color w:val="0000FF"/>
                  <w:sz w:val="20"/>
                  <w:u w:val="single"/>
                </w:rPr>
                <w:t>Legal Proceedings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34">
              <w:r>
                <w:rPr>
                  <w:rStyle w:val="InternetLink"/>
                  <w:rFonts w:ascii="Times New Roman;serif" w:hAnsi="Times New Roman;serif"/>
                  <w:b w:val="false"/>
                  <w:color w:val="0000FF"/>
                  <w:sz w:val="20"/>
                  <w:u w:val="single"/>
                </w:rPr>
                <w:t>48</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37">
              <w:r>
                <w:rPr>
                  <w:rStyle w:val="InternetLink"/>
                  <w:rFonts w:ascii="Times New Roman;serif" w:hAnsi="Times New Roman;serif"/>
                  <w:b w:val="false"/>
                  <w:color w:val="0000FF"/>
                  <w:sz w:val="20"/>
                  <w:u w:val="single"/>
                </w:rPr>
                <w:t>Mine Safety Disclosures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37">
              <w:r>
                <w:rPr>
                  <w:rStyle w:val="InternetLink"/>
                  <w:rFonts w:ascii="Times New Roman;serif" w:hAnsi="Times New Roman;serif"/>
                  <w:b w:val="false"/>
                  <w:color w:val="0000FF"/>
                  <w:sz w:val="20"/>
                  <w:u w:val="single"/>
                </w:rPr>
                <w:t>48</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40">
              <w:r>
                <w:rPr>
                  <w:rStyle w:val="InternetLink"/>
                  <w:rFonts w:ascii="Times New Roman;serif" w:hAnsi="Times New Roman;serif"/>
                  <w:b w:val="false"/>
                  <w:color w:val="0000FF"/>
                  <w:sz w:val="20"/>
                  <w:u w:val="single"/>
                </w:rPr>
                <w:t>PART II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43">
              <w:r>
                <w:rPr>
                  <w:rStyle w:val="InternetLink"/>
                  <w:rFonts w:ascii="Times New Roman;serif" w:hAnsi="Times New Roman;serif"/>
                  <w:b w:val="false"/>
                  <w:color w:val="0000FF"/>
                  <w:sz w:val="20"/>
                  <w:u w:val="single"/>
                </w:rPr>
                <w:t>49</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46">
              <w:r>
                <w:rPr>
                  <w:rStyle w:val="InternetLink"/>
                  <w:rFonts w:ascii="Times New Roman;serif" w:hAnsi="Times New Roman;serif"/>
                  <w:b w:val="false"/>
                  <w:color w:val="0000FF"/>
                  <w:sz w:val="20"/>
                  <w:u w:val="single"/>
                </w:rPr>
                <w:t>[Reserved]</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46">
              <w:r>
                <w:rPr>
                  <w:rStyle w:val="InternetLink"/>
                  <w:rFonts w:ascii="Times New Roman;serif" w:hAnsi="Times New Roman;serif"/>
                  <w:b w:val="false"/>
                  <w:color w:val="0000FF"/>
                  <w:sz w:val="20"/>
                  <w:u w:val="single"/>
                </w:rPr>
                <w:t>50</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49">
              <w:r>
                <w:rPr>
                  <w:rStyle w:val="InternetLink"/>
                  <w:rFonts w:ascii="Times New Roman;serif" w:hAnsi="Times New Roman;serif"/>
                  <w:b w:val="false"/>
                  <w:color w:val="0000FF"/>
                  <w:sz w:val="20"/>
                  <w:u w:val="single"/>
                </w:rPr>
                <w:t>51</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79">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79">
              <w:r>
                <w:rPr>
                  <w:rStyle w:val="InternetLink"/>
                  <w:rFonts w:ascii="Times New Roman;serif" w:hAnsi="Times New Roman;serif"/>
                  <w:b w:val="false"/>
                  <w:color w:val="0000FF"/>
                  <w:sz w:val="20"/>
                  <w:u w:val="single"/>
                </w:rPr>
                <w:t>87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82">
              <w:r>
                <w:rPr>
                  <w:rStyle w:val="InternetLink"/>
                  <w:rFonts w:ascii="Times New Roman;serif" w:hAnsi="Times New Roman;serif"/>
                  <w:b w:val="false"/>
                  <w:color w:val="0000FF"/>
                  <w:sz w:val="20"/>
                  <w:u w:val="single"/>
                </w:rPr>
                <w:t>Financial Statements and Supplementary Data</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82">
              <w:r>
                <w:rPr>
                  <w:rStyle w:val="InternetLink"/>
                  <w:rFonts w:ascii="Times New Roman;serif" w:hAnsi="Times New Roman;serif"/>
                  <w:b w:val="false"/>
                  <w:color w:val="0000FF"/>
                  <w:sz w:val="20"/>
                  <w:u w:val="single"/>
                </w:rPr>
                <w:t>88</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5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57">
              <w:r>
                <w:rPr>
                  <w:rStyle w:val="InternetLink"/>
                  <w:rFonts w:ascii="Times New Roman;serif" w:hAnsi="Times New Roman;serif"/>
                  <w:b w:val="false"/>
                  <w:color w:val="0000FF"/>
                  <w:sz w:val="20"/>
                  <w:u w:val="single"/>
                </w:rPr>
                <w:t>154</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60">
              <w:r>
                <w:rPr>
                  <w:rStyle w:val="InternetLink"/>
                  <w:rFonts w:ascii="Times New Roman;serif" w:hAnsi="Times New Roman;serif"/>
                  <w:b w:val="false"/>
                  <w:color w:val="0000FF"/>
                  <w:sz w:val="20"/>
                  <w:u w:val="single"/>
                </w:rPr>
                <w:t>Controls and Procedures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60">
              <w:r>
                <w:rPr>
                  <w:rStyle w:val="InternetLink"/>
                  <w:rFonts w:ascii="Times New Roman;serif" w:hAnsi="Times New Roman;serif"/>
                  <w:b w:val="false"/>
                  <w:color w:val="0000FF"/>
                  <w:sz w:val="20"/>
                  <w:u w:val="single"/>
                </w:rPr>
                <w:t>154</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63">
              <w:r>
                <w:rPr>
                  <w:rStyle w:val="InternetLink"/>
                  <w:rFonts w:ascii="Times New Roman;serif" w:hAnsi="Times New Roman;serif"/>
                  <w:b w:val="false"/>
                  <w:color w:val="0000FF"/>
                  <w:sz w:val="20"/>
                  <w:u w:val="single"/>
                </w:rPr>
                <w:t>Other Information</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63">
              <w:r>
                <w:rPr>
                  <w:rStyle w:val="InternetLink"/>
                  <w:rFonts w:ascii="Times New Roman;serif" w:hAnsi="Times New Roman;serif"/>
                  <w:b w:val="false"/>
                  <w:color w:val="0000FF"/>
                  <w:sz w:val="20"/>
                  <w:u w:val="single"/>
                </w:rPr>
                <w:t>155</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66">
              <w:r>
                <w:rPr>
                  <w:rStyle w:val="InternetLink"/>
                  <w:rFonts w:ascii="Times New Roman;serif" w:hAnsi="Times New Roman;serif"/>
                  <w:b w:val="false"/>
                  <w:color w:val="0000FF"/>
                  <w:sz w:val="20"/>
                  <w:u w:val="single"/>
                </w:rPr>
                <w:t>Disclosure Regarding Foreign Jurisdictions that Prevent Inspections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66">
              <w:r>
                <w:rPr>
                  <w:rStyle w:val="InternetLink"/>
                  <w:rFonts w:ascii="Times New Roman;serif" w:hAnsi="Times New Roman;serif"/>
                  <w:b w:val="false"/>
                  <w:color w:val="0000FF"/>
                  <w:sz w:val="20"/>
                  <w:u w:val="single"/>
                </w:rPr>
                <w:t>155</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69">
              <w:r>
                <w:rPr>
                  <w:rStyle w:val="InternetLink"/>
                  <w:rFonts w:ascii="Times New Roman;serif" w:hAnsi="Times New Roman;serif"/>
                  <w:b w:val="false"/>
                  <w:color w:val="0000FF"/>
                  <w:sz w:val="20"/>
                  <w:u w:val="single"/>
                </w:rPr>
                <w:t>PART III</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72">
              <w:r>
                <w:rPr>
                  <w:rStyle w:val="InternetLink"/>
                  <w:rFonts w:ascii="Times New Roman;serif" w:hAnsi="Times New Roman;serif"/>
                  <w:b w:val="false"/>
                  <w:color w:val="0000FF"/>
                  <w:sz w:val="20"/>
                  <w:u w:val="single"/>
                </w:rPr>
                <w:t>Directors, Executive Officers and Corporate Governance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72">
              <w:r>
                <w:rPr>
                  <w:rStyle w:val="InternetLink"/>
                  <w:rFonts w:ascii="Times New Roman;serif" w:hAnsi="Times New Roman;serif"/>
                  <w:b w:val="false"/>
                  <w:color w:val="0000FF"/>
                  <w:sz w:val="20"/>
                  <w:u w:val="single"/>
                </w:rPr>
                <w:t>156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75">
              <w:r>
                <w:rPr>
                  <w:rStyle w:val="InternetLink"/>
                  <w:rFonts w:ascii="Times New Roman;serif" w:hAnsi="Times New Roman;serif"/>
                  <w:b w:val="false"/>
                  <w:color w:val="0000FF"/>
                  <w:sz w:val="20"/>
                  <w:u w:val="single"/>
                </w:rPr>
                <w:t>Executive Compensation</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75">
              <w:r>
                <w:rPr>
                  <w:rStyle w:val="InternetLink"/>
                  <w:rFonts w:ascii="Times New Roman;serif" w:hAnsi="Times New Roman;serif"/>
                  <w:b w:val="false"/>
                  <w:color w:val="0000FF"/>
                  <w:sz w:val="20"/>
                  <w:u w:val="single"/>
                </w:rPr>
                <w:t>156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7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78">
              <w:r>
                <w:rPr>
                  <w:rStyle w:val="InternetLink"/>
                  <w:rFonts w:ascii="Times New Roman;serif" w:hAnsi="Times New Roman;serif"/>
                  <w:b w:val="false"/>
                  <w:color w:val="0000FF"/>
                  <w:sz w:val="20"/>
                  <w:u w:val="single"/>
                </w:rPr>
                <w:t>156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81">
              <w:r>
                <w:rPr>
                  <w:rStyle w:val="InternetLink"/>
                  <w:rFonts w:ascii="Times New Roman;serif" w:hAnsi="Times New Roman;serif"/>
                  <w:b w:val="false"/>
                  <w:color w:val="0000FF"/>
                  <w:sz w:val="20"/>
                  <w:u w:val="single"/>
                </w:rPr>
                <w:t>Certain Relationships and Related Transactions, and Director Independence</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81">
              <w:r>
                <w:rPr>
                  <w:rStyle w:val="InternetLink"/>
                  <w:rFonts w:ascii="Times New Roman;serif" w:hAnsi="Times New Roman;serif"/>
                  <w:b w:val="false"/>
                  <w:color w:val="0000FF"/>
                  <w:sz w:val="20"/>
                  <w:u w:val="single"/>
                </w:rPr>
                <w:t>156</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84">
              <w:r>
                <w:rPr>
                  <w:rStyle w:val="InternetLink"/>
                  <w:rFonts w:ascii="Times New Roman;serif" w:hAnsi="Times New Roman;serif"/>
                  <w:b w:val="false"/>
                  <w:color w:val="0000FF"/>
                  <w:sz w:val="20"/>
                  <w:u w:val="single"/>
                </w:rPr>
                <w:t>Principal Accountant Fees and Services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84">
              <w:r>
                <w:rPr>
                  <w:rStyle w:val="InternetLink"/>
                  <w:rFonts w:ascii="Times New Roman;serif" w:hAnsi="Times New Roman;serif"/>
                  <w:b w:val="false"/>
                  <w:color w:val="0000FF"/>
                  <w:sz w:val="20"/>
                  <w:u w:val="single"/>
                </w:rPr>
                <w:t>156</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87">
              <w:r>
                <w:rPr>
                  <w:rStyle w:val="InternetLink"/>
                  <w:rFonts w:ascii="Times New Roman;serif" w:hAnsi="Times New Roman;serif"/>
                  <w:b w:val="false"/>
                  <w:color w:val="0000FF"/>
                  <w:sz w:val="20"/>
                  <w:u w:val="single"/>
                </w:rPr>
                <w:t>PART IV</w:t>
              </w:r>
            </w:hyperlink>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90">
              <w:r>
                <w:rPr>
                  <w:rStyle w:val="InternetLink"/>
                  <w:rFonts w:ascii="Times New Roman;serif" w:hAnsi="Times New Roman;serif"/>
                  <w:b w:val="false"/>
                  <w:color w:val="0000FF"/>
                  <w:sz w:val="20"/>
                  <w:u w:val="single"/>
                </w:rPr>
                <w:t>Exhibits and Financial Statement Schedules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90">
              <w:r>
                <w:rPr>
                  <w:rStyle w:val="InternetLink"/>
                  <w:rFonts w:ascii="Times New Roman;serif" w:hAnsi="Times New Roman;serif"/>
                  <w:b w:val="false"/>
                  <w:color w:val="0000FF"/>
                  <w:sz w:val="20"/>
                  <w:u w:val="single"/>
                </w:rPr>
                <w:t>157</w:t>
              </w:r>
            </w:hyperlink>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16. </w:t>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93">
              <w:r>
                <w:rPr>
                  <w:rStyle w:val="InternetLink"/>
                  <w:rFonts w:ascii="Times New Roman;serif" w:hAnsi="Times New Roman;serif"/>
                  <w:b w:val="false"/>
                  <w:color w:val="0000FF"/>
                  <w:sz w:val="20"/>
                  <w:u w:val="single"/>
                </w:rPr>
                <w:t>10-K Summary</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93">
              <w:r>
                <w:rPr>
                  <w:rStyle w:val="InternetLink"/>
                  <w:rFonts w:ascii="Times New Roman;serif" w:hAnsi="Times New Roman;serif"/>
                  <w:b w:val="false"/>
                  <w:color w:val="0000FF"/>
                  <w:sz w:val="20"/>
                  <w:u w:val="single"/>
                </w:rPr>
                <w:t>157</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99">
              <w:r>
                <w:rPr>
                  <w:rStyle w:val="InternetLink"/>
                  <w:rFonts w:ascii="Times New Roman;serif" w:hAnsi="Times New Roman;serif"/>
                  <w:b w:val="false"/>
                  <w:color w:val="0000FF"/>
                  <w:sz w:val="20"/>
                  <w:u w:val="single"/>
                </w:rPr>
                <w:t>Signatures</w:t>
              </w:r>
            </w:hyperlink>
          </w:p>
        </w:tc>
        <w:tc>
          <w:tcPr>
            <w:tcW w:w="4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99">
              <w:r>
                <w:rPr>
                  <w:rStyle w:val="InternetLink"/>
                  <w:rFonts w:ascii="Times New Roman;serif" w:hAnsi="Times New Roman;serif"/>
                  <w:b w:val="false"/>
                  <w:color w:val="0000FF"/>
                  <w:sz w:val="20"/>
                  <w:u w:val="single"/>
                </w:rPr>
                <w:t>162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COMMONLY USED OR DEFINED TERMS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0"/>
        <w:gridCol w:w="928"/>
        <w:gridCol w:w="945"/>
        <w:gridCol w:w="109"/>
        <w:gridCol w:w="109"/>
        <w:gridCol w:w="109"/>
        <w:gridCol w:w="2235"/>
        <w:gridCol w:w="2196"/>
        <w:gridCol w:w="2219"/>
        <w:gridCol w:w="109"/>
        <w:gridCol w:w="156"/>
      </w:tblGrid>
      <w:tr>
        <w:trPr/>
        <w:tc>
          <w:tcPr>
            <w:tcW w:w="109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Term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2017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 2020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second out senior secured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3.50% FLSO Senior Secured Notes Indenture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Indenture governing the 3.50% FLSO Senior Secured Notes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3.50% Notes Indenture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governing the 3.50% Senior Secured Notes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3.50% Senior Secured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5.375% Notes Indenture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governing the 5.375% Senior Notes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5.375%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5.375% Senior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ABRY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ABRY Partners, LLC and ABRY Partners II, LLC, collectively</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Annual Report on Form 10-K for the 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and Japan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Apollo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Apollo Global Management, Inc. and its subsidiaries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ASC 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No. 420, Exit or Disposal Cost Obligations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ASC 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No. 606,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ASC 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No. 842, Leases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ASC 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No. 860, Transfers and Servicing</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Amazon Web Services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of Rackspace Technology, Inc.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Citibank, N.A.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Datapipe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Datapipe Parent, Inc.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governing the Senior Facilities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first out senior secured term loans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second out senior secured term loans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GenAI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Generative AI</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2017 Incentive Plan and 2020 Incentive Plan, together</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Inception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Inception Parent, Inc.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5.375% Notes Indenture, 3.50% Notes Indenture and 3.50% FLSO Senior Secured Notes Indenture, together</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Code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London Interbank Offered Rate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MEIA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Master Economic Incentives Agreement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02"/>
        <w:gridCol w:w="673"/>
        <w:gridCol w:w="685"/>
        <w:gridCol w:w="109"/>
        <w:gridCol w:w="109"/>
        <w:gridCol w:w="109"/>
        <w:gridCol w:w="2729"/>
        <w:gridCol w:w="2358"/>
        <w:gridCol w:w="2366"/>
        <w:gridCol w:w="109"/>
        <w:gridCol w:w="156"/>
      </w:tblGrid>
      <w:tr>
        <w:trPr/>
        <w:tc>
          <w:tcPr>
            <w:tcW w:w="8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MOIC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Multiple of invested capital</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First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governing the New Senior Facilities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first lien first out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Senior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FLFO Term Loan Facility, FLSO Term Loan Facility and New Revolving Credit Facility, together</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Prior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first lien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PNC Bank, National Association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R&amp;D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2016 acquisition of Rackspace Hosting, Inc. (now named Rackspace Technology Global, Inc.) by Inception Parent, Inc.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Hosting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Hosting, Inc.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Inc.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Global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Inc.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US, Inc.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 LLC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 Holdings, LLC</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Purchase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purchase agreement entered into on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Software-as-a-service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Facility and Prior Revolving Credit Facility, together</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SPV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Special purpose vehicle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selling price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first lien term loan facility</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Forward-looking information involves risks, uncertainties, and other factors that could cause actual results to differ materially from those expressed or implied in, or reasonably inferred from, such statements, and the risks and uncertainties disclose</w:t>
      </w:r>
      <w:r>
        <w:rPr>
          <w:rFonts w:ascii="Times New Roman;serif" w:hAnsi="Times New Roman;serif"/>
          <w:b w:val="false"/>
          <w:i/>
          <w:color w:val="000000"/>
          <w:sz w:val="20"/>
          <w:shd w:fill="FFFFFF" w:val="clear"/>
        </w:rPr>
        <w:t>d or referenced in Part I Item 1A. of t</w:t>
      </w:r>
      <w:r>
        <w:rPr>
          <w:rFonts w:ascii="Times New Roman;serif" w:hAnsi="Times New Roman;serif"/>
          <w:b w:val="false"/>
          <w:i/>
          <w:color w:val="000000"/>
          <w:sz w:val="20"/>
        </w:rPr>
        <w:t xml:space="preserve">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color w:val="000000"/>
        </w:rPr>
        <w:t>“</w:t>
      </w:r>
      <w:r>
        <w:rPr>
          <w:rFonts w:ascii="Times New Roman;serif" w:hAnsi="Times New Roman;serif"/>
          <w:b w:val="false"/>
          <w:i/>
          <w:color w:val="000000"/>
          <w:sz w:val="20"/>
        </w:rPr>
        <w:t>Rackspace,” “Rackspace Technology,” “Fanatical,” “Fanatical Experience,” “Rackspace Fabric,” Rackspace Data Freedom,” “Rackspace Services for VMware Cloud™” and “MyRackspace” are registered or unregistered trademarks of Rackspace US, Inc. in the U.S. and/or other countries. OpenStack</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is a registered trademark of OpenStack, LLC and OpenStack Foundation in the U.S.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BUSINESS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is a leading end-to-end hybrid cloud and AI solutions company.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Cloud infrastructure has become the foundation of enterprise technology and AI is now reshaping how that infrastructure must be designed, operated and governed.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Businesses have accelerated their adoption of cloud technologies driven by:</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Explosive growth in data volumes and the need for scalable, flexible infrastructure to process and manage them efficiently across an expanding range of workloads.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need to compete with “digital natives” (technology companies that began their existence online in the digital age and do not have legacy infrastructure or technology to maintain and support).</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emergence of AI as a transformative business capability, no longer simply a tool for optimizing performance, but a fundamental reshaping of how enterprises operate, compete and deliver value.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cost to maintain a company-owned data center (known in industry parlance as “on-premises” or “on-prem” data centers) has become cost prohibitive since companies must constantly upgrade hardware, maintain physical infrastructure and constantly apply security patches to counteract emerging security threats. Companies are also looking to reduce their on-premises operations budgets to fund the build-out of their cloud management operations and skill base.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AWS, Google Cloud and Microsoft Azure are now the established backbone of enterprise computing, continuously investing billions of dollars in infrastructure, AI services, security and product innovation no individual enterprise can match. VMware by Broadcom is a leading provider of private cloud technology, enabling enterprises to extend cloud operating models into governed, sovereign environments. Together, these platforms form the infrastructure layer on which modern enterprise technology runs and managing workloads effectively across them has become a defining challenge for organizations.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AI is accelerating demand for governed, scalable infrastructure.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rapid growth of AI is fueling demand for increased compute, storage, and connectivity and we anticipate this secular trend to continue for the foreseeable future. The industry is rapidly evolving its solutions to accelerate AI in the enterprise. As AI moves from isolated experimentation into production, it is increasingly being embedded within core enterprise systems, financial processes, regulated workflows and customer-facing platforms. This is driving demand for modernized data foundations, high-performance infrastructure and operational models capable of governing AI workloads over time. This shift is also driving renewed demand for governed private cloud environments. As AI becomes embedded in data-sensitive and regulated workloads, enterprises are placing greater emphasis on architectures that provide enhanced control over data sovereignty, security and operational predictability, alongside their public cloud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hybrid cloud paradigm brings additional complexity for businesses moving to the cloud.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many organizations, the foundational migration to cloud is well underway. The challenge today is different: optimizing complex, distributed environments for performance, cost and AI readiness wile maintaining the governance and compliance standards that regulated industries demand. Managing that complexity is not as simple as selecting a single platform. Realizing the full advantages of the cloud’s structural cost and agility requires ongoing effort. Workloads must continuously be evaluated for placement, architectures and cost efficiency. Code written for one environment often requires meaningful re-engineering to perform well in another. And the promise of cloud economics can quickly erode without disciplined operational oversight.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Companies also face the challenge of managing multiple clouds. They often employ more than one cloud solution for several business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to prevent lock-in with any one cloud provider;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to ensure data storage redundancy and protect against business interruption;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to provide for enhanced security, compliance and governance;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to access business tools that may run better on one cloud platform versus another; or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to accommodate past decisions related to prior deployments and/or acquisitions, both of which can force most large companies into managing workloads situated across multiple environments.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some business applications cannot migrate to the cloud and must remain on private cloud or on-premises infrastructure for various reasons: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Corporate governance requires data sovereignty for sensitive data such as financial or health information.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Older applications, often built in-house on older code, are not cloud-ready, and the cost of modernizing or replacing them outweighs the benefits of moving to the cloud.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Data egress fees (fees charged by the hyperscalers for moving data out of their storage environment) have highlighted the need to keep frequently-accessed data on non-hyperscaler platforms.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businesses quickly find themselves in a hybrid cloud paradigm that includes two or more hyperscaler platforms, private cloud and data and applications that are hosted on-premises or in a colocation or managed hosting facility. In such a complex environment, even the most sophisticated IT organizations at the largest multinational companies require outside resources to manage their hybrid cloud strategy.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Rackspace Technology is a leading hybrid cloud and AI solutions company.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help companies of all sizes manage these complexities and accelerate value realization from their cloud and AI investments. We serve as a trusted operator of the full technology stack, from governed private cloud infrastructure to AI deployed in production environments, with particular depth in regulated and mission-critical industries where uptime, data sovereignty and operational accountability are essential. Our solutions span edge, core, private cloud, public cloud and sovereign environments, designed to work as one coordinated system.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Few companies have the internal resources required to assemble the breadth of expertise a hybrid cloud environment requires. Building a well-rounded and capable in-house team would require hiring experts on all three hyperscaler platforms as well as private cloud, colocation and managed hosting. We believe professionals with these skill sets are challenging for companies to source and hire because they generally prefer to work at a technology company. We believe this creates an opportunity for a partner like Rackspace Technology, by enabling organizations to fully leverage the power of hybrid cloud and deploy AI with the reliability, security and governance their environments require.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5,000 highly skilled Rackers, including consultants and engineers, partners with companies at every stage of their cloud transformation journey to: </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select the right platforms and architectures aligned to their business objectives;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design and implement secure, scalable AI-ready infrastructure across public, private, and hybrid environments;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migrate and modernize legacy business applications and data systems;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strategically locate and manage growing volumes of associated data to minimize cost and business risk;</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modernize data systems to support advanced analytics and AI;</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deploy AI use cases into production with appropriate governance, guardrails and performance monitoring;</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optimize cloud consumption through automation, financial governance and architectural refinement;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operate and secure complex hybrid environments on an ongoing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aim to be our customers’ most trusted advisor and operating partner in their path to cloud and AI transformation, accelerating the value of their cloud investments and enabling intelligent, data-driven innovation. We give customers the ability to make informed decisions when choosing the right technologies, and we recommend solutions based on each customer’s unique objectives. In this way, we empower our customers to harness the full benefits of cloud adoption and operationalize AI for measurable business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differentiate ourselves from other service providers by:</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leveraging 25+ years of expertise in architecting and operating mission-critical workloads across private, public, hybrid, and multicloud environments;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automating to reduce the total cost of ownership for our customers;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delivering solutions that meet strict industry compliance standards and align with geographic, legal and data residency requirements, giving customers confidence their workloads and data remain secure and under the proper controls;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providing our renowned Fanatical Experience for our customers;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maintaining close relationships with major technology providers – AWS, Google Cloud, Microsoft Azure, VMware by Broadcom, Dell Technologies and Palantir Technologies;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providing a full suite of cloud services across public and private cloud, as well as managed hosting and colocation services, so that enterprises can cost-effectively maintain legacy applications that are not cloud-ready while migrating their business to the cloud gradually;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providing services that span the life cycle of transformation from Day 0 – Strategy, Day 1 – Transformation, and Day 2 – Run Operations.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culture of innovation that permeates all that we do. Our Rackers gather insights from customers, cloud partners and each other to design, implement and operate advanced cloud environments. With our deep technical expertise, we build solutions alongside our customers to solve their most complex business challenges and explore their most promising business opportunities. Our tight-knit relationships with leading cloud partners enable Rackers to be on the front lines of cloud technology and among the first to utilize the latest capabilities of the cloud when our cloud partners launch new solutions. Our partnerships, Rackers and culture combine to position us to adopt new capabilities early and integrate them into our customer environments responsibly. We believe our expertise across hybrid cloud architecture, governed private cloud, data modernization and AI deployment, combined with our ability to operate these environments at scale, enables our customers to innovate faster and achieve their desired business outcomes.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go-to-market and service-delivery strategy.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Our business benefits from a highly efficient go-to-market strategy. Our sales efforts are led primarily by a team of over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shd w:fill="FFFFFF" w:val="clear"/>
        </w:rPr>
        <w:t xml:space="preserve">quota-bearing representatives and customer success managers. Our ecosystem of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We deliver our services to a global customer base through an integrated service delivery model. We have a presence in more than 60 cities around t</w:t>
      </w:r>
      <w:r>
        <w:rPr>
          <w:rFonts w:ascii="Times New Roman;serif" w:hAnsi="Times New Roman;serif"/>
          <w:b w:val="false"/>
          <w:color w:val="000000"/>
          <w:sz w:val="20"/>
        </w:rPr>
        <w:t xml:space="preserve">he world. This footprint allows us to better serve customers based in various countries, especially multinational companies requiring cross-border solutions.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success has been recognized by third parties and customers alike. We served over 75,000 customers across </w:t>
      </w:r>
      <w:r>
        <w:rPr>
          <w:rFonts w:ascii="Times New Roman;serif" w:hAnsi="Times New Roman;serif"/>
          <w:b w:val="false"/>
          <w:color w:val="000000"/>
          <w:sz w:val="20"/>
          <w:shd w:fill="FFFFFF" w:val="clear"/>
        </w:rPr>
        <w:t>120</w:t>
      </w:r>
      <w:r>
        <w:rPr>
          <w:color w:val="000000"/>
        </w:rPr>
        <w:t xml:space="preserve"> </w:t>
      </w:r>
      <w:r>
        <w:rPr>
          <w:rFonts w:ascii="Times New Roman;serif" w:hAnsi="Times New Roman;serif"/>
          <w:b w:val="false"/>
          <w:color w:val="000000"/>
          <w:sz w:val="20"/>
        </w:rPr>
        <w:t xml:space="preserve">countries as of December 31, 2025. We are recognized in leading analyst firm reports, including the Gartner’s Market Guide for EHR Cloud Hosting and Migration Services, Everest Group’s Cloud Services for Mid-market Enterprises PEAK Matrix Assessment, IDC’s European Microsoft Azure Services Marketscape, Forrester’s AI Infrastructure Solutions Landscape, and multiple ISG Provider Lens reports focused on Public Cloud and Private/Hybrid Cloud and Data Center Solutions. In 2025 we received the following Provider Lens Leader designations for reports by ISG, a leading global technology research and advisory firm: Multi Public Cloud Services and Solutions, Cybersecurity Solutions and Services, Google Cloud Partner Ecosystem, AWS Partner Ecosystem, Microsoft AI and Cloud Ecosystem and Private/Hybrid Cloud - Data Center Services. ISG recognized Rackspace as a Product Challenger in Agentic AI Services, Advanced Analytics and AI Services and Generative AI Services, and Healthcare Digital Services.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addition, we have also received several industry partner awards. In 2023, we received the AWS SI Partner of the Year - NAMER, AWS Sustainability Partner of the Year - NAMER and AWS Education Partner of the Year – EMEA and VMware 2023 Lifecycle Services Award for the Americas Region, Dell Technologies Excellence in Server and Storage Sales, Americas and 2023 Microsoft Partner of the Year Azure Intelligent Data Platform, Data &amp; AI- Singapore. In 2024, we were recognized as a strategic partner with Microsoft in Data &amp; AI, and a Ready-Tier partner for Copilot Jumpstart. We achieved the AWS Small and Medium Business Competency and AWS Generative AI Competency and joined the AWS Generative AI Partner Innovation Alliance as a launch partner. We also received the Dell Technologies Global Alliances Service Provider of the Year, Americas. In addition, we received the Sustainability Impact Award from </w:t>
      </w:r>
      <w:r>
        <w:rPr>
          <w:rFonts w:ascii="Times New Roman;serif" w:hAnsi="Times New Roman;serif"/>
          <w:b w:val="false"/>
          <w:color w:val="000000"/>
          <w:sz w:val="20"/>
          <w:shd w:fill="FFFFFF" w:val="clear"/>
        </w:rPr>
        <w:t xml:space="preserve">SustainableIT.org. In 2025, we were recognized as the AWS Global Collaboration Partner of the Year and also received the 2025 Dell Technologies Global Alliances EMEA Innovation Partner of the Year and 2025 Dell Technologies Global Alliances Marketing Partner of the Year. </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History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Today, we are a trusted partner to the global cloud ecosystem. We maintain close relationships with major cloud infrastructure and application vendors, enabling us to provide our customers with complete, unbiased hybrid cloud services, all through our single customer interface.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Integrated Services Portfolio</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Effective on January 1, 2023, Rackspace Technology reorganized around a two-business unit operating model, Public Cloud and Private Cloud. Public Cloud and Private Cloud have very different business dynamics and require different skill sets and levels of investment to manage. This two-business unit operating model ensures increased focus, delivery and service quality for our customers. Beginning in 2023, we changed our segment reporting to reflect this reorganization under two reporting segments: Public Cloud and Private Cloud. The services across these two segments are described in more detail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Private Cloud</w:t>
      </w:r>
      <w:r>
        <w:rPr>
          <w:rFonts w:ascii="Times New Roman;serif" w:hAnsi="Times New Roman;serif"/>
          <w:b w:val="false"/>
          <w:color w:val="000000"/>
          <w:sz w:val="20"/>
        </w:rPr>
        <w:t>: Rackspace Private Cloud enables our customers to achieve their business outcomes at our global data centers or in a colocation or edge facility strategic to our customers’ business objectives and connected by our RackConnect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Global network service, virtual backbone, or provider-based network services. The Private Cloud product portfolio includes: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Programmatic Infrastructure</w:t>
      </w:r>
      <w:r>
        <w:rPr>
          <w:rFonts w:ascii="Times New Roman;serif" w:hAnsi="Times New Roman;serif"/>
          <w:b w:val="false"/>
          <w:color w:val="000000"/>
          <w:sz w:val="20"/>
        </w:rPr>
        <w:t>: Programmatic Infrastructure is the foundation of Private Cloud and includes hardware and services for datacenter compute, network, and storage. We partner with OEMs like Dell, Cisco, Palo Alto Networks, and NetApp to provide standard offers at scale or solutions tailored to our customers’ specific needs.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Cloud Operating Systems</w:t>
      </w:r>
      <w:r>
        <w:rPr>
          <w:rFonts w:ascii="Times New Roman;serif" w:hAnsi="Times New Roman;serif"/>
          <w:b w:val="false"/>
          <w:color w:val="000000"/>
          <w:sz w:val="20"/>
        </w:rPr>
        <w:t>: These services provide the operating layer for physical devices with a software defined data center from VMware by Broadcom or OpenStack. These offers include Enterprise, Business, Flex, and Anywhere packages to match our customers’ needs and locations. We also offer RMPK (a managed Kubernetes service).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Platform-as-a-Service</w:t>
      </w:r>
      <w:r>
        <w:rPr>
          <w:rFonts w:ascii="Times New Roman;serif" w:hAnsi="Times New Roman;serif"/>
          <w:b w:val="false"/>
          <w:color w:val="000000"/>
          <w:sz w:val="20"/>
        </w:rPr>
        <w:t>: Our PaaS offers include RXDB (a privately hosted Database-as-a-Service solution specializing in High Availability NoSQL databases), RSDX (a team of database experts to manage and optimize your database estate), and SPOT (a unique cloud infrastructure offer auctioned in an open market as turnkey fully managed Kubernetes clusters).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Private Cloud Solutions</w:t>
      </w:r>
      <w:r>
        <w:rPr>
          <w:rFonts w:ascii="Times New Roman;serif" w:hAnsi="Times New Roman;serif"/>
          <w:b w:val="false"/>
          <w:color w:val="000000"/>
          <w:sz w:val="20"/>
        </w:rPr>
        <w:t>: These solutions are specific to certain customer use cases including AI, ERP services like SAP and Oracle, Epic workloads for customers in our healthcare vertical, and Sovereign and Government-compliant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Private Cloud Services</w:t>
      </w:r>
      <w:r>
        <w:rPr>
          <w:rFonts w:ascii="Times New Roman;serif" w:hAnsi="Times New Roman;serif"/>
          <w:b w:val="false"/>
          <w:color w:val="000000"/>
          <w:sz w:val="20"/>
        </w:rPr>
        <w:t>: To solve our customers’ challenges and meet them where they are in their digital transformation, we provide managed services, and professional services such as Elastic Engineering services, and security services. Additionally, our Rackspace Email service provides a fully managed email platform for customers and carriers.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Public Cloud:</w:t>
      </w:r>
      <w:r>
        <w:rPr>
          <w:color w:val="000000"/>
        </w:rPr>
        <w:t xml:space="preserve"> </w:t>
      </w:r>
      <w:r>
        <w:rPr>
          <w:rFonts w:ascii="Times New Roman;serif" w:hAnsi="Times New Roman;serif"/>
          <w:b w:val="false"/>
          <w:color w:val="000000"/>
          <w:sz w:val="20"/>
        </w:rPr>
        <w:t>These offerings address the challenges of managing applications and data on the AWS, Microsoft Azure and 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modernize,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Within Public Cloud, we deliver innovative Cloud Offerings (pre-defined playbooks) that are delivered using services (Professional Services, Elastic Engineering, and Managed Services) to provide solutions to customer problems across all three public clouds (AWS, Azure, and Google Cloud). These solutions accelerate a "Do With" approach to cloud transformation and are enabled by Rackspace assets and accelerators. We take these solutions to our customers through four service lines - Cloud Platform, Cloud Apps, Cloud Security and Cloud Data.</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Cloud Platform:</w:t>
      </w:r>
      <w:r>
        <w:rPr>
          <w:color w:val="000000"/>
        </w:rPr>
        <w:t xml:space="preserve"> </w:t>
      </w:r>
      <w:r>
        <w:rPr>
          <w:rFonts w:ascii="Times New Roman;serif" w:hAnsi="Times New Roman;serif"/>
          <w:b w:val="false"/>
          <w:color w:val="000000"/>
          <w:sz w:val="20"/>
        </w:rPr>
        <w:t>The Cloud Platform Service Line focuses on providing platform-related services such as cloud strategy and architecture, platform and infrastructure migrations, and modern cloud infrastructure. The outcomes are to have a well-architected, optimized sustainable workloads on a cloud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Cloud Apps:</w:t>
      </w:r>
      <w:r>
        <w:rPr>
          <w:color w:val="000000"/>
        </w:rPr>
        <w:t xml:space="preserve"> </w:t>
      </w:r>
      <w:r>
        <w:rPr>
          <w:rFonts w:ascii="Times New Roman;serif" w:hAnsi="Times New Roman;serif"/>
          <w:b w:val="false"/>
          <w:color w:val="000000"/>
          <w:sz w:val="20"/>
        </w:rPr>
        <w:t>The application service line is focused on building and managing applications within a cloud technology stack. It involves building new cloud-native applications on AWS, Azure, and Google Cloud, as well as modernizing legacy applications through methods like re-platforming, container adoption, refactoring, and rewriting.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Cloud Security: </w:t>
      </w:r>
      <w:r>
        <w:rPr>
          <w:rFonts w:ascii="Times New Roman;serif" w:hAnsi="Times New Roman;serif"/>
          <w:b w:val="false"/>
          <w:color w:val="000000"/>
          <w:sz w:val="20"/>
        </w:rPr>
        <w:t>We provide fully-integrated security solutions that combine cutting-edge technology with our in-house Security Operations Center to provide customers with threat detection, analysis and remediation capabilities. Additionally, we have integrated security platforms into our management tools to give our customers one view of their organization’s vulnerability and threats.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additional managed security services to customers in the areas of (i) security threat assessment and prevention, (ii) proactive threat detection and response, (iii) rapid remediation, (iv) governance, risk and compliance assistance across multiple cloud platforms and (v) Privacy and Data Protection services, including detailed access restrictions and reporting. Our 24x7x365 Customer Security Operations Center is staffed by experienced Global Information Assurance Certification (GIAC) security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Cloud Data: </w:t>
      </w:r>
      <w:r>
        <w:rPr>
          <w:rFonts w:ascii="Times New Roman;serif" w:hAnsi="Times New Roman;serif"/>
          <w:b w:val="false"/>
          <w:color w:val="000000"/>
          <w:sz w:val="20"/>
        </w:rPr>
        <w:t>Cloud Data Services are dedicated to helping customers accelerate the adoption of modern data solutions while enabling their business transformation. Leveraging our IP, delivery frameworks, and reference architectures, we provide professional services and managed services across Data Modernization, Cloud Native Data Platforms, Self Service Analytics, AI, and Machine Learning across AWS, Azure, and Google Cloud.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In June 2023, we launched Foundry for Artificial Intelligence (FAIR</w:t>
      </w:r>
      <w:r>
        <w:rPr>
          <w:rFonts w:ascii="Times New Roman;serif" w:hAnsi="Times New Roman;serif"/>
          <w:b w:val="false"/>
          <w:color w:val="000000"/>
          <w:sz w:val="13"/>
        </w:rPr>
        <w:t>TM</w:t>
      </w:r>
      <w:r>
        <w:rPr>
          <w:rFonts w:ascii="Times New Roman;serif" w:hAnsi="Times New Roman;serif"/>
          <w:b w:val="false"/>
          <w:color w:val="000000"/>
          <w:sz w:val="20"/>
        </w:rPr>
        <w:t xml:space="preserve">) to help organizations responsibly accelerate AI adoption—from ideation through production. As AI became central to how we operate and deliver value, FAIR evolved with it. Today, those capabilities come together as Rackspace AI—a comprehensive portfolio of AI services and solutions that combines infrastructure, cloud-native services, and deep expertise to help organizations scale AI from experimentation to enterprise production. Designed to support secure, regulated, and mission critical-workloads across private cloud, hyperscalers, and edge environments, Rackspace AI gives organizations the flexibility and confidence to deploy AI where it delivers the greatest impact.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professional services across our entire portfolio, including hybrid solutions, AI,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 For some new customer relationships, the early stages of the relationship can be weighted toward infrastructure revenue; in these cases, our customer success sales team is tasked with up-selling and cross-selling additional services, including professional services, to enhance the overall customer relationship.</w:t>
      </w:r>
    </w:p>
    <w:p>
      <w:pPr>
        <w:pStyle w:val="TextBody"/>
        <w:bidi w:val="0"/>
        <w:spacing w:before="0" w:after="0"/>
        <w:jc w:val="left"/>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Our Technology Platform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technology platform is at the center of the Fanatical Experience that we deliver to customers. Our technologies focus on removing the complexities of hybrid deployments, unifying compelling aspects of the experience for our customers and enabling us to deliver scalable solutions.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Innovative automation</w:t>
      </w:r>
      <w:r>
        <w:rPr>
          <w:color w:val="000000"/>
        </w:rPr>
        <w:t xml:space="preserve"> </w:t>
      </w:r>
      <w:r>
        <w:rPr>
          <w:rFonts w:ascii="Times New Roman;serif" w:hAnsi="Times New Roman;serif"/>
          <w:b w:val="false"/>
          <w:color w:val="000000"/>
          <w:sz w:val="20"/>
        </w:rPr>
        <w:t>drives efficiency for us and our customers, enabling us to rapidly and consistently deliver our solutions across m</w:t>
      </w:r>
      <w:r>
        <w:rPr>
          <w:rFonts w:ascii="Times New Roman;serif" w:hAnsi="Times New Roman;serif"/>
          <w:b w:val="false"/>
          <w:color w:val="000000"/>
          <w:sz w:val="20"/>
          <w:shd w:fill="FFFFFF" w:val="clear"/>
        </w:rPr>
        <w:t>ultiple products and clouds at scale. Data center automation provides services and applications to automate provisioning, configuring and the decommissioning of data center infrastructure. UIPath Robotic Process Automation is deployed across our business to automate repetitive tasks.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AIOps</w:t>
      </w:r>
      <w:r>
        <w:rPr>
          <w:color w:val="000000"/>
        </w:rPr>
        <w:t xml:space="preserve"> </w:t>
      </w:r>
      <w:r>
        <w:rPr>
          <w:rFonts w:ascii="Times New Roman;serif" w:hAnsi="Times New Roman;serif"/>
          <w:b w:val="false"/>
          <w:color w:val="000000"/>
          <w:sz w:val="20"/>
        </w:rPr>
        <w:t>is a new field of software that combines monitoring, machine learning and automation to enhance IT operations. Our AIOps platform correlates monitoring events across our customers’ physical and virtual devices into a single incident or problem, significantly reducing the time to resolution for complex incidents. We developed a first-of-its-kind multi-tenant AIOps solution that processes millions of compliance-related events each month.</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Predictive operations</w:t>
      </w:r>
      <w:r>
        <w:rPr>
          <w:color w:val="000000"/>
        </w:rPr>
        <w:t xml:space="preserve"> </w:t>
      </w:r>
      <w:r>
        <w:rPr>
          <w:rFonts w:ascii="Times New Roman;serif" w:hAnsi="Times New Roman;serif"/>
          <w:b w:val="false"/>
          <w:color w:val="000000"/>
          <w:sz w:val="20"/>
        </w:rPr>
        <w:t>enables our data scientists to build sophisticated models to provide actionable insights to our business leaders, increasing our agility and ability to identify opportunities that enhance our customer relationships.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Self-service APIs</w:t>
      </w:r>
      <w:r>
        <w:rPr>
          <w:color w:val="000000"/>
        </w:rPr>
        <w:t xml:space="preserve"> </w:t>
      </w:r>
      <w:r>
        <w:rPr>
          <w:rFonts w:ascii="Times New Roman;serif" w:hAnsi="Times New Roman;serif"/>
          <w:b w:val="false"/>
          <w:color w:val="000000"/>
          <w:sz w:val="20"/>
        </w:rPr>
        <w:t>enable our customers to access data and resources programmatically, extending our automation and service delivery into their native tools and processes. We support integration with our ticketing systems to enable two-way integrated support workflows and billing system integration to enable access to consolidated billing data in hybrid cloud environments. Additionally, our pre-built int</w:t>
      </w:r>
      <w:r>
        <w:rPr>
          <w:rFonts w:ascii="Times New Roman;serif" w:hAnsi="Times New Roman;serif"/>
          <w:b w:val="false"/>
          <w:color w:val="000000"/>
          <w:sz w:val="20"/>
          <w:shd w:fill="FFFFFF" w:val="clear"/>
        </w:rPr>
        <w:t>egration with ServiceNow enables enterprise customers to simplify connectivity between our tools and ServiceNow.</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color w:val="000000"/>
          <w:sz w:val="20"/>
          <w:shd w:fill="FFFFFF" w:val="clear"/>
        </w:rPr>
        <w:t>Rackspace Technology digital web portals</w:t>
      </w:r>
      <w:r>
        <w:rPr>
          <w:color w:val="000000"/>
          <w:shd w:fill="FFFFFF" w:val="clear"/>
        </w:rPr>
        <w:t xml:space="preserve"> </w:t>
      </w:r>
      <w:r>
        <w:rPr>
          <w:rFonts w:ascii="Times New Roman;serif" w:hAnsi="Times New Roman;serif"/>
          <w:b w:val="false"/>
          <w:color w:val="000000"/>
          <w:sz w:val="20"/>
          <w:shd w:fill="FFFFFF" w:val="clear"/>
        </w:rPr>
        <w:t xml:space="preserve">service over 500,000 active monthly users and support product specific self-service, insights, account management, security management, ticketing and billing. These portals are unified with our custom framework and design language, Pilot and Helix, providing a consistent experience and integrated navigation between our product lines and features. Our custom identity management system authenticates access to our user interfaces and APIs. This </w:t>
      </w:r>
      <w:r>
        <w:rPr>
          <w:rFonts w:ascii="Times New Roman;serif" w:hAnsi="Times New Roman;serif"/>
          <w:b w:val="false"/>
          <w:color w:val="000000"/>
          <w:sz w:val="20"/>
        </w:rPr>
        <w:t>includes federation capabilities to integrate with our customers’ identity providers.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Unified billing</w:t>
      </w:r>
      <w:r>
        <w:rPr>
          <w:color w:val="000000"/>
        </w:rPr>
        <w:t xml:space="preserve"> </w:t>
      </w:r>
      <w:r>
        <w:rPr>
          <w:rFonts w:ascii="Times New Roman;serif" w:hAnsi="Times New Roman;serif"/>
          <w:b w:val="false"/>
          <w:color w:val="000000"/>
          <w:sz w:val="20"/>
        </w:rPr>
        <w:t>enables us to deliver an integrated single invoice for customers across all cloud deployments. Our systems extract and rerate bills from public cloud hyperscalers and merge data from our products and services to generate a single invoice each month, while applying sophisticated billing and discount models.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Service management</w:t>
      </w:r>
      <w:r>
        <w:rPr>
          <w:color w:val="000000"/>
        </w:rPr>
        <w:t xml:space="preserve"> </w:t>
      </w:r>
      <w:r>
        <w:rPr>
          <w:rFonts w:ascii="Times New Roman;serif" w:hAnsi="Times New Roman;serif"/>
          <w:b w:val="false"/>
          <w:color w:val="000000"/>
          <w:sz w:val="20"/>
        </w:rPr>
        <w:t>applications ensure scale, speed, quality and consistency in our service delivery. These applications, including our custom 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Growth Strategies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continue to drive growth and capture our large market opportunity, key elements of our growth strategies include: </w:t>
      </w:r>
    </w:p>
    <w:p>
      <w:pPr>
        <w:pStyle w:val="TextBody"/>
        <w:bidi w:val="0"/>
        <w:spacing w:before="0" w:after="0"/>
        <w:ind w:left="0" w:right="0" w:firstLine="54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growing our private cloud business with new solutions, such as Rackspace Software Defined Datacenter, Healthcare Cloud, Sovereign Cloud, Private AI Cloud and Edge;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building innovative solutions to broaden our portfolio, including scaled cloud-native solutions on our public cloud platforms and full-stack cloud offerings for infrastructure, applications data, and AI;</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accelerating sales motions to defend our commercial business, expanding into mid-market and selectively targeting enterprise customers with our differentiated solutions both horizontally and vertically;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identifying new areas with unmet needs and making smart technology bets to capture those opportunities ahead of the trend. For example, new product offerings such as Rackspace Data Freedom and Managed Kubernetes introduced to claim previously-unfilled white space in the cloud market;</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igniting the Racker Culture of innovation and Fanatical Experience for our customers and building on our unique culture by living our core values, embracing a growth mindset and operating with speed while celebrating accomplishments;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expanding automation to drive operational effectiveness and continuous process improvement for ourselves and our customers while remaining ahead of the competition in automation and building on our advantage;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focusing on a holistic strategy enabling optionality for our customers on their AI journey through innovative services and solutions and supporting inferencing and fine-tuning workloads with hybrid AI infrastructure. Additionally, we have implemented AI to enhance cloud optimization and management, incorporating AI into our operations and business, driving AI-powered insights;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engaging in strategic partnerships, such as Palantir Technologies to advance our AI offerings.</w:t>
      </w:r>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technology and services expertise positions us well to compete with other technology and services providers. We face competition primarily from: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In-house IT departments of our customers and potential customers</w:t>
      </w:r>
      <w:r>
        <w:rPr>
          <w:color w:val="000000"/>
        </w:rPr>
        <w:t xml:space="preserve"> </w:t>
      </w:r>
      <w:r>
        <w:rPr>
          <w:rFonts w:ascii="Times New Roman;serif" w:hAnsi="Times New Roman;serif"/>
          <w:b w:val="false"/>
          <w:color w:val="000000"/>
          <w:sz w:val="20"/>
        </w:rPr>
        <w:t xml:space="preserve">provide services for their respective organizations, but typically need help scaling large technology environments and maximizing the value from their cloud investments, especially when speed, cost and innovation are key constraints.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Traditional global IT systems integrators</w:t>
      </w:r>
      <w:r>
        <w:rPr>
          <w:rFonts w:ascii="Times New Roman;serif" w:hAnsi="Times New Roman;serif"/>
          <w:b w:val="false"/>
          <w:color w:val="000000"/>
          <w:sz w:val="20"/>
        </w:rPr>
        <w:t xml:space="preserve">, such as Accenture, Atos, Capgemini, Cognizant, Deloitte, DXC Technology and Kyndryl, offer consulting and outsourcing, in a labor-intensive model, for large enterprise customers. Many of these businesses largely support legacy technologies and, where cloud capabilities exist, legacy revenue streams disincentivize these companies from fully embracing cloud technologies.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Cloud service providers and digital systems integrators</w:t>
      </w:r>
      <w:r>
        <w:rPr>
          <w:color w:val="000000"/>
        </w:rPr>
        <w:t xml:space="preserve"> </w:t>
      </w:r>
      <w:r>
        <w:rPr>
          <w:rFonts w:ascii="Times New Roman;serif" w:hAnsi="Times New Roman;serif"/>
          <w:b w:val="false"/>
          <w:color w:val="000000"/>
          <w:sz w:val="20"/>
        </w:rPr>
        <w:t xml:space="preserve">provide either consultation and implementation services for digital workflows or cloud services for a single cloud vendor. The solutions offered by these companies are often narrow in scope and are not well-suited for companies with complex hybrid cloud objectives.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Regional managed services providers</w:t>
      </w:r>
      <w:r>
        <w:rPr>
          <w:color w:val="000000"/>
        </w:rPr>
        <w:t xml:space="preserve"> </w:t>
      </w:r>
      <w:r>
        <w:rPr>
          <w:rFonts w:ascii="Times New Roman;serif" w:hAnsi="Times New Roman;serif"/>
          <w:b w:val="false"/>
          <w:color w:val="000000"/>
          <w:sz w:val="20"/>
        </w:rPr>
        <w:t xml:space="preserve">use a local go-to-market approach, and provide cloud services within a single region or few regions. These companies are unable to serve the full needs of multinational customers.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Colocation providers</w:t>
      </w:r>
      <w:r>
        <w:rPr>
          <w:rFonts w:ascii="Times New Roman;serif" w:hAnsi="Times New Roman;serif"/>
          <w:b w:val="false"/>
          <w:color w:val="000000"/>
          <w:sz w:val="20"/>
        </w:rPr>
        <w:t>, such as Equinix, CyrusOne and QTS, provide secure environments for hardware and access to network connectivity. We believe that these companies provide limited services differentiation, and their customers do not benefit from the economics of cloud-based technologies.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principal competitive factors in our market include, but are not limited to: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Focus on the cloud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Technology and services expertise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Customer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Speed of innovation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Strength of relationships with technology partners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Automation and scalability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Standardized operational processes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Geographic reach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Brand recognition and reputation </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Price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serve a wide range of customers across geography, size and industry.</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Geography. We serve a global customer base. As of December 31, 2025, we served over </w:t>
      </w:r>
      <w:r>
        <w:rPr>
          <w:rFonts w:ascii="Times New Roman;serif" w:hAnsi="Times New Roman;serif"/>
          <w:b w:val="false"/>
          <w:color w:val="000000"/>
          <w:sz w:val="20"/>
        </w:rPr>
        <w:t>75,000</w:t>
      </w:r>
      <w:r>
        <w:rPr>
          <w:color w:val="000000"/>
          <w:shd w:fill="FFFFFF" w:val="clear"/>
        </w:rPr>
        <w:t xml:space="preserve"> </w:t>
      </w:r>
      <w:r>
        <w:rPr>
          <w:rFonts w:ascii="Times New Roman;serif" w:hAnsi="Times New Roman;serif"/>
          <w:b w:val="false"/>
          <w:color w:val="000000"/>
          <w:sz w:val="20"/>
          <w:shd w:fill="FFFFFF" w:val="clear"/>
        </w:rPr>
        <w:t>customers in over 120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Size. We have a strong presence with customers of all sizes, including enterprise businesses (revenue in excess of $3 billion), mid-market businesses (revenue of $300 million to $3 billion) and commercial customers (revenue less than $300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We serve customers across all sectors, including highly regulated industries with complex security, compliance and governance requirements.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have low customer concentration; no customer represent</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6%</w:t>
      </w:r>
      <w:r>
        <w:rPr>
          <w:color w:val="000000"/>
          <w:shd w:fill="FFFFFF" w:val="clear"/>
        </w:rPr>
        <w:t xml:space="preserve"> </w:t>
      </w:r>
      <w:r>
        <w:rPr>
          <w:rFonts w:ascii="Times New Roman;serif" w:hAnsi="Times New Roman;serif"/>
          <w:b w:val="false"/>
          <w:color w:val="000000"/>
          <w:sz w:val="20"/>
          <w:shd w:fill="FFFFFF" w:val="clear"/>
        </w:rPr>
        <w:t>or more</w:t>
      </w:r>
      <w:r>
        <w:rPr>
          <w:color w:val="000000"/>
        </w:rPr>
        <w:t xml:space="preserve"> </w:t>
      </w:r>
      <w:r>
        <w:rPr>
          <w:rFonts w:ascii="Times New Roman;serif" w:hAnsi="Times New Roman;serif"/>
          <w:b w:val="false"/>
          <w:color w:val="000000"/>
          <w:sz w:val="20"/>
        </w:rPr>
        <w:t>of our total revenue in 2025.</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Approach to Partnerships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benefit from differentiated partnerships with major public and private cloud providers and advanced data and AI platform companies, including AWS, Microsoft Azure, Google Cloud, VMware by Broadcom, and Palantir Technologies. Together, these partnerships position us as an orchestrator of AI workloads, enabling customers to modernize, operationalize AI, and drive measurable business outcomes. Our partnerships provide us a competitive advantage spanning across multiple disciplines, including: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 xml:space="preserve">Comprehensive alignment: </w:t>
      </w:r>
      <w:r>
        <w:rPr>
          <w:rFonts w:ascii="Times New Roman;serif" w:hAnsi="Times New Roman;serif"/>
          <w:b w:val="false"/>
          <w:color w:val="000000"/>
          <w:sz w:val="20"/>
        </w:rPr>
        <w:t xml:space="preserve">We work with major technology partners through a systematic engagement model across six key areas of our business: executive, alliances, solutions, marketing, sales, and service delivery to ensure alignment on key initiatives. We operate strategic programs that include solutions milestones, performance reviews and long-term strategic initiatives.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 xml:space="preserve">New business opportunities: </w:t>
      </w:r>
      <w:r>
        <w:rPr>
          <w:rFonts w:ascii="Times New Roman;serif" w:hAnsi="Times New Roman;serif"/>
          <w:b w:val="false"/>
          <w:color w:val="000000"/>
          <w:sz w:val="20"/>
        </w:rPr>
        <w:t xml:space="preserve">Our sales teams and pre-sales engineering experts work with sales teams at technology partners to offer bundled 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 </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 xml:space="preserve">Innovative solutions: </w:t>
      </w:r>
      <w:r>
        <w:rPr>
          <w:rFonts w:ascii="Times New Roman;serif" w:hAnsi="Times New Roman;serif"/>
          <w:b w:val="false"/>
          <w:color w:val="000000"/>
          <w:sz w:val="20"/>
        </w:rPr>
        <w:t xml:space="preserve">We work closely with our partners’ product engineering teams as the baseline for our roadmap development and to provide input into our partners’ development plan. This critical input allows us and our partners to develop complementary services and technology. This has helped us arrive and stay at the forefront of innovation well before our competitors, and develop services and tools related to emerging technologies such as cloud-native application development, machine learning and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Cloud, data and AI platform integration:</w:t>
      </w:r>
      <w:r>
        <w:rPr>
          <w:color w:val="000000"/>
        </w:rPr>
        <w:t xml:space="preserve"> </w:t>
      </w:r>
      <w:r>
        <w:rPr>
          <w:rFonts w:ascii="Times New Roman;serif" w:hAnsi="Times New Roman;serif"/>
          <w:b w:val="false"/>
          <w:color w:val="000000"/>
          <w:sz w:val="20"/>
        </w:rPr>
        <w:t xml:space="preserve">We collaborate with strategic partners to integrate secure cloud infrastructure with advanced data and AI platforms, enabling customers to operationalize AI at scale. Through joint solution development and delivery, we help customers unify data, deploy AI use cases in production and build resilient operating models that support mission-critical workloads.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Sales and Delivery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services are sold via a global direct sales team</w:t>
      </w:r>
      <w:r>
        <w:rPr>
          <w:color w:val="000000"/>
          <w:shd w:fill="FFFFFF" w:val="clear"/>
        </w:rPr>
        <w:t xml:space="preserve"> </w:t>
      </w:r>
      <w:r>
        <w:rPr>
          <w:rFonts w:ascii="Times New Roman;serif" w:hAnsi="Times New Roman;serif"/>
          <w:b w:val="false"/>
          <w:color w:val="000000"/>
          <w:sz w:val="20"/>
          <w:shd w:fill="FFFFFF" w:val="clear"/>
        </w:rPr>
        <w:t xml:space="preserve">of over </w:t>
      </w:r>
      <w:r>
        <w:rPr>
          <w:rFonts w:ascii="Times New Roman;serif" w:hAnsi="Times New Roman;serif"/>
          <w:b w:val="false"/>
          <w:color w:val="000000"/>
          <w:sz w:val="20"/>
        </w:rPr>
        <w:t>130</w:t>
      </w:r>
      <w:r>
        <w:rPr>
          <w:color w:val="000000"/>
          <w:shd w:fill="FFFFFF" w:val="clear"/>
        </w:rPr>
        <w:t xml:space="preserve"> </w:t>
      </w:r>
      <w:r>
        <w:rPr>
          <w:rFonts w:ascii="Times New Roman;serif" w:hAnsi="Times New Roman;serif"/>
          <w:b w:val="false"/>
          <w:color w:val="000000"/>
          <w:sz w:val="20"/>
          <w:shd w:fill="FFFFFF" w:val="clear"/>
        </w:rPr>
        <w:t xml:space="preserve">sales representatives and over </w:t>
      </w:r>
      <w:r>
        <w:rPr>
          <w:rFonts w:ascii="Times New Roman;serif" w:hAnsi="Times New Roman;serif"/>
          <w:b w:val="false"/>
          <w:color w:val="000000"/>
          <w:sz w:val="20"/>
        </w:rPr>
        <w:t>600</w:t>
      </w:r>
      <w:r>
        <w:rPr>
          <w:color w:val="000000"/>
          <w:shd w:fill="FFFFFF" w:val="clear"/>
        </w:rPr>
        <w:t xml:space="preserve"> </w:t>
      </w:r>
      <w:r>
        <w:rPr>
          <w:rFonts w:ascii="Times New Roman;serif" w:hAnsi="Times New Roman;serif"/>
          <w:b w:val="false"/>
          <w:color w:val="000000"/>
          <w:sz w:val="20"/>
          <w:shd w:fill="FFFFFF" w:val="clear"/>
        </w:rPr>
        <w:t>servic</w:t>
      </w:r>
      <w:r>
        <w:rPr>
          <w:rFonts w:ascii="Times New Roman;serif" w:hAnsi="Times New Roman;serif"/>
          <w:b w:val="false"/>
          <w:color w:val="000000"/>
          <w:sz w:val="20"/>
        </w:rPr>
        <w:t xml:space="preserve">e delivery managers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through third-party channel partners and through online orders on our website. Our sales model is based on both distributed and centralized sales teams with leads generated from customer referrals, channel partners and corporate marketing efforts.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network</w:t>
      </w:r>
      <w:r>
        <w:rPr>
          <w:color w:val="000000"/>
          <w:shd w:fill="FFFFFF" w:val="clear"/>
        </w:rPr>
        <w:t xml:space="preserve"> </w:t>
      </w:r>
      <w:r>
        <w:rPr>
          <w:rFonts w:ascii="Times New Roman;serif" w:hAnsi="Times New Roman;serif"/>
          <w:b w:val="false"/>
          <w:color w:val="000000"/>
          <w:sz w:val="20"/>
          <w:shd w:fill="FFFFFF" w:val="clear"/>
        </w:rPr>
        <w:t>of channe</w:t>
      </w:r>
      <w:r>
        <w:rPr>
          <w:rFonts w:ascii="Times New Roman;serif" w:hAnsi="Times New Roman;serif"/>
          <w:b w:val="false"/>
          <w:color w:val="000000"/>
          <w:sz w:val="20"/>
        </w:rPr>
        <w:t xml:space="preserve">l and technology partners also plays an important role in our sales efforts. Our channel partners - including management and technical consultancies, technology integrators, software application providers, value-added resellers and web developers -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Our customer success team includes over </w:t>
      </w:r>
      <w:r>
        <w:rPr>
          <w:rFonts w:ascii="Times New Roman;serif" w:hAnsi="Times New Roman;serif"/>
          <w:b w:val="false"/>
          <w:color w:val="000000"/>
          <w:sz w:val="20"/>
        </w:rPr>
        <w:t>290</w:t>
      </w:r>
      <w:r>
        <w:rPr>
          <w:color w:val="000000"/>
          <w:shd w:fill="FFFFFF" w:val="clear"/>
        </w:rPr>
        <w:t xml:space="preserve"> </w:t>
      </w:r>
      <w:r>
        <w:rPr>
          <w:rFonts w:ascii="Times New Roman;serif" w:hAnsi="Times New Roman;serif"/>
          <w:b w:val="false"/>
          <w:color w:val="000000"/>
          <w:sz w:val="20"/>
          <w:shd w:fill="FFFFFF" w:val="clear"/>
        </w:rPr>
        <w:t>Rackers and engages</w:t>
      </w:r>
      <w:r>
        <w:rPr>
          <w:color w:val="000000"/>
        </w:rPr>
        <w:t xml:space="preserve"> </w:t>
      </w:r>
      <w:r>
        <w:rPr>
          <w:rFonts w:ascii="Times New Roman;serif" w:hAnsi="Times New Roman;serif"/>
          <w:b w:val="false"/>
          <w:color w:val="000000"/>
          <w:sz w:val="20"/>
        </w:rPr>
        <w:t xml:space="preserve">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 </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Culture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At the heart of Fanatical Experience is our unique culture. We invest in the recruitment, development and retention of our Rackers. Inclusion and diversity are top priorities for our company; we attract and cultivate top talent from around the world with diverse backgrounds and a range of expertise. We are highly selective. In our quest to hire the best talent, le</w:t>
      </w:r>
      <w:r>
        <w:rPr>
          <w:rFonts w:ascii="Times New Roman;serif" w:hAnsi="Times New Roman;serif"/>
          <w:b w:val="false"/>
          <w:color w:val="000000"/>
          <w:sz w:val="20"/>
          <w:shd w:fill="FFFFFF" w:val="clear"/>
        </w:rPr>
        <w:t xml:space="preserve">ss than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of all a</w:t>
      </w:r>
      <w:r>
        <w:rPr>
          <w:rFonts w:ascii="Times New Roman;serif" w:hAnsi="Times New Roman;serif"/>
          <w:b w:val="false"/>
          <w:color w:val="000000"/>
          <w:sz w:val="20"/>
        </w:rPr>
        <w:t xml:space="preserve">pplicants are offered positions. We strive to ensure our employees are not just technical experts, but also obsessed with customer outcomes and delivering Fanatical Experience.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Rackers various professional development opportunities through Rackspace University, along with award-winning onboarding and leadership development programs, enabling them to enhance their capabilities across technologies and further their professional growth.</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Our Rackers are passionate about serving our communities as well. Rackspace Technology provides a minimum of 40 hours of paid time for each Racker to volunteer annually, with over </w:t>
      </w:r>
      <w:r>
        <w:rPr>
          <w:rFonts w:ascii="Times New Roman;serif" w:hAnsi="Times New Roman;serif"/>
          <w:b w:val="false"/>
          <w:color w:val="000000"/>
          <w:sz w:val="20"/>
        </w:rPr>
        <w:t>19,000</w:t>
      </w:r>
      <w:r>
        <w:rPr>
          <w:color w:val="000000"/>
          <w:shd w:fill="FFFFFF" w:val="clear"/>
        </w:rPr>
        <w:t xml:space="preserve"> </w:t>
      </w:r>
      <w:r>
        <w:rPr>
          <w:rFonts w:ascii="Times New Roman;serif" w:hAnsi="Times New Roman;serif"/>
          <w:b w:val="false"/>
          <w:color w:val="000000"/>
          <w:sz w:val="20"/>
          <w:shd w:fill="FFFFFF" w:val="clear"/>
        </w:rPr>
        <w:t>volunteer hours logged for the year ended December 31, 2025. The Rackspace Foundation, a Racker-funded nonprofit organization, has been supporting underserved San Antonio-area schools through charitable grants since 2008.</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Employees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December 31, 2025, we employed approximately </w:t>
      </w:r>
      <w:r>
        <w:rPr>
          <w:rFonts w:ascii="Times New Roman;serif" w:hAnsi="Times New Roman;serif"/>
          <w:b w:val="false"/>
          <w:color w:val="000000"/>
          <w:sz w:val="20"/>
        </w:rPr>
        <w:t>5,000</w:t>
      </w:r>
      <w:r>
        <w:rPr>
          <w:color w:val="000000"/>
          <w:shd w:fill="FFFFFF" w:val="clear"/>
        </w:rPr>
        <w:t xml:space="preserve"> </w:t>
      </w:r>
      <w:r>
        <w:rPr>
          <w:rFonts w:ascii="Times New Roman;serif" w:hAnsi="Times New Roman;serif"/>
          <w:b w:val="false"/>
          <w:color w:val="000000"/>
          <w:sz w:val="20"/>
          <w:shd w:fill="FFFFFF" w:val="clear"/>
        </w:rPr>
        <w:t xml:space="preserve">Rackers in </w:t>
      </w:r>
      <w:r>
        <w:rPr>
          <w:rFonts w:ascii="Times New Roman;serif" w:hAnsi="Times New Roman;serif"/>
          <w:b w:val="false"/>
          <w:color w:val="000000"/>
          <w:sz w:val="20"/>
        </w:rPr>
        <w:t>22</w:t>
      </w:r>
      <w:r>
        <w:rPr>
          <w:color w:val="000000"/>
          <w:shd w:fill="FFFFFF" w:val="clear"/>
        </w:rPr>
        <w:t xml:space="preserve"> </w:t>
      </w:r>
      <w:r>
        <w:rPr>
          <w:rFonts w:ascii="Times New Roman;serif" w:hAnsi="Times New Roman;serif"/>
          <w:b w:val="false"/>
          <w:color w:val="000000"/>
          <w:sz w:val="20"/>
          <w:shd w:fill="FFFFFF" w:val="clear"/>
        </w:rPr>
        <w:t xml:space="preserve">countries, including </w:t>
      </w:r>
      <w:r>
        <w:rPr>
          <w:rFonts w:ascii="Times New Roman;serif" w:hAnsi="Times New Roman;serif"/>
          <w:b w:val="false"/>
          <w:color w:val="000000"/>
          <w:sz w:val="20"/>
        </w:rPr>
        <w:t>1,800</w:t>
      </w:r>
      <w:r>
        <w:rPr>
          <w:color w:val="000000"/>
          <w:shd w:fill="FFFFFF" w:val="clear"/>
        </w:rPr>
        <w:t xml:space="preserve"> </w:t>
      </w:r>
      <w:r>
        <w:rPr>
          <w:rFonts w:ascii="Times New Roman;serif" w:hAnsi="Times New Roman;serif"/>
          <w:b w:val="false"/>
          <w:color w:val="000000"/>
          <w:sz w:val="20"/>
          <w:shd w:fill="FFFFFF" w:val="clear"/>
        </w:rPr>
        <w:t xml:space="preserve">Rackers in North America, </w:t>
      </w:r>
      <w:r>
        <w:rPr>
          <w:rFonts w:ascii="Times New Roman;serif" w:hAnsi="Times New Roman;serif"/>
          <w:b w:val="false"/>
          <w:color w:val="000000"/>
          <w:sz w:val="20"/>
        </w:rPr>
        <w:t>800</w:t>
      </w:r>
      <w:r>
        <w:rPr>
          <w:color w:val="000000"/>
          <w:shd w:fill="FFFFFF" w:val="clear"/>
        </w:rPr>
        <w:t xml:space="preserve"> </w:t>
      </w:r>
      <w:r>
        <w:rPr>
          <w:rFonts w:ascii="Times New Roman;serif" w:hAnsi="Times New Roman;serif"/>
          <w:b w:val="false"/>
          <w:color w:val="000000"/>
          <w:sz w:val="20"/>
          <w:shd w:fill="FFFFFF" w:val="clear"/>
        </w:rPr>
        <w:t xml:space="preserve">Rackers in EMEA, and </w:t>
      </w:r>
      <w:r>
        <w:rPr>
          <w:rFonts w:ascii="Times New Roman;serif" w:hAnsi="Times New Roman;serif"/>
          <w:b w:val="false"/>
          <w:color w:val="000000"/>
          <w:sz w:val="20"/>
        </w:rPr>
        <w:t>2,400 Rackers</w:t>
      </w:r>
      <w:r>
        <w:rPr>
          <w:color w:val="000000"/>
          <w:shd w:fill="FFFFFF" w:val="clear"/>
        </w:rPr>
        <w:t xml:space="preserve"> </w:t>
      </w:r>
      <w:r>
        <w:rPr>
          <w:rFonts w:ascii="Times New Roman;serif" w:hAnsi="Times New Roman;serif"/>
          <w:b w:val="false"/>
          <w:color w:val="000000"/>
          <w:sz w:val="20"/>
          <w:shd w:fill="FFFFFF" w:val="clear"/>
        </w:rPr>
        <w:t xml:space="preserve">in APJ. Of our North American Rackers, approximately </w:t>
      </w:r>
      <w:r>
        <w:rPr>
          <w:rFonts w:ascii="Times New Roman;serif" w:hAnsi="Times New Roman;serif"/>
          <w:b w:val="false"/>
          <w:color w:val="000000"/>
          <w:sz w:val="20"/>
        </w:rPr>
        <w:t>500</w:t>
      </w:r>
      <w:r>
        <w:rPr>
          <w:color w:val="000000"/>
          <w:shd w:fill="FFFFFF" w:val="clear"/>
        </w:rPr>
        <w:t xml:space="preserve"> </w:t>
      </w:r>
      <w:r>
        <w:rPr>
          <w:rFonts w:ascii="Times New Roman;serif" w:hAnsi="Times New Roman;serif"/>
          <w:b w:val="false"/>
          <w:color w:val="000000"/>
          <w:sz w:val="20"/>
          <w:shd w:fill="FFFFFF" w:val="clear"/>
        </w:rPr>
        <w:t xml:space="preserve">work from our corporate headquarters in San Antonio, Texas. As of December 31, 2025, approximately </w:t>
      </w:r>
      <w:r>
        <w:rPr>
          <w:rFonts w:ascii="Times New Roman;serif" w:hAnsi="Times New Roman;serif"/>
          <w:b w:val="false"/>
          <w:color w:val="000000"/>
          <w:sz w:val="20"/>
        </w:rPr>
        <w:t>70%</w:t>
      </w:r>
      <w:r>
        <w:rPr>
          <w:color w:val="000000"/>
          <w:shd w:fill="FFFFFF" w:val="clear"/>
        </w:rPr>
        <w:t xml:space="preserve"> </w:t>
      </w:r>
      <w:r>
        <w:rPr>
          <w:rFonts w:ascii="Times New Roman;serif" w:hAnsi="Times New Roman;serif"/>
          <w:b w:val="false"/>
          <w:color w:val="000000"/>
          <w:sz w:val="20"/>
          <w:shd w:fill="FFFFFF" w:val="clear"/>
        </w:rPr>
        <w:t>of all Rackers were classified as work-from-home. None of our employees are represented by a collective bargaining agreement, nor have we experienced any work stoppages.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not materially affected by seasonal trends.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SEC maintains an internet website that contains reports, proxy and information statements and other information regarding registrants that file electronically with the SEC. You can review copies of these documents on the SEC's website. The SEC’s website address is www.sec.gov.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references to websites are intended to be inactive textual references only.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execute our strategies is subject to certain risks and uncertainties, including but not limited to the risks described under the heading “Risk Factors” immediately following this summary. These risks and uncertainties could adversely affect our business, reputation, financial condition, results of operations, cash flows and the trading price of our common stock and may cause us not to realize the full benefits of our competitive strengths or may cause us to be unable to successfully execute all or part of our strategies. Some of the more significant challenges and risks we face include the following: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attracting new customers, retaining existing customers and selling additional services and comparable gross margin services to our customers;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general economic conditions and uncertainties affecting markets in which we operate and economic volatility that could adversely impact our business, including fluctuating interest rates;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our ability to successfully execute our strategies and adapt to evolving customer demands, including the trend to lower-gross margin offerings;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 associated with impairment of goodwill, intangible assets or other long-lived assets;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our substantial indebtedness and our obligations to repay such indebtedness;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our failure to maintain compliance with Nasdaq’s continued listing requirements, including the $1.00 per share minimum bid price requirement, could result in our common stock’s delisting from Nasdaq, negatively impacting its market price, liquidity and our ability to access capital markets;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loss of, and our reliance on, third-party providers, vendors, consultants and software;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competing successfully against current and future competitors;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security breaches, cyber-attacks and other interruptions to our and our third-party service providers’ technological and physical infrastructures;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ability to meet our service level commitments to customers, including network uptime requirements.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are unable to attract new customers, retain existing customers and sell additional services at comparable gross margins to customers, our revenue and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maintain or increase our revenues and profit may be impacted by a number of factors, including our ability to attract new customers, retain existing customers and sell additional products and services to our customers at comparable gross margins. In addition, we have and expect to continue to incur higher customer acquisition and retention costs and, to the extent we are unable to retain and sell additional services to existing customers, our revenue and results of operations may decrease.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Growth in the demand for our services may be inhibited and we may be unable to profitably maintain or grow our customer base for a number of reasons, such as:</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our inability to develop and/or provide compelling services or effectively market them to new and existing customers;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loss of favorable relationships with our third-party cloud platform providers;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customer migration to platforms that we do not have expertise in managing;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the inability of customers to differentiate our services from those of our competitors or our inability to effectively communicate such distinctions;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the decision of customers to host internally, in third-party cloud infrastructure, or in third-party colocation facilities as an alternative to the use of our services;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the decision of customers to use internal or other third-party resources to manage their platforms and applications;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reductions in IT spending by customers or potential customers;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our inability to penetrate international markets;</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a reduction in the demand for our services due to macroeconomic factors in the markets in which we operate;</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 xml:space="preserve">our inability to strengthen awareness of our brand; </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past or future cybersecurity-related incidents targeting us, our customers or our critical suppliers; and</w:t>
      </w:r>
    </w:p>
    <w:p>
      <w:pPr>
        <w:pStyle w:val="TextBody"/>
        <w:bidi w:val="0"/>
        <w:spacing w:lineRule="auto" w:line="288" w:before="60" w:after="120"/>
        <w:ind w:left="0" w:right="0" w:hanging="180"/>
        <w:jc w:val="left"/>
        <w:rPr/>
      </w:pPr>
      <w:r>
        <w:rPr>
          <w:color w:val="000000"/>
        </w:rPr>
        <w:t>•</w:t>
      </w:r>
      <w:r>
        <w:rPr>
          <w:rFonts w:ascii="Times New Roman;serif" w:hAnsi="Times New Roman;serif"/>
          <w:b w:val="false"/>
          <w:color w:val="000000"/>
          <w:sz w:val="20"/>
        </w:rPr>
        <w:t>reliability, quality or compatibility problems with our services.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have faced and expect to continue to face difficulty retaining certain existing customers over the long term. Certain customer contracts, particularly within our Private Cloud segment, frequently have initial terms (typically from 12 to 36 months) and, unless terminated, may be renewed or automatically extended for shorter, rolling periods after the initial term. Our customers have no obligation to renew their services after their initial contract periods expire and any termination fees associated with an early termination may not be sufficient to recover our costs associated with such contracts. New and evolving laws and regulations, including the E.U. Data Act and similar legislation, may limit our ability to negotiate, structure, or enforce long-term contractual arrangements with customers, which could result in increased compliance costs, contract renegotiations, reduced revenue visibility, or adverse impacts on our business, results of operations, and financial condition. In addition, most of our services within our Public Cloud segment and legacy OpenStack business are based on a consumption model and can be canceled at any time without penalty. As a result, we may face high rates of customer churn if we are unable to meet our customer needs, requirements and preferences.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affected by general economic conditions and uncertainties affecting markets in which we operate and economic volatility could adversely impact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and geopolitical conditions. The U.S.,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and fluctuating interest rates, equity and foreign exchange markets, bankruptcies and overall uncertainty with respect to the economy. These economic conditions can arise suddenly and the full impact of such conditions can remain uncertain. In addition, geopolitical developments, such as existing and potential wars, trade wars or other conflicts, and other events beyond our control. Any form of civil unrest or other conflict can increase levels of political and economic unpredictability regionally or globally and has the potential to increase the volatility of global financial markets. Any of these effects could have a material and adverse impact on our business, financial condition and results of operations.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are unable to successfully execute our strategies and continue to develop and sell the services and solutions our customers demand, our business, financial condition and results of operations may suffer.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As an example, we have made and expect to continue to make investments in new technologies, including AI and GenAI. The adoption and use of new technologies that are still in their early stages involve significant risks and uncertainties. In addition, investments in technology systems, capabilities, talent and resources may not deliver the benefits or perform as expected, may be replaced or become obsolete more quickly than expected or may reduce or replace some of our current services and offerings. Any failure to successfully execute our strategies, including any failure to invest in strategic growth areas or for those strategic growth areas to fail to perform as anticipated, could adversely affect our business, financial condition and results of operations.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strategies require significant investments that may adversely affect our near-term revenue growth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the implementation of our strategies to require significant investments (including investments in AI and GenAI),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an existing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have a history of losses and may not be able to achieve profitability in the future.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incurred net losses of $837.8 million, $858.2 million and $225.8 million in the fiscal years ended December 31, 2023, 2024 and 2025,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required to recognize goodwill, intangible assets or other long-lived asset impairment charges.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and are subject to impairment testing at least annually. Prior events have and future events may, cause impairments of our goodwill or long-lived assets based on factors such as the price of our common stock, projected cash flows, assumptions used or other variables.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addition, if we divest long-lived assets at prices below their asset value, we must write them down to fair value resulting in long-lived asset impairment charges, which could adversely affect our financial position or results of operations. We cannot accurately predict the amount and timing of any impairment of assets. We have recognized, and we may be required to recognize additional goodwill or other asset impairment charges which could materially and adversely affect our results of operations. </w:t>
      </w:r>
      <w:r>
        <w:rPr>
          <w:rFonts w:ascii="Times New Roman;serif" w:hAnsi="Times New Roman;serif"/>
          <w:b w:val="false"/>
          <w:color w:val="000000"/>
          <w:sz w:val="20"/>
          <w:shd w:fill="FFFFFF" w:val="clear"/>
        </w:rPr>
        <w:t>See Item 8 of Part II, Financial Statements and Supplementary Data, for further discussion.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results of operations have historically varied and may fluctuate significantly, which could make our future results difficult to predict and could cause our results of operations to fall below investor or analyst expectations.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be able to compete successfully against current and future competitors.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potential competitors vary by size, service offerings and geographic region. These competitors may elect to partner with each other or with focused companies to grow their businesses. They include: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in-house IT departments of our customers and potential customers;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traditional global IT systems integrators, including large multi-national providers, such as Accenture, Atos, Capgemini, Cognizant, Deloitte, DXC Technology and Kyndryl;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cloud service providers and digital systems integrators;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regional managed services providers; and </w:t>
      </w:r>
    </w:p>
    <w:p>
      <w:pPr>
        <w:pStyle w:val="TextBody"/>
        <w:bidi w:val="0"/>
        <w:spacing w:lineRule="auto" w:line="276" w:before="0" w:after="120"/>
        <w:ind w:left="0" w:right="0" w:hanging="180"/>
        <w:jc w:val="left"/>
        <w:rPr/>
      </w:pPr>
      <w:r>
        <w:rPr>
          <w:color w:val="000000"/>
        </w:rPr>
        <w:t>•</w:t>
      </w:r>
      <w:r>
        <w:rPr>
          <w:rFonts w:ascii="Times New Roman;serif" w:hAnsi="Times New Roman;serif"/>
          <w:b w:val="false"/>
          <w:color w:val="000000"/>
          <w:sz w:val="20"/>
        </w:rPr>
        <w:t xml:space="preserve">colocation solutions providers, such as Equinix, CyrusOne and QTS.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develop superior products or services, gain greater market acceptance and expand their service offerings more efficiently or more rapidly;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adapt to new or emerging technologies and changes in customer requirements more quickly;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bundle their offerings, including hosting services, with other services they provide at reduced prices;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streamline their operational structure, obtain better pricing or secure more favorable contractual terms, allowing them to deliver services and products at a lower cost;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take advantage of acquisition, joint venture and other opportunities more readily;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adopt more aggressive pricing policies and devote greater resources to the promotion, marketing and sales of their services, which could cause us to have to lower prices for certain services to remain competitive in the market;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devote greater resources to the R&amp;D of their products and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we face increased price competition, we may have to lower the prices of certain of our services in the future to stay competitive, while simultaneously seeking to maintain or improve our revenue and gross margin.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is highly dependent on our ability to maintain favorable relationships with third-party cloud platform providers and the ability of those providers to provide the services and features that our customers desire.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non-exclusive managed service provider relationships with AWS, Microsoft, Google, and VMware by Broadcom, among others. Some of our customers first select their cloud platform and then engage us to provide the managed services and support for the selected environment. In most cases, we also resell the cloud infrastructure from AWS, Microsoft, and Google, or VMware licenses, to the customer (although some customers may elect to purchase the cloud infrastructure or licenses directly from the providers).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AWS, Microsoft, Google, and VMware by Broadcom may generally be modified or terminated at will or with limited notice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the platform providers are unable to provide the types of services and features that meet customer needs, our customers may migrate to alternative platform providers that we may not have the ability to resell and/or support or may not be able to support on a competitive cost structure, which could have a material and adverse effect on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resell licenses, cloud infrastructure, and deliver managed services for these platforms depends on maintaining our applicable partner statuses and related technical certifications. We rely heavily on our relationships with third-party platform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incentives and other tangible and intangible benefits from our association with some of these providers, particularly high-profile providers that reach a large number of companies through the Internet. If any provider terminates all or a significant portion of its relationship with us, chooses to pursue relationships with all or a portion of our customers directly, or limits or eliminates our participation in preferred partner programs or similar, our business, financial condition and results of operations would be adversely affected.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referral and reseller partners provide revenue to our business, and we benefit from our association with them. The loss of these participants could adversely affect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and we may fail to achieve the volumes on which our forecasts for incentive payments and credits are based.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hire and retain qualified employees and management personnel, our strategies and our business could be harmed.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and like many other companies we have recently encountered additional challenges in hiring and retaining qualified personnel.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existing or new operations and services, which could cause our business to be negatively impacted.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materially dependent upon our networks, information technology infrastructure and related technology systems to provide services to our customers, manage our internal operations and support our strategic objectives.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Many of our customers use our products and services in heavily regulated industries, including banking, financial services, insurance, healthcare, critical infrastructure and government sectors, among others. We also process, store and transmit our own data as part of our business and operations, which may include personally identifiable, confidential or proprietary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Cyber-attacks have become more prevalent in our industry, and the techniques used to sabotage or obtain unauthorized access to systems are constantly expanding and evolving, including with the availability of AI and GenAI tools and technologies. Malicious actors are increasingly sophisticated in their methods, tactics, techniques and procedures, seeking to steal money, gain unauthorized access to, destroy or manipulate data, and disrupt operations, and some of their attacks may not be recognized or discovered until launched or after initial entry into the environment, such as novel or zero-day attacks that are launched before patches are available and defenses can be readied. Malicious actors are also increasingly developing methods to avoid prevention, detection and alerting capabilities, including employing counter-forensic tactics, making response activities more difficult. In certain cases, our customers choose to host technologies within our infrastructure which are not capable of being updated to protect against cyber-attacks, are not timely updated due to operational constraints or other business decisions, or reach end-of-life status where security patches are no longer available from the vendor.</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Like many companies, we have experienced these attacks, including a ransomware incident that caused service disruptions for our Hosted Exchange customers, as previously disclosed in December 2022 and another incident where a malicious actor publicly claimed to have accessed our systems, which claim was repudiated through internal investigations and forensic analysis. Our dependence upon third-parties for delivery of services introduces additional risks, such as those associated with the ScienceLogic breach which exposed some customer information to unauthorized individuals (but which did not result in a material impact to our customers’ operations). When these cyber-attacks occur, we respond to these incidents pursuant to our cybersecurity policies and procedures and in accordance with the law. Our cybersecurity policies and procedures are designed to protect against and mitigate harm from unauthorized access, infrastructure attacks, malicious file attacks, ransomware, data theft,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cybersecurity framework is governed and overseen by a team of cybersecurity professionals led by our Chief Information Security Officer, working together with our executive leadership team and other cross-functional leaders. The Audit Committee of our Board receives regular cybersecurity updates. When necessary, our internal incident response team engages with external advisors, including outside counsel or outside cybersecurity firms to investigate and remediate.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security measures are monitored and periodically reviewed. Nevertheless, our security measures have in the past and may continue to be circumvented or fail to defeat or mitigate cybersecurity attacks. Additionally, other disruptions can occur, such as infrastructure gaps, hardware and software vulnerabilities, inadequate or missing security controls, exposed or unprotected customer data and the accidental or intentional disclosure confidential information by former or current employees. In some cases, some legacy or end-of-life technology equipment may be utilized which is not capable of being updated to protect against certain attacks and deploy compensating controls to manage cybersecurity risks as appropriate.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Some of our systems or vendors’ systems have experienced past security breaches, and, although they did not have a material adverse effect on our operating results, there can be no assurance of a similar result in the future. Cyber breaches and other security incidents may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In most cases, the security of customers’ technology and data relies on a shared responsibility model in which we must coordinate appropriate cybersecurity controls with the customer. We also offer professional services to our customers where we consult on data center solutions and assist with implementations. We offer managed services domestically and in some jurisdictions outside of the U.S.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cybersecurity policies and procedures are designed to vet third-party providers and provide for adequate oversight and cooperation regarding cybersecurity incidents with respect to our third-party vendors, but our ability to monitor our third-party service providers’ data security is limited, consistent with industry constraints.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Information Trust Alliance (“HITRUST”) in the U.S., Information Security Registered Assessors Program ("IRAP") in Australia and Public Services Network ("PSN") in the U.K. These certifications and attestations apply to specified systems, services or processes and do not eliminate cybersecurity risk. In addition, they are point-in-time references and do not guarantee future performance.There are significant costs associated with maintaining existing and implementing any newly-adopted industry-related compliance certifications, including costs associated with enhancing or implementing additional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 In some cases, customers may host regulated computing workloads which could fall under infrastructure protection mandates that have not been communicated to us. We work together with our customers in good faith to identify those situations and ensure appropriate regulatory compliance programs and controls are in place where appropriate.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1C - “Cybersecurity”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inability to prevent service disruptions and ensure network uptime could lead to significant costs and could harm our business reputation and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future service interruptions could: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cause our customers to seek damages for losses incurred;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delay payment to us by customers;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result in legal claims against us;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divert our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require us to replace existing equipment or add redundant facilities;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affect our reputation as a reliable provider of hosting services;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cause existing customers to cancel or elect to not renew their contracts; or </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make it more difficult for us to attract new customers.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ability to operate our data centers relies on access to sufficient and reliable electric power.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have reliable Internet, telecommunications and fiber optic network connectivity and capacity may adversely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have overestimated our data center capacity requirements in the past. If we overestimate or underestimate our data center capacity requirements,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Real or perceived errors, failures or bugs in our customer solutions, software or technology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third-party software that may be difficult to replace, or which could cause errors or failures of our service that could lead to lost customers or harm to our reputation.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third-party vendors, including our third-party software licensors, increase their prices and we are unable to pass those increased costs to our customers, it could have a material and adverse effect on our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 Our attempts to otherwise mitigate cost increases or achieve cost reductions can also cause disruptions and operational impacts in the near- and medium-term, including increased costs and distraction of management attention.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services depend in part on intellectual property and proprietary rights and technology licensed from third parties.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Sales to enterprise customers involve risks that may not be present in or that are present to a greater extent than sales to smaller entities.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focus a significant portion of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Some of our professional services engagements with our clients are based on estimated pricing terms. If our estimates are incorrect, these terms could become unprofitable.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maintain, enhance and protect our brand, our ability to expand our customer base will be impaired and our business, financial condition and results of operations may suffer.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ability to operate and expand our business is susceptible to risks associated with international sales and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localization of our services, including translation into foreign languages and adapting to local practices and regulatory requirements and differing technology standards or customer requirements;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lack of familiarity with and unexpected changes in foreign regulatory requirements;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longer accounts receivable payment cycles and difficulties in collecting accounts receivable;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difficulties in managing and staffing international operations;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fluctuations in currency exchange rates;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restrictions on the ability to move cash;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potentially adverse tax consequences, including the complexities of transfer pricing and foreign value added tax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challenges associated with repatriating earnings generated or held abroad in a tax-efficient manner and changes in tax laws;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dependence on certain third parties, including channel partners with whom we do not have extensive experience;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the burdens of complying with a wide variety of foreign laws and legal standards;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increased financial accounting and reporting burdens and complexities;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trade regulations and procedures and actions affecting production, pricing and marketing of services, including policies adopted by countries that may champion or otherwise favor domestic companies and technologies over foreign competitors;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political, social and economic instability and corruption abroad, terrorist attacks, civil unrest and security concerns in general;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pandemics and public health emergencies; and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reduced or varied protection for intellectual property and proprietary rights in some countries.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 international markets also requires significant management attention and financial resources. The investment and additional resources required to establish operations and manage growth in other countries may not produce desired levels of revenue or profitability.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develop and maintain adequate internal systems could cause us to be unable to properly provide service to our customers, causing us to lose customers, suffer harm to our reputation and incur additional costs.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be able to renew the leases on our existing facilities on terms acceptable to us, if at all,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do not own the facilities occupied by our current data centers but occupy them pursuant to commercial leasing arrangements. The initial terms of our main existing data center leases expire over t</w:t>
      </w:r>
      <w:r>
        <w:rPr>
          <w:rFonts w:ascii="Times New Roman;serif" w:hAnsi="Times New Roman;serif"/>
          <w:b w:val="false"/>
          <w:color w:val="000000"/>
          <w:sz w:val="20"/>
          <w:shd w:fill="FFFFFF" w:val="clear"/>
        </w:rPr>
        <w:t xml:space="preserve">he next 13 years. </w:t>
      </w:r>
      <w:r>
        <w:rPr>
          <w:rFonts w:ascii="Times New Roman;serif" w:hAnsi="Times New Roman;serif"/>
          <w:b w:val="false"/>
          <w:color w:val="000000"/>
          <w:sz w:val="20"/>
        </w:rPr>
        <w:t xml:space="preserve">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or loss of data.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a number of third-party providers for data center space, equipment, maintenance and other services, and the loss of, or problems with, one or more of these providers may impede our growth or cause us to lose customers.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a third-party could fail to comply with their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subject to various laws, directives, regulations, contractual obligations and policies regarding the protection of confidentiality and appropriate use of personal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security and privacy legal framework with which we or our customers must comply, including but not limited to the U.K. and the E.U. The E.U. has adopted the General Data Protection Regulation ("E.U.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E.U. GDPR to enact, and have enacted, certain legislation that adds to and/or further interprets the E.U. GDPR requirements and potentially extends our obligations and potential liability for failing to meet such obligations. Among other requirements, the E.U. GDPR regulates transfers of personal data subject to the E.U.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Following Brexit, the U.K. enacted a Data Protection Act substantially implementing the GDPR and amended to align with the E.U. GDPR. It is unclear how U.K. data protection laws or regulations will develop in the medium to longer term. We must comply with the E.U. GDPR and the U.K. GDPR, with each regime having the ability to fine up to the greater of €20 million (in the case of the E.U. GDPR) or £17 million (in the case of the U.K. GDPR) and 4% of total annual revenue. Such penalties are in addition to any civil litigation claims by customers and data subjects. The GDPR requirements apply not only to third-party transactions, but also to transfers of information between us and our subsidiaries, including employee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relevant data privacy laws, directives and regulations, such as the E.U. or U.K.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Board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Customers could potentially expose us to lawsuits for their lost profits or damages, which could impair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insurance coverage by unknown but significant amounts, which could materially and adversely impair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clients include national, provincial, state and local governmental entities.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government work carries various risks inherent in the government contracting process. These risks include, but are not limited to, the following: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Government contracts can be challenged by other interested parties and such challenges, even if unsuccessful, can increase costs, cause delays and defer project implementation and revenue recognition.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 In addition, contracting with Federal government bodies may subject us to operational requirements or prohibitions which would increase our compliance costs or increase the risk of non-compliance.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Certain of our international operations are conducted in countries or regions experiencing corruption or instability, which subjects us to heightened legal and economic risks.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be liable for the material that content providers distribute over our network, and we may have to terminate customers that provide content that is determined to be illegal, which could adversely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Government regulation is continuously evolving and, depending on its evolution, may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the characteristics and quality of services, machine learning and AI.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Any failure by us to identify, manage, complete and integrate acquisitions and other significant transactions, including dispositions, successfully could harm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If we fail to identify and successfully complete and integrate Strategic Transactions that further our strategic objectives, we may be required to expend resources to develop services and technology internally, which may put us at a competitive disadvantage.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Managing Strategic Transactions requires varying levels of management resources, which may divert our attention from other business operations.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We have not realized all anticipated benefits, synergies and cost-savings initiatives from certain previous Strategic Transactions, and in the future, we may not fully realize all or any of the anticipated benefits of any particular Strategic Transaction.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We may be adversely impacted by liabilities that we assume from a company we acquire or in which we invest, whether known or unknown.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results of operations could be materially and adversely affected by fluctuations in foreign currency exchange rates.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exposed to commodity and market price risks that affect our results of operations.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consume a large quantity of power to operate our data centers and as such are exposed to risk associated with fluctuations in the price of power. During 2025, we incurred ap</w:t>
      </w:r>
      <w:r>
        <w:rPr>
          <w:rFonts w:ascii="Times New Roman;serif" w:hAnsi="Times New Roman;serif"/>
          <w:b w:val="false"/>
          <w:color w:val="000000"/>
          <w:sz w:val="20"/>
          <w:shd w:fill="FFFFFF" w:val="clear"/>
        </w:rPr>
        <w:t>proximately $36 million in costs</w:t>
      </w:r>
      <w:r>
        <w:rPr>
          <w:color w:val="000000"/>
        </w:rPr>
        <w:t xml:space="preserve"> </w:t>
      </w:r>
      <w:r>
        <w:rPr>
          <w:rFonts w:ascii="Times New Roman;serif" w:hAnsi="Times New Roman;serif"/>
          <w:b w:val="false"/>
          <w:color w:val="000000"/>
          <w:sz w:val="20"/>
        </w:rPr>
        <w:t xml:space="preserve">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Concerns about greenhouse gas emissions and global climate change may result in environmental taxes, charges, assessments or penalties, resulting in increased electricity prices.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If we are unable to obtain a required license, we may have to discontinue the use of such software or the sale of our affected services, which could cause us to breach customer agreements and incur liability to customers. The cost of obtaining such licenses, or the consequences of failing to obtain them, could adversely affect our business,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legacy OpenStack business.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Third-party claims of intellectual property or proprietary right infringement, misappropriation or other violation may be costly to defend and may limit or disrupt our ability to sell our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Additionally, as we expand our use of AI, there may be uncertainty regarding intellectual property ownership and license rights of AI algorithms and content generated by AI, and we may become subject to similar claims of infringement in the future.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have additional tax liabilities.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cross border trade policies, including the imposition of tariffs and the resulting consequences, may have a material and adverse impact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U.S. government has an evolving approach to cross border trade policy and in some cases it may seek to renegotiate, or potentially terminate, certain existing bilateral or multilateral trade agreements. It has also imposed and may continue to impose additional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 In addition, non-U.S. governments have imposed and may continue to impose tariffs (including retaliatory tariffs) on the import of U.S. goods, which could similarly impact the amount of IT spending available to customers located outside of the U.S. In particular, geopolitical and trade tensions between the U.S. and China have been escalating and it is difficult to predict what further trade-related actions the U.S. and other governments may take, whether the new 2025 U.S. administration may heighten tensions and the longer-term implications of trade-related actions on various market opportunities.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substantial indebtedness could materially and adversely affect our ability to raise additional capital to fund our operations, limit our ability to react to changes in the economy or our industry and prevent us from making debt service payments.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are a highly leveraged company. As of December 31, 2025, we had $2,429.2 million face value of outstanding indebtedness. Our outstanding indebtedness as of December 31, 2025 included $270.2 million of borrowings under the FLFO Term Loan Facility, $1,610.0 million of borrowings under the FLSO Term Loan Facility, $61.1 million of borrowings under the Term Loan Facility, $318.6 million of 3.50% FLSO Senior Secured Notes, $125.4 million of 5.375% Senior Notes, and $43.9 million of 3.50% Senior Secured Notes. In addition, as of December 31, 2025, the New Revolving Credit Facility had total commitments of </w:t>
      </w:r>
      <w:r>
        <w:rPr>
          <w:rFonts w:ascii="Times New Roman;serif" w:hAnsi="Times New Roman;serif"/>
          <w:b w:val="false"/>
          <w:color w:val="000000"/>
          <w:sz w:val="20"/>
          <w:shd w:fill="FFFFFF" w:val="clear"/>
        </w:rPr>
        <w:t>$375.0 m</w:t>
      </w:r>
      <w:r>
        <w:rPr>
          <w:rFonts w:ascii="Times New Roman;serif" w:hAnsi="Times New Roman;serif"/>
          <w:b w:val="false"/>
          <w:color w:val="000000"/>
          <w:sz w:val="20"/>
        </w:rPr>
        <w:t>illion, $60.0 million of outstanding borrowings, and $23.5 million of letters of credit issued thereunder. For the years ended December 31, 2024 and 2025, w</w:t>
      </w:r>
      <w:r>
        <w:rPr>
          <w:rFonts w:ascii="Times New Roman;serif" w:hAnsi="Times New Roman;serif"/>
          <w:b w:val="false"/>
          <w:color w:val="000000"/>
          <w:sz w:val="20"/>
          <w:shd w:fill="FFFFFF" w:val="clear"/>
        </w:rPr>
        <w:t>e made total debt service payments, consisting of required principal and interest payments, of approximately $162.1 million and $150.1 million, respectively, which represented 406.2% and 99.2%, respectively, of our cash flow from operations (or 88.9% and 53.4%, respectively, of our cash flow from operations calculated prior to any deductions for cash interest payments).</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substantial indebtedness could have important consequences. For example, it could: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limit our ability to borrow money for our working capital, capital expenditures, debt service requirements, strategic initiatives or other purposes;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make it more difficult for us to satisfy our obligations with respect to our indebtedness and any failure to comply with the obligations of any of our debt instruments, including restrictive covenants and borrowing conditions, could result in an event of default under the agreements governing our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require us to dedicate a substantial portion of our cash flow from operations to the payment of interest and the repayment of our indebtedness, thereby reducing funds available to us for other purposes;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limit our flexibility in planning for, or reacting to, changes in our operations or business;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make us more highly leveraged than some of our competitors, which may place us at a competitive disadvantage;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impact our rent expense on leased space and interest expense from financing leases, which could be significant;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make us more vulnerable to downturns in our business, our industry or the economy;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restrict us from making strategic acquisitions, engaging in development activities, introducing new technologies or exploiting business opportunities;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cause us to make non-strategic divestitures;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limit, along with the financial and other restrictive covenants in our indebtedness, among other things, our ability to borrow additional funds or dispose of assets;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prevent us from repurchasing or repaying our senior notes or credit facilities upon certain change of control events, which would result in an event of default under the agreements governing such debt; or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expose us to the risk of increased interest rates, as certain of our borrowings, including borrowings under the New Senior Facilities and Senior Facilities, are at variable rates of interest.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many of our debt instruments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Despite our substantial indebtedness, we may still be able to incur significantly more debt, including secured debt, which could intensify the risks associated with our indebtedness.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and our subsidiaries may be able to incur substantial indebtedness in the future. Although the terms of many of our debt instruments contain restrictions on our subsidiaries’ ability to incur additional indebtedness (including secured indebtedness), these restrictions are subject to a number of important qualifications and exceptions, and the indebtedness incurred (including secured indebtedness) in compliance with these restrictions could be substantial. In addition, these restrictions do not prevent us from incurring indebtedness or our subsidiaries from incurring obligations that do not constitute indebtedness under the terms of such instruments. To the extent that we incur additional indebtedness or such other obligations, the risk associated with our substantial indebtedness as described above under the risk factor “</w:t>
      </w:r>
      <w:r>
        <w:rPr>
          <w:rFonts w:ascii="Times New Roman;serif" w:hAnsi="Times New Roman;serif"/>
          <w:b w:val="false"/>
          <w:i/>
          <w:color w:val="000000"/>
          <w:sz w:val="20"/>
        </w:rPr>
        <w:t>Our substantial indebtedness could materially and adversely affect our ability to raise additional capital to fund our operations, limit our ability to react to changes in the economy or our industry and prevent us from making debt service payments</w:t>
      </w:r>
      <w:r>
        <w:rPr>
          <w:rFonts w:ascii="Times New Roman;serif" w:hAnsi="Times New Roman;serif"/>
          <w:b w:val="false"/>
          <w:color w:val="000000"/>
          <w:sz w:val="20"/>
        </w:rPr>
        <w:t xml:space="preserve">,” including our potential inability to service our debt, will increase.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of December 31, 2025, </w:t>
      </w:r>
      <w:r>
        <w:rPr>
          <w:rFonts w:ascii="Times New Roman;serif" w:hAnsi="Times New Roman;serif"/>
          <w:b w:val="false"/>
          <w:color w:val="000000"/>
          <w:sz w:val="20"/>
          <w:shd w:fill="FFFFFF" w:val="clear"/>
        </w:rPr>
        <w:t xml:space="preserve">we had </w:t>
      </w:r>
      <w:r>
        <w:rPr>
          <w:rFonts w:ascii="Times New Roman;serif" w:hAnsi="Times New Roman;serif"/>
          <w:b w:val="false"/>
          <w:color w:val="000000"/>
          <w:sz w:val="20"/>
        </w:rPr>
        <w:t xml:space="preserve">$291.5 million available for additional borrowing under the New Revolving Credit Facility portion of our New Senior Facilities (including $23.5 million of letters of credit issued thereunder), all of which would be secured.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be able to generate sufficient cash to service all of our indebtedness and to fund our working capital and capital expenditures and may be forced to take other actions to satisfy our obligations under our indebtedness that may not be successful.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satisfy our debt obligations will depend upon, among other things: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future financial and operating performance, which will be affected by prevailing economic, industry and competitive conditions and financial, business, legislative, regulatory and other factors, many of which are beyond our control;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future ability to refinance or restructure our existing debt obligations, which depends on among other things, the condition of the capital markets, our financial condition and the terms of existing or future debt agreements; and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future ability to borrow under our New Revolving Credit Facility, the availability of which depends on, among other things, our compliance with the covenants in the New First Lien Credit Agreement.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our business will generate cash flow from operations, or that we will be able to draw under our New Revolving Credit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be certain that we will be able to restructure or refinance any of our debt on commercially reasonable terms or at all.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cannot make scheduled payments on our indebtedness, we will be in default, and holders of our notes and the lenders under our credit facilities could declare all outstanding principal and interest to be due and payable, the lenders under our credit facilities could terminate their commitments to loan money, our secured lenders and holders of our secured notes could foreclose against the assets securing their indebtedness and we could be forced into bankruptcy or liquidation.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debt agreements contain restrictions that limit our flexibility in operating our business.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and any other existing or future indebtedness of ours would likely contain, a number of covenants that impose significant operating and financial restrictions on us, including restrictions on our subsidiaries’ ability to, among other things: </w:t>
      </w:r>
    </w:p>
    <w:p>
      <w:pPr>
        <w:pStyle w:val="TextBody"/>
        <w:bidi w:val="0"/>
        <w:spacing w:before="0" w:after="12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incur additional debt, guarantee indebtedness or issue certain preferred shares;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pay dividends on or make distributions in respect of, or repurchase or redeem, our capital stock or make other restricted payments;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prepay, redeem or repurchase certain debt;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make loans or certain investments;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sell certain assets;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create liens on certain assets;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consolidate, merge, sell or otherwise dispose of all or substantially all of our assets;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enter into certain transactions with our affiliates;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substantially alter the businesses we conduct;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enter into agreements restricting our subsidiaries’ ability to pay dividends; and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designate our subsidiaries as unrestricted subsidiaries.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New Revolving Credit Facility requires us to comply with a super-priority net senior secured leverage ratio under certain circumstances.</w:t>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As a result of these covenants, we are limited in the manner in which we conduct our business, and we may be unable to engage in favorable bu</w:t>
      </w:r>
      <w:r>
        <w:rPr>
          <w:rFonts w:ascii="Times New Roman;serif" w:hAnsi="Times New Roman;serif"/>
          <w:b w:val="false"/>
          <w:color w:val="000000"/>
          <w:sz w:val="20"/>
        </w:rPr>
        <w:t xml:space="preserve">siness activities or finance future operations or capital needs. A failure to comply with the covenants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New Senior Facilities and the Senior Facilities, as applicable: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will not be required to lend any additional amounts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could elect to declare all borrowings outstanding, together with accrued and unpaid interest and fees, to be due and payable and terminate all commitments to extend further credit;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could require us to apply our available cash to repay these borrowings; or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could effectively prevent us from making debt service payments on the 3.50% FLSO Senior Secured Notes, the 5.375% Senior Notes and the 3.50% Senior Secured Notes;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of which could result in an event of default under the 3.50% FLSO Senior Secured Notes Indenture, 5.375% Notes Indenture and the 3.50% Notes Indenture.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Such actions by the lenders could cause cross defaults under our other indebtedness. If we were unable to repay those amounts, the lenders under our credit facilities and any of our other existing or future secured indebtedness could proceed against the collateral granted to them. We have pledged substantially all of our assets as collateral under the New Senior Facilities and the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outstanding indebtedness were to be accelerated, there can be no assurance that our assets would be sufficient to repay such indebtedness in full.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variable rate indebtedness subjects us to interest rate risk, which could cause our debt service obligations to increase significantly.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New Senior Facilities and the Senior Facilities are at variable rates of interest and expose us to interest rate risk. As of December 31, 2025, assuming the New Revolving Credit Facility was fully drawn, each 0.125% change in assumed blended interest rates would result in a $3 million change in annual interest expense on indebtedness under the New Senior Facilities and the Senior Facilities.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Senior Facilities and the Senior Facilities carry floating interest rates that are tied to SOFR. The Federal Reserve Bank of New York, as administrator of SOFR, may make methodological or other changes that could change the value of SOFR, including changes related to the method by which SOFR is calculated, eligibility criteria applicable to the transactions used to calculate SOFR or timing related to the publication of SOFR. If the manner in which SOFR is calculated is changed, that change may result in a change in the amount of our annual interest expense on our indebtedness under the New Senior Facilities and the Senior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Any downgrade in our credit ratings could limit our ability to obtain future financing, increase our borrowing costs and adversely affect the market price of our existing debt securities or otherwise impair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Nationally recognized credit rating organizations have issued credit ratings relating to our long-term debt. Our outstanding debt under the New Senior Facilities, the Senior Facilities, the 3.50% FLSO Senior Secured Notes,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additional actual or anticipated changes or downgrades in our credit ratings, including any announcement that our ratings are under review for a downgrade, could: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adversely affect the market price of some or all our outstanding debt securities or loans;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limit our access to the capital markets or otherwise adversely affect the availability of other new financing on favorable terms, if at all;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result in new or more restrictive covenants in agreements governing the terms of any future indebtedness that we may incur;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increase our cost of borrowing;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impact our business, financial condition and results of operations.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common stock has previously traded below Nasdaq’s $1.00 minimum bid price requirement. If we fail to maintain compliance with Nasdaq’s continued listing requirements, our common stock could be delisted, which could adversely affect the liquidity and market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is currently listed on the Nasdaq Global Select Market, which imposes certain continued listing requirements, including a minimum bid price requirement of $1.00 per share, requirements relating to minimum market value of securities, stockholders’ equity, and corporate governance standards.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fail to maintain compliance with Nasdaq’s continued listing requirements, Nasdaq may initiate procedures to delist our common stock. A delisting of our common stock could materially and adversely affect our business and investors by, among other things, reducing the liquidity and market price of our common stock, limiting our ability to raise additional capital and access the public equity markets, reducing analyst coverage, impairing our ability to use equity-based compensation to attract and retain employees, increasing volatility in the trading price of our common stock, and generating negative publicity.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experienced significant volatility and has previously traded below $1.00 per share. Although the closing bid price of our common stock was above $1.00 per share as of the date of this filing, there can be no assurance that it will remain at or above that level. If our stock price were to decline and remain below $1.00 per share for 30 consecutive business days, we would not be in compliance with Nasdaq’s minimum bid price requirement and could become subject to Nasdaq’s deficiency procedures. If we are unable to regain compliance during any applicable cure period, we could face potential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 price may fluctuate significantly.</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could vary significantly as a result of a number of factors, some of which are beyond our control. The following is a non-exhaustive list of additional factors that could affect our stock price: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operating and financial performance and prospects;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quarterly variations in the rate of growth (if any) of our financial or operational indicators, such as EPS, net income, revenues, Non-GAAP Net Income, Non-GAAP Operating Profit, and Adjusted EBITDA;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the public reaction to our press releases, our other public announcements and our filings with the SEC;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strategic actions by our competitors;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changes in operating performance and the stock market valuations of other companies;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announcements related to litigation;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our failure to meet revenue or earnings estimates made by research analysts or other investors;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changes in revenue or earnings estimates, or changes in recommendations or withdrawal of research coverage, by equity research analysts;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sales of our common stock by us or our stockholders, or the perception that such sales may occur;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our failure to maintain compliance with Nasdaq’s continued listing requirements, including but not limited to the $1.00 minimum bid price requirement;</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changes in accounting principles, policies, guidance, interpretations or standards;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additions or departures of key management personnel;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actions by our stockholders;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general market conditions;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domestic and international economic, legal and regulatory factors unrelated to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material weakness in our internal control over financial reporting; and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the realization of any risks described under this “Risk Factors” section, or other risks that may materialize in the future. </w:t>
      </w:r>
    </w:p>
    <w:p>
      <w:pPr>
        <w:pStyle w:val="TextBody"/>
        <w:bidi w:val="0"/>
        <w:spacing w:lineRule="auto" w:line="288" w:before="0" w:after="0"/>
        <w:ind w:left="0" w:right="0" w:firstLine="540"/>
        <w:jc w:val="left"/>
        <w:rPr/>
      </w:pPr>
      <w:r>
        <w:rPr>
          <w:rFonts w:ascii="Times New Roman;serif" w:hAnsi="Times New Roman;serif"/>
          <w:b w:val="false"/>
          <w:color w:val="000000"/>
          <w:sz w:val="20"/>
        </w:rPr>
        <w:t>The stock mar</w:t>
      </w:r>
      <w:r>
        <w:rPr>
          <w:rFonts w:ascii="Times New Roman;serif" w:hAnsi="Times New Roman;serif"/>
          <w:b w:val="false"/>
          <w:color w:val="000000"/>
          <w:sz w:val="20"/>
          <w:shd w:fill="FFFFFF" w:val="clear"/>
        </w:rPr>
        <w:t xml:space="preserve">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Future sales of our common stock in the public market, or the perception in the public market that such sales may occur, could reduce our stock price.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248.4 million shares of common stock issued and approximately 15.7 million shares of common stock underlying outstanding options and restricted stock under the 2017 Incentive Plan and the 2020 Incentive Plan, and we have reserved an additional 38.5 million shares of common stock for issuance under the 2020 Incentive Plan and </w:t>
      </w:r>
      <w:r>
        <w:rPr>
          <w:rFonts w:ascii="Times New Roman;serif" w:hAnsi="Times New Roman;serif"/>
          <w:b w:val="false"/>
          <w:color w:val="000000"/>
          <w:sz w:val="20"/>
        </w:rPr>
        <w:t xml:space="preserve">7.8 million </w:t>
      </w:r>
      <w:r>
        <w:rPr>
          <w:rFonts w:ascii="Times New Roman;serif" w:hAnsi="Times New Roman;serif"/>
          <w:b w:val="false"/>
          <w:color w:val="000000"/>
          <w:sz w:val="20"/>
          <w:shd w:fill="FFFFFF" w:val="clear"/>
        </w:rPr>
        <w:t xml:space="preserve">shares of common stock for issuance under the ESPP and we may be required to issue additional shares of common stock to an affiliate of ABRY under the merger agreement related to the acquisition of Datapipe. Also, during the year ended December 31, 2025, we </w:t>
      </w:r>
      <w:r>
        <w:rPr>
          <w:rFonts w:ascii="Times New Roman;serif" w:hAnsi="Times New Roman;serif"/>
          <w:b w:val="false"/>
          <w:color w:val="000000"/>
          <w:sz w:val="20"/>
        </w:rPr>
        <w:t xml:space="preserve">registered 10.0 million shares of common stock for 4.0 million and 6.0 million RSUs and stock options, respectively, granted to our new chief executive officer outside of the 2020 Incentive Plan. </w:t>
      </w:r>
      <w:r>
        <w:rPr>
          <w:rFonts w:ascii="Times New Roman;serif" w:hAnsi="Times New Roman;serif"/>
          <w:b w:val="false"/>
          <w:color w:val="000000"/>
          <w:sz w:val="20"/>
          <w:shd w:fill="FFFFFF" w:val="clear"/>
        </w:rPr>
        <w:t>In addition, certain of our existing stockholders, including Apollo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do not maintain effective internal controls, our financial statements may be inaccurate and the value of your investment in our common stock could decrease.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to continue incurring significant expenses and devote substantial management effort toward ensuring compliance with the requirements of the Sarbanes-Oxley Act, including with respect to compliance with the requirements of Section 404(b) of the Sarbanes-Oxley Act.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Nasdaq, regulatory investigations, civil or criminal sanctions and litigation, any of which would have a material and adverse effect on our business, financial condition, results of operations and the market price of our common stock.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continue to be controlled by Apollo, and Apollo’s interests may conflict with our interests and the interests of other stockholders.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Apollo beneficially owned approximately 53%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could conflict with or differ from our interests or the interests of our other stockholders. For example, the concentration of ownership held by Apollo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Apollo continues to directly or indirectly beneficially own a significant amount of our equity, even if such amount is less than 50%, Apollo will continue to be able to substantially influence or effectively control our ability to enter into corporate transactions. Apollo also has a right to nominate a number of directors comprising a percentage of our Board in accordance with their beneficial ownership of the voting power of our outstanding common stock (rounded up to the nearest whole number), which currently represents at least a majority of our Board. In addition, we have an executive committee that serves at the discretion of our Board and includes two members nominated by Apollo, who are authorized to take actions (subject to certain exceptions) that they reasonably determine are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are a “controlled company” within the meaning of the Nasdaq’s rules and, as a result, qualify for and intend to rely on exemptions from certain corporate governance requirements.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Apollo controls a majority of the voting power of our outstanding voting stock, and as a result we are a controlled company within the meaning of the Nasdaq’s corporate governance standards. Under the Nasdaq rules, a company of which more than 50% of the voting power is held by another person or group of persons acting together is a controlled company and may elect not to com</w:t>
      </w:r>
      <w:r>
        <w:rPr>
          <w:rFonts w:ascii="Times New Roman;serif" w:hAnsi="Times New Roman;serif"/>
          <w:b w:val="false"/>
          <w:color w:val="000000"/>
          <w:sz w:val="20"/>
        </w:rPr>
        <w:t xml:space="preserve">ply with certain corporate governance requirements, including the requirements that: </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a majority of the Board consist of independent directors;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the nominating and corporate governance committee be composed entirely of independent directors or otherwise require that the nominees for directors are determined or recommended to our Board by the independent members of our Board pursuant to a formal resolution addressing the nominations process and such related matters as may be required under the federal securities laws; and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the compensation committee be composed entirely of independent directors. </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intend to utiliz</w:t>
      </w:r>
      <w:r>
        <w:rPr>
          <w:rFonts w:ascii="Times New Roman;serif" w:hAnsi="Times New Roman;serif"/>
          <w:b w:val="false"/>
          <w:color w:val="000000"/>
          <w:sz w:val="20"/>
          <w:shd w:fill="FFFFFF" w:val="clear"/>
        </w:rPr>
        <w:t>e these exemptions as long as we remain a controlled company. Accordingly, you may not have the same protections afforded to stockholders of companies that are subject to all of the corporate governance requirements of the Nasdaq. There can be no assurances that we will remain a “controlled company” and, following the loss of such status, we may need to modify our Board and committee compositions in order to be in compliance with applicable Nasdaq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are a holding company and rely on dividends, distributions and other payments, advances and transfers of funds from our subsidiaries to meet our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do not anticipate paying dividends on our common stock in the foreseeable future.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do not anticipate paying any dividends in the foreseeable future on our common stock. We intend to retain all future earnings for the operation and expansion of our business and the repayment of outstanding debt. Our New Senior Facilities, Senior Facilities and the Indentures contain, and any future indebtedness likely will contain, restrictive covenants that impose significant operating and financial restrictions on us, including restrictions on our ability to pay dividends and make other restricted payments.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securities or industry analysts do not publish research or reports about our business or publish negative reports, our stock price could decline.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1B – UNRESOLVED STAFF COMMENTS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ITEM 1C – CYBERSECURITY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materially dependent upon our networks, information technology infrastructure, and related technology systems to provide services to our customers, manage our internal operations and support our strategic objectives. Cyber-attacks have become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information known to management through our established processes and policies as of the date of this report, we have not identified any cybersecurity threats or cybersecurity incidents that have materially affected or are reasonably anticipated to have a material adverse effect on our business. However, we have experienced and expect to continue to experience cybersecurity threats and cybersecurity incidents. In December 2022, we previously disclosed a ransomware incident that caused service disruptions for our Hosted Exchange customers. In addition, in March 2025, a malicious actor publicly claimed to have gained unauthorized access to certain of our data, but after investigation and forensic analysis, we found no evidence of unauthorized access and did not correlate the data shared by the malicious actor to us or any of our customers.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governance and oversight processes designed to manage cybersecurity risks and implement controls and practices intended to identify, protect, detect, respond to and recover from cybersecurity risks and incidents; however, we cannot provide assurance that cybersecurity risks will not materially affect our business (or the systems we host for our customers) in the future, including our business strategy, results of operations, or financial condition, nor can we provide assurance that our controls, processes and procedures will operate as intended in all circumstances.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Cybersecurity threats, whether or not successful, could result in significant costs related to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significant reputational harm. Cybersecurity threats continue to evolve, including with the advent of AI and GenAI, which may increase the difficulty of detecting and defending against such threats.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See </w:t>
      </w:r>
      <w:r>
        <w:rPr>
          <w:rFonts w:ascii="Times New Roman;serif" w:hAnsi="Times New Roman;serif"/>
          <w:b w:val="false"/>
          <w:i/>
          <w:color w:val="000000"/>
          <w:sz w:val="20"/>
        </w:rPr>
        <w:t>"Risk Factors - 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w:t>
      </w:r>
      <w:r>
        <w:rPr>
          <w:color w:val="000000"/>
        </w:rPr>
        <w:t xml:space="preserve"> </w:t>
      </w:r>
      <w:r>
        <w:rPr>
          <w:rFonts w:ascii="Times New Roman;serif" w:hAnsi="Times New Roman;serif"/>
          <w:b w:val="false"/>
          <w:color w:val="000000"/>
          <w:sz w:val="20"/>
        </w:rPr>
        <w:t>for more information on our cybersecurity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Cybersecurity risk management is a component of our broader enterprise risk management program, and we have established cybersecurity policies and procedures to identify, protect, detect, respond to and recover from cybersecurity risks and incidents in accordance with applicable law. We maintain a cross-functional approach to cybersecurity risk, which is designed to help identify, protect, detect, respond to and recover from cybersecurity threats.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cybersecurity strategy focuses on implementation of controls, technologies, and other processes designed to assess, identify, manage and address material cybersecurity risks. These include, among other things: annual and ongoing security awareness training for employees; mechanisms to detect and monitor unusual network activity; processes to model the integrity of critical security controls; enforcement of computing system security policies; and containment and incident response tools. We monitor issues that are internally discovered or externally reported that may affect our operations, systems, network, data, products and/or services, and have processes to assess those issues for potential cybersecurity impact or risk.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 and deploy technical safeguards intended to protect our information systems from cybersecurity threats. These safeguards may be evaluated and updated based on vulnerability assessments, cybersecurity threat intelligence and incident response experience. Our cybersecurity policies and procedures include incident response plans that address roles, responsibilities, and escalation protocols in connection with cybersecurity incidents, as appropriate.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team engages with external cybersecurity advisors and experts, including outside counsel and outside cybersecurity firms, assessors, auditors and consultants as necessary or appropriate. We also maintain numerous industry-related compliance certifications for various aspects of our business. These certifications and attestations apply to specified systems, services or processes and do not eliminate cybersecurity risk. In addition, they are point-in-time references and do not guarantee future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cybersecurity policies and procedures are designed to vet key third-party providers and provide for oversight and cooperation regarding cybersecurity incidents. In addition, our cybersecurity policies and procedures require our third-party providers to meet appropriate security requirements. We may investigate security incidents that have impacted our third-party providers, as appropriate; however, our ability to monitor our third-party service providers’ data security is limited, consistent with industry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Board Oversight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of our Board oversees our cybersecurity risk. The Audit Committee receives regular cybersecurity specific updates from management (including our Chief Information Security Officer ("CISO") and/or other key personnel), typically on a quarterly basis, about the identification, protection, detection, response and recovery from cybersecurity threats and cybersecurity incidents, as well as the evolving cybersecurity landscape and trends, notable incidents, recent program enhancements and other relevant topics. The nature and timing of information provided depends on the circumstances and materiality of the underlying risk or incident. The Audit Committee reports to our Board and certain of our Audit Committee and Board members have experience in assessing and managing cybersecurity risks. In addition to this regular reporting, significant cybersecurity risks or threats may also be escalated to the Audit Committee and/or the Board on an as-needed basis.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Management’s Role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cybersecurity function and oversight of our cybersecurity team’s efforts to identify, protect, detect, respond to and recover from cybersecurity risks and incidents is led by our CISO, who joined in March 2026. Our CISO is an experienced cybersecurity executive who has served as Chief Information Security Officer and Chief Security Officer for a global e-commerce platform, previously held senior leadership roles across technology and financial services organizations, including leading a major post-breach security recovery. He is responsible for governance, compliance, risk management, enterprise security transformation, and operational efficiency initiatives.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CISO is supported by our Deputy CISO, who brings more than 15 years of experience in enterprise security, risk, and emerging technologies. He served in senior leadership roles including Deputy Chief Technology Officer and Head of Information Security, holds graduate degrees in Computer Science and Business Administration, and is CISSP-credentialed. He began his career in secure communications and cryptographic systems as a uniformed member of the United States Air Force. Our CISO and Deputy CISO lead a team of cybersecurity professionals who have extensive experience across multiple sectors, many of whom hold relevant industry certifications.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Key security, risk, technology, legal, and compliance personnel, together with other cross-functional internal stakeholders and senior management, meet regularly with the cybersecurity team to develop, review and evaluate our cybersecurity policies and procedures, including discussions of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cybersecurity strategies for preservation of the confidentiality, integrity and availability of company and customer information;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identification, protection, detection, response and recovery from cybersecurity threats and incidents;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effective response to cybersecurity incidents (including escalation procedures to enable timely decisions regarding public disclosure and other required reporting by appropriate personnel).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our global incident response process, cybersecurity incidents are assessed and classified by severity, and incidents are escalated as appropriate to executive leadership. In addition, we have a process to promptly notify the Audit Committee and the Board, as appropriate, in the event a cybersecurity incident may be material. Materiality determinations are made in accordance with our disclosure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 PROPERTIES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Office Space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occupies approximately 93,000 square feet in San Antonio, Texas under a lease expiring in 2034, with three five-year renewal options.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maintain a global office footprint across the U.S., Europe, Asia-Pacific, India, Mexico and other international markets. To enhance operational flexibility and reduce long-term commitments, we are increasingly utilizing shorter-term shared office arrangements in lieu of traditional multi-year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Data Centers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we leased data centers located across the U.S., the U.K., Hong Kong, Australia and other international locations.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existing office space and data center facilities are adequate for our current operations and that suitable additional or alternative space will be available in the future to meet our anticipated needs.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proceedings, claims, inquiries, investigations, demands or other disputes arising in the ordinary course of our business. These matters include, among other things, commercial disputes (including contract interpretation, service level performance, billing disputes, customer service issues and similar matters), employment and labor claims, intellectual property disputes (including third-party claims by both operating companies and non-practicing entities alleging that our offerings, services, or technologies infringe, misappropriate, or otherwise violate the intellectual property or proprietary rights of others or that our use of third-party software (including open source components) violates copyright, licensing obligations or trade secret rights), and regulatory inquiries. In addition, we may receive requests for information, subpoenas, or be subject to investigations by governmental authorities relating to areas such as privacy, data protection, cybersecurity, competition/antitrust, and export controls and sanctions, among others.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when losses are considered probable and can be reasonably estimated. Because litigation and regulatory matters are inherently unpredictable, the amount that may ultimately be paid could differ from our recorded accruals and the timing of such payments is uncertain. It is reasonably possible that losses in excess of recorded amounts could be material in a particular period. Additional information about our loss contingencies is included in Item 8 of Part II, Financial Statements and Supplementary Data - Note 10, "Commitments and Contingencies." We maintain insurance for certain claims and losses; however, coverage may not be available for all matters and is subject to deductibles, exclusions, and policy limits.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current information, we are not party to any pending litigation that would, if determined adversely to us, individually or in the aggregate be reasonably expected to have a material adverse effect on our business, financial condition, results of operations, or cash flows. However, litigation is inherently uncertain, and adverse developments or outcomes could potentially result in significant monetary damages or injunctive relief. We expense legal fees as incurred.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discussion of risks related to intellectual property claims, data security, privacy and cybersecurity, regulatory compliance and other legal exposures, see Item 1A of Part I "Risk Factors."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5 – MARKET FOR REGISTRANT'S COMMON EQUITY, RELATED STOCKHOLDER MATTERS AND ISSUER PURCHASES OF EQUITY SECURITIES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Market Information for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has been listed on the Nasdaq, under the symbol "RXT" since August 5, 2020. Prior to that date, there was no public market for our common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Holders of Record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2, 2026, there were 14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and will depend upon such factors as earnings levels, cash flows, capital requirements, levels of indebtedness, restrictions imposed by applicable law, our overall financial condition, restrictions in our debt agreements and any other factors deemed relevant by our Board.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information regarding securities authorized for issuance under equity compensation plans, see Part III, Item 12 - "Security Ownership of Certain Beneficial Owners and Management and Related Stockholder Matters."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graph set forth below compares the cumulative total stockholder return on our common stock between December 31, 2020 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with the cumulative total return of (i) the Standard &amp; Poor's ("S&amp;P") 500 Index and (ii) the S&amp;P 500 Information Technology Index over the same period. All values assume the investment of $100 in our common stock and both of the other indices on December 31, 2020 and assumes the reinvestment of dividends. The comparisons shown below are based upon historical data. We caution that the stock price performance shown is not necessarily indicative of, nor is it intended to forecast, the potential future performance of our common stock.</w:t>
      </w:r>
    </w:p>
    <w:p>
      <w:pPr>
        <w:pStyle w:val="TextBody"/>
        <w:bidi w:val="0"/>
        <w:spacing w:before="0" w:after="0"/>
        <w:ind w:left="0" w:right="0" w:firstLine="540"/>
        <w:jc w:val="left"/>
        <w:rPr/>
      </w:pPr>
      <w:r>
        <w:rPr/>
      </w:r>
    </w:p>
    <w:p>
      <w:pPr>
        <w:pStyle w:val="TextBody"/>
        <w:bidi w:val="0"/>
        <w:spacing w:before="0" w:after="0"/>
        <w:ind w:left="0" w:right="0" w:firstLine="540"/>
        <w:jc w:val="center"/>
        <w:rPr/>
      </w:pPr>
      <w:r>
        <w:rPr/>
        <w:drawing>
          <wp:inline distT="0" distB="0" distL="0" distR="0">
            <wp:extent cx="6772275" cy="32861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6772275" cy="3286125"/>
                    </a:xfrm>
                    <a:prstGeom prst="rect">
                      <a:avLst/>
                    </a:prstGeom>
                  </pic:spPr>
                </pic:pic>
              </a:graphicData>
            </a:graphic>
          </wp:inline>
        </w:drawing>
      </w:r>
      <w:bookmarkStart w:id="1" w:name="i-2"/>
      <w:bookmarkEnd w:id="1"/>
    </w:p>
    <w:p>
      <w:pPr>
        <w:pStyle w:val="TextBody"/>
        <w:bidi w:val="0"/>
        <w:spacing w:before="0" w:after="0"/>
        <w:ind w:left="0" w:right="0" w:firstLine="540"/>
        <w:jc w:val="center"/>
        <w:rPr/>
      </w:pPr>
      <w:r>
        <w:rPr/>
      </w:r>
    </w:p>
    <w:tbl>
      <w:tblPr>
        <w:tblW w:w="10205" w:type="dxa"/>
        <w:jc w:val="left"/>
        <w:tblInd w:w="0" w:type="dxa"/>
        <w:tblLayout w:type="fixed"/>
        <w:tblCellMar>
          <w:top w:w="28" w:type="dxa"/>
          <w:left w:w="28" w:type="dxa"/>
          <w:bottom w:w="28" w:type="dxa"/>
          <w:right w:w="28" w:type="dxa"/>
        </w:tblCellMar>
      </w:tblPr>
      <w:tblGrid>
        <w:gridCol w:w="591"/>
        <w:gridCol w:w="471"/>
        <w:gridCol w:w="475"/>
        <w:gridCol w:w="109"/>
        <w:gridCol w:w="109"/>
        <w:gridCol w:w="109"/>
        <w:gridCol w:w="228"/>
        <w:gridCol w:w="754"/>
        <w:gridCol w:w="127"/>
        <w:gridCol w:w="109"/>
        <w:gridCol w:w="109"/>
        <w:gridCol w:w="109"/>
        <w:gridCol w:w="228"/>
        <w:gridCol w:w="754"/>
        <w:gridCol w:w="127"/>
        <w:gridCol w:w="109"/>
        <w:gridCol w:w="109"/>
        <w:gridCol w:w="109"/>
        <w:gridCol w:w="228"/>
        <w:gridCol w:w="754"/>
        <w:gridCol w:w="127"/>
        <w:gridCol w:w="109"/>
        <w:gridCol w:w="109"/>
        <w:gridCol w:w="109"/>
        <w:gridCol w:w="228"/>
        <w:gridCol w:w="754"/>
        <w:gridCol w:w="127"/>
        <w:gridCol w:w="109"/>
        <w:gridCol w:w="109"/>
        <w:gridCol w:w="109"/>
        <w:gridCol w:w="228"/>
        <w:gridCol w:w="754"/>
        <w:gridCol w:w="127"/>
        <w:gridCol w:w="109"/>
        <w:gridCol w:w="109"/>
        <w:gridCol w:w="109"/>
        <w:gridCol w:w="227"/>
        <w:gridCol w:w="748"/>
        <w:gridCol w:w="186"/>
      </w:tblGrid>
      <w:tr>
        <w:trPr/>
        <w:tc>
          <w:tcPr>
            <w:tcW w:w="5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Company/Index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Rackspace Technology,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6 - [RESERVED]</w:t>
      </w:r>
    </w:p>
    <w:p>
      <w:pPr>
        <w:pStyle w:val="TextBody"/>
        <w:bidi w:val="0"/>
        <w:spacing w:before="0" w:after="0"/>
        <w:jc w:val="center"/>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7 - 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leading end-to-end hybrid cloud and AI solutions company.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 We serve our customers with a unique combination of proprietary technology resulting from over $1 billion of investment and services expertise from a team of highly skilled consultants and engineers. We also provide our customers with unbiased expertise and technology solutions, delivered over the world’s leading cloud services, all wrapped in Fanatical Experience.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In this way, we empower our customers to harness the full benefits of cloud adoption.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Our team of </w:t>
      </w:r>
      <w:r>
        <w:rPr>
          <w:rFonts w:ascii="Times New Roman;serif" w:hAnsi="Times New Roman;serif"/>
          <w:b w:val="false"/>
          <w:color w:val="000000"/>
          <w:sz w:val="20"/>
        </w:rPr>
        <w:t>5,000</w:t>
      </w:r>
      <w:r>
        <w:rPr>
          <w:color w:val="000000"/>
          <w:shd w:fill="FFFFFF" w:val="clear"/>
        </w:rPr>
        <w:t xml:space="preserve"> </w:t>
      </w:r>
      <w:r>
        <w:rPr>
          <w:rFonts w:ascii="Times New Roman;serif" w:hAnsi="Times New Roman;serif"/>
          <w:b w:val="false"/>
          <w:color w:val="000000"/>
          <w:sz w:val="20"/>
          <w:shd w:fill="FFFFFF" w:val="clear"/>
        </w:rPr>
        <w:t>highly skilled Rackers, including consultants and engineers, partners with companies at every stage of their cloud transformation journey.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enterprise businesses (revenue in excess of $3 billion), mid-market businesses (revenue of $300 million to $3 billion) and commercial customers (revenue less than $300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operate our business and report our results through two reportable segments: Public Cloud and Private Cloud. Our Public Cloud </w:t>
      </w:r>
      <w:r>
        <w:rPr>
          <w:rFonts w:ascii="Times New Roman;serif" w:hAnsi="Times New Roman;serif"/>
          <w:b w:val="false"/>
          <w:color w:val="000000"/>
          <w:sz w:val="20"/>
          <w:shd w:fill="FFFFFF" w:val="clear"/>
        </w:rPr>
        <w:t>segment is a services-centric, capital-light model providing value-added cloud solutions through</w:t>
      </w:r>
      <w:r>
        <w:rPr>
          <w:color w:val="000000"/>
        </w:rPr>
        <w:t xml:space="preserve"> </w:t>
      </w:r>
      <w:r>
        <w:rPr>
          <w:rFonts w:ascii="Times New Roman;serif" w:hAnsi="Times New Roman;serif"/>
          <w:b w:val="false"/>
          <w:color w:val="000000"/>
          <w:sz w:val="20"/>
        </w:rPr>
        <w:t>managed services, Elastic Engineering and professional services offerings for customer environments hosted on the AWS, Microsoft Azure and Google Cloud public cloud platforms</w:t>
      </w:r>
      <w:r>
        <w:rPr>
          <w:rFonts w:ascii="Times New Roman;serif" w:hAnsi="Times New Roman;serif"/>
          <w:b w:val="false"/>
          <w:color w:val="000000"/>
          <w:sz w:val="20"/>
          <w:shd w:fill="FFFFFF" w:val="clear"/>
        </w:rPr>
        <w:t xml:space="preserve">. Our Private Cloud segment is a technology-forward, capital-intensive model providing </w:t>
      </w:r>
      <w:r>
        <w:rPr>
          <w:rFonts w:ascii="Times New Roman;serif" w:hAnsi="Times New Roman;serif"/>
          <w:b w:val="false"/>
          <w:color w:val="000000"/>
          <w:sz w:val="20"/>
        </w:rPr>
        <w:t>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See Item 8 of Part II, Financial Statements and Supplementary Data - Note 16, "Segment Reporting" for additional information about our segments.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Private Cloud segment generally have a fixed term, typically from 12 to 36 months, with a monthly recurring fee based on the computing resources provided to and utilized by the customer, the complexity of the underlying infrastructure and the level of support we provide. Our other primary source of revenue is for services within our Public Cloud segment. Contracts for these arrangements typically operate on a consumption model and can be canceled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Our continued success depends to a significant extent on our ability to respond to these and other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erif" w:hAnsi="Times New Roman;serif"/>
          <w:b w:val="false"/>
          <w:color w:val="000000"/>
          <w:sz w:val="20"/>
          <w:shd w:fill="FFFFFF" w:val="clear"/>
        </w:rPr>
        <w:t xml:space="preserve">new recurring business.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Mix Shift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Key Components of Statement of Operations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R&amp;D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income tax benefit (provision) and deferred tax assets and liabilities reflect management’s best assessment of estimated current and future taxes to be paid. During 2025 we recorded consolidated tax expense, despite our net losses, due to the recording of valuation allowances against our deferred tax assets. Certain of our non-U.S. subsidiaries continue to incur corporate tax expense or benefit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13, </w:t>
      </w:r>
      <w:r>
        <w:rPr>
          <w:rFonts w:ascii="Times New Roman;serif" w:hAnsi="Times New Roman;serif"/>
          <w:b w:val="false"/>
          <w:color w:val="000000"/>
          <w:sz w:val="20"/>
          <w:shd w:fill="FFFFFF" w:val="clear"/>
        </w:rPr>
        <w:t>"Taxes."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Year Ended December 31, 2024 Compared to Year Ended December 31, 2025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11"/>
        <w:gridCol w:w="613"/>
        <w:gridCol w:w="596"/>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20"/>
        <w:gridCol w:w="627"/>
        <w:gridCol w:w="122"/>
        <w:gridCol w:w="122"/>
        <w:gridCol w:w="122"/>
        <w:gridCol w:w="122"/>
        <w:gridCol w:w="293"/>
        <w:gridCol w:w="296"/>
        <w:gridCol w:w="575"/>
      </w:tblGrid>
      <w:tr>
        <w:trPr/>
        <w:tc>
          <w:tcPr>
            <w:tcW w:w="10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decreased $51 million, or 1.9%, to $2,686 million in 2025 from $2,737 million in 2024. Revenue declined primarily due to a decrease in Private Cloud revenue, as discussed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After re</w:t>
      </w:r>
      <w:r>
        <w:rPr>
          <w:rFonts w:ascii="Times New Roman;serif" w:hAnsi="Times New Roman;serif"/>
          <w:b w:val="false"/>
          <w:color w:val="000000"/>
          <w:sz w:val="20"/>
        </w:rPr>
        <w:t>moving the impact from foreign currency fluctuations, on a constant currency basis, revenue decreased</w:t>
      </w:r>
      <w:r>
        <w:rPr>
          <w:color w:val="000000"/>
          <w:shd w:fill="FFFFFF" w:val="clear"/>
        </w:rPr>
        <w:t xml:space="preserve"> </w:t>
      </w:r>
      <w:r>
        <w:rPr>
          <w:rFonts w:ascii="Times New Roman;serif" w:hAnsi="Times New Roman;serif"/>
          <w:b w:val="false"/>
          <w:color w:val="000000"/>
          <w:sz w:val="20"/>
          <w:shd w:fill="FFFFFF" w:val="clear"/>
        </w:rPr>
        <w:t>2.1%</w:t>
      </w:r>
      <w:r>
        <w:rPr>
          <w:rFonts w:ascii="Times New Roman;serif" w:hAnsi="Times New Roman;serif"/>
          <w:b w:val="false"/>
          <w:color w:val="000000"/>
          <w:sz w:val="20"/>
        </w:rPr>
        <w:t>. The following table presents revenue by segment:</w:t>
      </w:r>
    </w:p>
    <w:tbl>
      <w:tblPr>
        <w:tblW w:w="7326" w:type="dxa"/>
        <w:jc w:val="left"/>
        <w:tblInd w:w="0" w:type="dxa"/>
        <w:tblLayout w:type="fixed"/>
        <w:tblCellMar>
          <w:top w:w="28" w:type="dxa"/>
          <w:left w:w="28" w:type="dxa"/>
          <w:bottom w:w="28" w:type="dxa"/>
          <w:right w:w="28" w:type="dxa"/>
        </w:tblCellMar>
      </w:tblPr>
      <w:tblGrid>
        <w:gridCol w:w="619"/>
        <w:gridCol w:w="543"/>
        <w:gridCol w:w="548"/>
        <w:gridCol w:w="196"/>
        <w:gridCol w:w="691"/>
        <w:gridCol w:w="109"/>
        <w:gridCol w:w="109"/>
        <w:gridCol w:w="109"/>
        <w:gridCol w:w="109"/>
        <w:gridCol w:w="196"/>
        <w:gridCol w:w="691"/>
        <w:gridCol w:w="109"/>
        <w:gridCol w:w="109"/>
        <w:gridCol w:w="109"/>
        <w:gridCol w:w="109"/>
        <w:gridCol w:w="224"/>
        <w:gridCol w:w="226"/>
        <w:gridCol w:w="334"/>
        <w:gridCol w:w="109"/>
        <w:gridCol w:w="109"/>
        <w:gridCol w:w="109"/>
        <w:gridCol w:w="390"/>
        <w:gridCol w:w="390"/>
        <w:gridCol w:w="107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Constant Currency</w:t>
            </w:r>
            <w:r>
              <w:rPr>
                <w:color w:val="000000"/>
              </w:rPr>
              <w:t xml:space="preserve"> </w:t>
            </w:r>
            <w:r>
              <w:rPr>
                <w:rFonts w:ascii="Times New Roman;serif" w:hAnsi="Times New Roman;serif"/>
                <w:b/>
                <w:color w:val="000000"/>
                <w:sz w:val="12"/>
              </w:rPr>
              <w:t>(1)</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(1)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in this section for further explanation and reconciliation.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Public Cloud revenue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increased 0.8% on an actual basis and 0.7% on a constant currency basis, from 2024. </w:t>
      </w:r>
      <w:r>
        <w:rPr>
          <w:rFonts w:ascii="Times New Roman;serif" w:hAnsi="Times New Roman;serif"/>
          <w:b w:val="false"/>
          <w:color w:val="000000"/>
          <w:sz w:val="20"/>
        </w:rPr>
        <w:t>The increase was driven by higher services revenue, partially offset by a reduction in infrastructure volumes.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Private Cloud revenue in 2025 decreased 6.1% on an actual basis and 6.7% on a constant currency basis, from 2024, </w:t>
      </w:r>
      <w:r>
        <w:rPr>
          <w:rFonts w:ascii="Times New Roman;serif" w:hAnsi="Times New Roman;serif"/>
          <w:b w:val="false"/>
          <w:color w:val="000000"/>
          <w:sz w:val="20"/>
        </w:rPr>
        <w:t>reflecting customer transitions off legacy platforms, partially offset by revenue from new bookings, including revenue related to certain customer contracts that include embedded sales-type lease arrangements for hardware.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decreased $24 million, or 1%, to $2,179 million in 2025 from $2,204 million in 2024. The largest drivers of the decrease were a reduction in license expense, due to decreased usage between periods, and a reduction in data center expense as a result of continued optimization initiatives. Also contributing to the overall decrease in cost of revenue was a decline in personnel costs, driven by a reduction in headcount and severance expense between periods. These decreases were partially offset by higher expense for hardware mainly related to certain customer contracts that include embedded sales-type lease arrangements and an increase in depreciation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cost of revenue increased 60 basis points in 2025 to 81.1% from 80.5% in 2024, as the decline in revenue outpaced the decrease in cost of revenue.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was $506 million in 2025, a decrease of $27 million from $533 million in 2024. Our gross margin was 18.9% in 2025, a decrease of 60 basis points from 19.5% in 2024.</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decreased $101 million, or 14%, to $607 million in 2025 from $708 million in 2024, primarily due to a reduction in personnel costs. The decrease in personnel costs was largely due to a decline in headcount between periods and a reduction in share-based compensation and non-equity incentive compensation, partially offset by an increase in severance expense driven by the departure of our former chief executive officer. Also driving the overall decrease in selling, general and administrative expenses was a $9 million early termination fee associated with the sale of our corporate headquarters in the first quarter of 2024 and a decrease in other business optimization related expenses between periods. Insurance recovery proceeds related to the Hosted Exchange incident received in the prior period partially offset the overall reduction in selling, general and administrative expenses year-over-year.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percentage of revenue, SG&amp;A expenses decreased 330 basis points in 2025 to 22.6% from 25.9% in 2024 for the reasons discussed above.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$101 million in 2025 compared to $909 million in 2024. Our Non-GAAP Operating Profit was $126 million in 2025, an increase of $21 million from $106 million in 2024.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7"/>
        <w:gridCol w:w="2486"/>
        <w:gridCol w:w="2488"/>
        <w:gridCol w:w="196"/>
        <w:gridCol w:w="625"/>
        <w:gridCol w:w="109"/>
        <w:gridCol w:w="109"/>
        <w:gridCol w:w="109"/>
        <w:gridCol w:w="109"/>
        <w:gridCol w:w="196"/>
        <w:gridCol w:w="625"/>
        <w:gridCol w:w="109"/>
        <w:gridCol w:w="157"/>
      </w:tblGrid>
      <w:tr>
        <w:trPr/>
        <w:tc>
          <w:tcPr>
            <w:tcW w:w="288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61"/>
        <w:gridCol w:w="2853"/>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2024 also includes a $9.0 million MEIA early termination fee associated with the sale of our corporate headquarters in March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695"/>
        <w:gridCol w:w="509"/>
        <w:gridCol w:w="513"/>
        <w:gridCol w:w="196"/>
        <w:gridCol w:w="556"/>
        <w:gridCol w:w="109"/>
        <w:gridCol w:w="109"/>
        <w:gridCol w:w="109"/>
        <w:gridCol w:w="109"/>
        <w:gridCol w:w="375"/>
        <w:gridCol w:w="329"/>
        <w:gridCol w:w="775"/>
        <w:gridCol w:w="109"/>
        <w:gridCol w:w="109"/>
        <w:gridCol w:w="109"/>
        <w:gridCol w:w="196"/>
        <w:gridCol w:w="556"/>
        <w:gridCol w:w="109"/>
        <w:gridCol w:w="109"/>
        <w:gridCol w:w="109"/>
        <w:gridCol w:w="109"/>
        <w:gridCol w:w="375"/>
        <w:gridCol w:w="329"/>
        <w:gridCol w:w="775"/>
        <w:gridCol w:w="109"/>
        <w:gridCol w:w="109"/>
        <w:gridCol w:w="109"/>
        <w:gridCol w:w="252"/>
        <w:gridCol w:w="599"/>
        <w:gridCol w:w="139"/>
        <w:gridCol w:w="139"/>
        <w:gridCol w:w="139"/>
        <w:gridCol w:w="139"/>
        <w:gridCol w:w="257"/>
        <w:gridCol w:w="258"/>
        <w:gridCol w:w="578"/>
      </w:tblGrid>
      <w:tr>
        <w:trPr/>
        <w:tc>
          <w:tcPr>
            <w:tcW w:w="69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Public Cloud operating profit increased 53% in 2025 from 2024. Segment operating profit as a percentage of segment revenue increased by 140 basis points, reflecting a </w:t>
      </w:r>
      <w:r>
        <w:rPr>
          <w:rFonts w:ascii="Times New Roman;serif" w:hAnsi="Times New Roman;serif"/>
          <w:b w:val="false"/>
          <w:color w:val="000000"/>
          <w:sz w:val="20"/>
        </w:rPr>
        <w:t xml:space="preserve">1% increase in segment revenue and a </w:t>
      </w:r>
      <w:r>
        <w:rPr>
          <w:rFonts w:ascii="Times New Roman;serif" w:hAnsi="Times New Roman;serif"/>
          <w:b w:val="false"/>
          <w:color w:val="000000"/>
          <w:sz w:val="20"/>
          <w:shd w:fill="FFFFFF" w:val="clear"/>
        </w:rPr>
        <w:t>1% decrease in segment operating expenses</w:t>
      </w:r>
      <w:r>
        <w:rPr>
          <w:rFonts w:ascii="Times New Roman;serif" w:hAnsi="Times New Roman;serif"/>
          <w:b w:val="false"/>
          <w:color w:val="000000"/>
          <w:sz w:val="20"/>
        </w:rPr>
        <w:t>. The decrease in expenses was mainly driven by operational improvements and cost optimization initiatives.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Private Cloud operating profit decreased 14% in 2025 from 2024. Segment operating profit as a percentage of segment revenue decreased by 240 basis points, due to a 6% decrease in segment revenue, partially offset by a 3% decrease in segment operating expenses. The decrease in expenses was </w:t>
      </w:r>
      <w:r>
        <w:rPr>
          <w:rFonts w:ascii="Times New Roman;serif" w:hAnsi="Times New Roman;serif"/>
          <w:b w:val="false"/>
          <w:color w:val="000000"/>
          <w:sz w:val="20"/>
        </w:rPr>
        <w:t>mainly driven by cost optimization activities.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w:t>
      </w:r>
      <w:r>
        <w:rPr>
          <w:rFonts w:ascii="Times New Roman;serif" w:hAnsi="Times New Roman;serif"/>
          <w:b w:val="false"/>
          <w:color w:val="000000"/>
          <w:sz w:val="20"/>
          <w:shd w:fill="FFFFFF" w:val="clear"/>
        </w:rPr>
        <w:t>e abov</w:t>
      </w:r>
      <w:r>
        <w:rPr>
          <w:rFonts w:ascii="Times New Roman;serif" w:hAnsi="Times New Roman;serif"/>
          <w:b w:val="false"/>
          <w:color w:val="000000"/>
          <w:sz w:val="20"/>
        </w:rPr>
        <w:t>e. This expense decreased 17% in 2025 due to our continued focus on cost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segment operating profit, see Item 8 of Part II, Financial Statements and Supplementary Data - Note 16, "Segment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total of $715 million in non-cash goodwill impairment charges in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connection with the March 2024 Refinancing Transactions that were completed in March and April 2024, as further described in Item 8 of Part II, Financial Statements and Supplementary Data - Note 7, "Debt", we updated our internal forecasts.</w:t>
      </w:r>
      <w:r>
        <w:rPr>
          <w:color w:val="000000"/>
        </w:rPr>
        <w:t xml:space="preserve"> </w:t>
      </w:r>
      <w:r>
        <w:rPr>
          <w:rFonts w:ascii="Times New Roman;serif" w:hAnsi="Times New Roman;serif"/>
          <w:b w:val="false"/>
          <w:color w:val="000000"/>
          <w:sz w:val="20"/>
        </w:rPr>
        <w:t>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$69 million and $73 million, respectively, recorded in the third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such impairment in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8 of Part II, Financial Statements and Supplementary Data -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Assets, Net</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 xml:space="preserve">We evaluated our indefinite-lived intangible asset for impairment as of February 29, 2024. As a result of this evaluation, we recorded a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impairment of our indefinite-lived intangible asset in</w:t>
      </w:r>
      <w:r>
        <w:rPr>
          <w:color w:val="000000"/>
          <w:shd w:fill="FFFFFF" w:val="clear"/>
        </w:rPr>
        <w:t xml:space="preserve"> </w:t>
      </w:r>
      <w:r>
        <w:rPr>
          <w:rFonts w:ascii="Times New Roman;serif" w:hAnsi="Times New Roman;serif"/>
          <w:b w:val="false"/>
          <w:color w:val="000000"/>
          <w:sz w:val="20"/>
          <w:shd w:fill="FFFFFF" w:val="clear"/>
        </w:rPr>
        <w:t xml:space="preserve">the first quarter of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such impairment in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8 of Part II, Financial Statements and Supplementary Data -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Interest expense decreased $15 million, or 16%, to $83 million in 2025 from $98 million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primarily due to the accounting for contractual interest payments on debt instruments entered into as part of the </w:t>
      </w:r>
      <w:r>
        <w:rPr>
          <w:rFonts w:ascii="Times New Roman;serif" w:hAnsi="Times New Roman;serif"/>
          <w:b w:val="false"/>
          <w:color w:val="000000"/>
          <w:sz w:val="20"/>
        </w:rPr>
        <w:t>March 2024 Refinancing Transactions, portions of which are recorded as a reduction of related premiums and not as interest expense, which reduces interest expense relative to contractual interest cost.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 Net of Debt Modification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an $80 million gain on debt extinguishment, net of debt modification costs in 2024 related to the March 2024 Refinancing Transactions. In addition, we recorded $67 million total gain on debt extinguishment related to repurchases of an aggregate $92 million principal amount of 3.50% FLSO Senior Secured Notes, FLSO Term Loan Facility, and 5.375% Senior Notes in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8 of Part II, Financial Statements and Supplementary Data - Note 7, "Debt" for further discussion.</w:t>
      </w:r>
    </w:p>
    <w:p>
      <w:pPr>
        <w:pStyle w:val="TextBody"/>
        <w:bidi w:val="0"/>
        <w:spacing w:before="0" w:after="0"/>
        <w:ind w:left="0" w:right="0" w:firstLine="5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 xml:space="preserve">Other expense, net decreased $3 million, or 14%, to $19 million in 2025 from </w:t>
      </w:r>
      <w:r>
        <w:rPr>
          <w:rFonts w:ascii="Times New Roman;serif" w:hAnsi="Times New Roman;serif"/>
          <w:b w:val="false"/>
          <w:color w:val="000000"/>
          <w:sz w:val="20"/>
          <w:shd w:fill="FFFFFF" w:val="clear"/>
        </w:rPr>
        <w:t xml:space="preserve">$22 million in 2024, primarily due to foreign currency transactions gains between periods and </w:t>
      </w:r>
      <w:r>
        <w:rPr>
          <w:rFonts w:ascii="Times New Roman;serif" w:hAnsi="Times New Roman;serif"/>
          <w:b w:val="false"/>
          <w:color w:val="000000"/>
          <w:sz w:val="20"/>
        </w:rPr>
        <w:t>upfront transaction costs incurred in 2024 related to the Receivables Purchase Facility.</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8 of Part II, Financial Statements and Supplementary Data - Note 3, "Sale of Receivables" for further discussion regarding the Receivables Purchase Facility.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Benefit (Provision) for 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expense was $24 million in 2025 compared to $23 million income tax benefit in 2024. Our effective tax rate decreased from 2.6% in 2024 to (11.9)% in 2025. The decrease in the effective tax rate year-over-year is primarily due to the tax impact associated with changes in the valuation allowance, geographic distribution of profits, the tax impact associated with goodwill impairments recorded in both the first and third quarters of 2024, the majority of which were nondeductible for income tax purposes, and the income tax benefit related to the March 2024 Refinancing Transactions. The difference between the effective tax rate and the statutory rate in 2025 is primarily due to the tax impact associated with changes in valuation allowance, executive compensation that is non-deductible under IRC Section 162(m), the net impact of the geographic distribution of our earnings, and tax effects from non-deductible share-based compensation.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a full reconciliation of our effective tax rate to the U.S. federal statutory rate and further explanation of our income tax expense, see Item 8 of Part II, Financial Statements and Supplementary Data - Note </w:t>
      </w:r>
      <w:r>
        <w:rPr>
          <w:rFonts w:ascii="Times New Roman;serif" w:hAnsi="Times New Roman;serif"/>
          <w:b w:val="false"/>
          <w:color w:val="000000"/>
          <w:sz w:val="20"/>
          <w:shd w:fill="FFFFFF" w:val="clear"/>
        </w:rPr>
        <w:t>13</w:t>
      </w:r>
      <w:r>
        <w:rPr>
          <w:rFonts w:ascii="Times New Roman;serif" w:hAnsi="Times New Roman;serif"/>
          <w:b w:val="false"/>
          <w:color w:val="000000"/>
          <w:sz w:val="20"/>
        </w:rPr>
        <w:t>, "</w:t>
      </w:r>
      <w:r>
        <w:rPr>
          <w:rFonts w:ascii="Times New Roman;serif" w:hAnsi="Times New Roman;serif"/>
          <w:b w:val="false"/>
          <w:color w:val="000000"/>
          <w:sz w:val="20"/>
          <w:shd w:fill="FFFFFF" w:val="clear"/>
        </w:rPr>
        <w:t>Taxes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Year Ended December 31, 2023 Compared to Year Ended December 31, 2024</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27"/>
        <w:gridCol w:w="635"/>
        <w:gridCol w:w="619"/>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18"/>
        <w:gridCol w:w="664"/>
        <w:gridCol w:w="121"/>
        <w:gridCol w:w="121"/>
        <w:gridCol w:w="121"/>
        <w:gridCol w:w="121"/>
        <w:gridCol w:w="249"/>
        <w:gridCol w:w="251"/>
        <w:gridCol w:w="572"/>
      </w:tblGrid>
      <w:tr>
        <w:trPr/>
        <w:tc>
          <w:tcPr>
            <w:tcW w:w="10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8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Revenue decreased $220 million, or 7.4%, to $2,737 million in 2024 from $2,957 million in</w:t>
      </w:r>
      <w:r>
        <w:rPr>
          <w:color w:val="000000"/>
          <w:shd w:fill="FFFFFF" w:val="clear"/>
        </w:rPr>
        <w:t xml:space="preserve"> </w:t>
      </w:r>
      <w:r>
        <w:rPr>
          <w:rFonts w:ascii="Times New Roman;serif" w:hAnsi="Times New Roman;serif"/>
          <w:b w:val="false"/>
          <w:color w:val="000000"/>
          <w:sz w:val="20"/>
          <w:shd w:fill="FFFFFF" w:val="clear"/>
        </w:rPr>
        <w:t xml:space="preserve">2023. </w:t>
      </w:r>
      <w:r>
        <w:rPr>
          <w:rFonts w:ascii="Times New Roman;serif" w:hAnsi="Times New Roman;serif"/>
          <w:b w:val="false"/>
          <w:color w:val="000000"/>
          <w:sz w:val="20"/>
        </w:rPr>
        <w:t xml:space="preserve">Revenue declined due to decreases in both Private Cloud and Public Cloud revenue,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After re</w:t>
      </w:r>
      <w:r>
        <w:rPr>
          <w:rFonts w:ascii="Times New Roman;serif" w:hAnsi="Times New Roman;serif"/>
          <w:b w:val="false"/>
          <w:color w:val="000000"/>
          <w:sz w:val="20"/>
        </w:rPr>
        <w:t>moving the impact from foreign currency fluctuations, on a constant currency basis, revenue decreased</w:t>
      </w:r>
      <w:r>
        <w:rPr>
          <w:color w:val="000000"/>
          <w:shd w:fill="FFFFFF" w:val="clear"/>
        </w:rPr>
        <w:t xml:space="preserve"> </w:t>
      </w:r>
      <w:r>
        <w:rPr>
          <w:rFonts w:ascii="Times New Roman;serif" w:hAnsi="Times New Roman;serif"/>
          <w:b w:val="false"/>
          <w:color w:val="000000"/>
          <w:sz w:val="20"/>
          <w:shd w:fill="FFFFFF" w:val="clear"/>
        </w:rPr>
        <w:t>7.7%</w:t>
      </w:r>
      <w:r>
        <w:rPr>
          <w:rFonts w:ascii="Times New Roman;serif" w:hAnsi="Times New Roman;serif"/>
          <w:b w:val="false"/>
          <w:color w:val="000000"/>
          <w:sz w:val="20"/>
        </w:rPr>
        <w:t>. The following table presents revenue by segment:</w:t>
      </w:r>
    </w:p>
    <w:tbl>
      <w:tblPr>
        <w:tblW w:w="7401" w:type="dxa"/>
        <w:jc w:val="center"/>
        <w:tblInd w:w="0" w:type="dxa"/>
        <w:tblLayout w:type="fixed"/>
        <w:tblCellMar>
          <w:top w:w="28" w:type="dxa"/>
          <w:left w:w="28" w:type="dxa"/>
          <w:bottom w:w="28" w:type="dxa"/>
          <w:right w:w="28" w:type="dxa"/>
        </w:tblCellMar>
      </w:tblPr>
      <w:tblGrid>
        <w:gridCol w:w="619"/>
        <w:gridCol w:w="543"/>
        <w:gridCol w:w="548"/>
        <w:gridCol w:w="196"/>
        <w:gridCol w:w="691"/>
        <w:gridCol w:w="109"/>
        <w:gridCol w:w="109"/>
        <w:gridCol w:w="109"/>
        <w:gridCol w:w="109"/>
        <w:gridCol w:w="196"/>
        <w:gridCol w:w="691"/>
        <w:gridCol w:w="109"/>
        <w:gridCol w:w="109"/>
        <w:gridCol w:w="109"/>
        <w:gridCol w:w="109"/>
        <w:gridCol w:w="268"/>
        <w:gridCol w:w="272"/>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w:t>
            </w:r>
            <w:r>
              <w:rPr>
                <w:rFonts w:ascii="Times New Roman;serif" w:hAnsi="Times New Roman;serif"/>
                <w:b/>
                <w:color w:val="000000"/>
                <w:sz w:val="12"/>
              </w:rPr>
              <w:t>(1)</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(1)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Public Cloud revenue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decreased 3.4% on an actual basis and 3.5% on a constant currency basis, from 2023. The decline was due to weaker demand for services in the earlier part of the year.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Private Cloud revenue in 2024 decreased 13.2% on an actual basis and 13.6% on a constant currency basis, from 2023, </w:t>
      </w:r>
      <w:r>
        <w:rPr>
          <w:rFonts w:ascii="Times New Roman;serif" w:hAnsi="Times New Roman;serif"/>
          <w:b w:val="false"/>
          <w:color w:val="000000"/>
          <w:sz w:val="20"/>
        </w:rPr>
        <w:t>reflecting customer transitions off legacy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revenue decreased $125 million, or 5%, to $2,204 million in 2024 from $2,328 million in 2023. The decrease in cost of revenue was primarily due to an increase in the useful life of certain customer gear assets which resulted in a decline in depreciation expense between periods. Additionally, a reduction in headcount drove a decrease in personnel costs. Also contributing to the reduction in cost of revenue was license expense due to decreased usage between periods.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a percentage of revenue, cost of revenue increased 180 basis points in 2024 to 80.5% from 78.7% in 2023,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the decline in revenue outpaced the decrease in cost of revenue. Usage charges for third-party infrastructure </w:t>
      </w:r>
      <w:r>
        <w:rPr>
          <w:rFonts w:ascii="Times New Roman;serif" w:hAnsi="Times New Roman;serif"/>
          <w:b w:val="false"/>
          <w:color w:val="000000"/>
          <w:sz w:val="20"/>
          <w:shd w:fill="FFFFFF" w:val="clear"/>
        </w:rPr>
        <w:t xml:space="preserve">drove a 370 </w:t>
      </w:r>
      <w:r>
        <w:rPr>
          <w:rFonts w:ascii="Times New Roman;serif" w:hAnsi="Times New Roman;serif"/>
          <w:b w:val="false"/>
          <w:color w:val="000000"/>
          <w:sz w:val="20"/>
        </w:rPr>
        <w:t>basis point increase. The decrease in other expenses, discussed above, partially offset the increase.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was $533 million in 2024, a decrease of $95 million from $629 million in 2023. Our gross margin was 19.5% in 2024, a decrease of 180 basis points from 21.3% in 2023.</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SG&amp;A expenses decreased $60 million, or 8%, to $708 million in 2024 from $767 million in 2023. 2023 includes $12 million of expense recognized for a UK office that we exited in the second quarter of 2023, prior to the lease end date. Further contributing to the decrease year-over-year was </w:t>
      </w:r>
      <w:r>
        <w:rPr>
          <w:rFonts w:ascii="Times New Roman;serif" w:hAnsi="Times New Roman;serif"/>
          <w:b w:val="false"/>
          <w:color w:val="000000"/>
          <w:sz w:val="20"/>
          <w:shd w:fill="FFFFFF" w:val="clear"/>
        </w:rPr>
        <w:t xml:space="preserve">additional insurance recovery proceeds related to the Hosted Exchange incident received in 2024. </w:t>
      </w:r>
      <w:r>
        <w:rPr>
          <w:rFonts w:ascii="Times New Roman;serif" w:hAnsi="Times New Roman;serif"/>
          <w:b w:val="false"/>
          <w:color w:val="000000"/>
          <w:sz w:val="20"/>
        </w:rPr>
        <w:t xml:space="preserve">In addition, personnel costs decreased due to a reduction in salaries driven by lower headcount and decreases in severance and commissions expense, partially offset by an increase in non-equity incentive compensation. Other non-personnel cost fluctuations included lower professional fees, a reduction in depreciation and amortization expense, and business optimization related expenses between periods. We also had an increase in the gain on sale of certain assets which further contributed to the reduction in SG&amp;A expenses.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revenue was 25.9% for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$909 million in 2024 compared to $899 million in 2023. Our Non-GAAP Operating Profit was $106 million in 2024, a decrease of $52 million from $157 million in 2023. Non-GAAP Operating Profit is a non-GAAP financial measure. See “Non-GAAP Financial Measures” below for more information.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887"/>
        <w:gridCol w:w="2486"/>
        <w:gridCol w:w="2488"/>
        <w:gridCol w:w="196"/>
        <w:gridCol w:w="625"/>
        <w:gridCol w:w="109"/>
        <w:gridCol w:w="109"/>
        <w:gridCol w:w="109"/>
        <w:gridCol w:w="109"/>
        <w:gridCol w:w="196"/>
        <w:gridCol w:w="625"/>
        <w:gridCol w:w="109"/>
        <w:gridCol w:w="157"/>
      </w:tblGrid>
      <w:tr>
        <w:trPr/>
        <w:tc>
          <w:tcPr>
            <w:tcW w:w="288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UK office closure </w:t>
            </w:r>
            <w:r>
              <w:rPr>
                <w:rFonts w:ascii="Times New Roman;serif" w:hAnsi="Times New Roman;serif"/>
                <w:b w:val="false"/>
                <w:color w:val="000000"/>
                <w:sz w:val="12"/>
              </w:rPr>
              <w:t>(c)</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(d)</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61"/>
        <w:gridCol w:w="2853"/>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2024 also includes a $9.0 million MEIA early termination fee associated with the sale of our corporate headquarters in March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recognized related to the closure of a UK office that we exited in the second quarter of 2023 prior to the lease end date.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tbl>
      <w:tblPr>
        <w:tblW w:w="10205" w:type="dxa"/>
        <w:jc w:val="left"/>
        <w:tblInd w:w="0" w:type="dxa"/>
        <w:tblLayout w:type="fixed"/>
        <w:tblCellMar>
          <w:top w:w="28" w:type="dxa"/>
          <w:left w:w="28" w:type="dxa"/>
          <w:bottom w:w="28" w:type="dxa"/>
          <w:right w:w="28" w:type="dxa"/>
        </w:tblCellMar>
      </w:tblPr>
      <w:tblGrid>
        <w:gridCol w:w="694"/>
        <w:gridCol w:w="505"/>
        <w:gridCol w:w="510"/>
        <w:gridCol w:w="196"/>
        <w:gridCol w:w="556"/>
        <w:gridCol w:w="109"/>
        <w:gridCol w:w="109"/>
        <w:gridCol w:w="109"/>
        <w:gridCol w:w="109"/>
        <w:gridCol w:w="374"/>
        <w:gridCol w:w="327"/>
        <w:gridCol w:w="771"/>
        <w:gridCol w:w="109"/>
        <w:gridCol w:w="109"/>
        <w:gridCol w:w="109"/>
        <w:gridCol w:w="196"/>
        <w:gridCol w:w="556"/>
        <w:gridCol w:w="109"/>
        <w:gridCol w:w="109"/>
        <w:gridCol w:w="109"/>
        <w:gridCol w:w="109"/>
        <w:gridCol w:w="374"/>
        <w:gridCol w:w="327"/>
        <w:gridCol w:w="771"/>
        <w:gridCol w:w="109"/>
        <w:gridCol w:w="109"/>
        <w:gridCol w:w="109"/>
        <w:gridCol w:w="244"/>
        <w:gridCol w:w="649"/>
        <w:gridCol w:w="135"/>
        <w:gridCol w:w="135"/>
        <w:gridCol w:w="135"/>
        <w:gridCol w:w="135"/>
        <w:gridCol w:w="257"/>
        <w:gridCol w:w="258"/>
        <w:gridCol w:w="574"/>
      </w:tblGrid>
      <w:tr>
        <w:trPr/>
        <w:tc>
          <w:tcPr>
            <w:tcW w:w="69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Public Cloud operating profit decreased 46% in 2024 from 2023. Segment operating profit as a percentage of segment revenue decreased by 210 basis points, reflecting a </w:t>
      </w:r>
      <w:r>
        <w:rPr>
          <w:rFonts w:ascii="Times New Roman;serif" w:hAnsi="Times New Roman;serif"/>
          <w:b w:val="false"/>
          <w:color w:val="000000"/>
          <w:sz w:val="20"/>
        </w:rPr>
        <w:t>3% decrease in segment revenue, partially offset by a</w:t>
      </w:r>
      <w:r>
        <w:rPr>
          <w:color w:val="000000"/>
          <w:shd w:fill="FFFFFF" w:val="clear"/>
        </w:rPr>
        <w:t xml:space="preserve"> </w:t>
      </w:r>
      <w:r>
        <w:rPr>
          <w:rFonts w:ascii="Times New Roman;serif" w:hAnsi="Times New Roman;serif"/>
          <w:b w:val="false"/>
          <w:color w:val="000000"/>
          <w:sz w:val="20"/>
          <w:shd w:fill="FFFFFF" w:val="clear"/>
        </w:rPr>
        <w:t>1% decrease in segment operating expenses</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Private Cloud operating profit decreased 14% in 2024 from 2023. Segment operating profit as a percentage of segment revenue decreased by 30 basis points, due to a 13% decrease in segment revenue; inline with a 13% decrease in segment operating expenses. The decrease in operating expenses was largely driven by a reduction in depreciation expense due to</w:t>
      </w:r>
      <w:r>
        <w:rPr>
          <w:color w:val="000000"/>
        </w:rPr>
        <w:t xml:space="preserve"> </w:t>
      </w:r>
      <w:r>
        <w:rPr>
          <w:rFonts w:ascii="Times New Roman;serif" w:hAnsi="Times New Roman;serif"/>
          <w:b w:val="false"/>
          <w:color w:val="000000"/>
          <w:sz w:val="20"/>
        </w:rPr>
        <w:t xml:space="preserve">an increase in the useful life of certain customer gear assets, as discussed in “Cost of Revenue” above. Also contributing to the reduction in Private Cloud operating expenses was a decrease in license expense and personnel costs between periods. </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w:t>
      </w:r>
      <w:r>
        <w:rPr>
          <w:rFonts w:ascii="Times New Roman;serif" w:hAnsi="Times New Roman;serif"/>
          <w:b w:val="false"/>
          <w:color w:val="000000"/>
          <w:sz w:val="20"/>
          <w:shd w:fill="FFFFFF" w:val="clear"/>
        </w:rPr>
        <w:t>e abov</w:t>
      </w:r>
      <w:r>
        <w:rPr>
          <w:rFonts w:ascii="Times New Roman;serif" w:hAnsi="Times New Roman;serif"/>
          <w:b w:val="false"/>
          <w:color w:val="000000"/>
          <w:sz w:val="20"/>
        </w:rPr>
        <w:t xml:space="preserve">e. This expense decreased 13% in 2024 due to a reduction in depreciation and amortization expense driven by certain assets reaching the end of their useful life. Additionally, our continued focus on cost management further contributed to the cost reduction.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segment operating profit, see Item 8 of Part II, Financial Statements and Supplementary Data - Note 16, "Segment Reporting."</w:t>
      </w:r>
    </w:p>
    <w:p>
      <w:pPr>
        <w:pStyle w:val="TextBody"/>
        <w:bidi w:val="0"/>
        <w:spacing w:before="0" w:after="0"/>
        <w:ind w:left="0" w:right="0" w:firstLine="612"/>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We recorded a total of $715 million and $709 million in non-cash goodwill impairment charges in </w:t>
      </w:r>
      <w:r>
        <w:rPr>
          <w:rFonts w:ascii="Times New Roman;serif" w:hAnsi="Times New Roman;serif"/>
          <w:b w:val="false"/>
          <w:color w:val="000000"/>
          <w:sz w:val="20"/>
        </w:rPr>
        <w:t xml:space="preserve">2024 and </w:t>
      </w:r>
      <w:r>
        <w:rPr>
          <w:rFonts w:ascii="Times New Roman;serif" w:hAnsi="Times New Roman;serif"/>
          <w:b w:val="false"/>
          <w:color w:val="000000"/>
          <w:sz w:val="20"/>
          <w:shd w:fill="FFFFFF" w:val="clear"/>
        </w:rPr>
        <w:t>2023,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connection with the March 2024 Refinancing Transactions that were completed in March and April 2024, as further described in Item 8 of Part II, Financial Statements and Supplementary Data - Note 7, "Debt", we updated our internal forecasts.</w:t>
      </w:r>
      <w:r>
        <w:rPr>
          <w:color w:val="000000"/>
        </w:rPr>
        <w:t xml:space="preserve"> </w:t>
      </w:r>
      <w:r>
        <w:rPr>
          <w:rFonts w:ascii="Times New Roman;serif" w:hAnsi="Times New Roman;serif"/>
          <w:b w:val="false"/>
          <w:color w:val="000000"/>
          <w:sz w:val="20"/>
        </w:rPr>
        <w:t>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$69 million and $73 million, respectively, recorded in the third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October 1, 2023, we reassessed our reporting units and combined our Private Cloud and OpenStack Public Cloud reporting units into a new Private Cloud reporting unit. We completed a quantitative goodwill impairment analysis as of October 1, 2023, subsequent to the aforementioned change. The results of the quantitative goodwill impairment analysis indicated no impairment to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8 of Part II, Financial Statements and Supplementary Data - Note 6, "Goodwill and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Assets, Net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We recorded a total of $20 million and $52 million in net asset impairment charges in </w:t>
      </w:r>
      <w:r>
        <w:rPr>
          <w:rFonts w:ascii="Times New Roman;serif" w:hAnsi="Times New Roman;serif"/>
          <w:b w:val="false"/>
          <w:color w:val="000000"/>
          <w:sz w:val="20"/>
        </w:rPr>
        <w:t xml:space="preserve">2024 and </w:t>
      </w:r>
      <w:r>
        <w:rPr>
          <w:rFonts w:ascii="Times New Roman;serif" w:hAnsi="Times New Roman;serif"/>
          <w:b w:val="false"/>
          <w:color w:val="000000"/>
          <w:sz w:val="20"/>
          <w:shd w:fill="FFFFFF" w:val="clear"/>
        </w:rPr>
        <w:t>2023, respectively.</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 xml:space="preserve">We evaluated our indefinite-lived intangible asset for impairment as of February 29, 2024. As a result of this evaluation, we recorded a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impairment of our indefinite-lived intangible asset in</w:t>
      </w:r>
      <w:r>
        <w:rPr>
          <w:color w:val="000000"/>
          <w:shd w:fill="FFFFFF" w:val="clear"/>
        </w:rPr>
        <w:t xml:space="preserve"> </w:t>
      </w:r>
      <w:r>
        <w:rPr>
          <w:rFonts w:ascii="Times New Roman;serif" w:hAnsi="Times New Roman;serif"/>
          <w:b w:val="false"/>
          <w:color w:val="000000"/>
          <w:sz w:val="20"/>
          <w:shd w:fill="FFFFFF" w:val="clear"/>
        </w:rPr>
        <w:t>the first quarter of 2024.</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performed a quantitative assessment of our indefinite-lived intangible asset prior to testing our goodwill for impairment as September 30, 2024, which did not indicate any impairment of the Rackspace trade name.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we evaluated our indefinite-lived intangible asset for impairment as of September 30, 2023. As a result of this evaluation, we recorded a $57 million impairment of our indefinite-lived intangible asset in the third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addition, during 2023, we recorded a $5 million net increase in the estimated fair value, less estimated cost to sell, of our corporate headquarters w</w:t>
      </w:r>
      <w:r>
        <w:rPr>
          <w:rFonts w:ascii="Times New Roman;serif" w:hAnsi="Times New Roman;serif"/>
          <w:b w:val="false"/>
          <w:color w:val="000000"/>
          <w:sz w:val="20"/>
          <w:shd w:fill="FFFFFF" w:val="clear"/>
        </w:rPr>
        <w:t>hich was classified as held for sale under GAAP as of December 31,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See Item 8 of Part II, Financial Statements and Supplementary Data - Note 5, "</w:t>
      </w:r>
      <w:r>
        <w:rPr>
          <w:rFonts w:ascii="Times New Roman;serif" w:hAnsi="Times New Roman;serif"/>
          <w:b w:val="false"/>
          <w:color w:val="000000"/>
          <w:sz w:val="20"/>
        </w:rPr>
        <w:t>Property, Equipment and Software, net</w:t>
      </w:r>
      <w:r>
        <w:rPr>
          <w:rFonts w:ascii="Times New Roman;serif" w:hAnsi="Times New Roman;serif"/>
          <w:b w:val="false"/>
          <w:color w:val="000000"/>
          <w:sz w:val="20"/>
          <w:shd w:fill="FFFFFF" w:val="clear"/>
        </w:rPr>
        <w:t>" and Note 6, "Goodwill and Intangible Assets"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Interest expense decreased $124 million, or 56%, to $98 million in 2024 from $222 million in </w:t>
      </w:r>
      <w:r>
        <w:rPr>
          <w:rFonts w:ascii="Times New Roman;serif" w:hAnsi="Times New Roman;serif"/>
          <w:b w:val="false"/>
          <w:color w:val="000000"/>
          <w:sz w:val="20"/>
          <w:shd w:fill="FFFFFF" w:val="clear"/>
        </w:rPr>
        <w:t>2023</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primarily due to the accounting for contractual interest payments on debt instruments entered into as part of the </w:t>
      </w:r>
      <w:r>
        <w:rPr>
          <w:rFonts w:ascii="Times New Roman;serif" w:hAnsi="Times New Roman;serif"/>
          <w:b w:val="false"/>
          <w:color w:val="000000"/>
          <w:sz w:val="20"/>
        </w:rPr>
        <w:t>March 2024 Refinancing Transactions, portions of which are recorded as a reduction of related premiums and not as interest expense, which reduces interest expense relative to contractual interest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on Debt Extinguishment, Net of Debt Modification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$80 million gain on debt extinguishment, net of debt modification costs in 2024 related to the March 2024 Refinancing Transactions. In addition, we recorded $67 million total gain on debt extinguishment related to repurchases of an aggregate $92 million principal amount of 3.50% FLSO Senior Secured Notes, FLSO Term Loan Facility, and 5.375% Senior Notes in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recorded a $228 million gain on debt extinguishment in 2023</w:t>
      </w:r>
      <w:r>
        <w:rPr>
          <w:color w:val="000000"/>
          <w:shd w:fill="FFFFFF" w:val="clear"/>
        </w:rPr>
        <w:t xml:space="preserve"> </w:t>
      </w:r>
      <w:r>
        <w:rPr>
          <w:rFonts w:ascii="Times New Roman;serif" w:hAnsi="Times New Roman;serif"/>
          <w:b w:val="false"/>
          <w:color w:val="000000"/>
          <w:sz w:val="20"/>
        </w:rPr>
        <w:t xml:space="preserve">related to repurchases of $352 million principal amount of 5.375% Senior Notes. In addition, we repurchased $36 million principal amount of 3.50% Senior Secured Notes and $56 million principal amount of the Term Loan Facility, which resulted in an $18 million and $26 million gain on debt extinguishment,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See Item 8 of Part II, Financial Statements and Supplementary Data - Note 7, "Debt" for further discussion.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The increase in other expense, net to $22 million in 2024</w:t>
      </w:r>
      <w:r>
        <w:rPr>
          <w:color w:val="000000"/>
          <w:shd w:fill="FFFFFF" w:val="clear"/>
        </w:rPr>
        <w:t xml:space="preserve"> </w:t>
      </w:r>
      <w:r>
        <w:rPr>
          <w:rFonts w:ascii="Times New Roman;serif" w:hAnsi="Times New Roman;serif"/>
          <w:b w:val="false"/>
          <w:color w:val="000000"/>
          <w:sz w:val="20"/>
          <w:shd w:fill="FFFFFF" w:val="clear"/>
        </w:rPr>
        <w:t>from $5 million</w:t>
      </w:r>
      <w:r>
        <w:rPr>
          <w:color w:val="000000"/>
        </w:rPr>
        <w:t xml:space="preserve"> </w:t>
      </w:r>
      <w:r>
        <w:rPr>
          <w:rFonts w:ascii="Times New Roman;serif" w:hAnsi="Times New Roman;serif"/>
          <w:b w:val="false"/>
          <w:color w:val="000000"/>
          <w:sz w:val="20"/>
          <w:shd w:fill="FFFFFF" w:val="clear"/>
        </w:rPr>
        <w:t xml:space="preserve">in 2023 is </w:t>
      </w:r>
      <w:r>
        <w:rPr>
          <w:rFonts w:ascii="Times New Roman;serif" w:hAnsi="Times New Roman;serif"/>
          <w:b w:val="false"/>
          <w:color w:val="000000"/>
          <w:sz w:val="20"/>
        </w:rPr>
        <w:t>primarily due to a full year of costs incurred in 2024 related to the Receivables Purchase Facility entered into in September 2023.</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8 of Part II, Financial Statements and Supplementary Data - Note 3, "Sale of Receivables" for further discussion regarding the Receivables Purchase Facility.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Benefit for 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benefit increased by $7 million to $23 million in 2024 from $17 million in 2023. Our effective tax rate increased from 1.9% in 2023 to 2.6% in 2024. The increase in the effective tax rate year-over-year is primarily due to the tax impact associated with goodwill impairments recorded in both the first and third quarters of 2024 as well as goodwill impairments recorded in 2023, the majority of which were nondeductible for income tax purposes, and the income tax benefit of $103 million related to the March 2024 Refinancing Transactions discussed above. The difference between the effective tax rate and the statutory rate in 2024 is primarily due to the tax impact associated with changes in the valuation allowance, the tax impact associated with the goodwill impairments recorded in the first and third quarters of 2024, the majority of which were nondeductible for income tax purposes, and the tax impact of the March 2024 Refinancing Transactions.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a full reconciliation of our effective tax rate to the U.S. federal statutory rate and further explanation of our benefit for income taxes, see Item 8 of Part II, Financial Statements and Supplementary Data - Note </w:t>
      </w:r>
      <w:r>
        <w:rPr>
          <w:rFonts w:ascii="Times New Roman;serif" w:hAnsi="Times New Roman;serif"/>
          <w:b w:val="false"/>
          <w:color w:val="000000"/>
          <w:sz w:val="20"/>
          <w:shd w:fill="FFFFFF" w:val="clear"/>
        </w:rPr>
        <w:t>13</w:t>
      </w:r>
      <w:r>
        <w:rPr>
          <w:rFonts w:ascii="Times New Roman;serif" w:hAnsi="Times New Roman;serif"/>
          <w:b w:val="false"/>
          <w:color w:val="000000"/>
          <w:sz w:val="20"/>
        </w:rPr>
        <w:t>, "</w:t>
      </w:r>
      <w:r>
        <w:rPr>
          <w:rFonts w:ascii="Times New Roman;serif" w:hAnsi="Times New Roman;serif"/>
          <w:b w:val="false"/>
          <w:color w:val="000000"/>
          <w:sz w:val="20"/>
          <w:shd w:fill="FFFFFF" w:val="clear"/>
        </w:rPr>
        <w:t>Taxes</w:t>
      </w:r>
      <w:r>
        <w:rPr>
          <w:rFonts w:ascii="Times New Roman;serif" w:hAnsi="Times New Roman;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track several non-GAAP financial measures to monitor and manage our underlying financial performance. The following discussion includes the presentation of constant currency revenu</w:t>
      </w:r>
      <w:r>
        <w:rPr>
          <w:rFonts w:ascii="Times New Roman;serif" w:hAnsi="Times New Roman;serif"/>
          <w:b w:val="false"/>
          <w:color w:val="000000"/>
          <w:sz w:val="20"/>
          <w:shd w:fill="FFFFFF" w:val="clear"/>
        </w:rPr>
        <w:t xml:space="preserve">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w:t>
      </w:r>
      <w:r>
        <w:rPr>
          <w:rFonts w:ascii="Times New Roman;serif" w:hAnsi="Times New Roman;serif"/>
          <w:b w:val="false"/>
          <w:color w:val="000000"/>
          <w:sz w:val="20"/>
        </w:rPr>
        <w:t>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40"/>
        <w:gridCol w:w="299"/>
        <w:gridCol w:w="1057"/>
        <w:gridCol w:w="166"/>
        <w:gridCol w:w="109"/>
        <w:gridCol w:w="109"/>
        <w:gridCol w:w="109"/>
        <w:gridCol w:w="196"/>
        <w:gridCol w:w="691"/>
        <w:gridCol w:w="109"/>
        <w:gridCol w:w="109"/>
        <w:gridCol w:w="109"/>
        <w:gridCol w:w="109"/>
        <w:gridCol w:w="439"/>
        <w:gridCol w:w="876"/>
        <w:gridCol w:w="245"/>
        <w:gridCol w:w="109"/>
        <w:gridCol w:w="109"/>
        <w:gridCol w:w="109"/>
        <w:gridCol w:w="298"/>
        <w:gridCol w:w="1053"/>
        <w:gridCol w:w="166"/>
        <w:gridCol w:w="109"/>
        <w:gridCol w:w="109"/>
        <w:gridCol w:w="109"/>
        <w:gridCol w:w="205"/>
        <w:gridCol w:w="206"/>
        <w:gridCol w:w="334"/>
        <w:gridCol w:w="109"/>
        <w:gridCol w:w="109"/>
        <w:gridCol w:w="109"/>
        <w:gridCol w:w="253"/>
        <w:gridCol w:w="241"/>
        <w:gridCol w:w="675"/>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6"/>
        <w:gridCol w:w="330"/>
        <w:gridCol w:w="333"/>
        <w:gridCol w:w="292"/>
        <w:gridCol w:w="1032"/>
        <w:gridCol w:w="162"/>
        <w:gridCol w:w="109"/>
        <w:gridCol w:w="109"/>
        <w:gridCol w:w="109"/>
        <w:gridCol w:w="196"/>
        <w:gridCol w:w="691"/>
        <w:gridCol w:w="109"/>
        <w:gridCol w:w="109"/>
        <w:gridCol w:w="109"/>
        <w:gridCol w:w="109"/>
        <w:gridCol w:w="428"/>
        <w:gridCol w:w="855"/>
        <w:gridCol w:w="239"/>
        <w:gridCol w:w="109"/>
        <w:gridCol w:w="109"/>
        <w:gridCol w:w="109"/>
        <w:gridCol w:w="291"/>
        <w:gridCol w:w="1028"/>
        <w:gridCol w:w="162"/>
        <w:gridCol w:w="109"/>
        <w:gridCol w:w="109"/>
        <w:gridCol w:w="109"/>
        <w:gridCol w:w="248"/>
        <w:gridCol w:w="251"/>
        <w:gridCol w:w="334"/>
        <w:gridCol w:w="109"/>
        <w:gridCol w:w="109"/>
        <w:gridCol w:w="109"/>
        <w:gridCol w:w="311"/>
        <w:gridCol w:w="237"/>
        <w:gridCol w:w="665"/>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Non-GAAP Gross Profit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certain business transformation-related costs, and costs related to the Hosted Exchange incident.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517"/>
        <w:gridCol w:w="2192"/>
        <w:gridCol w:w="2213"/>
        <w:gridCol w:w="196"/>
        <w:gridCol w:w="556"/>
        <w:gridCol w:w="109"/>
        <w:gridCol w:w="109"/>
        <w:gridCol w:w="109"/>
        <w:gridCol w:w="109"/>
        <w:gridCol w:w="196"/>
        <w:gridCol w:w="556"/>
        <w:gridCol w:w="109"/>
        <w:gridCol w:w="109"/>
        <w:gridCol w:w="109"/>
        <w:gridCol w:w="109"/>
        <w:gridCol w:w="196"/>
        <w:gridCol w:w="556"/>
        <w:gridCol w:w="155"/>
      </w:tblGrid>
      <w:tr>
        <w:trPr/>
        <w:tc>
          <w:tcPr>
            <w:tcW w:w="251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accounting impact on expense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Net Income (Loss) as net income (loss)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costs related to the closure of a UK office, the interest expense impact from the March 2024 Refinancing Transactions, and certain other non-operating, non-recurring or non-core gains and losses, as well as the tax effects of these non-GAAP adjustments.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Operating Profit as income (loss) from operations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the impact of non-cash charges for share-based compensation, transaction-related costs and adjustments, restructuring and transformation charges, costs related to the Hosted Exchange incident, costs related to the closure of a UK office, certain other non-operating, non-recurring or non-core gains and losses, interest expense, expenses for our Receivables Purchase Facility,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in determining performance-based compensation for our management and key employees.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tables present a reconciliation of Non-GAAP Net Loss and Adjusted EBITDA to the most directly comparable GAAP financial measures. For a reconciliation of loss from operations to Non-GAAP Operating Profit, see “</w:t>
      </w:r>
      <w:r>
        <w:rPr>
          <w:rFonts w:ascii="Times New Roman;serif" w:hAnsi="Times New Roman;serif"/>
          <w:b w:val="false"/>
          <w:i/>
          <w:color w:val="000000"/>
          <w:sz w:val="20"/>
        </w:rPr>
        <w:t>Loss from Operations, Segment Operating Profit, and Non-GAAP Operating Profit</w:t>
      </w:r>
      <w:r>
        <w:rPr>
          <w:color w:val="000000"/>
        </w:rPr>
        <w:t xml:space="preserve">” </w:t>
      </w:r>
      <w:r>
        <w:rPr>
          <w:rFonts w:ascii="Times New Roman;serif" w:hAnsi="Times New Roman;serif"/>
          <w:b w:val="false"/>
          <w:color w:val="000000"/>
          <w:sz w:val="20"/>
        </w:rPr>
        <w:t>in the year-over-year comparisons under "Results of Operations" above.</w:t>
      </w:r>
    </w:p>
    <w:p>
      <w:pPr>
        <w:pStyle w:val="TextBody"/>
        <w:bidi w:val="0"/>
        <w:spacing w:before="0" w:after="0"/>
        <w:ind w:left="0" w:right="0" w:firstLine="619"/>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2502"/>
        <w:gridCol w:w="2112"/>
        <w:gridCol w:w="2127"/>
        <w:gridCol w:w="196"/>
        <w:gridCol w:w="616"/>
        <w:gridCol w:w="109"/>
        <w:gridCol w:w="109"/>
        <w:gridCol w:w="109"/>
        <w:gridCol w:w="109"/>
        <w:gridCol w:w="196"/>
        <w:gridCol w:w="616"/>
        <w:gridCol w:w="109"/>
        <w:gridCol w:w="109"/>
        <w:gridCol w:w="109"/>
        <w:gridCol w:w="109"/>
        <w:gridCol w:w="196"/>
        <w:gridCol w:w="616"/>
        <w:gridCol w:w="156"/>
      </w:tblGrid>
      <w:tr>
        <w:trPr/>
        <w:tc>
          <w:tcPr>
            <w:tcW w:w="250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UK office closure </w:t>
            </w:r>
            <w:r>
              <w:rPr>
                <w:rFonts w:ascii="Times New Roman;serif" w:hAnsi="Times New Roman;serif"/>
                <w:b w:val="false"/>
                <w:color w:val="000000"/>
                <w:sz w:val="12"/>
              </w:rPr>
              <w:t>(c)</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gain on divestiture and investments </w:t>
            </w:r>
            <w:r>
              <w:rPr>
                <w:rFonts w:ascii="Times New Roman;serif" w:hAnsi="Times New Roman;serif"/>
                <w:b w:val="false"/>
                <w:color w:val="000000"/>
                <w:sz w:val="12"/>
              </w:rPr>
              <w:t>(d)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(f)</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(g)</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(h)</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Net loss reconciliation to Adjusted EBITDA</w:t>
      </w:r>
    </w:p>
    <w:tbl>
      <w:tblPr>
        <w:tblW w:w="10205" w:type="dxa"/>
        <w:jc w:val="left"/>
        <w:tblInd w:w="0" w:type="dxa"/>
        <w:tblLayout w:type="fixed"/>
        <w:tblCellMar>
          <w:top w:w="28" w:type="dxa"/>
          <w:left w:w="28" w:type="dxa"/>
          <w:bottom w:w="28" w:type="dxa"/>
          <w:right w:w="28" w:type="dxa"/>
        </w:tblCellMar>
      </w:tblPr>
      <w:tblGrid>
        <w:gridCol w:w="2502"/>
        <w:gridCol w:w="2112"/>
        <w:gridCol w:w="2127"/>
        <w:gridCol w:w="196"/>
        <w:gridCol w:w="616"/>
        <w:gridCol w:w="109"/>
        <w:gridCol w:w="109"/>
        <w:gridCol w:w="109"/>
        <w:gridCol w:w="109"/>
        <w:gridCol w:w="196"/>
        <w:gridCol w:w="616"/>
        <w:gridCol w:w="109"/>
        <w:gridCol w:w="109"/>
        <w:gridCol w:w="109"/>
        <w:gridCol w:w="109"/>
        <w:gridCol w:w="196"/>
        <w:gridCol w:w="616"/>
        <w:gridCol w:w="156"/>
      </w:tblGrid>
      <w:tr>
        <w:trPr/>
        <w:tc>
          <w:tcPr>
            <w:tcW w:w="250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UK office closure </w:t>
            </w:r>
            <w:r>
              <w:rPr>
                <w:rFonts w:ascii="Times New Roman;serif" w:hAnsi="Times New Roman;serif"/>
                <w:b w:val="false"/>
                <w:color w:val="000000"/>
                <w:sz w:val="12"/>
              </w:rPr>
              <w:t>(c)</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gain on divestiture and investments </w:t>
            </w:r>
            <w:r>
              <w:rPr>
                <w:rFonts w:ascii="Times New Roman;serif" w:hAnsi="Times New Roman;serif"/>
                <w:b w:val="false"/>
                <w:color w:val="000000"/>
                <w:sz w:val="12"/>
              </w:rPr>
              <w:t>(d)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(i)</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(j)</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7"/>
        <w:gridCol w:w="2846"/>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2024 includes a </w:t>
            </w:r>
            <w:r>
              <w:rPr>
                <w:rFonts w:ascii="Times New Roman;serif" w:hAnsi="Times New Roman;serif"/>
                <w:b w:val="false"/>
                <w:color w:val="000000"/>
                <w:sz w:val="18"/>
                <w:shd w:fill="FFFFFF" w:val="clear"/>
              </w:rPr>
              <w:t xml:space="preserve">$9.0 million </w:t>
            </w:r>
            <w:r>
              <w:rPr>
                <w:rFonts w:ascii="Times New Roman;serif" w:hAnsi="Times New Roman;serif"/>
                <w:b w:val="false"/>
                <w:color w:val="000000"/>
                <w:sz w:val="18"/>
              </w:rPr>
              <w:t>MEIA early termination fee associated with the sale of our corporate headquarters in March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recognized related to the closure of a UK office that we exited in the second quarter of 2023 prior to the lease end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We used a structural non-GAAP tax rate of 26% for all periods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Receivables Purchase Facility.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The following table reconciles Non-GAAP Loss Per Share to our GAAP net loss per share on a diluted basis:</w:t>
      </w:r>
    </w:p>
    <w:p>
      <w:pPr>
        <w:pStyle w:val="TextBody"/>
        <w:bidi w:val="0"/>
        <w:spacing w:before="0" w:after="0"/>
        <w:ind w:left="0" w:right="0" w:firstLine="540"/>
        <w:jc w:val="left"/>
        <w:rPr/>
      </w:pPr>
      <w:r>
        <w:rPr/>
      </w:r>
    </w:p>
    <w:tbl>
      <w:tblPr>
        <w:tblW w:w="7766" w:type="dxa"/>
        <w:jc w:val="left"/>
        <w:tblInd w:w="0" w:type="dxa"/>
        <w:tblLayout w:type="fixed"/>
        <w:tblCellMar>
          <w:top w:w="28" w:type="dxa"/>
          <w:left w:w="28" w:type="dxa"/>
          <w:bottom w:w="28" w:type="dxa"/>
          <w:right w:w="28" w:type="dxa"/>
        </w:tblCellMar>
      </w:tblPr>
      <w:tblGrid>
        <w:gridCol w:w="1542"/>
        <w:gridCol w:w="1353"/>
        <w:gridCol w:w="1364"/>
        <w:gridCol w:w="196"/>
        <w:gridCol w:w="631"/>
        <w:gridCol w:w="109"/>
        <w:gridCol w:w="109"/>
        <w:gridCol w:w="109"/>
        <w:gridCol w:w="109"/>
        <w:gridCol w:w="196"/>
        <w:gridCol w:w="631"/>
        <w:gridCol w:w="109"/>
        <w:gridCol w:w="109"/>
        <w:gridCol w:w="109"/>
        <w:gridCol w:w="109"/>
        <w:gridCol w:w="196"/>
        <w:gridCol w:w="63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Effect of dilutive securities </w:t>
            </w:r>
            <w:r>
              <w:rPr>
                <w:rFonts w:ascii="Times New Roman;serif" w:hAnsi="Times New Roman;serif"/>
                <w:b w:val="false"/>
                <w:color w:val="000000"/>
                <w:sz w:val="12"/>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number of shares - 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adjustments to net loss </w:t>
            </w:r>
            <w:r>
              <w:rPr>
                <w:rFonts w:ascii="Times New Roman;serif" w:hAnsi="Times New Roman;serif"/>
                <w:b w:val="false"/>
                <w:color w:val="000000"/>
                <w:sz w:val="12"/>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shares after adjustments to net loss </w:t>
            </w:r>
            <w:r>
              <w:rPr>
                <w:rFonts w:ascii="Times New Roman;serif" w:hAnsi="Times New Roman;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Loss Per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Potential common share equivalents consist of shares issuable upon the exercise of stock options, vesting of restricted stock units (including performance-based restricted stock units) or purchases under the ESPP, as well as contingent shares associated with our acquisition of Datapipe. Certain of our potential common share equivalents are contingent on certain investment funds managed by affiliates of Apollo achieving pre-established performance targets based on a MOIC,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primarily finance our operations and capital expenditures with internally-generated cash from operations and hardware leases, and if necessary, borrowings under the New Revolving Credit Facility. As of December 31, 2025, the New Revolving Credit Facility provided for up to $375 million of borrowings, </w:t>
      </w:r>
      <w:r>
        <w:rPr>
          <w:rFonts w:ascii="Times New Roman;serif" w:hAnsi="Times New Roman;serif"/>
          <w:b w:val="false"/>
          <w:color w:val="000000"/>
          <w:sz w:val="20"/>
          <w:shd w:fill="FFFFFF" w:val="clear"/>
        </w:rPr>
        <w:t>$60 million</w:t>
      </w:r>
      <w:r>
        <w:rPr>
          <w:color w:val="000000"/>
        </w:rPr>
        <w:t xml:space="preserve"> </w:t>
      </w:r>
      <w:r>
        <w:rPr>
          <w:rFonts w:ascii="Times New Roman;serif" w:hAnsi="Times New Roman;serif"/>
          <w:b w:val="false"/>
          <w:color w:val="000000"/>
          <w:sz w:val="20"/>
        </w:rPr>
        <w:t>of which was drawn and outstanding as of December 31, 2025.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29, 2023, indirect subsidiaries of the company entered into a revolving agreement where a bankruptcy-remote SPV can sell accounts receivable, based upon the face amount of eligible receivables in the collateral pool, up to an aggregate maximum limit of $300 million to a financial institution on a recurring basis in exchange for cash. On February 12, 2024, the revolving agreement was amended to include certain international subsidiaries of the company as parties to the agreement and Rackspace Receivables Canada Limited, a Canadian indirect subsidiary of the company, was established as an SPV.</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December 31, 2025, we held $106 million in cash and cash equivalents (not including $2 million in restricted cash, which is included in "Other non-current assets"), of which $66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installment payment arrangements with certain equipment and software vendors, along with sale-leaseback arrangements for equipment and certain property leases that are considered financing obligations. We had $53 million outstanding with respect to these arrangements as of December 31, 2025. We may choose to utilize these various sources of funding in future periods. Refer to Item 8 of Part II, Financial Statements and Supplementary Data - Note 9, "Financing Obligations" for more information regarding financing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lease certain equipment and real estate under operating and finance lease agreements. We had $485 million outstanding with respect to operating and finance lease agreements as of December 31, 2025. We may choose to utilize such leasing arrangements in future periods. Refer to Item 8 of Part II, Financial Statements and Supplementary Data - Note 8, "Leases" for more information regarding our operating and finance leases.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December 31, 2025, we had $2,429 million aggregate principal amount outstanding under 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 xml:space="preserve">FLSO Term Loan Facility, the FLFO Term Loan Facility, the Term Loan Facility, </w:t>
      </w: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.50% FLSO Senior Secured Notes, 5.375% Senior Notes, and 3.50% Senior Secured Notes. </w:t>
      </w:r>
      <w:r>
        <w:rPr>
          <w:rFonts w:ascii="Times New Roman;serif" w:hAnsi="Times New Roman;serif"/>
          <w:b w:val="false"/>
          <w:color w:val="000000"/>
          <w:sz w:val="20"/>
          <w:shd w:fill="FFFFFF" w:val="clear"/>
        </w:rPr>
        <w:t>The New Revolving Credit Facility provides for up to $</w:t>
      </w:r>
      <w:r>
        <w:rPr>
          <w:rFonts w:ascii="Times New Roman;serif" w:hAnsi="Times New Roman;serif"/>
          <w:b w:val="false"/>
          <w:color w:val="000000"/>
          <w:sz w:val="20"/>
        </w:rPr>
        <w:t>375 million of borrowings, $60 million of which was drawn and outstanding as of December 31, 2025. Our liquidity requirements are significant, primarily due to debt service requirements.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w:t>
      </w:r>
      <w:r>
        <w:rPr>
          <w:rFonts w:ascii="Times New Roman;serif" w:hAnsi="Times New Roman;serif"/>
          <w:b w:val="false"/>
          <w:color w:val="000000"/>
          <w:sz w:val="20"/>
          <w:shd w:fill="FFFFFF" w:val="clear"/>
        </w:rPr>
        <w:t>3</w:t>
      </w:r>
      <w:r>
        <w:rPr>
          <w:rFonts w:ascii="Times New Roman;serif" w:hAnsi="Times New Roman;serif"/>
          <w:b w:val="false"/>
          <w:color w:val="000000"/>
          <w:sz w:val="20"/>
        </w:rPr>
        <w:t>.50% FLSO Senior Secured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Item 8 of Part II, Financial Statements and Supplementary Data - Note 7, “Debt,” for more information regarding the March 2024 Refinancing Transactions and the related accounting impacts.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New 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Rackspace Finance, the lenders and issuing banks party thereto and Citi, as the administrative agent and collateral agent, entered into the credit agreement governing the FLSO Term Loan Facility, FLFO Term Loan Facility and New Revolving Credit Facility (together, the “New Senior Facilities”) (the “New First Lien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the contractual interest rate on the FLSO Term Loan Facility was 6.61%. We are required to make quarterly principal payments of $4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$1,610 million</w:t>
      </w:r>
      <w:r>
        <w:rPr>
          <w:color w:val="000000"/>
          <w:shd w:fill="FFFFFF" w:val="clear"/>
        </w:rPr>
        <w:t xml:space="preserve"> </w:t>
      </w:r>
      <w:r>
        <w:rPr>
          <w:rFonts w:ascii="Times New Roman;serif" w:hAnsi="Times New Roman;serif"/>
          <w:b w:val="false"/>
          <w:color w:val="000000"/>
          <w:sz w:val="20"/>
          <w:shd w:fill="FFFFFF" w:val="clear"/>
        </w:rPr>
        <w:t>in aggregate</w:t>
      </w:r>
      <w:r>
        <w:rPr>
          <w:color w:val="000000"/>
        </w:rPr>
        <w:t xml:space="preserve"> </w:t>
      </w:r>
      <w:r>
        <w:rPr>
          <w:rFonts w:ascii="Times New Roman;serif" w:hAnsi="Times New Roman;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interest rate swap agreements to manage the interest rate risk associated with interest payments on the FLSO Term Loan Facility that result from fluctuations in Term SOFR. See Item 8 of Part II, Financial Statements and Supplementary Data - Note 14, "Derivatives" for more information on the interest rate swap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the contractual interest rate on the FLFO Term Loan Facility was 10.11%. We are required to make quarterly principal payments of $0.7 million</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$270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interest rate swap agreements to manage the interest rate risk associated with interest payments on the FLFO Term Loan Facility that result from fluctuations in Term SOFR. See Item 8 of Part II, Financial Statements and Supplementary Data - Note 14, "Derivatives" for more information on the interest rate swap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New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Rackspace Finance is the borrower and all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are secured by the same collateral that secures the FLSO Term Loan Facility, the FLFO Term Loan Facility and the 3.50% FLSO Senior Secured Notes.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total commitments of $375 million, $60 million of outstanding borrowings under the New Revolving Credit Facility, and $24 million of letters of credit issued thereunder. As such,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$292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 million initial aggregate principal amount of 3.50% FLSO Senior Secured Notes. The 3.50% FLSO Senior Secured Notes will mature on May 15, 2028 and bear interest at an annual fixed rate of 3.50%. Interest is payable semiannually on each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December 31, 2025, $319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FLSO Senior Secured Notes were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we amended and restated the First Lien Credit Agreement, which included a new seven-year $2,300 million Term Loan Facility and the Prior Revolving Credit Facility, which we refer to together as the Senior Facilities. The Term Loan Facility will mature on February 15, 2028 and the Prior Revolving Credit Facility was set to mature on August 7,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Prior Revolving Credit Facility, or (b) a base rate determined by reference to the highest of (i) the federal funds rate plus 0.50%, (ii) the prime rate last quoted by The Wall Street Journal</w:t>
      </w:r>
      <w:r>
        <w:rPr>
          <w:color w:val="000000"/>
          <w:shd w:fill="FFFFFF" w:val="clear"/>
        </w:rPr>
        <w:t xml:space="preserve"> </w:t>
      </w:r>
      <w:r>
        <w:rPr>
          <w:rFonts w:ascii="Times New Roman;serif" w:hAnsi="Times New Roman;serif"/>
          <w:b w:val="false"/>
          <w:color w:val="000000"/>
          <w:sz w:val="20"/>
          <w:shd w:fill="FFFFFF" w:val="clear"/>
        </w:rPr>
        <w:t xml:space="preserve">and (iii) adjusted Term SOFR for a one-month tenor plus 1.00%.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applicable margin for the Term Loan Facility is 2.75% for SOFR loans and 1.75% for base rate loans and the applicable margin for the Prior Revolving Credit Facility was 3.00% for SOFR loans and 2.00% for base rate loans. Interest is due at the end of each interest period elected, not exceeding 90 days, for SOFR loans and at the end of every calendar quarter for base rate loans.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Prior Revolving Credit Facility also included a commitment fee equal to 0.50% per annum in respect of the unused commitments that was due quarterly. This fee was subject to one step-down based on the net first lien leverage ratio.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w:t>
      </w:r>
      <w:r>
        <w:rPr>
          <w:rFonts w:ascii="Times New Roman;serif" w:hAnsi="Times New Roman;serif"/>
          <w:b w:val="false"/>
          <w:color w:val="000000"/>
          <w:sz w:val="20"/>
          <w:shd w:fill="FFFFFF" w:val="clear"/>
        </w:rPr>
        <w:t xml:space="preserve">d by substantially all material owned assets of Rackspace Technology Global and the subsidiary guarantors, including the equity interests held by each, in each case subject to certain exceptions.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interest rate on the Term Loan Facility was 6.60% and the outstanding principal balance was $61 million. We are required to make quarterly principal payments of $0.2 million, with the balance due at maturity on February 15,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interest rate swap agreements to manage the interest rate risk associated with interest payments on the Term Loan Facility that result from fluctuations in Term SOFR. See Item 8 of Part II, Financial Statements and Supplementary Data - Note 14, "Derivatives" for more information on the interest rate swap agreements.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conjunction with the March 2024 Refinancing Transactions, the Prior Revolving Credit Facility was replaced in full by the New Revolving Credit Facility.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The 3.50% Senior Secured Notes are not subject to registration rights.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w:t>
      </w:r>
      <w:r>
        <w:rPr>
          <w:rFonts w:ascii="Times New Roman;serif" w:hAnsi="Times New Roman;serif"/>
          <w:b w:val="false"/>
          <w:color w:val="000000"/>
          <w:sz w:val="20"/>
          <w:shd w:fill="FFFFFF" w:val="clear"/>
        </w:rPr>
        <w:t>The 3.50% Notes Indenture describes certain terms and conditions under which other current and future domestic subsidiaries are required to become guarantors of the 3.50%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may redeem the 3.50% Senior Secured Notes at its option, in whole at any time or in part from time to time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of December 31, 2025, $44 million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Senior Secured Notes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The 5.375% Senior Notes are not subject to registration rights.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may redeem the 5.375% Senior Notes at its option, in whole at any time or in part from time to time, from December 1, 2025 and thereafter, at a redemption price equal to 100.000% of the principal amount, plus accrued and unpaid interest, if any, to but excluding the redemption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of December 31, 2025, </w:t>
      </w:r>
      <w:r>
        <w:rPr>
          <w:rFonts w:ascii="Times New Roman;serif" w:hAnsi="Times New Roman;serif"/>
          <w:b w:val="false"/>
          <w:color w:val="000000"/>
          <w:sz w:val="20"/>
          <w:shd w:fill="FFFFFF" w:val="clear"/>
        </w:rPr>
        <w:t>$125 million aggregate</w:t>
      </w:r>
      <w:r>
        <w:rPr>
          <w:color w:val="000000"/>
        </w:rPr>
        <w:t xml:space="preserve"> </w:t>
      </w:r>
      <w:r>
        <w:rPr>
          <w:rFonts w:ascii="Times New Roman;serif" w:hAnsi="Times New Roman;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covenants under the New Senior Facilities, the Senior Facilities and the Indentures.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New Credit Group had total assets of $2,796 million and total liabilities of $3,779 million, which included total debt of $2,517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December 31, 2025, and (ii) Rackspace Technology Global is the party to the interest rate swap which had a net asset value of $1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total capital expenditures for the periods indicated:</w:t>
      </w:r>
    </w:p>
    <w:tbl>
      <w:tblPr>
        <w:tblW w:w="6342" w:type="dxa"/>
        <w:jc w:val="center"/>
        <w:tblInd w:w="0" w:type="dxa"/>
        <w:tblLayout w:type="fixed"/>
        <w:tblCellMar>
          <w:top w:w="28" w:type="dxa"/>
          <w:left w:w="28" w:type="dxa"/>
          <w:bottom w:w="28" w:type="dxa"/>
          <w:right w:w="28" w:type="dxa"/>
        </w:tblCellMar>
      </w:tblPr>
      <w:tblGrid>
        <w:gridCol w:w="1109"/>
        <w:gridCol w:w="973"/>
        <w:gridCol w:w="978"/>
        <w:gridCol w:w="196"/>
        <w:gridCol w:w="556"/>
        <w:gridCol w:w="109"/>
        <w:gridCol w:w="109"/>
        <w:gridCol w:w="109"/>
        <w:gridCol w:w="109"/>
        <w:gridCol w:w="196"/>
        <w:gridCol w:w="556"/>
        <w:gridCol w:w="109"/>
        <w:gridCol w:w="109"/>
        <w:gridCol w:w="109"/>
        <w:gridCol w:w="109"/>
        <w:gridCol w:w="196"/>
        <w:gridCol w:w="55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Customer gear </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Data center build outs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Office build outs </w:t>
            </w:r>
            <w:r>
              <w:rPr>
                <w:rFonts w:ascii="Times New Roman;serif" w:hAnsi="Times New Roman;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Capitalized software and other projects </w:t>
            </w:r>
            <w:r>
              <w:rPr>
                <w:rFonts w:ascii="Times New Roman;serif" w:hAnsi="Times New Roman;serif"/>
                <w:b w:val="false"/>
                <w:color w:val="000000"/>
                <w:sz w:val="12"/>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Includes servers, firewalls, load balancers, cabinets, backup libraries, storage arrays and drives and certain software that is essential to the functionality of customer gear, which we provide.</w:t>
      </w:r>
    </w:p>
    <w:p>
      <w:pPr>
        <w:pStyle w:val="TextBody"/>
        <w:bidi w:val="0"/>
        <w:spacing w:lineRule="auto" w:line="276"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    Includes generators, uninterruptible power supplies, power distribution units, mechanical and electrical plants, chillers, raised floor, network cabling, other infrastructure gear and other data center building improvements.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    Includes building improvements, raised floor, furniture and equipment.</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    Includes salaries and payroll-related costs of employees and consultants who devote time to the development of certain internal-use software projects, purchased software licenses and other projects that meet the criteria for capitalization.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were relatively flat from 2024 to 2025 as increased purchases of customer gear were partially offset by a reduction in capitalized software and other projects between periods.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$45 million decrease from 2023 to 2024 </w:t>
      </w:r>
      <w:r>
        <w:rPr>
          <w:rFonts w:ascii="Times New Roman;serif" w:hAnsi="Times New Roman;serif"/>
          <w:b w:val="false"/>
          <w:color w:val="000000"/>
          <w:sz w:val="20"/>
          <w:shd w:fill="FFFFFF" w:val="clear"/>
        </w:rPr>
        <w:t>was primarily driven by purchases of customer gear originally intended to support a specific new customer during the first quarter of 2023. This new customer did not materialize as expected; however, the gear is fungible and has been redeployed to support other business requirements. This gear was acquired through a finance 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certain cash flow information for the periods indicated: </w:t>
      </w:r>
    </w:p>
    <w:tbl>
      <w:tblPr>
        <w:tblW w:w="6161" w:type="dxa"/>
        <w:jc w:val="left"/>
        <w:tblInd w:w="0" w:type="dxa"/>
        <w:tblLayout w:type="fixed"/>
        <w:tblCellMar>
          <w:top w:w="28" w:type="dxa"/>
          <w:left w:w="28" w:type="dxa"/>
          <w:bottom w:w="28" w:type="dxa"/>
          <w:right w:w="28" w:type="dxa"/>
        </w:tblCellMar>
      </w:tblPr>
      <w:tblGrid>
        <w:gridCol w:w="995"/>
        <w:gridCol w:w="873"/>
        <w:gridCol w:w="876"/>
        <w:gridCol w:w="196"/>
        <w:gridCol w:w="631"/>
        <w:gridCol w:w="109"/>
        <w:gridCol w:w="109"/>
        <w:gridCol w:w="109"/>
        <w:gridCol w:w="109"/>
        <w:gridCol w:w="196"/>
        <w:gridCol w:w="541"/>
        <w:gridCol w:w="109"/>
        <w:gridCol w:w="109"/>
        <w:gridCol w:w="109"/>
        <w:gridCol w:w="109"/>
        <w:gridCol w:w="196"/>
        <w:gridCol w:w="63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operating activities for 2025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$112 million from 2024. The increase in operating cash between periods was primarily driven by a decrease of $25 million of cash paid for operating expenses in 2025 compared to 2024. Additionally, there was an increase in c</w:t>
      </w:r>
      <w:r>
        <w:rPr>
          <w:rFonts w:ascii="Times New Roman;serif" w:hAnsi="Times New Roman;serif"/>
          <w:b w:val="false"/>
          <w:color w:val="000000"/>
          <w:sz w:val="20"/>
        </w:rPr>
        <w:t xml:space="preserve">ash proceeds related to accounts receivable sold </w:t>
      </w:r>
      <w:r>
        <w:rPr>
          <w:rFonts w:ascii="Times New Roman;serif" w:hAnsi="Times New Roman;serif"/>
          <w:b w:val="false"/>
          <w:color w:val="000000"/>
          <w:sz w:val="20"/>
          <w:shd w:fill="FFFFFF" w:val="clear"/>
        </w:rPr>
        <w:t xml:space="preserve">of $35 million in 2025 compared to a decrease of </w:t>
      </w:r>
      <w:r>
        <w:rPr>
          <w:rFonts w:ascii="Times New Roman;serif" w:hAnsi="Times New Roman;serif"/>
          <w:b w:val="false"/>
          <w:color w:val="000000"/>
          <w:sz w:val="20"/>
        </w:rPr>
        <w:t xml:space="preserve">$5 million </w:t>
      </w:r>
      <w:r>
        <w:rPr>
          <w:rFonts w:ascii="Times New Roman;serif" w:hAnsi="Times New Roman;serif"/>
          <w:b w:val="false"/>
          <w:color w:val="000000"/>
          <w:sz w:val="20"/>
          <w:shd w:fill="FFFFFF" w:val="clear"/>
        </w:rPr>
        <w:t xml:space="preserve">in 2024. Lastly, in 2024, $32 million in third party fees were paid in connection with the March 2024 Refinancing Transactions and a $9 million early termination fee associated with the sale of our corporate headquarters was paid. There were no similar one time fees paid in 2025.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operating activities for 2024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$335 million, or </w:t>
      </w:r>
      <w:r>
        <w:rPr>
          <w:rFonts w:ascii="Times New Roman;serif" w:hAnsi="Times New Roman;serif"/>
          <w:b w:val="false"/>
          <w:color w:val="000000"/>
          <w:sz w:val="20"/>
        </w:rPr>
        <w:t>89%</w:t>
      </w:r>
      <w:r>
        <w:rPr>
          <w:rFonts w:ascii="Times New Roman;serif" w:hAnsi="Times New Roman;serif"/>
          <w:b w:val="false"/>
          <w:color w:val="000000"/>
          <w:sz w:val="20"/>
          <w:shd w:fill="FFFFFF" w:val="clear"/>
        </w:rPr>
        <w:t xml:space="preserve">, from 2023. </w:t>
      </w:r>
      <w:r>
        <w:rPr>
          <w:rFonts w:ascii="Times New Roman;serif" w:hAnsi="Times New Roman;serif"/>
          <w:b w:val="false"/>
          <w:color w:val="000000"/>
          <w:sz w:val="20"/>
        </w:rPr>
        <w:t>The reduction in operating cash between periods was primarily driven by $209 million of cash proceeds received during 2023 related to the sale of our receivables, an increase of $98 million of operating expenses between periods, $32 million in third party fees paid in connection with the March 2024 Refinancing Transactions, and a $9 million early termination fee associated with the sale of our corporate headquarters in the first quarter of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2025 decreased $28 million, or 33%, from 2024 primarily due to a $50 million reduction in cash purchases of property, equipment, and software between periods, partially offset by $17 million of net proceeds received in 2024 from the March 2024 sale of our corporate headquarters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Net cash used in investing activities for 2024 decreased $9 million, or 10%, from 2023 primarily due to $17 million of net proceeds received in the current year from the March 2024 sale of our corporate headquarters facility. In addition, there was a $7 million increase in cash from other investing activities largely due to the sale of property and equipment between periods. These cash inflows were partially offset by a $14 million increase in cash purchases of property, equipment, and software from 2023 to 2024.</w:t>
      </w:r>
      <w:r>
        <w:rPr>
          <w:color w:val="000000"/>
          <w:shd w:fill="FFFFFF" w:val="clear"/>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2025 increased $132 million from 2024. The change was primarily driven by $275 million of proceeds received in 2024 from the FLFO Term Loan Facility as part of the March 2024 Refinancing Transactions compared to just $155 million of debt proceeds in the current period from borrowings on the New Revolving Credit Facility. An increase in debt repayments of $35 million between periods further contributed to the increase in cash used in financing activities. This activity was partially offset by $22 million of payments in 2024 related to debt extinguishment costs.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Net cash used in financing activities for 2024 decreased $310 million, or 99%, from 2023. </w:t>
      </w:r>
      <w:r>
        <w:rPr>
          <w:rFonts w:ascii="Times New Roman;serif" w:hAnsi="Times New Roman;serif"/>
          <w:b w:val="false"/>
          <w:color w:val="000000"/>
          <w:sz w:val="20"/>
          <w:shd w:fill="FFFFFF" w:val="clear"/>
        </w:rPr>
        <w:t>The change was primarily driven by an increase in proceeds of $275 million from the new FLFO Term Loan Facility as part of the March 2024 Refinancing Transactions compared to $50 million of debt proceeds in 2023, a reduction in debt repayments of $79 million, and a $23 million decrease in principal payments of finance lease liabilities between periods. This activity was partially offset by $22 million of payments related to debt extinguishment costs.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29, 2023, Rackspace US and Rackspace Receivables II, LLC, a bankruptcy-remote SPV, each an indirect subsidiary of the company, entered into the Receivables Purchase Facility with PNC. The Receivables Purchase Facility allows the SPV to sell and/or contribute accounts receivable up an aggregate maximum limit of $300 million to PNC on a revolving basis. On February 12, 2024, the Receivables Purchase Facility was amended to include certain international subsidiaries of the company as parties to the agreement and Rackspace Receivables Canada Limited, a Canadian indirect subsidiary of the company, was established as an SPV.</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See Item 8 of Part II, Financial Statements and Supplementary Data - Note 3, "Sale of Receivables" for more information regarding this off-balance sheet transaction.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10, "Commitments and Contingencies" for more information related to these indemnification arrangements.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prepared in accordance with GAAP, which requires us to make judgments and estimates that affect the reported amounts of assets, liabilities, revenue, costs and expenses and related disclosures. We consider accounting estimates that require significant management judgment to be critical accounting estimates. We review our estimates and judgments on an ongoing basis, including those related to revenue recognition, allowance for credit losses,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Recognition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delivered over the same period of time. We recognize revenue on a daily basis as services are provided in an amount that reflects the consideration to which we expect to be entitled in exchange for the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Public Cloud segment and legacy OpenStack business typically operate on a consumption model and can be canceled at any time without penalty.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Valuation of Accounts Receivable and Allowance for Credit Losses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an allowance for credit losses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Equipment and Software and Definite-Lived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performed recoverability tests of our long-lived assets in conjunction with the goodwill impairment analyses discussed below which did not result in any impairment charges.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Goodwill and Indefinite-Lived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Subsequent to the January 1, 2023 business reorganization, we have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projected EBITDA margins,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quantitative goodwill impairment analysis, we utilized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EBITDA margins,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October 1, 2025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annual impairment analysis as of October 1, 2025, we completed a quantitative goodwill impairment analysis. The results of the quantitative goodwill impairment analysis performed as of October 1, 2025 indicated no impairment charges to our Private Cloud or Public Cloud reporting units.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February 29, 2024 Assessment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debt refinancing transactions that were completed in March and April 2024, as further described in Item 8 of Part II, Financial Statements and Supplementary Data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 Our Board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Consolidated Statements of Comprehensive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September 30, 2024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2024, as part our routine budget-to-actual assessment, we updated our internal forecasts to consider our year-to-date operating performance, current customer bookings and revised expectations based on actualization, current customer retention rates, revisions to the timing of the expected effects of our strategic initiatives and overall related risks, including macroeconomic factors, to achieving our forecasts. 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quantitative goodwill impairment analysis performed as of September 30, 2024, we utilized a range of our weighted-average cost of capital of 12.0% to 13.0%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September 30, 2024. As a result, we determined that the carrying amount of our Public Cloud and Private Cloud reporting units exceeded their fair value. We recorded a goodwill impairment charge of $69 million and $73 million for Public Cloud and Private Cloud, respectively, during the third quarter of 2024, which is included in "Impairment of goodwill" in our Consolidated Statements of Comprehensive Loss. The impairment was driven by the company's cash flow projections as revised in the third quarter of 2024 to reflect expected realization of business performance, including strategic business shifts and the timing when the benefits of such shifts will be realized.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$108 million and $14 million, respectively, whereas a 50 basis point decrease in the discount rate assumption would result in increases in fair value of our Private Cloud and Public Cloud reporting units of approximately $121 million and $15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October 1, 2024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annual impairment analysis as of October 1, 2024, we completed a quantitative goodwill impairment analysis. The results of the quantitative goodwill impairment analysis performed as of October 1, 2024 indicated no impairment charges to our Private Cloud or Public Cloud reporting units.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January 1, 2023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Consolidated Statements of Comprehensive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March 31, 2023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2023, we evaluated several goodwill impairment indicators following a sustained decline in our stock price during the first quarter of 2023 that resulted in our market capitalization being less than the carrying value of our combined reporting units. This evaluation included the assessment of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Consolidated Statements of Comprehensive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September 30, 2023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2023, we evaluated several goodwill impairment indicators following a sustained decline in our stock price during the third quarter of 2023 that resulted in our market capitalization being less than the carrying value of our combined reporting units. This evaluation included the assessment of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For the quantitative goodwill impairment analysis performed as of September 30,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September 30, 2023. As a result, we determined that the carrying amount of our Private Cloud reporting unit exceeded its fair value and recorded a goodwill impairment charge of $166 million during the third quarter of 2023, which is included in "Impairment of goodwill" in our Consolidated Statements of Comprehensive Loss. The impairment was driven by the company's cash flow projections as revised in the third quarter of 2023 to reflect current market conditions and business mix shifts. The Public Cloud reporting unit was determined to have a fair value that exceeded its carrying value by approximately 17%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$65 million and $52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October 1, 2023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October 1, 2023, we reassessed our reporting unit structure and aggregated the OpenStack Public Cloud reporting unit into our Private Cloud reporting unit. We currently have two reporting units: Public Cloud and Private Cloud. Due to the change in our reporting units as of October 1, 2023, we completed a quantitative goodwill impairment analysis. As the Private Cloud and OpenStack Public Cloud reporting units are being combined into the new Private Cloud reporting unit, the goodwill of the reporting units has been combined rather than reassigned based on the relative fair values of the reporting units. The results of the quantitative goodwill impairment analysis performed as of October 1, 2023, subsequent to the change, indicated no impairment charges to our Private Cloud or Public Cloud reporting units.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For the quantitative goodwill impairment analysis performed as of October 1,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October 1, 2023. The Private and Public Cloud reporting units were determined to have a fair value that exceeded its carrying value by approximately 3% and 17%, respectively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$67 million and $52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carrying amount of goodwill was $740.1 million.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completed the quantitative assessments of our indefinite-lived intangible asset prior to testing our goodwill for impairment as of October 1, 2025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shd w:fill="FFFFFF" w:val="clear"/>
        </w:rPr>
        <w:t>Year Ended December 31, 2024</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February 29, 2024 and September 30,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both periods and a discount rate of 13.7% as of February 29, 2024 and 12.4% as of September 30, 2024. We completed the quantitative assessments of our indefinite-lived intangible asset prior to testing our goodwill for impairment as of September 30, 2024,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Consolidated Statements of Comprehensive Loss.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January 1, 2023, March 31, 2023 and September 30,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and a discount rate of 11.9% as of September 30, 2023. We completed the quantitative assessments of our indefinite-lived intangible asset prior to testing our goodwill for impairment as of January 1, 2023 and March 31, 2023 which did not indicate any impairment of the Rackspace trade name.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test as of September 30, 2023 indicated that the estimated fair value of the Rackspace trade name was less than its carrying value. As a result, we recorded a $57 million non-cash impairment charge during the third quarter of 2023 which is included in "Impairment of assets, net" in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completed the quantitative assessments of our indefinite-lived intangible asset prior to testing our goodwill for impairment as of October 1, 2023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EBITDA margins,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Share-Based Compensation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account for share-based awards under the recognition and measurement provisions of ASC No. 718, </w:t>
      </w:r>
      <w:r>
        <w:rPr>
          <w:rFonts w:ascii="Times New Roman;serif" w:hAnsi="Times New Roman;serif"/>
          <w:b w:val="false"/>
          <w:i/>
          <w:color w:val="000000"/>
          <w:sz w:val="20"/>
        </w:rPr>
        <w:t>Compensation—Stock Compensation</w:t>
      </w:r>
      <w:r>
        <w:rPr>
          <w:rFonts w:ascii="Times New Roman;serif" w:hAnsi="Times New Roman;serif"/>
          <w:b w:val="false"/>
          <w:color w:val="000000"/>
          <w:sz w:val="20"/>
        </w:rPr>
        <w:t xml:space="preserve">. Share-based compensation cost is measured at the grant date based on the fair value of the underlying common stock and is recognized as expense over the requisite service period. The fair value of awards with vesting conditions dependent upon market performance is determined using a Monte Carlo simulation. Determining the grant date fair value of share-based awards with performance vesting conditions and the probability of such awards vesting requires judgment.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rates may differ from the statutory rate for various reasons, including differences due to the tax impact of foreign operations, state taxes, contingency reserves for uncertain tax positions, certain benefits realized related to share-based compensation, executive compensation that is nondeductible under IRC Section 162(m), changes in the valuation of our deferred tax assets or liabilities, goodwill impairments, or from changes in tax laws, regulations, accounting principles or interpretations thereof. In addition, we are periodically subject to examination of our income tax returns in the U.S., U.K., India, and other countries. We regularly assess the likelihood of adverse outcomes resulting from these examinations to determine the adequacy of our provision for income taxes.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2021, the Organisation for Economic Co-operation and Development (the “OECD”) issued model rules for a new global minimum tax framework (Pillar Two). Governments in many of the countries where we operate have issued, or are in the process of issuing, legislation on this rule. As of December 31, 2025, our company is subject to Pillar Two legislation in certain jurisdictions where we operate. We have evaluated the potential impact of Pillar Two and it did not have a material impact on the company’s results of operations in 2025. Although we do not currently expect that Pillar Two will have a material impact on our future results of operations, we will continue to evaluate the potential impact on future periods of the “Pillar Two” framework as additional guidance is released and additional countries may adopt this legislation.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description of accounting pronouncements recently adopted and issued, see Item 8 of Part II, Financial Statements and Supplementary Data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7A – QUANTITATIVE AND QUALITATIVE DISCLOSURES ABOUT MARKET RISK</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exposed to interest rate risk associated with fluctuations in interest rates on our floating-rate debt under our Senior Facilities and New Senior Facilities, which includes our $375 million New Revolving Credit Facility and $1,941 million outstanding under the Term Loan Facility, FLSO Term Loan Facility and FLFO Term Loan Facility. As of December 31, 2025, there were</w:t>
      </w:r>
      <w:r>
        <w:rPr>
          <w:color w:val="000000"/>
          <w:shd w:fill="FFFFFF" w:val="clear"/>
        </w:rPr>
        <w:t xml:space="preserve">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shd w:fill="FFFFFF" w:val="clear"/>
        </w:rPr>
        <w:t>of out</w:t>
      </w:r>
      <w:r>
        <w:rPr>
          <w:rFonts w:ascii="Times New Roman;serif" w:hAnsi="Times New Roman;serif"/>
          <w:b w:val="false"/>
          <w:color w:val="000000"/>
          <w:sz w:val="20"/>
        </w:rPr>
        <w:t>standing borrowings under the New Revolving Credit Facility. As of December 31, 2025, assuming the New Revolving Credit Facility was fully drawn, each 0.125% change in assumed blended interest rates would res</w:t>
      </w:r>
      <w:r>
        <w:rPr>
          <w:rFonts w:ascii="Times New Roman;serif" w:hAnsi="Times New Roman;serif"/>
          <w:b w:val="false"/>
          <w:color w:val="000000"/>
          <w:sz w:val="20"/>
          <w:shd w:fill="FFFFFF" w:val="clear"/>
        </w:rPr>
        <w:t>ult in a $3 million cha</w:t>
      </w:r>
      <w:r>
        <w:rPr>
          <w:rFonts w:ascii="Times New Roman;serif" w:hAnsi="Times New Roman;serif"/>
          <w:b w:val="false"/>
          <w:color w:val="000000"/>
          <w:sz w:val="20"/>
        </w:rPr>
        <w:t>nge in annual interest expense on indebtedness under the Senior Facilities and New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terms of the swap outstanding as of December 31, 2025 are presented below:</w:t>
      </w:r>
    </w:p>
    <w:p>
      <w:pPr>
        <w:pStyle w:val="TextBody"/>
        <w:bidi w:val="0"/>
        <w:spacing w:before="0" w:after="0"/>
        <w:ind w:left="0" w:right="0" w:firstLine="540"/>
        <w:jc w:val="left"/>
        <w:rPr/>
      </w:pPr>
      <w:r>
        <w:rPr/>
      </w:r>
    </w:p>
    <w:tbl>
      <w:tblPr>
        <w:tblW w:w="9210" w:type="dxa"/>
        <w:jc w:val="left"/>
        <w:tblInd w:w="0" w:type="dxa"/>
        <w:tblLayout w:type="fixed"/>
        <w:tblCellMar>
          <w:top w:w="28" w:type="dxa"/>
          <w:left w:w="28" w:type="dxa"/>
          <w:bottom w:w="28" w:type="dxa"/>
          <w:right w:w="28" w:type="dxa"/>
        </w:tblCellMar>
      </w:tblPr>
      <w:tblGrid>
        <w:gridCol w:w="527"/>
        <w:gridCol w:w="462"/>
        <w:gridCol w:w="465"/>
        <w:gridCol w:w="109"/>
        <w:gridCol w:w="109"/>
        <w:gridCol w:w="109"/>
        <w:gridCol w:w="444"/>
        <w:gridCol w:w="444"/>
        <w:gridCol w:w="446"/>
        <w:gridCol w:w="109"/>
        <w:gridCol w:w="109"/>
        <w:gridCol w:w="109"/>
        <w:gridCol w:w="475"/>
        <w:gridCol w:w="1676"/>
        <w:gridCol w:w="264"/>
        <w:gridCol w:w="109"/>
        <w:gridCol w:w="109"/>
        <w:gridCol w:w="109"/>
        <w:gridCol w:w="439"/>
        <w:gridCol w:w="439"/>
        <w:gridCol w:w="442"/>
        <w:gridCol w:w="109"/>
        <w:gridCol w:w="109"/>
        <w:gridCol w:w="109"/>
        <w:gridCol w:w="403"/>
        <w:gridCol w:w="403"/>
        <w:gridCol w:w="57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8 of Part II, Financial Statements and Supplementary Data - Note 14, "Derivatives," for more information on interest rate swaps.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erif" w:hAnsi="Times New Roman;serif"/>
          <w:b w:val="false"/>
          <w:i/>
          <w:color w:val="000000"/>
          <w:sz w:val="20"/>
        </w:rPr>
        <w:t>Constant Currency Revenue</w:t>
      </w:r>
      <w:r>
        <w:rPr>
          <w:rFonts w:ascii="Times New Roman;serif" w:hAnsi="Times New Roman;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2025, we recognized foreign currency transaction losses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 million</w:t>
      </w:r>
      <w:r>
        <w:rPr>
          <w:color w:val="000000"/>
          <w:shd w:fill="FFFFFF" w:val="clear"/>
        </w:rPr>
        <w:t xml:space="preserve"> </w:t>
      </w:r>
      <w:r>
        <w:rPr>
          <w:rFonts w:ascii="Times New Roman;serif" w:hAnsi="Times New Roman;serif"/>
          <w:b w:val="false"/>
          <w:color w:val="000000"/>
          <w:sz w:val="20"/>
          <w:shd w:fill="FFFFFF" w:val="clear"/>
        </w:rPr>
        <w:t>wit</w:t>
      </w:r>
      <w:r>
        <w:rPr>
          <w:rFonts w:ascii="Times New Roman;serif" w:hAnsi="Times New Roman;serif"/>
          <w:b w:val="false"/>
          <w:color w:val="000000"/>
          <w:sz w:val="20"/>
        </w:rPr>
        <w:t>hin "Other expense, net" in our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enter into foreign currency hedging instruments to limit our exposure to foreign currency risk.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a large consumer of power. During 2025,</w:t>
      </w:r>
      <w:r>
        <w:rPr>
          <w:color w:val="000000"/>
          <w:shd w:fill="FFFFFF" w:val="clear"/>
        </w:rPr>
        <w:t xml:space="preserve"> </w:t>
      </w:r>
      <w:r>
        <w:rPr>
          <w:rFonts w:ascii="Times New Roman;serif" w:hAnsi="Times New Roman;serif"/>
          <w:b w:val="false"/>
          <w:color w:val="000000"/>
          <w:sz w:val="20"/>
          <w:shd w:fill="FFFFFF" w:val="clear"/>
        </w:rPr>
        <w:t>we expensed approximately $36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w:t>
      </w:r>
      <w:r>
        <w:rPr>
          <w:color w:val="000000"/>
        </w:rPr>
        <w:t xml:space="preserve"> </w:t>
      </w:r>
      <w:r>
        <w:rPr>
          <w:rFonts w:ascii="Times New Roman;serif" w:hAnsi="Times New Roman;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8 - FINANCIAL STATEMENTS AND SUPPLEMENTARY DATA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0" w:after="0"/>
        <w:jc w:val="center"/>
        <w:rPr/>
      </w:pPr>
      <w:r>
        <w:rPr/>
      </w:r>
    </w:p>
    <w:tbl>
      <w:tblPr>
        <w:tblW w:w="6713" w:type="dxa"/>
        <w:jc w:val="center"/>
        <w:tblInd w:w="0" w:type="dxa"/>
        <w:tblLayout w:type="fixed"/>
        <w:tblCellMar>
          <w:top w:w="28" w:type="dxa"/>
          <w:left w:w="28" w:type="dxa"/>
          <w:bottom w:w="28" w:type="dxa"/>
          <w:right w:w="28" w:type="dxa"/>
        </w:tblCellMar>
      </w:tblPr>
      <w:tblGrid>
        <w:gridCol w:w="1173"/>
        <w:gridCol w:w="1028"/>
        <w:gridCol w:w="1028"/>
        <w:gridCol w:w="1028"/>
        <w:gridCol w:w="1028"/>
        <w:gridCol w:w="1056"/>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8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185)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85">
              <w:r>
                <w:rPr>
                  <w:rStyle w:val="InternetLink"/>
                  <w:rFonts w:ascii="Times New Roman;serif" w:hAnsi="Times New Roman;serif"/>
                  <w:b w:val="false"/>
                  <w:color w:val="0000FF"/>
                  <w:sz w:val="20"/>
                  <w:u w:val="single"/>
                </w:rPr>
                <w:t>89</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064">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064">
              <w:r>
                <w:rPr>
                  <w:rStyle w:val="InternetLink"/>
                  <w:rFonts w:ascii="Times New Roman;serif" w:hAnsi="Times New Roman;serif"/>
                  <w:b w:val="false"/>
                  <w:color w:val="0000FF"/>
                  <w:sz w:val="20"/>
                  <w:u w:val="single"/>
                </w:rPr>
                <w:t>92</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88">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88">
              <w:r>
                <w:rPr>
                  <w:rStyle w:val="InternetLink"/>
                  <w:rFonts w:ascii="Times New Roman;serif" w:hAnsi="Times New Roman;serif"/>
                  <w:b w:val="false"/>
                  <w:color w:val="0000FF"/>
                  <w:sz w:val="20"/>
                  <w:u w:val="single"/>
                </w:rPr>
                <w:t>93</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91">
              <w:r>
                <w:rPr>
                  <w:rStyle w:val="InternetLink"/>
                  <w:rFonts w:ascii="Times New Roman;serif" w:hAnsi="Times New Roman;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91">
              <w:r>
                <w:rPr>
                  <w:rStyle w:val="InternetLink"/>
                  <w:rFonts w:ascii="Times New Roman;serif" w:hAnsi="Times New Roman;serif"/>
                  <w:b w:val="false"/>
                  <w:color w:val="0000FF"/>
                  <w:sz w:val="20"/>
                  <w:u w:val="single"/>
                </w:rPr>
                <w:t>94</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94">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94">
              <w:r>
                <w:rPr>
                  <w:rStyle w:val="InternetLink"/>
                  <w:rFonts w:ascii="Times New Roman;serif" w:hAnsi="Times New Roman;serif"/>
                  <w:b w:val="false"/>
                  <w:color w:val="0000FF"/>
                  <w:sz w:val="20"/>
                  <w:u w:val="single"/>
                </w:rPr>
                <w:t>95</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97">
              <w:r>
                <w:rPr>
                  <w:rStyle w:val="InternetLink"/>
                  <w:rFonts w:ascii="Times New Roman;serif" w:hAnsi="Times New Roman;serif"/>
                  <w:b w:val="false"/>
                  <w:color w:val="0000FF"/>
                  <w:sz w:val="20"/>
                  <w:u w:val="single"/>
                </w:rPr>
                <w:t>Consolidated Statements of Stockholders' Equity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97">
              <w:r>
                <w:rPr>
                  <w:rStyle w:val="InternetLink"/>
                  <w:rFonts w:ascii="Times New Roman;serif" w:hAnsi="Times New Roman;serif"/>
                  <w:b w:val="false"/>
                  <w:color w:val="0000FF"/>
                  <w:sz w:val="20"/>
                  <w:u w:val="single"/>
                </w:rPr>
                <w:t>97</w:t>
              </w:r>
            </w:hyperlink>
          </w:p>
        </w:tc>
      </w:tr>
      <w:tr>
        <w:trPr/>
        <w:tc>
          <w:tcPr>
            <w:tcW w:w="63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3c2a6211f24c048b1a6a7e9ba0d1d7_100">
              <w:r>
                <w:rPr>
                  <w:rStyle w:val="InternetLink"/>
                  <w:rFonts w:ascii="Times New Roman;serif" w:hAnsi="Times New Roman;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c2a6211f24c048b1a6a7e9ba0d1d7_100">
              <w:r>
                <w:rPr>
                  <w:rStyle w:val="InternetLink"/>
                  <w:rFonts w:ascii="Times New Roman;serif" w:hAnsi="Times New Roman;serif"/>
                  <w:b w:val="false"/>
                  <w:color w:val="0000FF"/>
                  <w:sz w:val="20"/>
                  <w:u w:val="singl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Board of Directors and Stockholders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Rackspace Technology, Inc.:</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 of Rackspace Technology, Inc. and subsidiaries (the Company) as of December 31, 2025, the related consolidated statements of comprehensive loss, stockholders’ equity (deficit), and cash flows for the year then ended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6, 2026 expressed an unqualified opinion on the effectiveness of the Company’s internal control over financial reporting.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Valuation of goodwill for the Private Cloud and Public Cloud reporting units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described in Notes 1 and 6 to the consolidated financial statements, the Company’s consolidated net goodwill balance was $740.1 million as of December 31, 2025, which included goodwill associated with the Private Cloud and Public Cloud reporting units of $597.2 million and $142.9 million, respectively. Goodwill represents the excess of the purchase price over the fair value of identifiable net assets of businesses acquired. Goodwill is subject to impairment testing on an annual basis as of October 1st and more frequently if events or circumstances indicate a potential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identified the evaluation of the fair value of the Private Cloud and Public Cloud reporting units used in the annual goodwill impairment assessment as a critical audit matter. We performed sensitivity analyses to determine the significant assumptions used to estimate the fair value of the Private Cloud and Public Cloud reporting units. A high degree of subjective auditor judgment was required to evaluate certain key assumptions, including the forecasted revenue growth rates, projected EBITDA margins, risk-adjusted discount rates and terminal growth rates. The assessment of these key assumptions was subjective as they are based largely on the outcome of future market and economic conditions and changes to these assumptions could have a significant impact on the fair value of the reporting units. Additionally, the audit effort associated with this estimate required specialized skills and knowledge.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goodwill impairment process. This included controls related to the development and selection of the key assumptions used to estimate the fair value of the Private Cloud and Public Cloud reporting units. We evaluated the reasonableness of the Company’s forecasted revenue growth rates and projected EBITDA margins for the Private Cloud and Public Cloud reporting units, by comparing them to the Company’s historical performance, available external industry data, and other internal information, taking into account changes in conditions and events affecting the company. We compared the Company’s historical revenue and cost forecasts to actual results to assess the Company’s ability to accurately forecast. In addition, we involved valuation professionals with specialized skills and knowledge, who assisted in:</w:t>
      </w:r>
    </w:p>
    <w:p>
      <w:pPr>
        <w:pStyle w:val="TextBody"/>
        <w:bidi w:val="0"/>
        <w:spacing w:before="0" w:after="0"/>
        <w:ind w:left="0" w:right="0" w:firstLine="360"/>
        <w:jc w:val="left"/>
        <w:rPr/>
      </w:pPr>
      <w:r>
        <w:rPr/>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evaluating the Company’s terminal growth rates by comparing them to the long-term growth rate estimates that were independently observed using publicly available market data for the Company’s industry as well as U.S. economic growth rates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evaluating the risk-adjusted discount rates by comparing them to discount rate ranges that were independently developed using publicly available market data for comparable entities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developing an independent estimate of the Private Cloud and Public reporting units’ fair values using each reporting unit’s cash flow forecast and discount rate and comparing the result to the Company’s fair value estimates.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Antonio,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6,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Board of Directors and Stockholders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Rackspace Technology, Inc.:</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Opinion on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audited Rackspace Technology,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 of the Company as of December 31, 2025, the related consolidated statements of comprehensive loss, stockholders’ equity (deficit), and cash flows for the year then ended, and the related notes (collectively, the consolidated financial statements), and our report dated March 6, 2026 expressed an unqualified opinion on those consolidated financial statements.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Antonio,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Georgia;serif" w:hAnsi="Georgia;serif"/>
          <w:b/>
          <w:color w:val="000000"/>
          <w:sz w:val="20"/>
        </w:rPr>
      </w:pPr>
      <w:r>
        <w:rPr>
          <w:rFonts w:ascii="Georgia;serif" w:hAnsi="Georgia;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To the Board of Directors and Stockholders of Rackspace Technology, Inc.</w:t>
      </w:r>
    </w:p>
    <w:p>
      <w:pPr>
        <w:pStyle w:val="TextBody"/>
        <w:bidi w:val="0"/>
        <w:spacing w:before="0" w:after="0"/>
        <w:jc w:val="left"/>
        <w:rPr/>
      </w:pPr>
      <w:r>
        <w:rPr/>
      </w:r>
    </w:p>
    <w:p>
      <w:pPr>
        <w:pStyle w:val="TextBody"/>
        <w:bidi w:val="0"/>
        <w:spacing w:lineRule="auto" w:line="288" w:before="0" w:after="120"/>
        <w:jc w:val="left"/>
        <w:rPr>
          <w:rFonts w:ascii="Georgia;serif" w:hAnsi="Georgia;serif"/>
          <w:b/>
          <w:i/>
          <w:color w:val="000000"/>
          <w:sz w:val="20"/>
        </w:rPr>
      </w:pPr>
      <w:r>
        <w:rPr>
          <w:rFonts w:ascii="Georgia;serif" w:hAnsi="Georgia;serif"/>
          <w:b/>
          <w:i/>
          <w:color w:val="000000"/>
          <w:sz w:val="20"/>
        </w:rPr>
        <w:t>Opinion on the Financial Statements</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We have audited the consolidated balance sheet of Rackspace Technology, Inc. and its subsidiaries (the "Company") as of December 31, 2024, and the related consolidated statements of comprehensive loss, of stockholders’ equity (deficit) and of cash flows for each of the two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120"/>
        <w:jc w:val="left"/>
        <w:rPr>
          <w:rFonts w:ascii="Georgia;serif" w:hAnsi="Georgia;serif"/>
          <w:b/>
          <w:i/>
          <w:color w:val="000000"/>
          <w:sz w:val="20"/>
        </w:rPr>
      </w:pPr>
      <w:r>
        <w:rPr>
          <w:rFonts w:ascii="Georgia;serif" w:hAnsi="Georgia;serif"/>
          <w:b/>
          <w:i/>
          <w:color w:val="000000"/>
          <w:sz w:val="20"/>
        </w:rPr>
        <w:t>Basis for Opinion</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Austin, Texas</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March 20, 2025</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served as the Company’s auditor from 2017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80"/>
        <w:gridCol w:w="2325"/>
        <w:gridCol w:w="2345"/>
        <w:gridCol w:w="214"/>
        <w:gridCol w:w="756"/>
        <w:gridCol w:w="118"/>
        <w:gridCol w:w="109"/>
        <w:gridCol w:w="109"/>
        <w:gridCol w:w="109"/>
        <w:gridCol w:w="213"/>
        <w:gridCol w:w="754"/>
        <w:gridCol w:w="173"/>
      </w:tblGrid>
      <w:tr>
        <w:trPr/>
        <w:tc>
          <w:tcPr>
            <w:tcW w:w="298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and accrued customer credits of $27.0 and $12.2,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232.2 and 248.4 shares issued; 229.1 and 245.3 shares outstanding,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tbl>
      <w:tblPr>
        <w:tblW w:w="9882" w:type="dxa"/>
        <w:jc w:val="left"/>
        <w:tblInd w:w="0" w:type="dxa"/>
        <w:tblLayout w:type="fixed"/>
        <w:tblCellMar>
          <w:top w:w="28" w:type="dxa"/>
          <w:left w:w="28" w:type="dxa"/>
          <w:bottom w:w="28" w:type="dxa"/>
          <w:right w:w="28" w:type="dxa"/>
        </w:tblCellMar>
      </w:tblPr>
      <w:tblGrid>
        <w:gridCol w:w="2242"/>
        <w:gridCol w:w="1968"/>
        <w:gridCol w:w="1985"/>
        <w:gridCol w:w="196"/>
        <w:gridCol w:w="691"/>
        <w:gridCol w:w="109"/>
        <w:gridCol w:w="109"/>
        <w:gridCol w:w="109"/>
        <w:gridCol w:w="109"/>
        <w:gridCol w:w="196"/>
        <w:gridCol w:w="691"/>
        <w:gridCol w:w="109"/>
        <w:gridCol w:w="109"/>
        <w:gridCol w:w="109"/>
        <w:gridCol w:w="109"/>
        <w:gridCol w:w="196"/>
        <w:gridCol w:w="69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 (loss) to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9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462" w:type="dxa"/>
        <w:jc w:val="center"/>
        <w:tblInd w:w="0" w:type="dxa"/>
        <w:tblLayout w:type="fixed"/>
        <w:tblCellMar>
          <w:top w:w="28" w:type="dxa"/>
          <w:left w:w="28" w:type="dxa"/>
          <w:bottom w:w="28" w:type="dxa"/>
          <w:right w:w="28" w:type="dxa"/>
        </w:tblCellMar>
      </w:tblPr>
      <w:tblGrid>
        <w:gridCol w:w="2159"/>
        <w:gridCol w:w="1894"/>
        <w:gridCol w:w="1902"/>
        <w:gridCol w:w="196"/>
        <w:gridCol w:w="631"/>
        <w:gridCol w:w="109"/>
        <w:gridCol w:w="109"/>
        <w:gridCol w:w="109"/>
        <w:gridCol w:w="109"/>
        <w:gridCol w:w="196"/>
        <w:gridCol w:w="631"/>
        <w:gridCol w:w="109"/>
        <w:gridCol w:w="109"/>
        <w:gridCol w:w="109"/>
        <w:gridCol w:w="109"/>
        <w:gridCol w:w="196"/>
        <w:gridCol w:w="631"/>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operating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debts and accrued customer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 and premium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fees paid in connection with the March 2024 Refinancing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fair value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headquarters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for employee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extinguishment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financing component of interest rate swap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tbl>
      <w:tblPr>
        <w:tblW w:w="8712" w:type="dxa"/>
        <w:jc w:val="center"/>
        <w:tblInd w:w="0" w:type="dxa"/>
        <w:tblLayout w:type="fixed"/>
        <w:tblCellMar>
          <w:top w:w="28" w:type="dxa"/>
          <w:left w:w="28" w:type="dxa"/>
          <w:bottom w:w="28" w:type="dxa"/>
          <w:right w:w="28" w:type="dxa"/>
        </w:tblCellMar>
      </w:tblPr>
      <w:tblGrid>
        <w:gridCol w:w="2002"/>
        <w:gridCol w:w="1754"/>
        <w:gridCol w:w="1764"/>
        <w:gridCol w:w="196"/>
        <w:gridCol w:w="556"/>
        <w:gridCol w:w="109"/>
        <w:gridCol w:w="109"/>
        <w:gridCol w:w="109"/>
        <w:gridCol w:w="109"/>
        <w:gridCol w:w="196"/>
        <w:gridCol w:w="556"/>
        <w:gridCol w:w="109"/>
        <w:gridCol w:w="109"/>
        <w:gridCol w:w="109"/>
        <w:gridCol w:w="109"/>
        <w:gridCol w:w="196"/>
        <w:gridCol w:w="46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property, equipment and software accrued in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activity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equipment and software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the total of such amounts shown on the Consolidated Statements of Cash Flows.</w:t>
      </w:r>
    </w:p>
    <w:p>
      <w:pPr>
        <w:pStyle w:val="TextBody"/>
        <w:bidi w:val="0"/>
        <w:spacing w:before="0" w:after="0"/>
        <w:ind w:left="0" w:right="0" w:firstLine="540"/>
        <w:jc w:val="left"/>
        <w:rPr/>
      </w:pPr>
      <w:r>
        <w:rPr/>
      </w:r>
    </w:p>
    <w:tbl>
      <w:tblPr>
        <w:tblW w:w="9431" w:type="dxa"/>
        <w:jc w:val="center"/>
        <w:tblInd w:w="0" w:type="dxa"/>
        <w:tblLayout w:type="fixed"/>
        <w:tblCellMar>
          <w:top w:w="28" w:type="dxa"/>
          <w:left w:w="28" w:type="dxa"/>
          <w:bottom w:w="28" w:type="dxa"/>
          <w:right w:w="28" w:type="dxa"/>
        </w:tblCellMar>
      </w:tblPr>
      <w:tblGrid>
        <w:gridCol w:w="2230"/>
        <w:gridCol w:w="1956"/>
        <w:gridCol w:w="1963"/>
        <w:gridCol w:w="196"/>
        <w:gridCol w:w="556"/>
        <w:gridCol w:w="109"/>
        <w:gridCol w:w="109"/>
        <w:gridCol w:w="109"/>
        <w:gridCol w:w="109"/>
        <w:gridCol w:w="196"/>
        <w:gridCol w:w="556"/>
        <w:gridCol w:w="109"/>
        <w:gridCol w:w="109"/>
        <w:gridCol w:w="109"/>
        <w:gridCol w:w="109"/>
        <w:gridCol w:w="196"/>
        <w:gridCol w:w="556"/>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statement of cash flows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NOTES TO THE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is a Delaware corporation controlled by investment funds affiliated with Apollo. Rackspace Technology was formed on July 21, 2016 but had no assets, liabilities or operating results until November 3, 2016 when Rackspace Hosting (now named Rackspace Technology Global), a global provider of modern information technology-as-a-service, was acquired by Inception Parent, a wholly-owned entity indirectly owned by Rackspace Technology.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Rackspace Technology and our wholly-owned subsidiaries. Intercompany transactions and balances have been eliminated in consolidation.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highly leveraged company. As of December 31, 2025, we had $2,429.2 million aggregate principal amount outstanding under our debt instruments, which are comprised of the FLFO Term Loan Facility, the FLSO Term Loan Facility, the Term Loan Facility, the 3.50% FLSO Senior Secured Notes, the 5.375% Senior Notes, and the 3.50% Senior Secured Notes. We primarily finance our operations and capital expenditures with internally-generated cash from operations and hardware leases, and if necessary, borrowings under the New Revolving Credit Facility. As of December 31, 2025, the New Revolving Credit Facility provided for up to $375.0 million of borrowings, $60.0 million of which was drawn and outstanding as of December 31, 2025. Our primary uses of cash are working capital requirements, debt service requirements and capital expenditures. Based on our current level of operations and available cash and cash equivalents of $105.8 million as of December 31, 2025,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Cash Equivalents, and Restricted Cash</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such as money market funds, with original maturities of three months or less when acquired to be cash equivalents.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in our Consolidated Balance Sheets, represents collateral for letters of credit. Restricted cash was $3.0 million and $2.2 million as of December 31, 2024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Equipment and Software and 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$0.8 million, $0.9 million and $0.7 million for the years ended December 31, 2023, 2024 and 2025,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estimated useful lives used for property, equipment and software:</w:t>
      </w:r>
    </w:p>
    <w:p>
      <w:pPr>
        <w:pStyle w:val="TextBody"/>
        <w:bidi w:val="0"/>
        <w:spacing w:before="0" w:after="0"/>
        <w:jc w:val="left"/>
        <w:rPr/>
      </w:pPr>
      <w:r>
        <w:rPr/>
      </w:r>
    </w:p>
    <w:tbl>
      <w:tblPr>
        <w:tblW w:w="5111" w:type="dxa"/>
        <w:jc w:val="left"/>
        <w:tblInd w:w="0" w:type="dxa"/>
        <w:tblLayout w:type="fixed"/>
        <w:tblCellMar>
          <w:top w:w="28" w:type="dxa"/>
          <w:left w:w="28" w:type="dxa"/>
          <w:bottom w:w="28" w:type="dxa"/>
          <w:right w:w="28" w:type="dxa"/>
        </w:tblCellMar>
      </w:tblPr>
      <w:tblGrid>
        <w:gridCol w:w="1039"/>
        <w:gridCol w:w="911"/>
        <w:gridCol w:w="914"/>
        <w:gridCol w:w="109"/>
        <w:gridCol w:w="109"/>
        <w:gridCol w:w="109"/>
        <w:gridCol w:w="561"/>
        <w:gridCol w:w="561"/>
        <w:gridCol w:w="798"/>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 to 7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7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 to 39 years</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classified as held for sale are recorded at the lower of carrying value or its estimated fair value, less costs to sell, and no depreciation and amortization is recorded after the held for sale classification is met. As of December 31, 2022, our former corporate headquarters property was classified as held for sale. See Note 5, "Property, Equipment and Software, net" for more information.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cost of assets and related accumulated depreciation and amortization are written off upon retirement or disposal and any resulting gain or loss is credited or charged to income or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performed recoverability tests of our long-lived assets in conjunction with the goodwill impairment analyses discussed below which did not result in any impairment charges.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Qualitative Goodwill Impairment Analysis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Goodwill represents the excess of the purchase price over the fair value of identifiable net assets of businesses acquired.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w:t>
      </w:r>
      <w:r>
        <w:rPr>
          <w:rFonts w:ascii="Times New Roman;serif" w:hAnsi="Times New Roman;serif"/>
          <w:b w:val="false"/>
          <w:color w:val="000000"/>
          <w:sz w:val="20"/>
        </w:rPr>
        <w:t>(iv) a reorganization resulting in a change to our operating segments,</w:t>
      </w:r>
      <w:r>
        <w:rPr>
          <w:color w:val="000000"/>
          <w:shd w:fill="FFFFFF" w:val="clear"/>
        </w:rPr>
        <w:t xml:space="preserve"> </w:t>
      </w:r>
      <w:r>
        <w:rPr>
          <w:rFonts w:ascii="Times New Roman;serif" w:hAnsi="Times New Roman;serif"/>
          <w:b w:val="false"/>
          <w:color w:val="000000"/>
          <w:sz w:val="20"/>
          <w:shd w:fill="FFFFFF" w:val="clear"/>
        </w:rPr>
        <w:t>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performed our annual goodwill impairment test as of October 1, 2025 and the results of our test did not indicate any impairment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December 31, 2025, </w:t>
      </w:r>
      <w:r>
        <w:rPr>
          <w:rFonts w:ascii="Times New Roman;serif" w:hAnsi="Times New Roman;serif"/>
          <w:b w:val="false"/>
          <w:color w:val="000000"/>
          <w:sz w:val="20"/>
        </w:rPr>
        <w:t>we evaluated several goodwill impairment indicators following a sustained decline in our stock price during the fourth quarter of 2025 and determined that it was not more likely than not that the fair values of our reporting units were less than the carrying values. In reaching this conclusion, we evaluated the decline in our market capitalization together with other factors, including the significance of the amount of excess carrying value over fair value as of the October 1, 2025 annual test, consistency of our current and forecasted operating margins and cash flows, and budgeted-to-actual performance for the fourth quarter of 2025, among others. We will continue to evaluate whether circumstances indicate an impairment may exist each reporting period. If there are significant changes in events or circumstances, including further declines in our market capitalization or deterioration in the equity and debt markets, impacts to our forecasted results due to macroeconomic factors or actual operating performance of our reporting units, or other factors that may affect the significant inputs used to determine the fair value of our reporting units, it is possible that an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erif" w:hAnsi="Times New Roman;serif"/>
          <w:b w:val="false"/>
          <w:color w:val="000000"/>
          <w:sz w:val="20"/>
        </w:rPr>
        <w:t xml:space="preserve">Our Board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third quarter of 2024, as part our assessment of our annual plan, we updated our internal forecasts to consider our year-to-date operating performance, current customer bookings and revised expectations based on actuals,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erif" w:hAnsi="Times New Roman;serif"/>
          <w:b w:val="false"/>
          <w:color w:val="000000"/>
          <w:sz w:val="20"/>
        </w:rPr>
        <w:t xml:space="preserve">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fourth quarter of 2024, we performed our annual goodwill impairment test as of October 1, 2024 and the results of our test did not indicate any further impairment of goodwill. </w:t>
      </w:r>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2023, as a result of the reorganization of our business around a two-business unit operating model, we changed our operating and reportable segments to Private Cloud and Public Cloud. 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Services and Apps &amp; Cross Platform reporting units to the Public Cloud and Private Cloud reporting units based on their relative fair value. OpenStack Public Cloud remained a separate reporting unit for goodwill purposes at that time. Due to the change in our segment reporting and the allocation of goodwill, we completed a quantitative goodwill impairment analysis both prior and subsequent to the aforementioned change.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2023, we evaluated several goodwill impairment indicators following a sustained decline in our stock price during the first quarter of 2023 that resulted in our market capitalization being less than the carrying value of our combined reporting units. This evaluation included the assessment of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2023, we evaluated several goodwill impairment indicators following a sustained decline in our stock price during the third quarter of 2023 that resulted in our market capitalization being less than the carrying value of our combined reporting units. This evaluation included the assessment of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Prior to October 1, 2023, we had two reporting units with goodwill: Public Cloud and Private Cloud. Goodwill allocated to our third reporting unit, OpenStack Public Cloud, was fully impaired during the fourth quarter of 2021. </w:t>
      </w:r>
      <w:r>
        <w:rPr>
          <w:rFonts w:ascii="Times New Roman;serif" w:hAnsi="Times New Roman;serif"/>
          <w:b w:val="false"/>
          <w:color w:val="000000"/>
          <w:sz w:val="20"/>
        </w:rPr>
        <w:t xml:space="preserve">As of October 1, 2023, we reassessed our reporting unit structure and aggregated the OpenStack Public Cloud reporting unit into our Private Cloud reporting unit. We currently have </w:t>
      </w:r>
      <w:r>
        <w:rPr>
          <w:rFonts w:ascii="Times New Roman;serif" w:hAnsi="Times New Roman;serif"/>
          <w:b w:val="false"/>
          <w:color w:val="000000"/>
          <w:sz w:val="20"/>
          <w:shd w:fill="FFFFFF" w:val="clear"/>
        </w:rPr>
        <w:t>two</w:t>
      </w:r>
      <w:r>
        <w:rPr>
          <w:color w:val="000000"/>
        </w:rPr>
        <w:t xml:space="preserve"> </w:t>
      </w:r>
      <w:r>
        <w:rPr>
          <w:rFonts w:ascii="Times New Roman;serif" w:hAnsi="Times New Roman;serif"/>
          <w:b w:val="false"/>
          <w:color w:val="000000"/>
          <w:sz w:val="20"/>
        </w:rPr>
        <w:t xml:space="preserve">reporting units: Public Cloud and Private Cloud. Due to the change in our reporting units as of October 1, 2023, we completed a quantitative goodwill impairment analysis.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Quantitative Goodwill Impairment Analysis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For the goodwill impairment tests completed during the years ended December 31, 2023, 2024 and 2025, including the interim quantitative analyses,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EBITDA margins, projected capital expenditures, risk-adjusted discount rates, terminal period growth rates, and economic market trends</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0"/>
          <w:shd w:fill="FFFFFF" w:val="clear"/>
        </w:rPr>
        <w:t>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our quantitative goodwill impairment analysis as of October 1, 2025 indicated no impairment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our quantitative goodwill impairment analysis as of September 30, 2024 indicated an impairment of goodwill within our Public Cloud and Private Cloud reporting units of $69.2 million and $72.5 million, respectively. We recorded these non-cash impairment charges within "Impairment of goodwill" in our Condensed Consolidated Statements of Comprehensive Loss in the third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our quantitative goodwill impairment analysis as of September 30, 2023 indicated an impairment of goodwill within our Private Cloud reporting unit, and we recorded non-cash impairment charges of $165.7 million, within "Impairment of goodwill" in our Condensed Consolidated Statements of Comprehensive Loss in the third quarter of 2023. The results of our quantitative goodwill impairment analysis as of October 1, 2023 indicated no impairment of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6, "Goodwill and Intangible Assets" for more information.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Our indefinite-lived intangible asset consists of our Rackspace trade name, which was recorded at fair value on our balance sheet at the date of the Rackspace Acquisition. </w:t>
      </w:r>
      <w:r>
        <w:rPr>
          <w:rFonts w:ascii="Times New Roman;serif" w:hAnsi="Times New Roman;serif"/>
          <w:b w:val="false"/>
          <w:color w:val="000000"/>
          <w:sz w:val="20"/>
        </w:rPr>
        <w:t xml:space="preserve">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factors discussed in the goodwill analyses above and prior to testing our goodwill for impairment, we performed a quantitative assessment of our indefinite-lived intangible asset as of September 30, 2023 and February 29, 2024. The quantitative assessment performed as of those dates indicated the estimated fair value of the Rackspace trade name was less than its carrying value. As a result, we recorded a $57.0 million and $20.0 million non-cash impairment charge as of September 30, 2023 and February 29, 2024, respectively. These charges are included in "Impairment of assets, net" in our Consolidated Statements of Comprehensive Loss in the third quarter of 2023 and first quarter of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quantitative assessments of our indefinite-lived intangible asset performed in conjunction with the other goodwill impairment testing dates, discussed above,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EBITDA margins, and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carrying value of equity investments that do not have a readily determinable fair value was $5.1 million as of December 31, 2024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3 to 5 years for equipment and 1 to 11 years for office space.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liabilities are recognized based on the present value of lease payments, reduced by lease incentives, at the lease commencement date. For finance leases, we use the rate implicit in the lease to determine the present value of lease payments where available. For operating leases, we use an incremental borrowing rate to determine the present value of lease payments as the interest rate implicit in most of our operating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Variable payments related to a lease are expensed as incurred. These costs often relate to payments for a proportionate share of real estate taxes, insurance, common area maintenance, and other operating costs in addition to base rent.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deemed a lessor in certain hosting arrangements where we have determined that the contract contains an identified asset and that control of that asset has transferred to the customer. We account for these arrangements as either sales-type or direct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enter into installment payment arrangements with certain equipment and software vendors. These arrangements are generally non-interest bearing, and require the calculation of an imputed interest rate.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9, "Financing Obligations" for disclosure of future minimum payments under vendor financing and failed sale-leaseback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Restructuring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record restructuring activities including costs for one-time termination benefits in accordance with ASC 420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of our revenue is from contracts with customers. We account for a contract when it has approval and commitment from all parties, the rights of the parties are identified, payment terms are identified, the contract has commercial substance and collectability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Certain hosting contracts contain terms that require us to evaluate whether an embedded lease arrangement exists. If we determine the contract contains a lease arrangement within a multiple-element arrangement, the revenue associated with the lease component is recognized in accordance with the lease accounting standard ASC 842, whereas the revenue associated with the non-lease component is recognized in accordance with the ASC 606 revenue standard.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primary source of revenue is for services within our Public Cloud segment. Customers are generally invoiced monthly based on usage. Contracts for these arrangements typically operate on a consumption model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is reported net of customer credits and sales and use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 Balances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Timing of revenue recognition may differ from the timing of invoicing to customers. Invoiced amounts and accrued unbilled usage are recorded in accounts receivable and either deferred revenue or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credit losses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Incurred to Obtain and Fulfill a Contract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assets for the incremental costs to obtain and fulfill a contract with a customer. Incremental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amortization of set-up costs are recorded within "Cost of revenue" in the Consolidated Statements of Comprehensive Loss. These capitalized costs are included in "Other non-current assets" in the Consolidated Balance Sheets.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share-based compensation, non-equity incentive compensation and related expenses of our support teams and data center employees. Data center facility costs include rent, utility costs, maintenance fees, and bandwidth.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primarily consist of: (i) employee-related costs for functions such as executive management, sales and marketing, R&amp;D,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incurred. Advertising expense was $27.6 million, $26.4 million and $22.8 million for the years ended December 31, 2023, 2024 and 2025,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R&amp;D expense was $43.7 million, $45.4 million and $39.1 million, for the years ended December 31, 2023, 2024 and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Share-Based Compensation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We grant equity awards, including stock options and restricted stock, to eligible participants. </w:t>
      </w:r>
      <w:r>
        <w:rPr>
          <w:rFonts w:ascii="Times New Roman;serif" w:hAnsi="Times New Roman;serif"/>
          <w:b w:val="false"/>
          <w:color w:val="000000"/>
          <w:sz w:val="20"/>
        </w:rPr>
        <w:t>Share-based compensation expense for equity awards is measured at fair value on the grant date.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w:t>
      </w:r>
      <w:r>
        <w:rPr>
          <w:color w:val="000000"/>
          <w:shd w:fill="FFFFFF" w:val="clear"/>
        </w:rPr>
        <w:t xml:space="preserve"> </w:t>
      </w:r>
      <w:r>
        <w:rPr>
          <w:rFonts w:ascii="Times New Roman;serif" w:hAnsi="Times New Roman;serif"/>
          <w:b w:val="false"/>
          <w:color w:val="000000"/>
          <w:sz w:val="20"/>
          <w:shd w:fill="FFFFFF" w:val="clear"/>
        </w:rPr>
        <w:t xml:space="preserve">The fair value of restricted stock with either solely a service requirement or with the combination of service and performance requirements is based on the closing fair market value of our common stock on the date of grant. </w:t>
      </w:r>
      <w:r>
        <w:rPr>
          <w:rFonts w:ascii="Times New Roman;serif" w:hAnsi="Times New Roman;serif"/>
          <w:b w:val="false"/>
          <w:color w:val="000000"/>
          <w:sz w:val="20"/>
        </w:rPr>
        <w:t xml:space="preserve">The fair value of awards with vesting conditions dependent upon market performance is determined using a Monte Carlo simulation. Share-based compensation expense is recognized over the awards requisite service period. For awards with graded vesting that are subject only to a service condition, the expense is recognized on a straight-line basis over the service period for the entire award. Expense for awards with a performance condition is recognized </w:t>
      </w:r>
      <w:r>
        <w:rPr>
          <w:rFonts w:ascii="Times New Roman;serif" w:hAnsi="Times New Roman;serif"/>
          <w:b w:val="false"/>
          <w:color w:val="000000"/>
          <w:sz w:val="20"/>
          <w:shd w:fill="FFFFFF" w:val="clear"/>
        </w:rPr>
        <w:t xml:space="preserve">over our best estimate of the period over which the performance condition will be met. Forfeitures are recognized as incurred, rather than estimated.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periodically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Fair Value Measurements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activity, which require management judgment or estimation. The fair values are therefore determined using model-based techniques, including discounted cash flow models.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measured at fair value on a recurring basis primarily consist of money market funds and derivative instruments. The fair values of money market funds are measured using Level 1 inputs, which are based on a market approach using prices and other relevant information generated by market transactions involving identical or comparable assets. The fair values of derivative instruments are measured using Level 2 inputs. See "Derivative Instruments" below for more information on the inputs used to fair value our derivative instruments.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our long-term debt instruments are measured using Level 2 inputs. See Note 7, "Debt" for more information on the inputs used to fair value our long-term debt instruments.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our reporting units and indefinite-lived intangible assets are measured using Level 3 inputs. See "Goodwill and Indefinite-lived Intangible Assets" above for more information on the inputs used to fair value our reporting units and indefinite-lived 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convertible promissory note described in Note 2, "Customer Contracts" is classified as Level 3 in the fair value hierarchy due to the use of unobservable inputs such as the issuer's credit risk and probabilities of various settlement scenarios.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arising from differences in exchange rates from period to period are recorded within "Accumulated other comprehensive income" in the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Transaction gains or losses in currencies other than the functional currency are included as a component of "Other expense, net" in the Consolidated Statements of Comprehensive Loss. We recorded transaction gains of $3.9 million, losses of $2.4 million, and losses of $1.2 million for the years ended December 31, 2023, 2024 and 2025, respectively.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 Instruments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We are exposed to interest rate risk associated with fluctuations in interest rates on the floating-rate Term Loan Facility, </w:t>
      </w:r>
      <w:r>
        <w:rPr>
          <w:rFonts w:ascii="Times New Roman;serif" w:hAnsi="Times New Roman;serif"/>
          <w:b w:val="false"/>
          <w:color w:val="000000"/>
          <w:sz w:val="20"/>
        </w:rPr>
        <w:t>FLSO Term Loan Facility, and FLFO Term Loan Facility</w:t>
      </w:r>
      <w:r>
        <w:rPr>
          <w:rFonts w:ascii="Times New Roman;serif" w:hAnsi="Times New Roman;serif"/>
          <w:b w:val="false"/>
          <w:color w:val="000000"/>
          <w:sz w:val="20"/>
          <w:shd w:fill="FFFFFF" w:val="clear"/>
        </w:rPr>
        <w:t>.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interest rate swaps,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Hedging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expense, net."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2024 and 2025, we do not have any outstanding foreign currency hedging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Fixed Price Power Contracts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and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2024 and 2025, we do not have any power contracts recorded at fair value on the Consolidated Balance Sheets, as we have applied the normal purchases and normal sales scope exception to derivative accounting for all fixed priced power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 Improvements to Income Tax Disclosures</w:t>
      </w:r>
      <w:r>
        <w:rPr>
          <w:rFonts w:ascii="Times New Roman;serif" w:hAnsi="Times New Roman;serif"/>
          <w:b w:val="false"/>
          <w:color w:val="000000"/>
          <w:sz w:val="20"/>
        </w:rPr>
        <w:t xml:space="preserve">. ASU 2023-09 expands the existing disclosure requirements for the annual rate reconciliation between the effective tax rate and the statutory federal tax rate by requiring reconciliation items to be disaggregated by defined categories and disclosed as both percentages and amounts. The ASU also requires the disaggregation of income taxes paid by jurisdiction for each annual period presented. We have applied this guidance prospectively to our annual income tax disclosures in Note </w:t>
      </w:r>
      <w:r>
        <w:rPr>
          <w:rFonts w:ascii="Times New Roman;serif" w:hAnsi="Times New Roman;serif"/>
          <w:b w:val="false"/>
          <w:color w:val="000000"/>
          <w:sz w:val="20"/>
          <w:shd w:fill="FFFFFF" w:val="clear"/>
        </w:rPr>
        <w:t>13</w:t>
      </w:r>
      <w:r>
        <w:rPr>
          <w:rFonts w:ascii="Times New Roman;serif" w:hAnsi="Times New Roman;serif"/>
          <w:b w:val="false"/>
          <w:color w:val="000000"/>
          <w:sz w:val="20"/>
        </w:rPr>
        <w:t>, "</w:t>
      </w:r>
      <w:r>
        <w:rPr>
          <w:rFonts w:ascii="Times New Roman;serif" w:hAnsi="Times New Roman;serif"/>
          <w:b w:val="false"/>
          <w:i/>
          <w:color w:val="000000"/>
          <w:sz w:val="20"/>
          <w:shd w:fill="FFFFFF" w:val="clear"/>
        </w:rPr>
        <w:t>Taxes.</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Disaggregation of Income Statement Expenses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November 2024, the FASB issued ASU No. 2024-03, </w:t>
      </w:r>
      <w:r>
        <w:rPr>
          <w:rFonts w:ascii="Times New Roman;serif" w:hAnsi="Times New Roman;serif"/>
          <w:b w:val="false"/>
          <w:i/>
          <w:color w:val="000000"/>
          <w:sz w:val="20"/>
          <w:shd w:fill="FFFFFF" w:val="clear"/>
        </w:rPr>
        <w:t>Income Statement - Reporting Comprehensive Income - Expense Disaggregation Disclosures (Subtopic 220-40): Disaggregation of Income Statement Expenses</w:t>
      </w:r>
      <w:r>
        <w:rPr>
          <w:rFonts w:ascii="Times New Roman;serif" w:hAnsi="Times New Roman;serif"/>
          <w:b w:val="false"/>
          <w:color w:val="000000"/>
          <w:sz w:val="20"/>
          <w:shd w:fill="FFFFFF" w:val="clear"/>
        </w:rPr>
        <w:t>. ASU 2024-03 requires disclosure, on an annual and interim basis, of detailed information about the types of expenses included in commonly presented income statement expense captions. Specifically, the guidance requires disaggregated disclosure of specific expense categories including (a) purchases of inventory; (b) employee compensation; (c) depreciation; and (d) intangible asset amortization presented on the face of the income statement within continuing operations. The guidance also requires inclusion of certain amounts already required to be disclosed under generally accepted accounting principles, a qualitative description of remaining amounts in relevant expense captions that are not separately disaggregated quantitatively, the total amount of selling expenses, and, in annual reporting periods, an entity’s definition of selling expenses. This guidance is effective for Rackspace beginning with our 2027 Form 10-K for annual disclosures and interim disclosures beginning with the first quarter 2028 Form 10-Q, with early adoption permitted. The guidance should be applied either prospectively to financial statements issued for reporting periods after the effective date or retrospectively to any or all prior periods presented in the financial statements. We are currently evaluating the provisions of this ASU and, once adopted, will result in additional disclosures about certain expenses in the notes to our financial statements.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Measurement of Credit Losses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July 2025, the FASB issued ASU No. 2025-05, </w:t>
      </w:r>
      <w:r>
        <w:rPr>
          <w:rFonts w:ascii="Times New Roman;serif" w:hAnsi="Times New Roman;serif"/>
          <w:b w:val="false"/>
          <w:i/>
          <w:color w:val="000000"/>
          <w:sz w:val="20"/>
          <w:shd w:fill="FFFFFF" w:val="clear"/>
        </w:rPr>
        <w:t>Financial Instruments - Credit Losses (Topic 326) - Measurement of Credit Losses for Accounts Receivable and Contract Assets</w:t>
      </w:r>
      <w:r>
        <w:rPr>
          <w:rFonts w:ascii="Times New Roman;serif" w:hAnsi="Times New Roman;serif"/>
          <w:b w:val="false"/>
          <w:color w:val="000000"/>
          <w:sz w:val="20"/>
          <w:shd w:fill="FFFFFF" w:val="clear"/>
        </w:rPr>
        <w:t>. ASU 2025-05 allows entities to apply a practical expedient when estimating expected credit losses for current accounts receivable and current contract assets arising from transactions under ASC 606. This guidance is effective for annual reporting periods beginning after December 15, 2025, and interim reporting periods within those annual reporting periods, with early adoption permitted. The guidance should be applied on a prospective basis. We are currently evaluating the potential impact of this ASU on our consolidated financial statements and related disclosures.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Internal-Use Software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September 2025, the FASB issued ASU No. 2025-06, </w:t>
      </w:r>
      <w:r>
        <w:rPr>
          <w:rFonts w:ascii="Times New Roman;serif" w:hAnsi="Times New Roman;serif"/>
          <w:b w:val="false"/>
          <w:i/>
          <w:color w:val="000000"/>
          <w:sz w:val="20"/>
          <w:shd w:fill="FFFFFF" w:val="clear"/>
        </w:rPr>
        <w:t>Intangibles - Goodwill and Other - Internal-Use Software (Subtopic 350-40) - Targeted Improvements to the Accounting for Internal-Use Software</w:t>
      </w:r>
      <w:r>
        <w:rPr>
          <w:rFonts w:ascii="Times New Roman;serif" w:hAnsi="Times New Roman;serif"/>
          <w:b w:val="false"/>
          <w:color w:val="000000"/>
          <w:sz w:val="20"/>
          <w:shd w:fill="FFFFFF" w:val="clear"/>
        </w:rPr>
        <w:t xml:space="preserve">. ASU 2025-06 removes all references to project stages within ASC No. 350-40 and clarifies the threshold entities apply to begin capitalizing internal-use software costs, including defining the “probable-to-complete” recognition threshold. The guidance also specifies that the disclosures under ASC No. 360-10, </w:t>
      </w:r>
      <w:r>
        <w:rPr>
          <w:rFonts w:ascii="Times New Roman;serif" w:hAnsi="Times New Roman;serif"/>
          <w:b w:val="false"/>
          <w:i/>
          <w:color w:val="000000"/>
          <w:sz w:val="20"/>
          <w:shd w:fill="FFFFFF" w:val="clear"/>
        </w:rPr>
        <w:t>Property, Plant, and Equipment - Overall</w:t>
      </w:r>
      <w:r>
        <w:rPr>
          <w:rFonts w:ascii="Times New Roman;serif" w:hAnsi="Times New Roman;serif"/>
          <w:b w:val="false"/>
          <w:color w:val="000000"/>
          <w:sz w:val="20"/>
          <w:shd w:fill="FFFFFF" w:val="clear"/>
        </w:rPr>
        <w:t xml:space="preserve">, apply to capitalized software costs accounted for under ASC No. 350-40, regardless of how those costs are presented in the financial statements. </w:t>
      </w:r>
      <w:r>
        <w:rPr>
          <w:rFonts w:ascii="Times New Roman;serif" w:hAnsi="Times New Roman;serif"/>
          <w:b w:val="false"/>
          <w:color w:val="000000"/>
          <w:sz w:val="20"/>
        </w:rPr>
        <w:t>This guidance is effective for annual reporting periods beginning after December 15, 2027, and interim reporting periods within those annual reporting periods, with early adoption permitted. The guidance may be applied on a prospective, retrospective, or modified transition basis. We are currently evaluating the potential impact of this ASU on our consolidated financial statements and related disclosures.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Hedge Accounting Improvements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November 2025, the FASB issued ASU No. 2025-09, </w:t>
      </w:r>
      <w:r>
        <w:rPr>
          <w:rFonts w:ascii="Times New Roman;serif" w:hAnsi="Times New Roman;serif"/>
          <w:b w:val="false"/>
          <w:i/>
          <w:color w:val="000000"/>
          <w:sz w:val="20"/>
        </w:rPr>
        <w:t xml:space="preserve">Derivatives and Hedging (Topic 815) – Hedge Accounting Improvements </w:t>
      </w:r>
      <w:r>
        <w:rPr>
          <w:rFonts w:ascii="Times New Roman;serif" w:hAnsi="Times New Roman;serif"/>
          <w:b w:val="false"/>
          <w:color w:val="000000"/>
          <w:sz w:val="20"/>
        </w:rPr>
        <w:t>to clarify certain aspects of existing hedge accounting guidance and to more closely align hedge accounting with the economics of an entity’s risk management activities. ASU 2025-09 specifically addresses five issues that are intended to better enable entities to achieve and maintain hedge accounting for highly effective economic hedges. The issues addressed are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This guidance is effective for annual reporting periods beginning after December 15, 2026, and interim reporting periods within those annual reporting periods, with early adoption permitted. The guidance should be applied on a prospective basis for all hedging relationships. Upon adoption, entities are permitted to modify certain critical terms of certain existing hedging relationships without de-designating the hedge. We are currently evaluating the potential impact of this ASU on our consolidated financial statements and related disclosures.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Interim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December 2025, the FASB issued ASU No. 2025-11,</w:t>
      </w:r>
      <w:r>
        <w:rPr>
          <w:color w:val="000000"/>
        </w:rPr>
        <w:t xml:space="preserve"> </w:t>
      </w:r>
      <w:r>
        <w:rPr>
          <w:rFonts w:ascii="Times New Roman;serif" w:hAnsi="Times New Roman;serif"/>
          <w:b w:val="false"/>
          <w:i/>
          <w:color w:val="000000"/>
          <w:sz w:val="20"/>
        </w:rPr>
        <w:t xml:space="preserve">Interim Reporting (Topic 270) – Narrow-Scope Improvements </w:t>
      </w:r>
      <w:r>
        <w:rPr>
          <w:rFonts w:ascii="Times New Roman;serif" w:hAnsi="Times New Roman;serif"/>
          <w:b w:val="false"/>
          <w:color w:val="000000"/>
          <w:sz w:val="20"/>
        </w:rPr>
        <w:t xml:space="preserve">to provide clarity on the current interim reporting requirements and the applicability of Topic 270. ASU 2025-11 includes lists of interim disclosures required by all other codification topics and establishes a principle under which an entity must disclose events since the end of the last annual reporting period that have a material impact on the entity. The amendment is not intended to change the fundamental nature of interim reporting or expand or reduce current interim disclosure requirements. This guidance is effective for interim reporting periods within annual reporting periods beginning after December 15, 2027, with early adoption permitted. The guidance can be applied prospectively or retrospectively to any or all prior periods presented in the financial statements. We are currently evaluating the potential impact of this ASU on our condensed consolidated financial statements and related disclosures included in our interim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931"/>
        <w:gridCol w:w="786"/>
        <w:gridCol w:w="771"/>
        <w:gridCol w:w="847"/>
        <w:gridCol w:w="847"/>
        <w:gridCol w:w="850"/>
        <w:gridCol w:w="109"/>
        <w:gridCol w:w="109"/>
        <w:gridCol w:w="109"/>
        <w:gridCol w:w="313"/>
        <w:gridCol w:w="891"/>
        <w:gridCol w:w="176"/>
        <w:gridCol w:w="109"/>
        <w:gridCol w:w="109"/>
        <w:gridCol w:w="109"/>
        <w:gridCol w:w="313"/>
        <w:gridCol w:w="891"/>
        <w:gridCol w:w="176"/>
        <w:gridCol w:w="109"/>
        <w:gridCol w:w="109"/>
        <w:gridCol w:w="109"/>
        <w:gridCol w:w="307"/>
        <w:gridCol w:w="875"/>
        <w:gridCol w:w="250"/>
      </w:tblGrid>
      <w:tr>
        <w:trPr/>
        <w:tc>
          <w:tcPr>
            <w:tcW w:w="93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Accounts receivable, net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contract assets</w:t>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contract assets</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deferred revenue</w:t>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Allowance for credit losses and accrued customer credits was $20.1 million, $27.0 million and $12.2 million as of December 31, 2023, 2024 and 2025,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allowance for credit losses during the years ended December 31, 2023, 2024 and 2025:</w:t>
      </w:r>
    </w:p>
    <w:tbl>
      <w:tblPr>
        <w:tblW w:w="10205" w:type="dxa"/>
        <w:jc w:val="left"/>
        <w:tblInd w:w="0" w:type="dxa"/>
        <w:tblLayout w:type="fixed"/>
        <w:tblCellMar>
          <w:top w:w="28" w:type="dxa"/>
          <w:left w:w="28" w:type="dxa"/>
          <w:bottom w:w="28" w:type="dxa"/>
          <w:right w:w="28" w:type="dxa"/>
        </w:tblCellMar>
      </w:tblPr>
      <w:tblGrid>
        <w:gridCol w:w="803"/>
        <w:gridCol w:w="693"/>
        <w:gridCol w:w="683"/>
        <w:gridCol w:w="348"/>
        <w:gridCol w:w="829"/>
        <w:gridCol w:w="194"/>
        <w:gridCol w:w="109"/>
        <w:gridCol w:w="109"/>
        <w:gridCol w:w="109"/>
        <w:gridCol w:w="258"/>
        <w:gridCol w:w="614"/>
        <w:gridCol w:w="144"/>
        <w:gridCol w:w="109"/>
        <w:gridCol w:w="109"/>
        <w:gridCol w:w="109"/>
        <w:gridCol w:w="852"/>
        <w:gridCol w:w="2090"/>
        <w:gridCol w:w="478"/>
        <w:gridCol w:w="109"/>
        <w:gridCol w:w="109"/>
        <w:gridCol w:w="109"/>
        <w:gridCol w:w="296"/>
        <w:gridCol w:w="703"/>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Additions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Write-offs of Accounts Receivables,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years ending December 31,</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Additions to the allowance for credit losses are charged to bad debt within "Selling, general and administrative expenses."</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for the years ended December 31, 2023, 2024 and 2025, which were included in deferred revenue as of the beginning of each period totaled $80.9 million, $78.8 million and $84.2 million, respectively.</w:t>
      </w:r>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rFonts w:ascii="Times New Roman;serif" w:hAnsi="Times New Roman;serif"/>
          <w:b/>
          <w:i/>
          <w:color w:val="000000"/>
          <w:sz w:val="20"/>
        </w:rPr>
      </w:pPr>
      <w:r>
        <w:rPr>
          <w:rFonts w:ascii="Times New Roman;serif" w:hAnsi="Times New Roman;serif"/>
          <w:b/>
          <w:i/>
          <w:color w:val="000000"/>
          <w:sz w:val="20"/>
        </w:rPr>
        <w:t>Cost Incurred to Obtain and Fulfill a Contract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and 2025, the balances of capitalized costs to obtain a contract were $38.6 million and $30.8 million, respectively, and the balances of capitalized costs to fulfill a contract were $13.7 million and $16.3 million, respectively. These capitalized costs are included in "Other non-current assets" on the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sales commissions and implementation costs were as follows:</w:t>
      </w:r>
    </w:p>
    <w:tbl>
      <w:tblPr>
        <w:tblW w:w="6567" w:type="dxa"/>
        <w:jc w:val="left"/>
        <w:tblInd w:w="0" w:type="dxa"/>
        <w:tblLayout w:type="fixed"/>
        <w:tblCellMar>
          <w:top w:w="28" w:type="dxa"/>
          <w:left w:w="28" w:type="dxa"/>
          <w:bottom w:w="28" w:type="dxa"/>
          <w:right w:w="28" w:type="dxa"/>
        </w:tblCellMar>
      </w:tblPr>
      <w:tblGrid>
        <w:gridCol w:w="1286"/>
        <w:gridCol w:w="1129"/>
        <w:gridCol w:w="1140"/>
        <w:gridCol w:w="196"/>
        <w:gridCol w:w="466"/>
        <w:gridCol w:w="109"/>
        <w:gridCol w:w="109"/>
        <w:gridCol w:w="109"/>
        <w:gridCol w:w="109"/>
        <w:gridCol w:w="196"/>
        <w:gridCol w:w="466"/>
        <w:gridCol w:w="109"/>
        <w:gridCol w:w="109"/>
        <w:gridCol w:w="109"/>
        <w:gridCol w:w="109"/>
        <w:gridCol w:w="196"/>
        <w:gridCol w:w="46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sales commissions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implementation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aggregate amount of transaction price allocated to remaining performance obligations was $585.0 million, of which approximately 49% is expected to be recognized as revenue during 2026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E.U. Data Act became effective in September 2025 and establishes new requirements related to cloud service switching rights and limits on early termination fees. These provisions will require modifications to our existing E.U. contract terms. We are currently assessing which of our contracts are subject to these requirements. As of December 31, 2025, our existing contractual terms were in place and provide the basis for the remaining performance obligations disclosed above. We expect to revise our contractual terms to comply with the E.U. Data Act in 2026 which could reduce the amount of remaining performance obligations disclosed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Promissory Note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September 27, 2022, we entered into a convertible note purchase agreement with a private company that is also a customer and a vendor. Pursuant to the purchase agreement, we purchased an unsecured convertible promissory note (the "Note") in an aggregate principal amount of $15.0 million. The Note accrues simple interest at a rate of 6% per annum and matures on September 27, 2027, unless earlier converted per the terms of the agreement. Principal and accrued interest are due and payable on the maturity date. We have elected to apply the fair value option under ASC No.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to account for the Note. As of December 31, 2024 and 2025, the fair value of the Note was $15.0 million and $17.1 million, respectively, and is included in "Other non-current assets" on our Consolidated Balance Sheets. The increase in the fair value of the Note is included in “Other expense, net” in the Consolidated Statements of Comprehensive Loss.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Sale of Receivables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2023 (the “Closing Date”), Rackspace US and Rackspace Receivables II, LLC, a bankruptcy-remote SPV, each an indirect subsidiary of the company, entered into the Receivables Purchase Facility with PNC and other parties thereto. On February 12, 2024, the Receivables Purchase Facility was amended to include certain international subsidiaries of the company as parties to the agreement.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Receivables Purchase Facility, certain indirect wholly-owned subsidiaries of the company have sold and/or contributed, and may continue to sell and/or contribute on a revolving basis, their current and future accounts receivable to the SPVs, which, in turn, will sell and transfer, and may continue to sell and transfer, certain of the accounts receivable to PNC in exchange for cash. The Receivables Purchase Facility will terminate on September 29, 2026 unless earlier terminated in accordance with its terms and the SPV can sell accounts receivable based upon the face amount of eligible receivables in the collateral pool up to an aggregate maximum limit of $300.0 million. The purpose of this arrangement is to enhance the company's financial flexibility by providing additional liquidity.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Receivables Purchase Facility is subject to yield charges based upon a rate as specified in the agreement. The SPV is also required to pay certain customary fees on a monthly basis in addition to an upfront fee and a commitment fee. The Receivables Purchase Facility contains certain customary termination events, as well as customary representations and warranties, affirmative and negative covenants, indemnification provisions, and events of default, including those providing for the acceleration of amounts owed by the SPV to PNC upon the occurrence of certain events.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transfers of accounts receivable to PNC are accounted for as sales in accordance with ASC 860 because effective control and risk associated with the transferred accounts receivable is passed to PNC. As these transfers represent true sales, we derecognize the sold accounts receivable from our Consolidated Balance Sheets. Cash proceeds related to the accounts receivable sold are included in cash from operating activities in the Consolidated Statements of Cash Flows. Yield charges and fees recorded in connection with the sales are recorded within “Other expense, net” in the Consolidated Statements of Comprehensive Loss. The company maintains continuing involvement with the sold accounts receivable by providing collection services in exchange for a servicing fee. Servicing fees are immaterial and no servicing asset or liability has been recognized. The company may incur a recourse obligation on the sold accounts receivable in limited circumstances. Separate accruals have been established for recourse obligations and are immaterial as of December 31, 2024 and 2025. Cash collected on pledged accounts receivable, which have not been sold, are included in cash from operating activities in the Consolidated Statements of Cash Flows.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accounts receivable sold during 2023, 2024 and 2025, we recorded $10.6 million, $21.5 million and $20.7 million of expense, respectively, within “Other expense, net” in the Consolidated Statements of Comprehensive Loss. This expense consisted of $6.0 million, $20.5 million and $20.7 million of yield charges and fees in 2023, 2024 and 2025, respectively, and $4.6 million and $1.0 million of upfront transaction costs associated with the execution of the agreement in 2023 and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portfolio of sold accounts receivable derecognized from our Consolidated Balance Sheet as of December 31, 2024 and 2025 was $218.7 million and $253.8 million, respectively. The SPVs hold unsold accounts receivable of $62.2 million as of December 31, 2025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w:t>
      </w:r>
    </w:p>
    <w:tbl>
      <w:tblPr>
        <w:tblW w:w="7137" w:type="dxa"/>
        <w:jc w:val="left"/>
        <w:tblInd w:w="0" w:type="dxa"/>
        <w:tblLayout w:type="fixed"/>
        <w:tblCellMar>
          <w:top w:w="28" w:type="dxa"/>
          <w:left w:w="28" w:type="dxa"/>
          <w:bottom w:w="28" w:type="dxa"/>
          <w:right w:w="28" w:type="dxa"/>
        </w:tblCellMar>
      </w:tblPr>
      <w:tblGrid>
        <w:gridCol w:w="1314"/>
        <w:gridCol w:w="1153"/>
        <w:gridCol w:w="1163"/>
        <w:gridCol w:w="196"/>
        <w:gridCol w:w="631"/>
        <w:gridCol w:w="109"/>
        <w:gridCol w:w="109"/>
        <w:gridCol w:w="109"/>
        <w:gridCol w:w="109"/>
        <w:gridCol w:w="196"/>
        <w:gridCol w:w="631"/>
        <w:gridCol w:w="109"/>
        <w:gridCol w:w="109"/>
        <w:gridCol w:w="109"/>
        <w:gridCol w:w="109"/>
        <w:gridCol w:w="196"/>
        <w:gridCol w:w="63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share: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per share computations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 common share equivalents consist of shares issuable upon the exercise of stock options, vesting of restricted stock or purchase under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38.6 million, 28.9 million and 26.0 million potential common shares from the computation of dilutive loss per share for the years ended December 31, 2023, 2024 and 2025,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w:t>
      </w:r>
    </w:p>
    <w:tbl>
      <w:tblPr>
        <w:tblW w:w="5710" w:type="dxa"/>
        <w:jc w:val="left"/>
        <w:tblInd w:w="0" w:type="dxa"/>
        <w:tblLayout w:type="fixed"/>
        <w:tblCellMar>
          <w:top w:w="28" w:type="dxa"/>
          <w:left w:w="28" w:type="dxa"/>
          <w:bottom w:w="28" w:type="dxa"/>
          <w:right w:w="28" w:type="dxa"/>
        </w:tblCellMar>
      </w:tblPr>
      <w:tblGrid>
        <w:gridCol w:w="1110"/>
        <w:gridCol w:w="973"/>
        <w:gridCol w:w="976"/>
        <w:gridCol w:w="224"/>
        <w:gridCol w:w="791"/>
        <w:gridCol w:w="124"/>
        <w:gridCol w:w="109"/>
        <w:gridCol w:w="109"/>
        <w:gridCol w:w="109"/>
        <w:gridCol w:w="223"/>
        <w:gridCol w:w="787"/>
        <w:gridCol w:w="17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2022, our former corporate headquarters located in Windcrest, Texas met the criteria to be classified as held for sale under GAAP and had an estimated fair value, less estimated cost to sell, of $12.1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2023, we entered into a purchase and sale agreement with a potential buyer of the property for $21.5 million. Under held for sale accounting, the carrying amount of the property held for sale should be remeasured each reporting period for changes in fair value less cost to sell. As such, we increased the property’s estimated fair value, less estimated cost to sell, to $20.7 million as of September 30, 2023, resulting in an $8.6 million gain, which is included in "Impairment of assets, net" in our Consolidated Statements of Comprehensive Loss for the year ended December 31,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we entered into an amendment to the purchase and sale agreement originally executed in July 2023. This amendment lowered the original purchase price of $21.5 million to $17.5 million. As such, we reduced the property’s estimated fair value, less estimated cost to sell, to $16.9 million as of December 31, 2023, resulting in a $3.8 million loss, which is included in "Impairment of assets, net" in our Consolidated Statements of Comprehensive Loss for the year ended December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we completed the sale of the property. The property’s estimated fair value, less estimated cost to sell prior to the sale was $16.9 million and we received cash proceeds of $17.5 million, less brokerage and professional fees of $0.6 million, resulting in net cash proceeds of $16.9 million. In connection with the completion of the sale, we paid a $9.0 million early termination fee to certain local governments related to our termination of the MEIA associated with the property. This amount is included in “Selling, general and administrative expenses” in our Consolidated Statements of Comprehensive Loss for the year ended December 31,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equipment and software was $208.7 million, $141.3 million and $151.4 million for the years ended December 31, 2023, 2024 and 2025,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the balance of property, equipment and software as of December 31, 2024 and 2025 are assets recorded under finance leases. See Note 8, "Leases" for a discussion of the lease arrangements and the amounts within property, equipment and software as of December 31, 2024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changes in the carrying amounts of goodwill by reportable segment during the years ended December 31, 2024 and 2025. </w:t>
      </w:r>
    </w:p>
    <w:tbl>
      <w:tblPr>
        <w:tblW w:w="7360"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252"/>
        <w:gridCol w:w="717"/>
        <w:gridCol w:w="140"/>
        <w:gridCol w:w="109"/>
        <w:gridCol w:w="109"/>
        <w:gridCol w:w="109"/>
        <w:gridCol w:w="230"/>
        <w:gridCol w:w="812"/>
        <w:gridCol w:w="128"/>
        <w:gridCol w:w="109"/>
        <w:gridCol w:w="109"/>
        <w:gridCol w:w="109"/>
        <w:gridCol w:w="196"/>
        <w:gridCol w:w="69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impairment charges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On a consolidated basis, gross and net goodwill as of December 31, 2025 was $3,045.7 million and $740.1 million, respectively. Accumulated impairment charges on a consolidated basis was $2,305.6 million as of December 31, 2025.</w:t>
      </w:r>
    </w:p>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our assumptions and considerations regarding </w:t>
      </w:r>
      <w:r>
        <w:rPr>
          <w:rFonts w:ascii="Times New Roman;serif" w:hAnsi="Times New Roman;serif"/>
          <w:b w:val="false"/>
          <w:color w:val="000000"/>
          <w:sz w:val="20"/>
        </w:rPr>
        <w:t xml:space="preserve">(i) the estimation of future revenue growth rates, projected gross profit margins, projected operating costs, projected EBITDA margins, and projected capital expenditures, which are dependent on internal cash flow forecasts; (ii) estimation of the terminal growth rates; and (iii) determination of the risk-adjusted discount rates. </w:t>
      </w:r>
      <w:r>
        <w:rPr>
          <w:rFonts w:ascii="Times New Roman;serif" w:hAnsi="Times New Roman;serif"/>
          <w:b w:val="false"/>
          <w:color w:val="000000"/>
          <w:sz w:val="20"/>
          <w:shd w:fill="FFFFFF" w:val="clear"/>
        </w:rPr>
        <w:t>Changes in these estimates and assumptions could materially affect the fair value of the reporting unit, potentially resulting in an impairment charge.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fourth quarter of 2025, we performed our annual goodwill impairment test as of October 1, 2025 and the results of our test did not indicate any impairment of goodwill.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first quarter of 2024, we performed an interim quantitative assessment of our reporting units as of February 29, 2024. The results of this goodwill impairment analysis indicated an impairment of goodwill within our Public Cloud and Private Cloud reporting units of $385.4 million and $187.8 million, respectively, and we recorded a non-cash impairment charge in the first quarter of 2024.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third quarter of 2024, we performed an interim quantitative assessment of our reporting units as of September 30, 2024. The results of this goodwill impairment analysis indicated an impairment of goodwill within our Public Cloud and Private Cloud reporting units of $69.2 million and $72.5 million, respectively, and we recorded a non-cash impairment charge in the third quarter of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fourth quarter of 2024, we performed our annual goodwill impairment test as of October 1, 2024 and the results of our test did not indicate any further impairment of goodwill.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change in our segment reporting as a result of the business reorganization as of January 1, 2023, we completed a quantitative goodwill impairment analysis as of January 1, 2023, subsequent to the aforementioned change. The results of the quantitative goodwill impairment analysis indicated an impairment within our Private Cloud reporting unit, and we recorded a non-cash impairment charge of $270.8 million in the first quarter of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first quarter of 2023, we performed an interim quantitative assessment of our reporting units as of March 31, 2023. The results of our interim quantitative goodwill impairment analysis performed as of March 31, 2023 indicated an impairment of goodwill within our Private Cloud reporting unit, and we recorded an additional non-cash impairment charge of $272.3 million in the first quarter of 2023. The impairment was driven by the company's most recent cash flow projections as revised in the first quarter of 2023 which reflected current market conditions and current trends in business performance, including slower than anticipated actualization of bookings.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third quarter of 2023, we performed an interim quantitative assessment of our reporting units as of September 30, 2023. The results of our interim quantitative goodwill impairment analysis performed as of September 30, 2023 indicated an impairment of goodwill within our Private Cloud reporting unit, and we recorded a non-cash impairment charge of $165.7 million in the third quarter of 2023. The impairment was driven by the company's cash flow projections as revised in the third quarter of 2023 to reflect current market conditions and business mix shifts.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October 1, 2023, we reassessed our reporting units and combined our Private Cloud and OpenStack Public Cloud reporting units into a new Private Cloud reporting unit. We completed a quantitative goodwill impairment analysis as of October 1, 2023, subsequent to the aforementioned change. The results of the quantitative goodwill impairment analysis indicated no impairment to goodwill.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See Note 1, "Company Overview, Basis of Presentation, and Summary of Significant Accounting Policies," for additional discussion of the goodwill impairment charges recorded during the years ended December 31, 2023 and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intangible assets other than goodwill:</w:t>
      </w:r>
    </w:p>
    <w:tbl>
      <w:tblPr>
        <w:tblW w:w="10205" w:type="dxa"/>
        <w:jc w:val="center"/>
        <w:tblInd w:w="0" w:type="dxa"/>
        <w:tblLayout w:type="fixed"/>
        <w:tblCellMar>
          <w:top w:w="28" w:type="dxa"/>
          <w:left w:w="28" w:type="dxa"/>
          <w:bottom w:w="28" w:type="dxa"/>
          <w:right w:w="28" w:type="dxa"/>
        </w:tblCellMar>
      </w:tblPr>
      <w:tblGrid>
        <w:gridCol w:w="689"/>
        <w:gridCol w:w="441"/>
        <w:gridCol w:w="445"/>
        <w:gridCol w:w="227"/>
        <w:gridCol w:w="801"/>
        <w:gridCol w:w="126"/>
        <w:gridCol w:w="109"/>
        <w:gridCol w:w="109"/>
        <w:gridCol w:w="109"/>
        <w:gridCol w:w="253"/>
        <w:gridCol w:w="912"/>
        <w:gridCol w:w="141"/>
        <w:gridCol w:w="109"/>
        <w:gridCol w:w="109"/>
        <w:gridCol w:w="109"/>
        <w:gridCol w:w="230"/>
        <w:gridCol w:w="653"/>
        <w:gridCol w:w="128"/>
        <w:gridCol w:w="109"/>
        <w:gridCol w:w="109"/>
        <w:gridCol w:w="109"/>
        <w:gridCol w:w="227"/>
        <w:gridCol w:w="801"/>
        <w:gridCol w:w="126"/>
        <w:gridCol w:w="109"/>
        <w:gridCol w:w="109"/>
        <w:gridCol w:w="109"/>
        <w:gridCol w:w="253"/>
        <w:gridCol w:w="912"/>
        <w:gridCol w:w="141"/>
        <w:gridCol w:w="109"/>
        <w:gridCol w:w="109"/>
        <w:gridCol w:w="109"/>
        <w:gridCol w:w="228"/>
        <w:gridCol w:w="648"/>
        <w:gridCol w:w="188"/>
      </w:tblGrid>
      <w:tr>
        <w:trPr/>
        <w:tc>
          <w:tcPr>
            <w:tcW w:w="6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(indefinite-lived)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other than goodwill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2023 and 2024 we recognized impairment charges of $57.0 million and $20.0 million, respectively, related to our trade name indefinite-lived intangible asset. These impairment charges are recorded in “Impairment of assets, net” in our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see the discussion of our impairment charges in Note 1, "Company Overview, Basis of Presentation,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intangibles was $161.0 million, $154.1 million and $146.9 million for the years ended December 31, 2023, 2024 and 2025,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of December 31, 2025, amortization of intangible assets for the next five years and thereafter is expected to be as follows:</w:t>
      </w:r>
    </w:p>
    <w:tbl>
      <w:tblPr>
        <w:tblW w:w="2519" w:type="dxa"/>
        <w:jc w:val="left"/>
        <w:tblInd w:w="0" w:type="dxa"/>
        <w:tblLayout w:type="fixed"/>
        <w:tblCellMar>
          <w:top w:w="28" w:type="dxa"/>
          <w:left w:w="28" w:type="dxa"/>
          <w:bottom w:w="28" w:type="dxa"/>
          <w:right w:w="28" w:type="dxa"/>
        </w:tblCellMar>
      </w:tblPr>
      <w:tblGrid>
        <w:gridCol w:w="375"/>
        <w:gridCol w:w="329"/>
        <w:gridCol w:w="330"/>
        <w:gridCol w:w="320"/>
        <w:gridCol w:w="911"/>
        <w:gridCol w:w="2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58"/>
        <w:gridCol w:w="990"/>
        <w:gridCol w:w="999"/>
        <w:gridCol w:w="109"/>
        <w:gridCol w:w="109"/>
        <w:gridCol w:w="109"/>
        <w:gridCol w:w="399"/>
        <w:gridCol w:w="386"/>
        <w:gridCol w:w="388"/>
        <w:gridCol w:w="109"/>
        <w:gridCol w:w="109"/>
        <w:gridCol w:w="109"/>
        <w:gridCol w:w="351"/>
        <w:gridCol w:w="351"/>
        <w:gridCol w:w="352"/>
        <w:gridCol w:w="109"/>
        <w:gridCol w:w="109"/>
        <w:gridCol w:w="109"/>
        <w:gridCol w:w="196"/>
        <w:gridCol w:w="691"/>
        <w:gridCol w:w="109"/>
        <w:gridCol w:w="109"/>
        <w:gridCol w:w="109"/>
        <w:gridCol w:w="109"/>
        <w:gridCol w:w="351"/>
        <w:gridCol w:w="351"/>
        <w:gridCol w:w="352"/>
        <w:gridCol w:w="109"/>
        <w:gridCol w:w="109"/>
        <w:gridCol w:w="109"/>
        <w:gridCol w:w="196"/>
        <w:gridCol w:w="691"/>
        <w:gridCol w:w="159"/>
      </w:tblGrid>
      <w:tr>
        <w:trPr/>
        <w:tc>
          <w:tcPr>
            <w:tcW w:w="125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Interest Rate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Interest Rate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debt premium,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Contractual interest rate as of each respective balance sheet date. The New Revolving Credit Facility interest rate is the weighted average interest rate of borrowings outstanding as of the balance sheet date.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March 2024 Refinancing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Private Exchange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Private Exchange, (i) $331.4 million aggregate principal amount of Existing Secured Notes and $1,588.8 million aggregate principal amount of the Existing Term Loans were exchanged or purchased for cancellation and (ii) $267.3 million aggregate principal amount of the 3.50% FLSO Senior Secured Notes and $1,312.0 million aggregate principal amount of the FLSO Term Loan Facility were issued by Rackspace Finance, a new subsidiary of the company (the “New Borrower”).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New Borrower issued $275.0 million aggregate principal amount of the FLFO Term Loan Facility and we repurchased and cancelled $69.3 million aggregate principal amount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See “</w:t>
      </w:r>
      <w:r>
        <w:rPr>
          <w:rFonts w:ascii="Times New Roman;serif" w:hAnsi="Times New Roman;serif"/>
          <w:b w:val="false"/>
          <w:i/>
          <w:color w:val="000000"/>
          <w:sz w:val="20"/>
        </w:rPr>
        <w:t>New Debt Instruments</w:t>
      </w:r>
      <w:r>
        <w:rPr>
          <w:color w:val="000000"/>
        </w:rPr>
        <w:t xml:space="preserve">” </w:t>
      </w:r>
      <w:r>
        <w:rPr>
          <w:rFonts w:ascii="Times New Roman;serif" w:hAnsi="Times New Roman;serif"/>
          <w:b w:val="false"/>
          <w:color w:val="000000"/>
          <w:sz w:val="20"/>
        </w:rPr>
        <w:t xml:space="preserve">below for additional discussion of the new 3.50% FLSO Senior Secured Notes, FLSO Term Loan Facility, and FLFO Term Loan Facility.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Public Exchanges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March 12, 2024, the New Borrower also established the New Revolving Credit Facility with commitments in an aggregate principal amount of $375.0 million.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 See “</w:t>
      </w:r>
      <w:r>
        <w:rPr>
          <w:rFonts w:ascii="Times New Roman;serif" w:hAnsi="Times New Roman;serif"/>
          <w:b w:val="false"/>
          <w:i/>
          <w:color w:val="000000"/>
          <w:sz w:val="20"/>
        </w:rPr>
        <w:t>New Debt Instruments</w:t>
      </w:r>
      <w:r>
        <w:rPr>
          <w:color w:val="000000"/>
        </w:rPr>
        <w:t xml:space="preserve">” </w:t>
      </w:r>
      <w:r>
        <w:rPr>
          <w:rFonts w:ascii="Times New Roman;serif" w:hAnsi="Times New Roman;serif"/>
          <w:b w:val="false"/>
          <w:color w:val="000000"/>
          <w:sz w:val="20"/>
        </w:rPr>
        <w:t>below for additional discussion of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refer to the Private Exchange, the Public Term Loan Exchange, the Public Note Exchange and the entry into the New Revolving Credit Facility, collectively, as the “March 2024 Refinancing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Impacts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performed an assessment of the March 2024 Refinancing Transactions and determined it met the criteria to be accounted for as a troubled debt restructuring under ASC No. 470-60,</w:t>
      </w:r>
      <w:r>
        <w:rPr>
          <w:color w:val="000000"/>
        </w:rPr>
        <w:t xml:space="preserve">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For each series of </w:t>
      </w:r>
      <w:r>
        <w:rPr>
          <w:rFonts w:ascii="Times New Roman;serif" w:hAnsi="Times New Roman;serif"/>
          <w:b w:val="false"/>
          <w:color w:val="000000"/>
          <w:sz w:val="20"/>
          <w:shd w:fill="FFFFFF" w:val="clear"/>
        </w:rPr>
        <w:t xml:space="preserve">the Existing Debt Instruments exchanged, the undiscounted cash flows associated with the </w:t>
      </w:r>
      <w:r>
        <w:rPr>
          <w:rFonts w:ascii="Times New Roman;serif" w:hAnsi="Times New Roman;serif"/>
          <w:b w:val="false"/>
          <w:color w:val="000000"/>
          <w:sz w:val="20"/>
        </w:rPr>
        <w:t xml:space="preserve">New Debt Instruments </w:t>
      </w:r>
      <w:r>
        <w:rPr>
          <w:rFonts w:ascii="Times New Roman;serif" w:hAnsi="Times New Roman;serif"/>
          <w:b w:val="false"/>
          <w:color w:val="000000"/>
          <w:sz w:val="20"/>
          <w:shd w:fill="FFFFFF" w:val="clear"/>
        </w:rPr>
        <w:t>issued were compared to the</w:t>
      </w:r>
      <w:r>
        <w:rPr>
          <w:color w:val="000000"/>
        </w:rPr>
        <w:t xml:space="preserve"> </w:t>
      </w:r>
      <w:r>
        <w:rPr>
          <w:rFonts w:ascii="Times New Roman;serif" w:hAnsi="Times New Roman;serif"/>
          <w:b w:val="false"/>
          <w:color w:val="000000"/>
          <w:sz w:val="20"/>
        </w:rPr>
        <w:t>carrying value of the Existing</w:t>
      </w:r>
      <w:r>
        <w:rPr>
          <w:color w:val="000000"/>
          <w:shd w:fill="FFFFFF" w:val="clear"/>
        </w:rPr>
        <w:t xml:space="preserve"> </w:t>
      </w:r>
      <w:r>
        <w:rPr>
          <w:rFonts w:ascii="Times New Roman;serif" w:hAnsi="Times New Roman;serif"/>
          <w:b w:val="false"/>
          <w:color w:val="000000"/>
          <w:sz w:val="20"/>
          <w:shd w:fill="FFFFFF" w:val="clear"/>
        </w:rPr>
        <w:t xml:space="preserve">Debt Instruments exchanged for such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and the applicable exchange was accounted for as follows: (i) to the extent the undiscounted cash flows of the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in question were lower than the carrying value of the applicable Existing Debt Instruments exchanged, the carrying value of the applicable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was established at the total of these undiscounted cash flows, with a gain recorded for the remaining difference between this value and the carrying value of the applicable Existing Debt Instruments (as such, no interest expense will be recorded for the applicable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rPr>
        <w:t>FLSO Senior Secured Notes</w:t>
      </w:r>
      <w:r>
        <w:rPr>
          <w:color w:val="000000"/>
          <w:shd w:fill="FFFFFF" w:val="clear"/>
        </w:rPr>
        <w:t xml:space="preserve"> </w:t>
      </w:r>
      <w:r>
        <w:rPr>
          <w:rFonts w:ascii="Times New Roman;serif" w:hAnsi="Times New Roman;serif"/>
          <w:b w:val="false"/>
          <w:color w:val="000000"/>
          <w:sz w:val="20"/>
          <w:shd w:fill="FFFFFF" w:val="clear"/>
        </w:rPr>
        <w:t xml:space="preserve">prospectively) and (ii) to the extent the undiscounted cash flows of the New Debt Instruments in question exceeded the carrying value of the applicable Existing Debt Instruments exchanged, the carrying value of the applicable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was established at the carrying value of the applicable Existing Debt Instruments and the company established new effective interest rates based on the carrying value of the applicable Existing Term Loans prior to the March 2024 Refinancing Transactions.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difference between the principal amount of the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rPr>
        <w:t>FLSO Senior Secured Notes</w:t>
      </w:r>
      <w:r>
        <w:rPr>
          <w:color w:val="000000"/>
          <w:shd w:fill="FFFFFF" w:val="clear"/>
        </w:rPr>
        <w:t xml:space="preserve"> </w:t>
      </w:r>
      <w:r>
        <w:rPr>
          <w:rFonts w:ascii="Times New Roman;serif" w:hAnsi="Times New Roman;serif"/>
          <w:b w:val="false"/>
          <w:color w:val="000000"/>
          <w:sz w:val="20"/>
          <w:shd w:fill="FFFFFF" w:val="clear"/>
        </w:rPr>
        <w:t xml:space="preserve">and the carrying value was recorded as a premium and is included in long-term debt on our Consolidated Balance Sheets.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premium recorded on the 3.50%</w:t>
      </w:r>
      <w:r>
        <w:rPr>
          <w:color w:val="000000"/>
          <w:shd w:fill="FFFFFF" w:val="clear"/>
        </w:rPr>
        <w:t xml:space="preserve"> </w:t>
      </w:r>
      <w:r>
        <w:rPr>
          <w:rFonts w:ascii="Times New Roman;serif" w:hAnsi="Times New Roman;serif"/>
          <w:b w:val="false"/>
          <w:color w:val="000000"/>
          <w:sz w:val="20"/>
        </w:rPr>
        <w:t>FLSO Senior Secured Notes was $39.1 million, which will be reduced as contractual interest payments are made on the 3.50%</w:t>
      </w:r>
      <w:r>
        <w:rPr>
          <w:color w:val="000000"/>
          <w:shd w:fill="FFFFFF" w:val="clear"/>
        </w:rPr>
        <w:t xml:space="preserve"> </w:t>
      </w:r>
      <w:r>
        <w:rPr>
          <w:rFonts w:ascii="Times New Roman;serif" w:hAnsi="Times New Roman;serif"/>
          <w:b w:val="false"/>
          <w:color w:val="000000"/>
          <w:sz w:val="20"/>
        </w:rPr>
        <w:t xml:space="preserve">FLSO Senior Secured Notes.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March 2024 Refinancing Transactions, we recorded a gain in the first quarter of 2024 of $56.7 million after deducting third-party costs and lender fees incurred. The gain is included in "Gain on debt extinguishment, net of debt modification costs" in our Consolidated Statements of Comprehensive Loss. We incurred third party fees of $28.4 million.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w:t>
      </w:r>
      <w:r>
        <w:rPr>
          <w:rFonts w:ascii="Times New Roman;serif" w:hAnsi="Times New Roman;serif"/>
          <w:b w:val="false"/>
          <w:color w:val="000000"/>
          <w:sz w:val="20"/>
          <w:shd w:fill="FFFFFF" w:val="clear"/>
        </w:rPr>
        <w:t>Gain on debt extinguishment, net of debt modification costs</w:t>
      </w:r>
      <w:r>
        <w:rPr>
          <w:rFonts w:ascii="Times New Roman;serif" w:hAnsi="Times New Roman;serif"/>
          <w:b w:val="false"/>
          <w:color w:val="000000"/>
          <w:sz w:val="20"/>
        </w:rPr>
        <w:t xml:space="preserve">" in our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the New Borrower, the lenders and issuing banks party thereto and Citi, as the administrative agent and collateral agent, entered into the New First Lien Credit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The New Borrower issued the FLSO Term Loan Facility in an aggregate principal amount of $1,687.2 million. The FLSO Term Loan Facility matures on May 15, 2028. Borrowings under the FLSO Term Loan Facility bear interest at an annual rate equal to </w:t>
      </w:r>
      <w:r>
        <w:rPr>
          <w:rFonts w:ascii="Times New Roman;serif" w:hAnsi="Times New Roman;serif"/>
          <w:b w:val="false"/>
          <w:color w:val="000000"/>
          <w:sz w:val="20"/>
          <w:shd w:fill="FFFFFF" w:val="clear"/>
        </w:rPr>
        <w:t>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the contractual interest rate on the FLSO Term Loan Facility was 6.61%. We are required to make quarterly principal payments of $4.2 million</w:t>
      </w:r>
      <w:r>
        <w:rPr>
          <w:rFonts w:ascii="Times New Roman;serif" w:hAnsi="Times New Roman;serif"/>
          <w:b w:val="false"/>
          <w:color w:val="000000"/>
          <w:sz w:val="20"/>
          <w:shd w:fill="FFFFFF" w:val="clear"/>
        </w:rPr>
        <w:t xml:space="preserve">. See Note </w:t>
      </w:r>
      <w:r>
        <w:rPr>
          <w:rFonts w:ascii="Times New Roman;serif" w:hAnsi="Times New Roman;serif"/>
          <w:b w:val="false"/>
          <w:color w:val="000000"/>
          <w:sz w:val="20"/>
        </w:rPr>
        <w:t>14</w:t>
      </w:r>
      <w:r>
        <w:rPr>
          <w:rFonts w:ascii="Times New Roman;serif" w:hAnsi="Times New Roman;serif"/>
          <w:b w:val="false"/>
          <w:color w:val="000000"/>
          <w:sz w:val="20"/>
          <w:shd w:fill="FFFFFF" w:val="clear"/>
        </w:rPr>
        <w:t>, “</w:t>
      </w:r>
      <w:r>
        <w:rPr>
          <w:rFonts w:ascii="Times New Roman;serif" w:hAnsi="Times New Roman;serif"/>
          <w:b w:val="false"/>
          <w:color w:val="000000"/>
          <w:sz w:val="20"/>
        </w:rPr>
        <w:t>Derivatives</w:t>
      </w:r>
      <w:r>
        <w:rPr>
          <w:rFonts w:ascii="Times New Roman;serif" w:hAnsi="Times New Roman;serif"/>
          <w:b w:val="false"/>
          <w:color w:val="000000"/>
          <w:sz w:val="20"/>
          <w:shd w:fill="FFFFFF" w:val="clear"/>
        </w:rPr>
        <w:t xml:space="preserve">,” for information on interest rate swap agreements we utilize to manage the interest rate risk on the </w:t>
      </w:r>
      <w:r>
        <w:rPr>
          <w:rFonts w:ascii="Times New Roman;serif" w:hAnsi="Times New Roman;serif"/>
          <w:b w:val="false"/>
          <w:color w:val="000000"/>
          <w:sz w:val="20"/>
        </w:rPr>
        <w:t xml:space="preserve">FLSO </w:t>
      </w:r>
      <w:r>
        <w:rPr>
          <w:rFonts w:ascii="Times New Roman;serif" w:hAnsi="Times New Roman;serif"/>
          <w:b w:val="false"/>
          <w:color w:val="000000"/>
          <w:sz w:val="20"/>
          <w:shd w:fill="FFFFFF" w:val="clear"/>
        </w:rPr>
        <w:t xml:space="preserve">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Affiliates of Apollo are FLSO Term Loan Facility lenders under the New First Lien Credit Agreement. As of December 31, 2025, the outstanding principal amount of the FLSO Term Loan Facility was $1,610.0 million, of which $79.7 million, or 4.9%, is due to Apollo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or after September 12, 2025, the New Borrower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year ended December 31, 2024, the New Borrower repurchased and surrendered for cancellation $43.4 million principal amount of the FLSO Term Loan Facility for $20.6 million. In connection with these repurchases, we recorded a gain, included in "</w:t>
      </w:r>
      <w:r>
        <w:rPr>
          <w:rFonts w:ascii="Times New Roman;serif" w:hAnsi="Times New Roman;serif"/>
          <w:b w:val="false"/>
          <w:color w:val="000000"/>
          <w:sz w:val="20"/>
          <w:shd w:fill="FFFFFF" w:val="clear"/>
        </w:rPr>
        <w:t>Gain on debt extinguishment, net of debt modification costs</w:t>
      </w:r>
      <w:r>
        <w:rPr>
          <w:rFonts w:ascii="Times New Roman;serif" w:hAnsi="Times New Roman;serif"/>
          <w:b w:val="false"/>
          <w:color w:val="000000"/>
          <w:sz w:val="20"/>
        </w:rPr>
        <w:t>", of $32.1 million in our Consolidated Statements of Comprehensive Loss for the year ended December 31, 2024, which includes $9.0 million of unamortized debt issuance costs and debt premium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FLSO Term Loan Facility as of December 31, 2025 was $595.7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contains certain customary affirmative covenants, negative covenants, and events of default.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FLFO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The New Borrower issued the FLFO Term Loan Facility in an initial aggregate principal amount of $275.0 million. The FLFO Term Loan Facility matures on May 15, 2028. Borrowings under the FLFO Term Loan Facility bear interest at an annual rate equal to </w:t>
      </w:r>
      <w:r>
        <w:rPr>
          <w:rFonts w:ascii="Times New Roman;serif" w:hAnsi="Times New Roman;serif"/>
          <w:b w:val="false"/>
          <w:color w:val="000000"/>
          <w:sz w:val="20"/>
          <w:shd w:fill="FFFFFF" w:val="clear"/>
        </w:rPr>
        <w:t xml:space="preserve">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w:t>
      </w:r>
      <w:r>
        <w:rPr>
          <w:rFonts w:ascii="Times New Roman;serif" w:hAnsi="Times New Roman;serif"/>
          <w:b w:val="false"/>
          <w:color w:val="000000"/>
          <w:sz w:val="20"/>
        </w:rPr>
        <w:t xml:space="preserve">6.25% and were issued with 1.00% of original issue discount.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December 31, 2025, the contractual interest rate on the FLFO Term Loan Facility was 10.11%. We are required to make quarterly principal payments of $0.7 million</w:t>
      </w:r>
      <w:r>
        <w:rPr>
          <w:rFonts w:ascii="Times New Roman;serif" w:hAnsi="Times New Roman;serif"/>
          <w:b w:val="false"/>
          <w:color w:val="000000"/>
          <w:sz w:val="20"/>
          <w:shd w:fill="FFFFFF" w:val="clear"/>
        </w:rPr>
        <w:t xml:space="preserve">. See Note </w:t>
      </w:r>
      <w:r>
        <w:rPr>
          <w:rFonts w:ascii="Times New Roman;serif" w:hAnsi="Times New Roman;serif"/>
          <w:b w:val="false"/>
          <w:color w:val="000000"/>
          <w:sz w:val="20"/>
        </w:rPr>
        <w:t>14</w:t>
      </w:r>
      <w:r>
        <w:rPr>
          <w:rFonts w:ascii="Times New Roman;serif" w:hAnsi="Times New Roman;serif"/>
          <w:b w:val="false"/>
          <w:color w:val="000000"/>
          <w:sz w:val="20"/>
          <w:shd w:fill="FFFFFF" w:val="clear"/>
        </w:rPr>
        <w:t>, “</w:t>
      </w:r>
      <w:r>
        <w:rPr>
          <w:rFonts w:ascii="Times New Roman;serif" w:hAnsi="Times New Roman;serif"/>
          <w:b w:val="false"/>
          <w:color w:val="000000"/>
          <w:sz w:val="20"/>
        </w:rPr>
        <w:t>Derivatives</w:t>
      </w:r>
      <w:r>
        <w:rPr>
          <w:rFonts w:ascii="Times New Roman;serif" w:hAnsi="Times New Roman;serif"/>
          <w:b w:val="false"/>
          <w:color w:val="000000"/>
          <w:sz w:val="20"/>
          <w:shd w:fill="FFFFFF" w:val="clear"/>
        </w:rPr>
        <w:t xml:space="preserve">,” for information on interest rate swap agreements we utilize to manage the interest rate risk on the </w:t>
      </w:r>
      <w:r>
        <w:rPr>
          <w:rFonts w:ascii="Times New Roman;serif" w:hAnsi="Times New Roman;serif"/>
          <w:b w:val="false"/>
          <w:color w:val="000000"/>
          <w:sz w:val="20"/>
        </w:rPr>
        <w:t xml:space="preserve">FLFO </w:t>
      </w:r>
      <w:r>
        <w:rPr>
          <w:rFonts w:ascii="Times New Roman;serif" w:hAnsi="Times New Roman;serif"/>
          <w:b w:val="false"/>
          <w:color w:val="000000"/>
          <w:sz w:val="20"/>
          <w:shd w:fill="FFFFFF" w:val="clear"/>
        </w:rPr>
        <w:t xml:space="preserve">Term Loan Facility.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FLFO Term Loan Facility as of December 31, 2025 was $277.0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New 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New Borrower is the borrower and all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are secured by the same collateral that secures the FLSO Term Loan Facility, the FLFO Term Loan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borrowed $155.0 million and repaid $95.0 million on the New Revolving Credit Facility.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total commitments of $375.0 million, $60.0 million of outstanding borrowings under the New Revolving Credit Facility, and $23.5 million of letters of credit issued thereunder. As such,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$291.5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covenants under the New Senior Facilities.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each February 15 and August 15.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During the year ended December 31, 2024, the New Borrower repurchased and surrendered for cancellation $45.7 million principal amount of the 3.50% FLSO Senior Secured Notes for $19.3 million, including accrued interest of $0.4 million. In connection with these repurchases, we recorded a gain, included in "</w:t>
      </w:r>
      <w:r>
        <w:rPr>
          <w:rFonts w:ascii="Times New Roman;serif" w:hAnsi="Times New Roman;serif"/>
          <w:b w:val="false"/>
          <w:color w:val="000000"/>
          <w:sz w:val="20"/>
          <w:shd w:fill="FFFFFF" w:val="clear"/>
        </w:rPr>
        <w:t>Gain on debt extinguishment, net of debt modification costs</w:t>
      </w:r>
      <w:r>
        <w:rPr>
          <w:rFonts w:ascii="Times New Roman;serif" w:hAnsi="Times New Roman;serif"/>
          <w:b w:val="false"/>
          <w:color w:val="000000"/>
          <w:sz w:val="20"/>
        </w:rPr>
        <w:t>", of $33.0 million, in our Consolidated Statements of Comprehensive Loss for the year ended December 31, 2024, which includes $6.3 million of unamortized debt issuance costs and debt premium write-offs.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 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fair value of the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shd w:fill="FFFFFF" w:val="clear"/>
        </w:rPr>
        <w:t xml:space="preserve">FLSO Senior Secured Notes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$117.0 million</w:t>
      </w:r>
      <w:r>
        <w:rPr>
          <w:color w:val="000000"/>
          <w:shd w:fill="FFFFFF" w:val="clear"/>
        </w:rPr>
        <w:t xml:space="preserve"> </w:t>
      </w:r>
      <w:r>
        <w:rPr>
          <w:rFonts w:ascii="Times New Roman;serif" w:hAnsi="Times New Roman;serif"/>
          <w:b w:val="false"/>
          <w:color w:val="000000"/>
          <w:sz w:val="20"/>
          <w:shd w:fill="FFFFFF" w:val="clear"/>
        </w:rPr>
        <w:t xml:space="preserve">based on quoted market prices for identical assets that are traded in over-the-counter secondary markets that are not considered active. The fair value of the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shd w:fill="FFFFFF" w:val="clear"/>
        </w:rPr>
        <w:t>FLSO Senior Secured Notes is classified as Level 2 within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Senior Facilities include the Term Loan Facility and the Prior Revolving Credit Facility, and is governed by the First Lien Credit Agreement with Wilmington Trust, National Association as the administrative agent.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2021, we amended and restated the First Lien Credit Agreement, which included a new seven-year $2,300.0 million senior secured first lien term loan facility due on February 15, 2028 and the prior $375.0 million Revolving Credit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Prior Revolving Credit Facility, or (b) a base rate determined by reference to the highest of (i) the federal funds rate plus 0.50%, (ii) the prime rate last quoted by The Wall Street Journal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applicable margin for the Term Loan Facility is 2.75% for SOFR loans and 1.75% for base rate loans and the applicable margin for the Prior Revolving Credit Facility was 3.00% for SOFR loans and 2.00% for base rate loans. Interest is due at the end of each interest period elected, not exceeding 90 days, for SOFR loans and at the end of every calendar quarter for base rate loans.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other material terms and conditions of the First Lien Credit Agreement were unchanged.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paying interest on the outstanding principal under the Senior Facilities, the Prior Revolving Credit Facility also included a commitment fee equal to 0.50% per annum in respect of the unused commitments that was due quarterly. This commitment fee is subject to one step-down based on the net first lien leverage ratio.</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interest rate on the Term Loan Facility was 6.60%. We are required to make quarterly principal payments of $0.2 million. See Note 14, "Derivatives" for information on interest rate swap agreements we utilize to manage the interest rate risk on the Term Loan Facility.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year ended December 31, 2023, Rackspace Technology Global repurchased and surrendered for cancellation $55.6 million principal amount of the Term Loan Facility for $29.5 million. In connection with this repurchase, we recorded a gain on debt extinguishment of $25.5 million included in “</w:t>
      </w:r>
      <w:r>
        <w:rPr>
          <w:rFonts w:ascii="Times New Roman;serif" w:hAnsi="Times New Roman;serif"/>
          <w:b w:val="false"/>
          <w:color w:val="000000"/>
          <w:sz w:val="20"/>
          <w:shd w:fill="FFFFFF" w:val="clear"/>
        </w:rPr>
        <w:t>Gain on debt extinguishment, net of debt modification costs</w:t>
      </w:r>
      <w:r>
        <w:rPr>
          <w:color w:val="000000"/>
        </w:rPr>
        <w:t xml:space="preserve">” </w:t>
      </w:r>
      <w:r>
        <w:rPr>
          <w:rFonts w:ascii="Times New Roman;serif" w:hAnsi="Times New Roman;serif"/>
          <w:b w:val="false"/>
          <w:color w:val="000000"/>
          <w:sz w:val="20"/>
        </w:rPr>
        <w:t>in our Consolidated Statements of Comprehensive Loss for the year ended December 31, 2023, which includes $0.6 million of unamortized debt issuance costs and debt discount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result of the Private Exchange and the Public Term Loan Exchange, discussed within “</w:t>
      </w:r>
      <w:r>
        <w:rPr>
          <w:rFonts w:ascii="Times New Roman;serif" w:hAnsi="Times New Roman;serif"/>
          <w:b w:val="false"/>
          <w:i/>
          <w:color w:val="000000"/>
          <w:sz w:val="20"/>
        </w:rPr>
        <w:t>March 2024 Refinancing Transactions</w:t>
      </w:r>
      <w:r>
        <w:rPr>
          <w:color w:val="000000"/>
        </w:rPr>
        <w:t xml:space="preserve">” </w:t>
      </w:r>
      <w:r>
        <w:rPr>
          <w:rFonts w:ascii="Times New Roman;serif" w:hAnsi="Times New Roman;serif"/>
          <w:b w:val="false"/>
          <w:color w:val="000000"/>
          <w:sz w:val="20"/>
        </w:rPr>
        <w:t>above, over 97% of the $2,181.2 million aggregate principal amount of the Term Loan Facility outstanding as of December 31, 2023 was exchanged or purchased for cancellation.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The only financial covenant was with respect to the Prior Revolving Credit Facility. As discussed in “</w:t>
      </w:r>
      <w:r>
        <w:rPr>
          <w:rFonts w:ascii="Times New Roman;serif" w:hAnsi="Times New Roman;serif"/>
          <w:b w:val="false"/>
          <w:i/>
          <w:color w:val="000000"/>
          <w:sz w:val="20"/>
        </w:rPr>
        <w:t>March 2024 Refinancing Transactions</w:t>
      </w:r>
      <w:r>
        <w:rPr>
          <w:color w:val="000000"/>
        </w:rPr>
        <w:t>”</w:t>
      </w:r>
      <w:r>
        <w:rPr>
          <w:color w:val="000000"/>
          <w:shd w:fill="FFFFFF" w:val="clear"/>
        </w:rPr>
        <w:t xml:space="preserve"> </w:t>
      </w:r>
      <w:r>
        <w:rPr>
          <w:rFonts w:ascii="Times New Roman;serif" w:hAnsi="Times New Roman;serif"/>
          <w:b w:val="false"/>
          <w:color w:val="000000"/>
          <w:sz w:val="20"/>
          <w:shd w:fill="FFFFFF" w:val="clear"/>
        </w:rPr>
        <w:t>above, on March 12, 2024, a</w:t>
      </w:r>
      <w:r>
        <w:rPr>
          <w:rFonts w:ascii="Times New Roman;serif" w:hAnsi="Times New Roman;serif"/>
          <w:b w:val="false"/>
          <w:color w:val="000000"/>
          <w:sz w:val="20"/>
        </w:rPr>
        <w:t>ll revolving lenders under the Prior Revolving Credit Facility exchanged their revolving loan commitments for commitments in respect of the New Revolving Credit Facility, which replaced in full the Prior Revolving Credit Facility. See “</w:t>
      </w:r>
      <w:r>
        <w:rPr>
          <w:rFonts w:ascii="Times New Roman;serif" w:hAnsi="Times New Roman;serif"/>
          <w:b w:val="false"/>
          <w:i/>
          <w:color w:val="000000"/>
          <w:sz w:val="20"/>
        </w:rPr>
        <w:t>New Revolving Credit Facility</w:t>
      </w:r>
      <w:r>
        <w:rPr>
          <w:color w:val="000000"/>
        </w:rPr>
        <w:t xml:space="preserve">” </w:t>
      </w:r>
      <w:r>
        <w:rPr>
          <w:rFonts w:ascii="Times New Roman;serif" w:hAnsi="Times New Roman;serif"/>
          <w:b w:val="false"/>
          <w:color w:val="000000"/>
          <w:sz w:val="20"/>
        </w:rPr>
        <w:t xml:space="preserve">above for information regarding this new debt instrument.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were in compliance with all covenants under the Senior Facilities.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Term Loan Facility as of December 31, 2025 was $18.6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issued $550.0 million aggregate principal amount of 3.50% Senior Secured Notes due 2028. The 3.50% Senior Secured Notes will mature on February 15, 2028 and bear interest at an annual fixed rate of 3.50%. Interest is payable semiannually on each February 15 and August 15. The 3.50% Senior Secured Notes are not subject to registration rights.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Rackspace Technology Global is the issuer of the 3.50% Senior Secured Notes, and obligations under the 3.50% Senior Secured Notes are fully and unconditionally guaranteed, jointly and severally, by all of Rackspace Technology </w:t>
      </w:r>
      <w:r>
        <w:rPr>
          <w:rFonts w:ascii="Times New Roman;serif" w:hAnsi="Times New Roman;serif"/>
          <w:b w:val="false"/>
          <w:color w:val="000000"/>
          <w:sz w:val="20"/>
          <w:shd w:fill="FFFFFF" w:val="clear"/>
        </w:rPr>
        <w:t>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may redeem the 3.50% Senior Secured Notes at its option, in whole at any time or in part from time to time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year ended December 31, 2023, Rackspace Technology Global repurchased and surrendered for cancellation $36.3 million principal amount of 3.50% Senior Secured Notes for $18.4 million, including accrued interest of $0.3 million. In connection with this repurchase, we recorded a gain on debt extinguishment of $17.9 million included in “</w:t>
      </w:r>
      <w:r>
        <w:rPr>
          <w:rFonts w:ascii="Times New Roman;serif" w:hAnsi="Times New Roman;serif"/>
          <w:b w:val="false"/>
          <w:color w:val="000000"/>
          <w:sz w:val="20"/>
          <w:shd w:fill="FFFFFF" w:val="clear"/>
        </w:rPr>
        <w:t>Gain on debt extinguishment, net of debt modification costs</w:t>
      </w:r>
      <w:r>
        <w:rPr>
          <w:color w:val="000000"/>
        </w:rPr>
        <w:t xml:space="preserve">” </w:t>
      </w:r>
      <w:r>
        <w:rPr>
          <w:rFonts w:ascii="Times New Roman;serif" w:hAnsi="Times New Roman;serif"/>
          <w:b w:val="false"/>
          <w:color w:val="000000"/>
          <w:sz w:val="20"/>
        </w:rPr>
        <w:t>in our Consolidated Statements of Comprehensive Loss for the year ended December 31, 2023, which includes $0.3 million of unamortized debt issuance costs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a result of the Private Exchange and the Public Note Exchange, discussed above, over 91% of the $513.7 million aggregate principal amount of the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shd w:fill="FFFFFF" w:val="clear"/>
        </w:rPr>
        <w:t>Senior Secured Notes outstanding as of December 31, 2023 was exchanged or purchased for cancellation.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3.50% Senior Secured Notes as of December 31, 2025 was $9.4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issued $550.0 million aggregate principal amount of the 5.375% Senior Notes on December 1, 2020. The 5.375% Senior Notes will mature on December 1, 2028 and bear interest at an annual fixed rate of 5.375%. Interest is payable semiannually on each June 1 and December 1. The 5.375% Senior Notes are not subject to registration rights.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may redeem the 5.375% Senior Notes at its option, in whole at any time or in part from time to time, from December 1, 2025 and thereafter, at a redemption price equal to 100.000% of the principal amount, plus accrued and unpaid interest, if any, to but excluding the redemption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year ended December 31, 2023, Rackspace Technology Global repurchased and surrendered for cancellation $352.4 million principal amount of 5.375% Senior Notes for $124.1 million, including accrued interest of $2.8 million. In connection with these repurchases, we recorded a gain on debt extinguishment of $227.9 million included in “</w:t>
      </w:r>
      <w:r>
        <w:rPr>
          <w:rFonts w:ascii="Times New Roman;serif" w:hAnsi="Times New Roman;serif"/>
          <w:b w:val="false"/>
          <w:color w:val="000000"/>
          <w:sz w:val="20"/>
          <w:shd w:fill="FFFFFF" w:val="clear"/>
        </w:rPr>
        <w:t>Gain on debt extinguishment, net of debt modification costs</w:t>
      </w:r>
      <w:r>
        <w:rPr>
          <w:color w:val="000000"/>
        </w:rPr>
        <w:t xml:space="preserve">” </w:t>
      </w:r>
      <w:r>
        <w:rPr>
          <w:rFonts w:ascii="Times New Roman;serif" w:hAnsi="Times New Roman;serif"/>
          <w:b w:val="false"/>
          <w:color w:val="000000"/>
          <w:sz w:val="20"/>
        </w:rPr>
        <w:t>in our Consolidated Statements of Comprehensive Loss for the year ended December 31, 2023, which includes $3.2 million of unamortized debt issuance costs write-offs.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previously described in “</w:t>
      </w:r>
      <w:r>
        <w:rPr>
          <w:rFonts w:ascii="Times New Roman;serif" w:hAnsi="Times New Roman;serif"/>
          <w:b w:val="false"/>
          <w:i/>
          <w:color w:val="000000"/>
          <w:sz w:val="20"/>
        </w:rPr>
        <w:t>March 2024 Refinancing Transactions</w:t>
      </w:r>
      <w:r>
        <w:rPr>
          <w:color w:val="000000"/>
        </w:rPr>
        <w:t xml:space="preserve">” </w:t>
      </w:r>
      <w:r>
        <w:rPr>
          <w:rFonts w:ascii="Times New Roman;serif" w:hAnsi="Times New Roman;serif"/>
          <w:b w:val="false"/>
          <w:color w:val="000000"/>
          <w:sz w:val="20"/>
        </w:rPr>
        <w:t>above, as part of the Private Exchange, we repurchased and cancelled $69.3 million aggregate principal amount of the 5.375% Senior Notes during the year ended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 addition, during the year ended December 31, 2024, Rackspace Technology Global repurchased and surrendered for cancellation $2.9 million principal amount of 5.375% Senior Notes for $0.8 million. In connection with these repurchases, we recorded a gain, included in "</w:t>
      </w:r>
      <w:r>
        <w:rPr>
          <w:rFonts w:ascii="Times New Roman;serif" w:hAnsi="Times New Roman;serif"/>
          <w:b w:val="false"/>
          <w:color w:val="000000"/>
          <w:sz w:val="20"/>
          <w:shd w:fill="FFFFFF" w:val="clear"/>
        </w:rPr>
        <w:t>Gain on debt extinguishment, net of debt modification costs</w:t>
      </w:r>
      <w:r>
        <w:rPr>
          <w:rFonts w:ascii="Times New Roman;serif" w:hAnsi="Times New Roman;serif"/>
          <w:b w:val="false"/>
          <w:color w:val="000000"/>
          <w:sz w:val="20"/>
        </w:rPr>
        <w:t>", of $2.1 million, in our Consolidated Statements of Comprehensive Loss for the year ended December 31,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Rackspace Technology Global was in compliance with all covenants under the 5.375% Notes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5.375% Senior Notes as of December 31, 2025 was $26.4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maturities of debt obligations for the next five years at December 31, 2025 are as follows:</w:t>
      </w:r>
    </w:p>
    <w:p>
      <w:pPr>
        <w:pStyle w:val="TextBody"/>
        <w:bidi w:val="0"/>
        <w:spacing w:before="0" w:after="0"/>
        <w:jc w:val="left"/>
        <w:rPr/>
      </w:pPr>
      <w:r>
        <w:rPr/>
      </w:r>
    </w:p>
    <w:tbl>
      <w:tblPr>
        <w:tblW w:w="2075" w:type="dxa"/>
        <w:jc w:val="left"/>
        <w:tblInd w:w="0" w:type="dxa"/>
        <w:tblLayout w:type="fixed"/>
        <w:tblCellMar>
          <w:top w:w="28" w:type="dxa"/>
          <w:left w:w="28" w:type="dxa"/>
          <w:bottom w:w="28" w:type="dxa"/>
          <w:right w:w="28" w:type="dxa"/>
        </w:tblCellMar>
      </w:tblPr>
      <w:tblGrid>
        <w:gridCol w:w="375"/>
        <w:gridCol w:w="329"/>
        <w:gridCol w:w="330"/>
        <w:gridCol w:w="196"/>
        <w:gridCol w:w="691"/>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recorded as property and equipment under finance leases, and the related accumulated depreciation balances as of December 31, 2024 and 2025 were as follows: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1664"/>
        <w:gridCol w:w="1461"/>
        <w:gridCol w:w="1465"/>
        <w:gridCol w:w="351"/>
        <w:gridCol w:w="997"/>
        <w:gridCol w:w="197"/>
        <w:gridCol w:w="109"/>
        <w:gridCol w:w="109"/>
        <w:gridCol w:w="109"/>
        <w:gridCol w:w="343"/>
        <w:gridCol w:w="976"/>
        <w:gridCol w:w="270"/>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book value of property and equipment under finance leases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and finance lease expense for the years ended December 31, 2023, 2024 and 2025 were as follows:</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127"/>
        <w:gridCol w:w="986"/>
        <w:gridCol w:w="991"/>
        <w:gridCol w:w="196"/>
        <w:gridCol w:w="466"/>
        <w:gridCol w:w="109"/>
        <w:gridCol w:w="109"/>
        <w:gridCol w:w="109"/>
        <w:gridCol w:w="109"/>
        <w:gridCol w:w="196"/>
        <w:gridCol w:w="466"/>
        <w:gridCol w:w="109"/>
        <w:gridCol w:w="109"/>
        <w:gridCol w:w="109"/>
        <w:gridCol w:w="109"/>
        <w:gridCol w:w="196"/>
        <w:gridCol w:w="46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expense:</w:t>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finance lease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finance lease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operating cash flow information related to operating and finance leases for the years ended December 31, 2023, 2024 and 2025 were as follows:</w:t>
      </w:r>
    </w:p>
    <w:p>
      <w:pPr>
        <w:pStyle w:val="TextBody"/>
        <w:bidi w:val="0"/>
        <w:spacing w:before="0" w:after="0"/>
        <w:jc w:val="left"/>
        <w:rPr/>
      </w:pPr>
      <w:r>
        <w:rPr/>
      </w:r>
    </w:p>
    <w:tbl>
      <w:tblPr>
        <w:tblW w:w="8366" w:type="dxa"/>
        <w:jc w:val="left"/>
        <w:tblInd w:w="0" w:type="dxa"/>
        <w:tblLayout w:type="fixed"/>
        <w:tblCellMar>
          <w:top w:w="28" w:type="dxa"/>
          <w:left w:w="28" w:type="dxa"/>
          <w:bottom w:w="28" w:type="dxa"/>
          <w:right w:w="28" w:type="dxa"/>
        </w:tblCellMar>
      </w:tblPr>
      <w:tblGrid>
        <w:gridCol w:w="1860"/>
        <w:gridCol w:w="1632"/>
        <w:gridCol w:w="1637"/>
        <w:gridCol w:w="196"/>
        <w:gridCol w:w="541"/>
        <w:gridCol w:w="109"/>
        <w:gridCol w:w="109"/>
        <w:gridCol w:w="109"/>
        <w:gridCol w:w="109"/>
        <w:gridCol w:w="196"/>
        <w:gridCol w:w="541"/>
        <w:gridCol w:w="109"/>
        <w:gridCol w:w="109"/>
        <w:gridCol w:w="109"/>
        <w:gridCol w:w="109"/>
        <w:gridCol w:w="196"/>
        <w:gridCol w:w="541"/>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lease liabilities included within operating activities: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 assets obtained in exchange for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Modified/renewed lease assets obtained in exchange for lease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 obtained in exchange for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and 2025, the weighted average remaining lease term and weighted average discount rate of our operating and finance leases, respectively, were as follows:</w:t>
      </w:r>
    </w:p>
    <w:p>
      <w:pPr>
        <w:pStyle w:val="TextBody"/>
        <w:bidi w:val="0"/>
        <w:spacing w:before="0" w:after="0"/>
        <w:jc w:val="left"/>
        <w:rPr/>
      </w:pPr>
      <w:r>
        <w:rPr/>
      </w:r>
    </w:p>
    <w:tbl>
      <w:tblPr>
        <w:tblW w:w="7060" w:type="dxa"/>
        <w:jc w:val="left"/>
        <w:tblInd w:w="0" w:type="dxa"/>
        <w:tblLayout w:type="fixed"/>
        <w:tblCellMar>
          <w:top w:w="28" w:type="dxa"/>
          <w:left w:w="28" w:type="dxa"/>
          <w:bottom w:w="28" w:type="dxa"/>
          <w:right w:w="28" w:type="dxa"/>
        </w:tblCellMar>
      </w:tblPr>
      <w:tblGrid>
        <w:gridCol w:w="1303"/>
        <w:gridCol w:w="1146"/>
        <w:gridCol w:w="1150"/>
        <w:gridCol w:w="354"/>
        <w:gridCol w:w="354"/>
        <w:gridCol w:w="836"/>
        <w:gridCol w:w="109"/>
        <w:gridCol w:w="109"/>
        <w:gridCol w:w="109"/>
        <w:gridCol w:w="333"/>
        <w:gridCol w:w="333"/>
        <w:gridCol w:w="92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lease payments under operating and finance leases as of December 31, 2025 are as follows:</w:t>
      </w:r>
    </w:p>
    <w:p>
      <w:pPr>
        <w:pStyle w:val="TextBody"/>
        <w:bidi w:val="0"/>
        <w:spacing w:before="0" w:after="0"/>
        <w:jc w:val="left"/>
        <w:rPr/>
      </w:pPr>
      <w:r>
        <w:rPr/>
      </w:r>
    </w:p>
    <w:tbl>
      <w:tblPr>
        <w:tblW w:w="5816" w:type="dxa"/>
        <w:jc w:val="left"/>
        <w:tblInd w:w="0" w:type="dxa"/>
        <w:tblLayout w:type="fixed"/>
        <w:tblCellMar>
          <w:top w:w="28" w:type="dxa"/>
          <w:left w:w="28" w:type="dxa"/>
          <w:bottom w:w="28" w:type="dxa"/>
          <w:right w:w="28" w:type="dxa"/>
        </w:tblCellMar>
      </w:tblPr>
      <w:tblGrid>
        <w:gridCol w:w="903"/>
        <w:gridCol w:w="792"/>
        <w:gridCol w:w="795"/>
        <w:gridCol w:w="354"/>
        <w:gridCol w:w="1007"/>
        <w:gridCol w:w="199"/>
        <w:gridCol w:w="109"/>
        <w:gridCol w:w="109"/>
        <w:gridCol w:w="109"/>
        <w:gridCol w:w="311"/>
        <w:gridCol w:w="884"/>
        <w:gridCol w:w="244"/>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Operating leases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Finance leases</w:t>
            </w:r>
            <w:r>
              <w:rPr>
                <w:color w:val="000000"/>
              </w:rPr>
              <w:t xml:space="preserve"> </w:t>
            </w:r>
            <w:r>
              <w:rPr>
                <w:rFonts w:ascii="Times New Roman;serif" w:hAnsi="Times New Roman;serif"/>
                <w:b/>
                <w:color w:val="000000"/>
                <w:sz w:val="12"/>
              </w:rPr>
              <w:t>(1)</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liability</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There are no material finance or operating leases that have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Financing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 average imputed interest rate for our financing obligations was 9.6% as of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future payments under financing obligations were as follows:</w:t>
      </w:r>
    </w:p>
    <w:p>
      <w:pPr>
        <w:pStyle w:val="TextBody"/>
        <w:bidi w:val="0"/>
        <w:spacing w:before="0" w:after="0"/>
        <w:ind w:left="0" w:right="0" w:firstLine="540"/>
        <w:jc w:val="left"/>
        <w:rPr/>
      </w:pPr>
      <w:r>
        <w:rPr/>
      </w:r>
    </w:p>
    <w:tbl>
      <w:tblPr>
        <w:tblW w:w="4296" w:type="dxa"/>
        <w:jc w:val="left"/>
        <w:tblInd w:w="0" w:type="dxa"/>
        <w:tblLayout w:type="fixed"/>
        <w:tblCellMar>
          <w:top w:w="28" w:type="dxa"/>
          <w:left w:w="28" w:type="dxa"/>
          <w:bottom w:w="28" w:type="dxa"/>
          <w:right w:w="28" w:type="dxa"/>
        </w:tblCellMar>
      </w:tblPr>
      <w:tblGrid>
        <w:gridCol w:w="1262"/>
        <w:gridCol w:w="1108"/>
        <w:gridCol w:w="1110"/>
        <w:gridCol w:w="196"/>
        <w:gridCol w:w="46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payments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amount representing residual asset balance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financing obligations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2025, are approximated as follows: </w:t>
      </w:r>
    </w:p>
    <w:tbl>
      <w:tblPr>
        <w:tblW w:w="2075" w:type="dxa"/>
        <w:jc w:val="left"/>
        <w:tblInd w:w="0" w:type="dxa"/>
        <w:tblLayout w:type="fixed"/>
        <w:tblCellMar>
          <w:top w:w="28" w:type="dxa"/>
          <w:left w:w="28" w:type="dxa"/>
          <w:bottom w:w="28" w:type="dxa"/>
          <w:right w:w="28" w:type="dxa"/>
        </w:tblCellMar>
      </w:tblPr>
      <w:tblGrid>
        <w:gridCol w:w="375"/>
        <w:gridCol w:w="329"/>
        <w:gridCol w:w="330"/>
        <w:gridCol w:w="196"/>
        <w:gridCol w:w="691"/>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have purchase orders and construction contracts primarily related to data center equipment and facility build-outs. We generally have the right to cancel these open purchase orders prior to delivery or terminate the contracts without cause.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contingencies that arise from various litigation, claims and commitments, none of which we consider to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2024 or 2025.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2024 or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and 2025, we had 232.2 million and 248.4 million shares of our common stock legally issued and 229.1 million and 245.3 million common stock outstanding,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one class of authorized common stock. The rights and privileges provided to our common stockholders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Voting Rights</w:t>
      </w:r>
      <w:r>
        <w:rPr>
          <w:color w:val="000000"/>
        </w:rPr>
        <w:t>—</w:t>
      </w:r>
      <w:r>
        <w:rPr>
          <w:rFonts w:ascii="Times New Roman;serif" w:hAnsi="Times New Roman;serif"/>
          <w:b w:val="false"/>
          <w:color w:val="000000"/>
          <w:sz w:val="20"/>
        </w:rPr>
        <w:t>The holders of our common stock are entitled to one vote per share on all matters submitted for action by the stockholders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Dividend Rights</w:t>
      </w:r>
      <w:r>
        <w:rPr>
          <w:color w:val="000000"/>
        </w:rPr>
        <w:t>—</w:t>
      </w:r>
      <w:r>
        <w:rPr>
          <w:rFonts w:ascii="Times New Roman;serif" w:hAnsi="Times New Roman;serif"/>
          <w:b w:val="false"/>
          <w:color w:val="000000"/>
          <w:sz w:val="20"/>
        </w:rPr>
        <w:t>Subject to any preferential rights of any then outstanding preferred stock, all shares of our common stock are entitled to share equally in any dividends our Board may declare from legally available sources.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Liquidation Rights</w:t>
      </w:r>
      <w:r>
        <w:rPr>
          <w:color w:val="000000"/>
        </w:rPr>
        <w:t>—</w:t>
      </w:r>
      <w:r>
        <w:rPr>
          <w:rFonts w:ascii="Times New Roman;serif" w:hAnsi="Times New Roman;serif"/>
          <w:b w:val="false"/>
          <w:color w:val="000000"/>
          <w:sz w:val="20"/>
        </w:rPr>
        <w:t>Upon our liquidation, dissolution or winding up, whether voluntary or involuntary, after payment in full of the amounts required to be paid to holders of any then outstanding preferred stock, all shares of our common stock are entitled to share equally in the assets available for distribution to stockholders after payment of all of our prior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and 2025, there were 5.0 million authorized shares of preferred stock, of which none was issued or outstanding.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Datapipe Contingent Shares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a MOIC on any “Measurement Date” (which is defined in the Datapipe Merger Agreement as (i) each date following the occurrence of a change in control or closing date of the IPO on which Apollo receives cash distributions, cash proceeds and/or marketable securities of the company in respect of their ownership interest in the company and (ii) each day after the IPO on which the company’s shares of capital stock are (a) freely tradeable without violating any “lockup” agreements, other contractual restrictions or securities laws and (b) are listed on a public stock exchange). The maximum number of shares of common stock issuable will not exceed 10,663,741 shares in the aggregate, subject to adjustment for stock splits, stock dividends, recombinations, reclassifications and similar equitable adjustments.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February 2, 2021, we issued 2,665,935 shares of common stock for no additional consideration pursuant to the Datapipe Merger Agreement. If the MOIC exceeds 3.0x, which is indicated by a volume weighted average trading price of our common stock over 30 consecutive trading days of more than $25.00 per share, we will be required to issue an additional 2,665,935 shares. No shares were issued under the Datapipe Merger Agreement during the years ended </w:t>
      </w:r>
      <w:r>
        <w:rPr>
          <w:rFonts w:ascii="Times New Roman;serif" w:hAnsi="Times New Roman;serif"/>
          <w:b w:val="false"/>
          <w:color w:val="000000"/>
          <w:sz w:val="20"/>
          <w:shd w:fill="FFFFFF" w:val="clear"/>
        </w:rPr>
        <w:t xml:space="preserve">December 31, 2023, </w:t>
      </w:r>
      <w:r>
        <w:rPr>
          <w:rFonts w:ascii="Times New Roman;serif" w:hAnsi="Times New Roman;serif"/>
          <w:b w:val="false"/>
          <w:color w:val="000000"/>
          <w:sz w:val="20"/>
        </w:rPr>
        <w:t xml:space="preserve">2024 or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Share-Based Compensation and Employee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Incentive Plans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2017, the Executive Committee of the Board authorized the company to adopt the 2017 Incentive Plan. On July 24, 2020, the Board approved, effective on August 7, 2020, the 2020 Incentive Plan and amendments to the 2017 Incentive Plan which, among other things, resulted in the termination of the 2017 Incentive Plan, except as it relates to outstanding awards, and any remaining shares reserved for future grants under the 2017 Incentive Plan were released.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2020 Incentive Plan provides for the grant of stock options, including incentive stock options, and nonqualified stock options, stock appreciation rights, restricted stock, RSUs, other stock-based incentive awards, dividend equivalents and cash-based awards (collectively, "awards"). Incentive stock options may be granted only to our employees or an employee of a parent or subsidiary. All other awards may be granted to employees and consultants of the company and its parents and subsidiaries, as well as all non-employee members of our Board.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2023, 2024 and 2025, the company granted RSU's (including performance-based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The maximum number of shares of our common stock available for issuance under the 2020 Incentive Plan was originally 25.0 million shares. This amount was subsequently increased to 50.0 million shares in 2022, 57.9 million shares in 2023 and 87.9 million</w:t>
      </w:r>
      <w:r>
        <w:rPr>
          <w:color w:val="000000"/>
        </w:rPr>
        <w:t xml:space="preserve"> </w:t>
      </w:r>
      <w:r>
        <w:rPr>
          <w:rFonts w:ascii="Times New Roman;serif" w:hAnsi="Times New Roman;serif"/>
          <w:b w:val="false"/>
          <w:color w:val="000000"/>
          <w:sz w:val="20"/>
        </w:rPr>
        <w:t xml:space="preserve">shares in 2024. </w:t>
      </w:r>
      <w:r>
        <w:rPr>
          <w:rFonts w:ascii="Times New Roman;serif" w:hAnsi="Times New Roman;serif"/>
          <w:b w:val="false"/>
          <w:color w:val="000000"/>
          <w:sz w:val="20"/>
          <w:shd w:fill="FFFFFF" w:val="clear"/>
        </w:rPr>
        <w:t>To the exten</w:t>
      </w:r>
      <w:r>
        <w:rPr>
          <w:rFonts w:ascii="Times New Roman;serif" w:hAnsi="Times New Roman;serif"/>
          <w:b w:val="false"/>
          <w:color w:val="000000"/>
          <w:sz w:val="20"/>
        </w:rPr>
        <w:t xml:space="preserve">t awards granted under the 2020 Incentive Plan terminate, expire or lapse, shares subject to such awards generally will again be available for future grant.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As of December 31, 2025, the total number of shares outstanding and the total number of shares available for future grants under the Incentive Plans was </w:t>
      </w:r>
      <w:r>
        <w:rPr>
          <w:rFonts w:ascii="Times New Roman;serif" w:hAnsi="Times New Roman;serif"/>
          <w:b w:val="false"/>
          <w:color w:val="000000"/>
          <w:sz w:val="20"/>
          <w:shd w:fill="FFFFFF" w:val="clear"/>
        </w:rPr>
        <w:t>15.7 million</w:t>
      </w:r>
      <w:r>
        <w:rPr>
          <w:color w:val="000000"/>
        </w:rPr>
        <w:t xml:space="preserve"> </w:t>
      </w:r>
      <w:r>
        <w:rPr>
          <w:rFonts w:ascii="Times New Roman;serif" w:hAnsi="Times New Roman;serif"/>
          <w:b w:val="false"/>
          <w:color w:val="000000"/>
          <w:sz w:val="20"/>
        </w:rPr>
        <w:t>and 38.5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composition of the equity awards outstanding as of December 31, 2024 and 2025 was as follows:</w:t>
      </w:r>
    </w:p>
    <w:p>
      <w:pPr>
        <w:pStyle w:val="TextBody"/>
        <w:bidi w:val="0"/>
        <w:spacing w:before="0" w:after="0"/>
        <w:ind w:left="0" w:right="0" w:firstLine="540"/>
        <w:jc w:val="both"/>
        <w:rPr/>
      </w:pPr>
      <w:r>
        <w:rPr/>
      </w:r>
    </w:p>
    <w:tbl>
      <w:tblPr>
        <w:tblW w:w="5366" w:type="dxa"/>
        <w:jc w:val="left"/>
        <w:tblInd w:w="0" w:type="dxa"/>
        <w:tblLayout w:type="fixed"/>
        <w:tblCellMar>
          <w:top w:w="28" w:type="dxa"/>
          <w:left w:w="28" w:type="dxa"/>
          <w:bottom w:w="28" w:type="dxa"/>
          <w:right w:w="28" w:type="dxa"/>
        </w:tblCellMar>
      </w:tblPr>
      <w:tblGrid>
        <w:gridCol w:w="691"/>
        <w:gridCol w:w="606"/>
        <w:gridCol w:w="608"/>
        <w:gridCol w:w="514"/>
        <w:gridCol w:w="514"/>
        <w:gridCol w:w="516"/>
        <w:gridCol w:w="109"/>
        <w:gridCol w:w="109"/>
        <w:gridCol w:w="109"/>
        <w:gridCol w:w="465"/>
        <w:gridCol w:w="465"/>
        <w:gridCol w:w="660"/>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awards</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have been granted for a term of 10 years and generally vest ratably over a three-year period, subject to continued service.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2021, we shifted away from granting stock options as we had in previous years, to granting restricted stock. As such, there were no stock options granted during the years ended December 31, 2023, 2024 or 2025 under the 2020 Incentive Plan. See “</w:t>
      </w:r>
      <w:r>
        <w:rPr>
          <w:rFonts w:ascii="Times New Roman;serif" w:hAnsi="Times New Roman;serif"/>
          <w:b w:val="false"/>
          <w:i/>
          <w:color w:val="000000"/>
          <w:sz w:val="20"/>
        </w:rPr>
        <w:t>Employment Inducement Awards</w:t>
      </w:r>
      <w:r>
        <w:rPr>
          <w:color w:val="000000"/>
        </w:rPr>
        <w:t xml:space="preserve">” </w:t>
      </w:r>
      <w:r>
        <w:rPr>
          <w:rFonts w:ascii="Times New Roman;serif" w:hAnsi="Times New Roman;serif"/>
          <w:b w:val="false"/>
          <w:color w:val="000000"/>
          <w:sz w:val="20"/>
        </w:rPr>
        <w:t>discussion below for stock options granted outside of the 2020 Incentive Plan.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for the year ended December 31, 2025:</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3"/>
        <w:gridCol w:w="808"/>
        <w:gridCol w:w="436"/>
        <w:gridCol w:w="436"/>
        <w:gridCol w:w="438"/>
        <w:gridCol w:w="109"/>
        <w:gridCol w:w="109"/>
        <w:gridCol w:w="109"/>
        <w:gridCol w:w="325"/>
        <w:gridCol w:w="923"/>
        <w:gridCol w:w="180"/>
        <w:gridCol w:w="109"/>
        <w:gridCol w:w="109"/>
        <w:gridCol w:w="109"/>
        <w:gridCol w:w="772"/>
        <w:gridCol w:w="772"/>
        <w:gridCol w:w="773"/>
        <w:gridCol w:w="109"/>
        <w:gridCol w:w="109"/>
        <w:gridCol w:w="109"/>
        <w:gridCol w:w="422"/>
        <w:gridCol w:w="875"/>
        <w:gridCol w:w="345"/>
      </w:tblGrid>
      <w:tr>
        <w:trPr/>
        <w:tc>
          <w:tcPr>
            <w:tcW w:w="9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millions)</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exercisable at December 31, 2025</w:t>
            </w:r>
          </w:p>
        </w:tc>
        <w:tc>
          <w:tcPr>
            <w:tcW w:w="13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Vested and exercisable at December 31, 2025 and expected to vest thereafter </w:t>
            </w:r>
            <w:r>
              <w:rPr>
                <w:rFonts w:ascii="Times New Roman;serif" w:hAnsi="Times New Roman;serif"/>
                <w:b w:val="false"/>
                <w:color w:val="000000"/>
                <w:sz w:val="12"/>
              </w:rPr>
              <w:t>(1)</w:t>
            </w:r>
          </w:p>
        </w:tc>
        <w:tc>
          <w:tcPr>
            <w:tcW w:w="13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(1)    Forfeitures are recognized as they occur, rather than estimated</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pre-tax intrinsic value of the stock options exercised during the years ended December 31, 2023 and 2024 was not material.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recognized over the awards requisite service period or over our best estimate of the period over which the performance condition will be met, as applicable. As of December 31, 2025 compensation cost related to stock options has been fully recognized.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shifted away from granting stock options as we had in previous years, to granting restricted stock. The majority of our restricted stock grants were made as part of our annual compensation award process and vest ratably over a three-year period, subject to continued service. Restricted stock has also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2023, 2024 and 2025, we granted 28.5 million, 10.1 million and 11.0 million RSUs, respectively, under the 2020 Incentive Plan with a weighted average grant date fair value of $2.17, $1.89 and $1.43, respectively. The majority of the RSUs were granted as part of our annual compensation award process and vest ratable over a three-year period, subject to continued service. </w:t>
      </w:r>
      <w:r>
        <w:rPr>
          <w:rFonts w:ascii="Times New Roman;serif" w:hAnsi="Times New Roman;serif"/>
          <w:b w:val="false"/>
          <w:color w:val="000000"/>
          <w:sz w:val="20"/>
        </w:rPr>
        <w:t>See “</w:t>
      </w:r>
      <w:r>
        <w:rPr>
          <w:rFonts w:ascii="Times New Roman;serif" w:hAnsi="Times New Roman;serif"/>
          <w:b w:val="false"/>
          <w:i/>
          <w:color w:val="000000"/>
          <w:sz w:val="20"/>
        </w:rPr>
        <w:t>Employment Inducement Awards</w:t>
      </w:r>
      <w:r>
        <w:rPr>
          <w:color w:val="000000"/>
        </w:rPr>
        <w:t xml:space="preserve">” </w:t>
      </w:r>
      <w:r>
        <w:rPr>
          <w:rFonts w:ascii="Times New Roman;serif" w:hAnsi="Times New Roman;serif"/>
          <w:b w:val="false"/>
          <w:color w:val="000000"/>
          <w:sz w:val="20"/>
        </w:rPr>
        <w:t>discussion below for RSUs granted outside of the 2020 Incentive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addition, during </w:t>
      </w:r>
      <w:r>
        <w:rPr>
          <w:rFonts w:ascii="Times New Roman;serif" w:hAnsi="Times New Roman;serif"/>
          <w:b w:val="false"/>
          <w:color w:val="000000"/>
          <w:sz w:val="20"/>
          <w:shd w:fill="FFFFFF" w:val="clear"/>
        </w:rPr>
        <w:t>2023 and 2024</w:t>
      </w:r>
      <w:r>
        <w:rPr>
          <w:rFonts w:ascii="Times New Roman;serif" w:hAnsi="Times New Roman;serif"/>
          <w:b w:val="false"/>
          <w:color w:val="000000"/>
          <w:sz w:val="20"/>
        </w:rPr>
        <w:t>, 2.8 million and 0.6 million PSUs, respectively, were granted under the 2020 Incentive Plan. No PSUs were granted in 2025. The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Lastly, during </w:t>
      </w:r>
      <w:r>
        <w:rPr>
          <w:rFonts w:ascii="Times New Roman;serif" w:hAnsi="Times New Roman;serif"/>
          <w:b w:val="false"/>
          <w:color w:val="000000"/>
          <w:sz w:val="20"/>
          <w:shd w:fill="FFFFFF" w:val="clear"/>
        </w:rPr>
        <w:t>2023, 2024 and 2025</w:t>
      </w:r>
      <w:r>
        <w:rPr>
          <w:rFonts w:ascii="Times New Roman;serif" w:hAnsi="Times New Roman;serif"/>
          <w:b w:val="false"/>
          <w:color w:val="000000"/>
          <w:sz w:val="20"/>
        </w:rPr>
        <w:t xml:space="preserve">, 5.5 million, 32.1 million and 30.2 million long-term incentive cash units (“LTIC units”) were granted under the 2020 Incentive Plan. The LTIC units represent the target amount of grants, and the actual number of units awarded upon vesting may vary depending upon the achievement of the relevant market condition which is based on Rackspace’s TSR relative to the TSR of a comparator group of IT and Cloud Services Companies for LTIC units granted in 2023 and on the performance of our common stock for LTIC units granted in 2024 and 2025.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awards are eligible to vest in equal annual installments over three years based on the attainment of the market condition and the employee’s continued service through the end of the applicable measurement period and were valued using a Monte Carlo simulation. As of December 31, 2025, the remaining outstanding LTIC units granted in 2023, 2024, and 2025 had a weighted average fair value of $0.00, $0.71 and $0.68, respectively. As the company intends to settle the LTIC units in cash, they are classified as a liability within "Other current liabilities" and "Other non-current liabilities" in the Consolidated Balance Sheets. In 2025 we paid $13.0 million to settle LTIC units granted under the 2020 Incentive Plan.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assumptions used to estimate the fair values of the PSUs granted in the periods presented:</w:t>
      </w:r>
    </w:p>
    <w:p>
      <w:pPr>
        <w:pStyle w:val="TextBody"/>
        <w:bidi w:val="0"/>
        <w:spacing w:before="0" w:after="0"/>
        <w:ind w:left="0" w:right="0" w:firstLine="540"/>
        <w:jc w:val="left"/>
        <w:rPr/>
      </w:pPr>
      <w:r>
        <w:rPr/>
      </w:r>
    </w:p>
    <w:tbl>
      <w:tblPr>
        <w:tblW w:w="4902" w:type="dxa"/>
        <w:jc w:val="left"/>
        <w:tblInd w:w="0" w:type="dxa"/>
        <w:tblLayout w:type="fixed"/>
        <w:tblCellMar>
          <w:top w:w="28" w:type="dxa"/>
          <w:left w:w="28" w:type="dxa"/>
          <w:bottom w:w="28" w:type="dxa"/>
          <w:right w:w="28" w:type="dxa"/>
        </w:tblCellMar>
      </w:tblPr>
      <w:tblGrid>
        <w:gridCol w:w="738"/>
        <w:gridCol w:w="650"/>
        <w:gridCol w:w="652"/>
        <w:gridCol w:w="282"/>
        <w:gridCol w:w="282"/>
        <w:gridCol w:w="665"/>
        <w:gridCol w:w="180"/>
        <w:gridCol w:w="180"/>
        <w:gridCol w:w="180"/>
        <w:gridCol w:w="203"/>
        <w:gridCol w:w="203"/>
        <w:gridCol w:w="424"/>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stock volatility </w:t>
            </w:r>
            <w:r>
              <w:rPr>
                <w:rFonts w:ascii="Times New Roman;serif" w:hAnsi="Times New Roman;serif"/>
                <w:b w:val="false"/>
                <w:color w:val="000000"/>
                <w:sz w:val="12"/>
              </w:rPr>
              <w:t>(1)</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69% - 72%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(2)</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3.76% - 3.78% </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4.35%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Management estimates volatility based on the historical trading volatility of a public company peer group and the implied volatility of our assets and current leverage.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We have not issued dividends to date and do not anticipate issuing dividends.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    Based on the implied yield currently available on U.S. Treasury zero-coupon issues with an equivalent expected term.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restricted stock activity for the year ended December 31, 2025: </w:t>
      </w:r>
    </w:p>
    <w:p>
      <w:pPr>
        <w:pStyle w:val="TextBody"/>
        <w:bidi w:val="0"/>
        <w:spacing w:before="0" w:after="0"/>
        <w:ind w:left="0" w:right="0" w:firstLine="540"/>
        <w:jc w:val="left"/>
        <w:rPr/>
      </w:pPr>
      <w:r>
        <w:rPr/>
      </w:r>
    </w:p>
    <w:tbl>
      <w:tblPr>
        <w:tblW w:w="9894" w:type="dxa"/>
        <w:jc w:val="left"/>
        <w:tblInd w:w="0" w:type="dxa"/>
        <w:tblLayout w:type="fixed"/>
        <w:tblCellMar>
          <w:top w:w="28" w:type="dxa"/>
          <w:left w:w="28" w:type="dxa"/>
          <w:bottom w:w="28" w:type="dxa"/>
          <w:right w:w="28" w:type="dxa"/>
        </w:tblCellMar>
      </w:tblPr>
      <w:tblGrid>
        <w:gridCol w:w="1114"/>
        <w:gridCol w:w="977"/>
        <w:gridCol w:w="983"/>
        <w:gridCol w:w="1048"/>
        <w:gridCol w:w="1048"/>
        <w:gridCol w:w="1053"/>
        <w:gridCol w:w="109"/>
        <w:gridCol w:w="109"/>
        <w:gridCol w:w="109"/>
        <w:gridCol w:w="800"/>
        <w:gridCol w:w="1908"/>
        <w:gridCol w:w="636"/>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or 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Released</w:t>
            </w:r>
          </w:p>
        </w:tc>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w:t>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to vest at December 31, 2025 </w:t>
            </w:r>
            <w:r>
              <w:rPr>
                <w:rFonts w:ascii="Times New Roman;serif" w:hAnsi="Times New Roman;serif"/>
                <w:b w:val="false"/>
                <w:color w:val="000000"/>
                <w:sz w:val="12"/>
              </w:rPr>
              <w:t>(1)</w:t>
            </w:r>
          </w:p>
        </w:tc>
        <w:tc>
          <w:tcPr>
            <w:tcW w:w="314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6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Forfeitures are recognized as they occur, rather than estimated.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restricted stock granted during the years ended December 31, 2023 and 2024 was $2.15 and $1.93,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pre-tax intrinsic value of the restricted stock released during the years ended December 31, 2023, 2024 and 2025 was $9.5 million, $26.9 million and $30.6 million, respectively.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recognized over the awards requisite service period or over our best estimate of the period over which the performance condition will be met, as applicable. As of December 31, 2025, there was $13.9 million of total unrecognized compensation cost related to restricted stock, which will be recognized over a weighted average period of 1.4 years.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Additionally,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there was $10.3 million of total unrecognized expense related to the LTIC awards, which will be recognized over a weighted average period of 1.5 years. The expense ultimately recognized is dependent on the fair value of the award as of the end of the performance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Employment Inducement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4, 2025, Rackspace registered 10.0 million shares of its common stock for 4.0 million and 6.0 million RSUs and stock options, respectively, granted to our new chief executive officer (collectively, the “Employment Inducement Awards”). The Employment Inducement Awards were granted pursuant to RSU and non-qualified stock option inducement award agreements, outside of the 2020 Incentive Plan. The grant date fair value was $1.30 and $0.93 for RSUs and stock options, respectively, and the Employment Inducement Awards vest ratably over a four-year period, subject to continued service. The fair value of stock options was determined using the Black-Scholes valuation model. The following table presents the assumptions used to estimate the fair value of the stock options granted:</w:t>
      </w:r>
    </w:p>
    <w:p>
      <w:pPr>
        <w:pStyle w:val="TextBody"/>
        <w:bidi w:val="0"/>
        <w:spacing w:before="0" w:after="0"/>
        <w:ind w:left="0" w:right="0" w:firstLine="540"/>
        <w:jc w:val="left"/>
        <w:rPr/>
      </w:pPr>
      <w:r>
        <w:rPr/>
      </w:r>
    </w:p>
    <w:tbl>
      <w:tblPr>
        <w:tblW w:w="3295"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33"/>
        <w:gridCol w:w="233"/>
        <w:gridCol w:w="462"/>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stock volatility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life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years</w:t>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Management estimates volatility based on the historical trading volatility of a public company peer group and the implied volatility of our assets and current leverage.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We have not issued dividends to date and do not anticipate issuing dividends.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    Based on the implied yield currently available on U.S. Treasury zero-coupon issues with an equivalent expected term. </w:t>
      </w:r>
    </w:p>
    <w:p>
      <w:pPr>
        <w:pStyle w:val="TextBody"/>
        <w:bidi w:val="0"/>
        <w:spacing w:lineRule="auto" w:line="288" w:before="0" w:after="0"/>
        <w:ind w:left="0" w:right="0" w:hanging="540"/>
        <w:jc w:val="left"/>
        <w:rPr/>
      </w:pPr>
      <w:r>
        <w:rPr>
          <w:rFonts w:ascii="Times New Roman;serif" w:hAnsi="Times New Roman;serif"/>
          <w:b w:val="false"/>
          <w:color w:val="000000"/>
          <w:sz w:val="18"/>
        </w:rPr>
        <w:t>(4)    Represents the period that our share-based awards are expected to be outstanding. Management uses the simplified method for our estimation of the expected life as we do not have adequate historical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$9.9 million of total unrecognized compensation cost related to the Employment Inducement Awards, which will recognized over a period of 3.7 years.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ESPP was approved by the Board on July 24, 2020 and became effective on August 7, 2020. Under the ESPP, eligible employees may purchase a limited number of shares of our common stock at the lesser of 85% of the market value on the enrollment date or 85% of the market value on the purchase date. The fair value on each enrollment date is determined using the Black-Scholes option-pricing model. Share-based compensation expense is recognized on a straight-line basis over the offering period. We issued 0.7 million, 0.6 million and 0.5 million shares through the ESPP during the years ended December 31, 2023, 2024 and 2025, respectively. The share-based compensation expense recognized for the ESPP was $0.9 million, $0.8 million and $0.2 million for the years ended December 31, 2023, 2024 and 2025, respectively. As of December 31, 2025, there was no unrecognized compensation cost related to the ESP</w:t>
      </w:r>
      <w:r>
        <w:rPr>
          <w:rFonts w:ascii="Times New Roman;serif" w:hAnsi="Times New Roman;serif"/>
          <w:b w:val="false"/>
          <w:color w:val="000000"/>
          <w:sz w:val="20"/>
          <w:shd w:fill="FFFFFF" w:val="clear"/>
        </w:rPr>
        <w:t>P. The shares available for issuance under the ESPP is 7.8 million shares as of December 31, 2025.</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departure of certain executives during the year ended December 31, 2023, we accelerated vesting of options and restricted stock for awards with service-only vesting conditions and extended the post termination option exercise period. This modification resulted in a reduction in expense of $0.6 million during the year ended December 31, 2023. There were no modifications during the years ended December 31,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departure of our former chief executive officer, we accelerated vesting of all his unvested RSUs and PSUs as outlined in the original employment agreement. In addition, all his unvested LTIC units vested and will be settled in cash per the separation agreement. This accelerated vesting of awards resulted in an increase in expense of $9.6 million during the year ended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departure of certain other executives during the year ended December 31, 2025, we accelerated vesting of restricted stock for awards with service-only vesting conditions. This modification resulted in a reduction in expense of $0.1 million during the year ended December 31, 2025.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6012" w:type="dxa"/>
        <w:jc w:val="left"/>
        <w:tblInd w:w="0" w:type="dxa"/>
        <w:tblLayout w:type="fixed"/>
        <w:tblCellMar>
          <w:top w:w="28" w:type="dxa"/>
          <w:left w:w="28" w:type="dxa"/>
          <w:bottom w:w="28" w:type="dxa"/>
          <w:right w:w="28" w:type="dxa"/>
        </w:tblCellMar>
      </w:tblPr>
      <w:tblGrid>
        <w:gridCol w:w="1087"/>
        <w:gridCol w:w="955"/>
        <w:gridCol w:w="958"/>
        <w:gridCol w:w="196"/>
        <w:gridCol w:w="466"/>
        <w:gridCol w:w="109"/>
        <w:gridCol w:w="109"/>
        <w:gridCol w:w="109"/>
        <w:gridCol w:w="109"/>
        <w:gridCol w:w="196"/>
        <w:gridCol w:w="466"/>
        <w:gridCol w:w="109"/>
        <w:gridCol w:w="109"/>
        <w:gridCol w:w="109"/>
        <w:gridCol w:w="109"/>
        <w:gridCol w:w="196"/>
        <w:gridCol w:w="46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classified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classified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Share-based compensation expense recogniz</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was as follows: </w:t>
      </w:r>
    </w:p>
    <w:tbl>
      <w:tblPr>
        <w:tblW w:w="6761" w:type="dxa"/>
        <w:jc w:val="left"/>
        <w:tblInd w:w="0" w:type="dxa"/>
        <w:tblLayout w:type="fixed"/>
        <w:tblCellMar>
          <w:top w:w="28" w:type="dxa"/>
          <w:left w:w="28" w:type="dxa"/>
          <w:bottom w:w="28" w:type="dxa"/>
          <w:right w:w="28" w:type="dxa"/>
        </w:tblCellMar>
      </w:tblPr>
      <w:tblGrid>
        <w:gridCol w:w="1359"/>
        <w:gridCol w:w="1193"/>
        <w:gridCol w:w="1197"/>
        <w:gridCol w:w="196"/>
        <w:gridCol w:w="466"/>
        <w:gridCol w:w="109"/>
        <w:gridCol w:w="109"/>
        <w:gridCol w:w="109"/>
        <w:gridCol w:w="109"/>
        <w:gridCol w:w="196"/>
        <w:gridCol w:w="466"/>
        <w:gridCol w:w="109"/>
        <w:gridCol w:w="109"/>
        <w:gridCol w:w="109"/>
        <w:gridCol w:w="109"/>
        <w:gridCol w:w="196"/>
        <w:gridCol w:w="46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share-based compensation expense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tax benefit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net of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Benefit Plans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$16.3 million, $14.2 million and $14.2 million for the years ended December 31, 2023, 2024 and 2025, respectively.</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13.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income tax provision (benefit) consisted of the following:</w:t>
      </w:r>
    </w:p>
    <w:tbl>
      <w:tblPr>
        <w:tblW w:w="6521" w:type="dxa"/>
        <w:jc w:val="left"/>
        <w:tblInd w:w="0" w:type="dxa"/>
        <w:tblLayout w:type="fixed"/>
        <w:tblCellMar>
          <w:top w:w="28" w:type="dxa"/>
          <w:left w:w="28" w:type="dxa"/>
          <w:bottom w:w="28" w:type="dxa"/>
          <w:right w:w="28" w:type="dxa"/>
        </w:tblCellMar>
      </w:tblPr>
      <w:tblGrid>
        <w:gridCol w:w="1191"/>
        <w:gridCol w:w="1045"/>
        <w:gridCol w:w="1048"/>
        <w:gridCol w:w="196"/>
        <w:gridCol w:w="541"/>
        <w:gridCol w:w="109"/>
        <w:gridCol w:w="109"/>
        <w:gridCol w:w="109"/>
        <w:gridCol w:w="109"/>
        <w:gridCol w:w="196"/>
        <w:gridCol w:w="541"/>
        <w:gridCol w:w="109"/>
        <w:gridCol w:w="109"/>
        <w:gridCol w:w="109"/>
        <w:gridCol w:w="109"/>
        <w:gridCol w:w="196"/>
        <w:gridCol w:w="541"/>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 (benefit):</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current income tax provision</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deferred income tax provision (benefit)</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provision (benefit)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Loss before income taxes from U.S. and foreign operations were as follows:</w:t>
      </w:r>
    </w:p>
    <w:tbl>
      <w:tblPr>
        <w:tblW w:w="5772" w:type="dxa"/>
        <w:jc w:val="left"/>
        <w:tblInd w:w="0" w:type="dxa"/>
        <w:tblLayout w:type="fixed"/>
        <w:tblCellMar>
          <w:top w:w="28" w:type="dxa"/>
          <w:left w:w="28" w:type="dxa"/>
          <w:bottom w:w="28" w:type="dxa"/>
          <w:right w:w="28" w:type="dxa"/>
        </w:tblCellMar>
      </w:tblPr>
      <w:tblGrid>
        <w:gridCol w:w="821"/>
        <w:gridCol w:w="721"/>
        <w:gridCol w:w="723"/>
        <w:gridCol w:w="196"/>
        <w:gridCol w:w="631"/>
        <w:gridCol w:w="109"/>
        <w:gridCol w:w="109"/>
        <w:gridCol w:w="109"/>
        <w:gridCol w:w="109"/>
        <w:gridCol w:w="196"/>
        <w:gridCol w:w="631"/>
        <w:gridCol w:w="109"/>
        <w:gridCol w:w="109"/>
        <w:gridCol w:w="109"/>
        <w:gridCol w:w="109"/>
        <w:gridCol w:w="196"/>
        <w:gridCol w:w="631"/>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1, "Company Overview, Basis of Presentation, and Summary of Significant Accounting Policies," we adopted ASU 2023-09 prospectively in our 2025 annual reporting disclosures. A reconciliation of the statutory federal tax rate to the effective tax rate pursuant to the disclosure requirements of ASU 2023-09 for the year ended December 31, 2025 is as follows: </w:t>
      </w:r>
    </w:p>
    <w:p>
      <w:pPr>
        <w:pStyle w:val="TextBody"/>
        <w:bidi w:val="0"/>
        <w:spacing w:before="0" w:after="0"/>
        <w:jc w:val="left"/>
        <w:rPr/>
      </w:pPr>
      <w:r>
        <w:rPr/>
      </w:r>
    </w:p>
    <w:tbl>
      <w:tblPr>
        <w:tblW w:w="6342" w:type="dxa"/>
        <w:jc w:val="left"/>
        <w:tblInd w:w="0" w:type="dxa"/>
        <w:tblLayout w:type="fixed"/>
        <w:tblCellMar>
          <w:top w:w="28" w:type="dxa"/>
          <w:left w:w="28" w:type="dxa"/>
          <w:bottom w:w="28" w:type="dxa"/>
          <w:right w:w="28" w:type="dxa"/>
        </w:tblCellMar>
      </w:tblPr>
      <w:tblGrid>
        <w:gridCol w:w="1294"/>
        <w:gridCol w:w="1136"/>
        <w:gridCol w:w="1139"/>
        <w:gridCol w:w="297"/>
        <w:gridCol w:w="820"/>
        <w:gridCol w:w="165"/>
        <w:gridCol w:w="165"/>
        <w:gridCol w:w="165"/>
        <w:gridCol w:w="165"/>
        <w:gridCol w:w="269"/>
        <w:gridCol w:w="271"/>
        <w:gridCol w:w="456"/>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7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federal tax rate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federal:</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non-taxable or non-deductible items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state income taxes, net of federal effect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income tax rate differential</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income taxes (cantonal)</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reconciling items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Worldwide changes in unrecognized tax benefits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statutory federal tax rate to the effective tax rate for the years ended December 31, 2023 and 2024 is as follows: </w:t>
      </w:r>
    </w:p>
    <w:p>
      <w:pPr>
        <w:pStyle w:val="TextBody"/>
        <w:bidi w:val="0"/>
        <w:spacing w:before="0" w:after="0"/>
        <w:ind w:left="0" w:right="0" w:firstLine="540"/>
        <w:jc w:val="left"/>
        <w:rPr/>
      </w:pPr>
      <w:r>
        <w:rPr/>
      </w:r>
    </w:p>
    <w:tbl>
      <w:tblPr>
        <w:tblW w:w="6841" w:type="dxa"/>
        <w:jc w:val="left"/>
        <w:tblInd w:w="0" w:type="dxa"/>
        <w:tblLayout w:type="fixed"/>
        <w:tblCellMar>
          <w:top w:w="28" w:type="dxa"/>
          <w:left w:w="28" w:type="dxa"/>
          <w:bottom w:w="28" w:type="dxa"/>
          <w:right w:w="28" w:type="dxa"/>
        </w:tblCellMar>
      </w:tblPr>
      <w:tblGrid>
        <w:gridCol w:w="1486"/>
        <w:gridCol w:w="1310"/>
        <w:gridCol w:w="1314"/>
        <w:gridCol w:w="269"/>
        <w:gridCol w:w="271"/>
        <w:gridCol w:w="424"/>
        <w:gridCol w:w="180"/>
        <w:gridCol w:w="180"/>
        <w:gridCol w:w="180"/>
        <w:gridCol w:w="269"/>
        <w:gridCol w:w="271"/>
        <w:gridCol w:w="424"/>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federal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taxes,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rate differentials for international jurisdictions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other enacted tax law and rate changes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goodwill impairment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 impact of the March 2024 Refinancing Transactions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year ended December 31, 2025 is as follows:</w:t>
      </w:r>
    </w:p>
    <w:p>
      <w:pPr>
        <w:pStyle w:val="TextBody"/>
        <w:bidi w:val="0"/>
        <w:spacing w:before="0" w:after="0"/>
        <w:ind w:left="0" w:right="0" w:firstLine="540"/>
        <w:jc w:val="left"/>
        <w:rPr/>
      </w:pPr>
      <w:r>
        <w:rPr/>
      </w:r>
    </w:p>
    <w:tbl>
      <w:tblPr>
        <w:tblW w:w="6044" w:type="dxa"/>
        <w:jc w:val="left"/>
        <w:tblInd w:w="0" w:type="dxa"/>
        <w:tblLayout w:type="fixed"/>
        <w:tblCellMar>
          <w:top w:w="28" w:type="dxa"/>
          <w:left w:w="28" w:type="dxa"/>
          <w:bottom w:w="28" w:type="dxa"/>
          <w:right w:w="28" w:type="dxa"/>
        </w:tblCellMar>
      </w:tblPr>
      <w:tblGrid>
        <w:gridCol w:w="1261"/>
        <w:gridCol w:w="1107"/>
        <w:gridCol w:w="1111"/>
        <w:gridCol w:w="677"/>
        <w:gridCol w:w="1353"/>
        <w:gridCol w:w="535"/>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 and local:</w:t>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state and local</w:t>
            </w:r>
          </w:p>
        </w:tc>
        <w:tc>
          <w:tcPr>
            <w:tcW w:w="2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foreign</w:t>
            </w:r>
          </w:p>
        </w:tc>
        <w:tc>
          <w:tcPr>
            <w:tcW w:w="2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paid for income taxes, net of refunds</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i/>
          <w:color w:val="000000"/>
          <w:sz w:val="20"/>
        </w:rPr>
        <w:t>Deferred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reflect the net effects of temporary differences between the carrying amounts of assets and liabilities for financial reporting purposes using the enacted tax rates in effect for the year in which the differences are expected to be reversed.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components of our deferred tax assets and liabilities are as follows: </w:t>
      </w:r>
    </w:p>
    <w:p>
      <w:pPr>
        <w:pStyle w:val="TextBody"/>
        <w:bidi w:val="0"/>
        <w:spacing w:before="0" w:after="0"/>
        <w:ind w:left="0" w:right="0" w:firstLine="720"/>
        <w:jc w:val="left"/>
        <w:rPr/>
      </w:pPr>
      <w:r>
        <w:rPr/>
      </w:r>
    </w:p>
    <w:tbl>
      <w:tblPr>
        <w:tblW w:w="5486" w:type="dxa"/>
        <w:jc w:val="left"/>
        <w:tblInd w:w="0" w:type="dxa"/>
        <w:tblLayout w:type="fixed"/>
        <w:tblCellMar>
          <w:top w:w="28" w:type="dxa"/>
          <w:left w:w="28" w:type="dxa"/>
          <w:bottom w:w="28" w:type="dxa"/>
          <w:right w:w="28" w:type="dxa"/>
        </w:tblCellMar>
      </w:tblPr>
      <w:tblGrid>
        <w:gridCol w:w="1028"/>
        <w:gridCol w:w="903"/>
        <w:gridCol w:w="904"/>
        <w:gridCol w:w="289"/>
        <w:gridCol w:w="689"/>
        <w:gridCol w:w="162"/>
        <w:gridCol w:w="109"/>
        <w:gridCol w:w="109"/>
        <w:gridCol w:w="109"/>
        <w:gridCol w:w="284"/>
        <w:gridCol w:w="677"/>
        <w:gridCol w:w="223"/>
      </w:tblGrid>
      <w:tr>
        <w:trPr/>
        <w:tc>
          <w:tcPr>
            <w:tcW w:w="10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not currently deductible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Disallowed interest carryforward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2024 Refinancing Transactions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deferred tax assets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deferred tax assets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costs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deferred tax liabilities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liabilities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generating $53.0 million of federal and various state net operating losses in 2025. We have $102.0 million of foreign net operating losses, $6.3 million of which have carryforward periods ranging from 5 to 20 years, and $95.7 million of which have an indefinite carryforward period. Certain foreign net operating loss carryforwards are subject to various limitations under the applicable statutory foreign tax laws. We have disallowed interest expense carryforwards in the U.S. of $653.4 million that can be carried forward indefinitely.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recorded valuation allowances against certain deferred tax assets in the U.S. federal, certain U.S. state, and foreign jurisdictions where it has been determined that realization is not more likely than not. These deferred tax assets include net operating loss carryforwards, disallowed interest expense carryforwards, and other deferred tax assets for which sufficient taxable income is not expected to be generated through the reversal of existing deferred tax liabilities prior to the expiration of applicable carryforward periods. Valuation allowances have also been recorded in Switzerland (Canton) on this basis. Changes to valuation allowances consisted of the following: </w:t>
      </w:r>
    </w:p>
    <w:p>
      <w:pPr>
        <w:pStyle w:val="TextBody"/>
        <w:bidi w:val="0"/>
        <w:spacing w:before="0" w:after="0"/>
        <w:ind w:left="0" w:right="0" w:firstLine="540"/>
        <w:jc w:val="left"/>
        <w:rPr/>
      </w:pPr>
      <w:r>
        <w:rPr/>
      </w:r>
    </w:p>
    <w:tbl>
      <w:tblPr>
        <w:tblW w:w="6312" w:type="dxa"/>
        <w:jc w:val="left"/>
        <w:tblInd w:w="0" w:type="dxa"/>
        <w:tblLayout w:type="fixed"/>
        <w:tblCellMar>
          <w:top w:w="28" w:type="dxa"/>
          <w:left w:w="28" w:type="dxa"/>
          <w:bottom w:w="28" w:type="dxa"/>
          <w:right w:w="28" w:type="dxa"/>
        </w:tblCellMar>
      </w:tblPr>
      <w:tblGrid>
        <w:gridCol w:w="1131"/>
        <w:gridCol w:w="993"/>
        <w:gridCol w:w="996"/>
        <w:gridCol w:w="196"/>
        <w:gridCol w:w="466"/>
        <w:gridCol w:w="109"/>
        <w:gridCol w:w="109"/>
        <w:gridCol w:w="109"/>
        <w:gridCol w:w="109"/>
        <w:gridCol w:w="196"/>
        <w:gridCol w:w="556"/>
        <w:gridCol w:w="109"/>
        <w:gridCol w:w="109"/>
        <w:gridCol w:w="109"/>
        <w:gridCol w:w="109"/>
        <w:gridCol w:w="196"/>
        <w:gridCol w:w="55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charged to income tax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credited to income tax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The effective tax rate for the year ended December 31, 2023 w</w:t>
      </w:r>
      <w:r>
        <w:rPr>
          <w:rFonts w:ascii="Times New Roman;serif" w:hAnsi="Times New Roman;serif"/>
          <w:b w:val="false"/>
          <w:color w:val="000000"/>
          <w:sz w:val="20"/>
          <w:shd w:fill="FFFFFF" w:val="clear"/>
        </w:rPr>
        <w:t>as impacted by the tax impact associated with the goodwill impairments, executive compensation that is nondeductible under IRC Section 162(m), the net impact of the geographic distribution of our earnings, tax effects from nondeductible share-based compensation as well as changes in our valuation allowanc</w:t>
      </w:r>
      <w:r>
        <w:rPr>
          <w:rFonts w:ascii="Times New Roman;serif" w:hAnsi="Times New Roman;serif"/>
          <w:b w:val="false"/>
          <w:color w:val="000000"/>
          <w:sz w:val="20"/>
        </w:rPr>
        <w:t>e. The effective tax rate for the year ended December 31, 2024 was impacted by</w:t>
      </w:r>
      <w:r>
        <w:rPr>
          <w:color w:val="000000"/>
          <w:shd w:fill="FFFFFF" w:val="clear"/>
        </w:rPr>
        <w:t xml:space="preserve"> </w:t>
      </w:r>
      <w:r>
        <w:rPr>
          <w:rFonts w:ascii="Times New Roman;serif" w:hAnsi="Times New Roman;serif"/>
          <w:b w:val="false"/>
          <w:color w:val="000000"/>
          <w:sz w:val="20"/>
          <w:shd w:fill="FFFFFF" w:val="clear"/>
        </w:rPr>
        <w:t xml:space="preserve">the tax impact associated with changes in valuation allowance, the tax impact associated with the goodwill impairment recorded in the first and third quarters of 2024, the majority of which was nondeductible for income tax purposes, and the tax impact of the March 2024 Refinancing Transactions. The tax impact of the March 2024 Refinancing Transactions includes the exclusion of cancellation of indebtedness income (“CODI”), federal and state attribution reduction and changes in valuation allowance. The effective tax rate for the year ended December 31, 2025 was impacted by the tax impact associated with changes in valuation allowance, executive compensation that is nondeductible under IRC Section 162(m), the net impact of the geographic distribution of earnings, and the tax effects from nondeductible share based compensation.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a result of the March 2024 Refinancing Transactions, as further described in Note </w:t>
      </w:r>
      <w:r>
        <w:rPr>
          <w:rFonts w:ascii="Times New Roman;serif" w:hAnsi="Times New Roman;serif"/>
          <w:b w:val="false"/>
          <w:color w:val="000000"/>
          <w:sz w:val="20"/>
        </w:rPr>
        <w:t>7</w:t>
      </w:r>
      <w:r>
        <w:rPr>
          <w:rFonts w:ascii="Times New Roman;serif" w:hAnsi="Times New Roman;serif"/>
          <w:b w:val="false"/>
          <w:color w:val="000000"/>
          <w:sz w:val="20"/>
          <w:shd w:fill="FFFFFF" w:val="clear"/>
        </w:rPr>
        <w:t>, “</w:t>
      </w:r>
      <w:r>
        <w:rPr>
          <w:rFonts w:ascii="Times New Roman;serif" w:hAnsi="Times New Roman;serif"/>
          <w:b w:val="false"/>
          <w:color w:val="000000"/>
          <w:sz w:val="20"/>
        </w:rPr>
        <w:t>Debt</w:t>
      </w:r>
      <w:r>
        <w:rPr>
          <w:color w:val="000000"/>
          <w:shd w:fill="FFFFFF" w:val="clear"/>
        </w:rPr>
        <w:t>”</w:t>
      </w:r>
      <w:r>
        <w:rPr>
          <w:rFonts w:ascii="Times New Roman;serif" w:hAnsi="Times New Roman;serif"/>
          <w:b w:val="false"/>
          <w:color w:val="000000"/>
          <w:sz w:val="20"/>
          <w:shd w:fill="FFFFFF" w:val="clear"/>
        </w:rPr>
        <w:t xml:space="preserve">, specifically upon the completion of the Private Exchange and Public Term Loan Exchange in March 2024, and the completion of the Public Note Exchange in April 2024, the company realized CODI for US tax purposes of $531.5 million and $80.5 million, respectively. We realized an additional $13.1 million CODI for US tax purposes from third quarter 2024 debt repurchase activity, for a total $625.1 million </w:t>
      </w:r>
      <w:r>
        <w:rPr>
          <w:rFonts w:ascii="Times New Roman;serif" w:hAnsi="Times New Roman;serif"/>
          <w:b w:val="false"/>
          <w:color w:val="000000"/>
          <w:sz w:val="20"/>
        </w:rPr>
        <w:t>for the year ended December 31, 2024</w:t>
      </w:r>
      <w:r>
        <w:rPr>
          <w:rFonts w:ascii="Times New Roman;serif" w:hAnsi="Times New Roman;serif"/>
          <w:b w:val="false"/>
          <w:color w:val="000000"/>
          <w:sz w:val="20"/>
          <w:shd w:fill="FFFFFF" w:val="clear"/>
        </w:rPr>
        <w:t>. Pursuant to IRC Section 108, an insolvent debtor may exclude CODI from taxable income to the extent of the debtor’s insolvency (liabilities greater than the fair value of its assets) but must reduce its tax attributes, subject to certain limitations and according to prescribed ordering rules, based on the amount of CODI excluded from taxable income. The company currently estimates that the level of its insolvency (as defined for US Tax purposes)</w:t>
      </w:r>
      <w:r>
        <w:rPr>
          <w:color w:val="FF0000"/>
          <w:shd w:fill="FFFFFF" w:val="clear"/>
        </w:rPr>
        <w:t xml:space="preserve"> </w:t>
      </w:r>
      <w:r>
        <w:rPr>
          <w:rFonts w:ascii="Times New Roman;serif" w:hAnsi="Times New Roman;serif"/>
          <w:b w:val="false"/>
          <w:color w:val="000000"/>
          <w:sz w:val="20"/>
          <w:shd w:fill="FFFFFF" w:val="clear"/>
        </w:rPr>
        <w:t>exceeds the amount of CODI resulting from the March 2024 Refinancing Transactions, such that all resulting CODI will be excluded from the company’s taxable income.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reduced various tax attributes, including $12.5 million of federal and certain state net operating loss deferred tax assets, $33.1 million of federal research and development credits, and $11.5 million of federal foreign tax credits after the finalization of the company’s tax returns for the year ending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permanently reinvest our foreign earnings due to the debt service requirements of our capital structure. Due to historic, internal tax restructurings, we have effectively recognized any tax impact of the repatriation of foreign earnings. Thus, as of December 31, 2025, there is no deferred tax liability for undistributed foreign earnings.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Uncertain Tax Positions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rollforward of unrecognized tax benefits, excluding accrued penalties and interest, for the years ended December 31, 2023, 2024 and 2025 is as follows: </w:t>
      </w:r>
    </w:p>
    <w:p>
      <w:pPr>
        <w:pStyle w:val="TextBody"/>
        <w:bidi w:val="0"/>
        <w:spacing w:before="0" w:after="0"/>
        <w:jc w:val="left"/>
        <w:rPr/>
      </w:pPr>
      <w:r>
        <w:rPr/>
      </w:r>
    </w:p>
    <w:tbl>
      <w:tblPr>
        <w:tblW w:w="7286" w:type="dxa"/>
        <w:jc w:val="left"/>
        <w:tblInd w:w="0" w:type="dxa"/>
        <w:tblLayout w:type="fixed"/>
        <w:tblCellMar>
          <w:top w:w="28" w:type="dxa"/>
          <w:left w:w="28" w:type="dxa"/>
          <w:bottom w:w="28" w:type="dxa"/>
          <w:right w:w="28" w:type="dxa"/>
        </w:tblCellMar>
      </w:tblPr>
      <w:tblGrid>
        <w:gridCol w:w="1550"/>
        <w:gridCol w:w="1360"/>
        <w:gridCol w:w="1364"/>
        <w:gridCol w:w="196"/>
        <w:gridCol w:w="466"/>
        <w:gridCol w:w="109"/>
        <w:gridCol w:w="109"/>
        <w:gridCol w:w="109"/>
        <w:gridCol w:w="109"/>
        <w:gridCol w:w="196"/>
        <w:gridCol w:w="466"/>
        <w:gridCol w:w="109"/>
        <w:gridCol w:w="109"/>
        <w:gridCol w:w="109"/>
        <w:gridCol w:w="109"/>
        <w:gridCol w:w="196"/>
        <w:gridCol w:w="46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for statute expiration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end of period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Included within non-current liabilities in the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Of the total amount of unrecognized tax benefits as of December 31, 2023, 2024 and 2025, $47.0 million, $57.1 million and $51.3 million, respectively, if recognized, would favorably impact our effective tax rate. We do not expect the amount of unrecognized tax benefits disclosed above to change significantly over the next 12 months.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interest expense and penalties related to income tax matters within “Benefit (provision) for income taxes” on our Consolidated Statements of Comprehensive Loss. Accrued interest and penalties as of December 31, 2023, 2024 and 2025 were $6.6 million, $8.5 million and $10.4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currently file income tax returns in the U.S. and all foreign jurisdictions in which we have entities, which are periodically under audit by federal, state, and foreign tax authorities. These audits can involve complex matters that may </w:t>
      </w:r>
      <w:r>
        <w:rPr>
          <w:rFonts w:ascii="Times New Roman;serif" w:hAnsi="Times New Roman;serif"/>
          <w:b w:val="false"/>
          <w:color w:val="000000"/>
          <w:sz w:val="20"/>
          <w:shd w:fill="FFFFFF" w:val="clear"/>
        </w:rPr>
        <w:t>require an extended period of time for resolution. We remain subject to U.S. federal and state income tax examinations for the tax years 2018 through 2025 and in the foreign jurisdictions in which we operate for varying periods from 2007 through 2025. We are currently under examination by the IRS for tax year 2022 and have income tax examinations open in Texas for tax years 2014 through 2021, New York City for 2017 through 2019, and New York state for 2021 through 2023. Additionally, we have an income tax examination open in India for tax year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July 4, 2025, the U.S. government enacted the One Big Beautiful Bill Act (“OBBBA”). The OBBBA legislation includes changes to U.S federal tax law, including modifications to bonus depreciation, modifications to interest expense limitations, and an available election for the full expensing of domestic research expenditures, which may be subject to further clarification and the issuance of interpretive guidance. Our income tax provision for the year ended December 31, 2025 reflects these changes which have no material net impact to tax expense.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(provision) for income taxes" under the portfolio approach.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amount remaining in “Accumulated other comprehensive income" for the de-designated December 2016 and December 2018 swaps at the de-designation date was app</w:t>
      </w:r>
      <w:r>
        <w:rPr>
          <w:rFonts w:ascii="Times New Roman;serif" w:hAnsi="Times New Roman;serif"/>
          <w:b w:val="false"/>
          <w:color w:val="000000"/>
          <w:sz w:val="20"/>
          <w:shd w:fill="FFFFFF" w:val="clear"/>
        </w:rPr>
        <w:t>roximately $51.6 million, and was amortized as an increase to "Interest expense" over the effective period of the original swap agreements.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new receive-fixed interest rate swap qualifies as a hybrid instrument in accordance with ASC No.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Consolidated Statements of Cash Flows.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new pay-fixed interest rate swap also qualifies as a hybrid instrument in accordance with ASC No.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as financing activities in the Consolidated Statements of Cash Flows while the portion treated as an at-market derivative is classified as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discussed in Note 7, “Debt”, on April 26, 2023 </w:t>
      </w:r>
      <w:r>
        <w:rPr>
          <w:rFonts w:ascii="Times New Roman;serif" w:hAnsi="Times New Roman;serif"/>
          <w:b w:val="false"/>
          <w:color w:val="000000"/>
          <w:sz w:val="20"/>
          <w:shd w:fill="FFFFFF" w:val="clear"/>
        </w:rPr>
        <w:t xml:space="preserve">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w:t>
      </w:r>
      <w:r>
        <w:rPr>
          <w:rFonts w:ascii="Times New Roman;serif" w:hAnsi="Times New Roman;serif"/>
          <w:b w:val="false"/>
          <w:color w:val="000000"/>
          <w:sz w:val="20"/>
        </w:rPr>
        <w:t>2.3820%</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2.34150%</w:t>
      </w:r>
      <w:r>
        <w:rPr>
          <w:color w:val="000000"/>
          <w:shd w:fill="FFFFFF" w:val="clear"/>
        </w:rPr>
        <w:t xml:space="preserve"> </w:t>
      </w:r>
      <w:r>
        <w:rPr>
          <w:rFonts w:ascii="Times New Roman;serif" w:hAnsi="Times New Roman;serif"/>
          <w:b w:val="false"/>
          <w:color w:val="000000"/>
          <w:sz w:val="20"/>
          <w:shd w:fill="FFFFFF" w:val="clear"/>
        </w:rPr>
        <w:t xml:space="preserve">as a result of the swap agreement amendment.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On a monthly basis, we net settle with the counterparty for the difference between the fixed rate of </w:t>
      </w:r>
      <w:r>
        <w:rPr>
          <w:rFonts w:ascii="Times New Roman;serif" w:hAnsi="Times New Roman;serif"/>
          <w:b w:val="false"/>
          <w:color w:val="000000"/>
          <w:sz w:val="20"/>
        </w:rPr>
        <w:t>2.34150%</w:t>
      </w:r>
      <w:r>
        <w:rPr>
          <w:color w:val="000000"/>
          <w:shd w:fill="FFFFFF" w:val="clear"/>
        </w:rPr>
        <w:t xml:space="preserve"> </w:t>
      </w:r>
      <w:r>
        <w:rPr>
          <w:rFonts w:ascii="Times New Roman;serif" w:hAnsi="Times New Roman;serif"/>
          <w:b w:val="false"/>
          <w:color w:val="000000"/>
          <w:sz w:val="20"/>
          <w:shd w:fill="FFFFFF" w:val="clear"/>
        </w:rPr>
        <w:t xml:space="preserve">and the variable rate based upon the one-month Term SOFR (subject to a floor of 0.75%) as applied to the notional amount of the swap.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conjunction with the March 2024 Refinancing Transactions, as discussed in </w:t>
      </w:r>
      <w:r>
        <w:rPr>
          <w:rFonts w:ascii="Times New Roman;serif" w:hAnsi="Times New Roman;serif"/>
          <w:b w:val="false"/>
          <w:color w:val="000000"/>
          <w:sz w:val="20"/>
        </w:rPr>
        <w:t>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December 31, 2024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the cash flow hedge was highly effective.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terms of interest rate swaps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9"/>
        <w:gridCol w:w="341"/>
        <w:gridCol w:w="344"/>
        <w:gridCol w:w="109"/>
        <w:gridCol w:w="109"/>
        <w:gridCol w:w="109"/>
        <w:gridCol w:w="439"/>
        <w:gridCol w:w="336"/>
        <w:gridCol w:w="313"/>
        <w:gridCol w:w="109"/>
        <w:gridCol w:w="109"/>
        <w:gridCol w:w="109"/>
        <w:gridCol w:w="340"/>
        <w:gridCol w:w="1201"/>
        <w:gridCol w:w="189"/>
        <w:gridCol w:w="109"/>
        <w:gridCol w:w="109"/>
        <w:gridCol w:w="109"/>
        <w:gridCol w:w="234"/>
        <w:gridCol w:w="234"/>
        <w:gridCol w:w="238"/>
        <w:gridCol w:w="109"/>
        <w:gridCol w:w="109"/>
        <w:gridCol w:w="109"/>
        <w:gridCol w:w="340"/>
        <w:gridCol w:w="1201"/>
        <w:gridCol w:w="189"/>
        <w:gridCol w:w="109"/>
        <w:gridCol w:w="109"/>
        <w:gridCol w:w="109"/>
        <w:gridCol w:w="234"/>
        <w:gridCol w:w="234"/>
        <w:gridCol w:w="238"/>
        <w:gridCol w:w="109"/>
        <w:gridCol w:w="109"/>
        <w:gridCol w:w="109"/>
        <w:gridCol w:w="372"/>
        <w:gridCol w:w="343"/>
        <w:gridCol w:w="494"/>
      </w:tblGrid>
      <w:tr>
        <w:trPr/>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 Paid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536" w:type="dxa"/>
            <w:gridSpan w:val="6"/>
            <w:tcBorders/>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Entered into December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3, 2023</w:t>
            </w:r>
          </w:p>
        </w:tc>
      </w:tr>
      <w:tr>
        <w:trPr/>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3, 2023</w:t>
            </w:r>
          </w:p>
        </w:tc>
      </w:tr>
      <w:tr>
        <w:trPr/>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3, 2023</w:t>
            </w:r>
          </w:p>
        </w:tc>
      </w:tr>
      <w:tr>
        <w:trPr/>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3, 2023</w:t>
            </w:r>
          </w:p>
        </w:tc>
      </w:tr>
      <w:tr>
        <w:trPr/>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Entered into 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2.34150%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2026</w:t>
            </w:r>
          </w:p>
        </w:tc>
      </w:tr>
      <w:tr>
        <w:trPr/>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Fixed rate paid prior to the May 9, 2023 amendment was 2.3820%.</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Values of Derivatives on the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our derivatives and their location on the Consolidated Balance Sheets as of December 31, 2024 and 2025 were as follows:</w:t>
      </w:r>
    </w:p>
    <w:p>
      <w:pPr>
        <w:pStyle w:val="TextBody"/>
        <w:bidi w:val="0"/>
        <w:spacing w:lineRule="auto" w:line="288" w:before="0" w:after="0"/>
        <w:jc w:val="left"/>
        <w:rPr>
          <w:color w:val="000000"/>
        </w:rPr>
      </w:pPr>
      <w:r>
        <w:rPr>
          <w:color w:val="000000"/>
        </w:rPr>
        <w:t>    </w:t>
      </w:r>
    </w:p>
    <w:tbl>
      <w:tblPr>
        <w:tblW w:w="10128" w:type="dxa"/>
        <w:jc w:val="center"/>
        <w:tblInd w:w="0" w:type="dxa"/>
        <w:tblLayout w:type="fixed"/>
        <w:tblCellMar>
          <w:top w:w="28" w:type="dxa"/>
          <w:left w:w="28" w:type="dxa"/>
          <w:bottom w:w="28" w:type="dxa"/>
          <w:right w:w="28" w:type="dxa"/>
        </w:tblCellMar>
      </w:tblPr>
      <w:tblGrid>
        <w:gridCol w:w="1334"/>
        <w:gridCol w:w="1172"/>
        <w:gridCol w:w="1183"/>
        <w:gridCol w:w="749"/>
        <w:gridCol w:w="749"/>
        <w:gridCol w:w="751"/>
        <w:gridCol w:w="196"/>
        <w:gridCol w:w="466"/>
        <w:gridCol w:w="109"/>
        <w:gridCol w:w="109"/>
        <w:gridCol w:w="109"/>
        <w:gridCol w:w="109"/>
        <w:gridCol w:w="217"/>
        <w:gridCol w:w="517"/>
        <w:gridCol w:w="122"/>
        <w:gridCol w:w="109"/>
        <w:gridCol w:w="109"/>
        <w:gridCol w:w="109"/>
        <w:gridCol w:w="196"/>
        <w:gridCol w:w="376"/>
        <w:gridCol w:w="109"/>
        <w:gridCol w:w="109"/>
        <w:gridCol w:w="109"/>
        <w:gridCol w:w="109"/>
        <w:gridCol w:w="233"/>
        <w:gridCol w:w="483"/>
        <w:gridCol w:w="185"/>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current liabilities </w:t>
            </w:r>
            <w:r>
              <w:rPr>
                <w:rFonts w:ascii="Times New Roman;serif" w:hAnsi="Times New Roman;serif"/>
                <w:b w:val="false"/>
                <w:color w:val="000000"/>
                <w:sz w:val="12"/>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non-current liabilities </w:t>
            </w:r>
            <w:r>
              <w:rPr>
                <w:rFonts w:ascii="Times New Roman;serif" w:hAnsi="Times New Roman;serif"/>
                <w:b w:val="false"/>
                <w:color w:val="000000"/>
                <w:sz w:val="12"/>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entire balance is comprised of the financing component of the pay-fixed interest rate swap.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61"/>
        <w:gridCol w:w="278"/>
        <w:gridCol w:w="279"/>
        <w:gridCol w:w="331"/>
        <w:gridCol w:w="791"/>
        <w:gridCol w:w="187"/>
        <w:gridCol w:w="109"/>
        <w:gridCol w:w="109"/>
        <w:gridCol w:w="109"/>
        <w:gridCol w:w="382"/>
        <w:gridCol w:w="937"/>
        <w:gridCol w:w="213"/>
        <w:gridCol w:w="109"/>
        <w:gridCol w:w="109"/>
        <w:gridCol w:w="109"/>
        <w:gridCol w:w="229"/>
        <w:gridCol w:w="548"/>
        <w:gridCol w:w="129"/>
        <w:gridCol w:w="109"/>
        <w:gridCol w:w="109"/>
        <w:gridCol w:w="109"/>
        <w:gridCol w:w="376"/>
        <w:gridCol w:w="723"/>
        <w:gridCol w:w="211"/>
        <w:gridCol w:w="109"/>
        <w:gridCol w:w="109"/>
        <w:gridCol w:w="109"/>
        <w:gridCol w:w="430"/>
        <w:gridCol w:w="860"/>
        <w:gridCol w:w="242"/>
        <w:gridCol w:w="109"/>
        <w:gridCol w:w="109"/>
        <w:gridCol w:w="109"/>
        <w:gridCol w:w="246"/>
        <w:gridCol w:w="511"/>
        <w:gridCol w:w="206"/>
      </w:tblGrid>
      <w:tr>
        <w:trPr/>
        <w:tc>
          <w:tcPr>
            <w:tcW w:w="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Effect of Derivatives on the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our derivatives and their location on the Consolidated Statements of Comprehensive Loss for the years ended December 31, 2023, 2024 and 2025 was as follows: </w:t>
      </w:r>
    </w:p>
    <w:tbl>
      <w:tblPr>
        <w:tblW w:w="8995" w:type="dxa"/>
        <w:jc w:val="left"/>
        <w:tblInd w:w="0" w:type="dxa"/>
        <w:tblLayout w:type="fixed"/>
        <w:tblCellMar>
          <w:top w:w="28" w:type="dxa"/>
          <w:left w:w="28" w:type="dxa"/>
          <w:bottom w:w="28" w:type="dxa"/>
          <w:right w:w="28" w:type="dxa"/>
        </w:tblCellMar>
      </w:tblPr>
      <w:tblGrid>
        <w:gridCol w:w="1442"/>
        <w:gridCol w:w="1268"/>
        <w:gridCol w:w="1279"/>
        <w:gridCol w:w="639"/>
        <w:gridCol w:w="639"/>
        <w:gridCol w:w="641"/>
        <w:gridCol w:w="196"/>
        <w:gridCol w:w="541"/>
        <w:gridCol w:w="109"/>
        <w:gridCol w:w="109"/>
        <w:gridCol w:w="109"/>
        <w:gridCol w:w="109"/>
        <w:gridCol w:w="196"/>
        <w:gridCol w:w="466"/>
        <w:gridCol w:w="109"/>
        <w:gridCol w:w="109"/>
        <w:gridCol w:w="109"/>
        <w:gridCol w:w="109"/>
        <w:gridCol w:w="196"/>
        <w:gridCol w:w="46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was $221.6 million, $98.0 million and $82.7 million for the years ended December 31, 2023, 2024 and 2025, respectively. As of December 31, 2025, the amount of cash flow hedge gain included within "Accumulated other comprehensive income" that is expected to be reclassified as a reduction to "Interest expense" through the February 9, 2026 maturity date is $4.0 million. See Note 15, "Accumulated Other Comprehensive Income," for information regarding changes in fair value of our derivatives designated as hedging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interest rate swap counterparties that contain a provision whereby if we default on any of our material indebtedness, then we could also be declared in default of our interest rate swap agreements. As of December 31, 2025, our outstanding interest rate swap agreement was in a net asset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15. Accumulated Other Comprehensive Income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consisted of the following: </w:t>
      </w:r>
    </w:p>
    <w:tbl>
      <w:tblPr>
        <w:tblW w:w="10205" w:type="dxa"/>
        <w:jc w:val="center"/>
        <w:tblInd w:w="0" w:type="dxa"/>
        <w:tblLayout w:type="fixed"/>
        <w:tblCellMar>
          <w:top w:w="28" w:type="dxa"/>
          <w:left w:w="28" w:type="dxa"/>
          <w:bottom w:w="28" w:type="dxa"/>
          <w:right w:w="28" w:type="dxa"/>
        </w:tblCellMar>
      </w:tblPr>
      <w:tblGrid>
        <w:gridCol w:w="1434"/>
        <w:gridCol w:w="1073"/>
        <w:gridCol w:w="1011"/>
        <w:gridCol w:w="541"/>
        <w:gridCol w:w="1331"/>
        <w:gridCol w:w="303"/>
        <w:gridCol w:w="109"/>
        <w:gridCol w:w="109"/>
        <w:gridCol w:w="109"/>
        <w:gridCol w:w="465"/>
        <w:gridCol w:w="1107"/>
        <w:gridCol w:w="260"/>
        <w:gridCol w:w="109"/>
        <w:gridCol w:w="109"/>
        <w:gridCol w:w="109"/>
        <w:gridCol w:w="484"/>
        <w:gridCol w:w="1154"/>
        <w:gridCol w:w="388"/>
      </w:tblGrid>
      <w:tr>
        <w:trPr/>
        <w:tc>
          <w:tcPr>
            <w:tcW w:w="14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2022</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$1.0 million</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$3.8 million</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$10.3 million </w:t>
            </w:r>
            <w:r>
              <w:rPr>
                <w:rFonts w:ascii="Times New Roman;serif" w:hAnsi="Times New Roman;serif"/>
                <w:b w:val="false"/>
                <w:color w:val="000000"/>
                <w:sz w:val="12"/>
              </w:rPr>
              <w:t>(1)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benefit of $0.3 million</w:t>
            </w:r>
          </w:p>
        </w:tc>
        <w:tc>
          <w:tcPr>
            <w:tcW w:w="18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$4.9 million</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$14.5 million </w:t>
            </w:r>
            <w:r>
              <w:rPr>
                <w:rFonts w:ascii="Times New Roman;serif" w:hAnsi="Times New Roman;serif"/>
                <w:b w:val="false"/>
                <w:color w:val="000000"/>
                <w:sz w:val="12"/>
              </w:rPr>
              <w:t>(2)</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benefit of $1.3 million</w:t>
            </w:r>
          </w:p>
        </w:tc>
        <w:tc>
          <w:tcPr>
            <w:tcW w:w="18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$0.6 million</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 reclassified from Accumulated comprehensive income (loss) into earnings, net of tax expense of $11.0 million</w:t>
            </w:r>
            <w:r>
              <w:rPr>
                <w:color w:val="000000"/>
              </w:rPr>
              <w:t xml:space="preserve"> </w:t>
            </w:r>
            <w:r>
              <w:rPr>
                <w:rFonts w:ascii="Times New Roman;serif" w:hAnsi="Times New Roman;serif"/>
                <w:b w:val="false"/>
                <w:color w:val="000000"/>
                <w:sz w:val="12"/>
              </w:rPr>
              <w:t>(3)</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$55.6 million related to the cash flow hedge gain for the year ended December 31, 2023, partially offset by an increase to interest expense for the amortization of off-market swap value and accumulated loss at hedge de-designation of $15.5 million.</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Includes a reduction to interest expense recognized of $57.7 million related to the cash flow hedge gain for the year ended December 31, 2024.</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Includes a reduction to interest expense recognized of $44.9 million related to the cash flow hedge gain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two-business unit operating model allows for each segment to be managed separately based on the different service offerings and respective operational and marketing strategies, ensuring increased focus, delivery, and service quality for our customers.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Our Board appointed a new chief executive officer, effective September 3, 2025, who immediately assumed the CODM responsibilities.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revenue and segment operating profit by reportable segment and a reconciliation of consolidated segment operating profit to consolidated loss before income taxes for the years ended December 31, 2023, 2024 and 2025. </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2522"/>
        <w:gridCol w:w="1862"/>
        <w:gridCol w:w="1867"/>
        <w:gridCol w:w="196"/>
        <w:gridCol w:w="691"/>
        <w:gridCol w:w="109"/>
        <w:gridCol w:w="109"/>
        <w:gridCol w:w="109"/>
        <w:gridCol w:w="109"/>
        <w:gridCol w:w="196"/>
        <w:gridCol w:w="691"/>
        <w:gridCol w:w="109"/>
        <w:gridCol w:w="109"/>
        <w:gridCol w:w="109"/>
        <w:gridCol w:w="109"/>
        <w:gridCol w:w="196"/>
        <w:gridCol w:w="691"/>
        <w:gridCol w:w="109"/>
        <w:gridCol w:w="312"/>
      </w:tblGrid>
      <w:tr>
        <w:trPr/>
        <w:tc>
          <w:tcPr>
            <w:tcW w:w="252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Public Cloud</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Third party infrastructure </w:t>
            </w:r>
            <w:r>
              <w:rPr>
                <w:rFonts w:ascii="Times New Roman;serif" w:hAnsi="Times New Roman;serif"/>
                <w:b w:val="false"/>
                <w:color w:val="000000"/>
                <w:sz w:val="12"/>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revenue</w:t>
            </w:r>
            <w:r>
              <w:rPr>
                <w:color w:val="000000"/>
              </w:rPr>
              <w:t xml:space="preserve"> </w:t>
            </w:r>
            <w:r>
              <w:rPr>
                <w:rFonts w:ascii="Times New Roman;serif" w:hAnsi="Times New Roman;serif"/>
                <w:b w:val="false"/>
                <w:color w:val="000000"/>
                <w:sz w:val="12"/>
              </w:rPr>
              <w:t>(2)</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Private Cloud</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Total Consolidated</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related adjustments, net </w:t>
            </w:r>
            <w:r>
              <w:rPr>
                <w:rFonts w:ascii="Times New Roman;serif" w:hAnsi="Times New Roman;serif"/>
                <w:b w:val="false"/>
                <w:color w:val="000000"/>
                <w:sz w:val="12"/>
              </w:rPr>
              <w:t>(4)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(6)</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UK office closure </w:t>
            </w:r>
            <w:r>
              <w:rPr>
                <w:rFonts w:ascii="Times New Roman;serif" w:hAnsi="Times New Roman;serif"/>
                <w:b w:val="false"/>
                <w:color w:val="000000"/>
                <w:sz w:val="12"/>
              </w:rPr>
              <w:t>(7)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4"/>
        <w:gridCol w:w="287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Represents usage charges from public cloud infrastructure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Other cost of revenue excludes third party infrastructure expenses and is comprised of certain license costs, labor, and other designated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segment items for each segment include directly allocable research and development expenses, sales and marketing expenses, and certain other general and administrative expenses.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2024 includes a $9.0 million</w:t>
            </w:r>
            <w:r>
              <w:rPr>
                <w:color w:val="000000"/>
                <w:shd w:fill="FFFFFF" w:val="clear"/>
              </w:rPr>
              <w:t xml:space="preserve"> </w:t>
            </w:r>
            <w:r>
              <w:rPr>
                <w:rFonts w:ascii="Times New Roman;serif" w:hAnsi="Times New Roman;serif"/>
                <w:b w:val="false"/>
                <w:color w:val="000000"/>
                <w:sz w:val="18"/>
              </w:rPr>
              <w:t>MEIA early termination fee associated with the sale of our corporate headquarters in March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recognized related to the closure of a UK office that we exited in the second quarter of 2023 prior to the lease end date.</w:t>
            </w:r>
          </w:p>
        </w:tc>
      </w:tr>
    </w:tbl>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depreciation expense included in segment operating profit above for the years ended December 31, 2023, 2024 and 2025. </w:t>
      </w:r>
    </w:p>
    <w:p>
      <w:pPr>
        <w:pStyle w:val="TextBody"/>
        <w:bidi w:val="0"/>
        <w:spacing w:before="0" w:after="0"/>
        <w:jc w:val="left"/>
        <w:rPr/>
      </w:pPr>
      <w:r>
        <w:rPr/>
      </w:r>
    </w:p>
    <w:tbl>
      <w:tblPr>
        <w:tblW w:w="5517" w:type="dxa"/>
        <w:jc w:val="left"/>
        <w:tblInd w:w="0" w:type="dxa"/>
        <w:tblLayout w:type="fixed"/>
        <w:tblCellMar>
          <w:top w:w="28" w:type="dxa"/>
          <w:left w:w="28" w:type="dxa"/>
          <w:bottom w:w="28" w:type="dxa"/>
          <w:right w:w="28" w:type="dxa"/>
        </w:tblCellMar>
      </w:tblPr>
      <w:tblGrid>
        <w:gridCol w:w="811"/>
        <w:gridCol w:w="711"/>
        <w:gridCol w:w="713"/>
        <w:gridCol w:w="196"/>
        <w:gridCol w:w="556"/>
        <w:gridCol w:w="109"/>
        <w:gridCol w:w="109"/>
        <w:gridCol w:w="109"/>
        <w:gridCol w:w="109"/>
        <w:gridCol w:w="196"/>
        <w:gridCol w:w="556"/>
        <w:gridCol w:w="109"/>
        <w:gridCol w:w="109"/>
        <w:gridCol w:w="109"/>
        <w:gridCol w:w="109"/>
        <w:gridCol w:w="196"/>
        <w:gridCol w:w="556"/>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depreciation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revenue by country for the years ended December 31, 2023, 2024 and 2025. For the year ended December 31, 2025, we changed the basis for attributing revenue amounts to be based upon the customer’s primary address. Revenue amounts for the years ended December 31, 2023 and 2024 are based upon the location of the support function servicing the customer. </w:t>
      </w:r>
    </w:p>
    <w:p>
      <w:pPr>
        <w:pStyle w:val="TextBody"/>
        <w:bidi w:val="0"/>
        <w:spacing w:before="0" w:after="0"/>
        <w:ind w:left="0" w:right="0" w:hanging="540"/>
        <w:jc w:val="left"/>
        <w:rPr/>
      </w:pPr>
      <w:r>
        <w:rPr/>
      </w:r>
    </w:p>
    <w:tbl>
      <w:tblPr>
        <w:tblW w:w="5652" w:type="dxa"/>
        <w:jc w:val="left"/>
        <w:tblInd w:w="0" w:type="dxa"/>
        <w:tblLayout w:type="fixed"/>
        <w:tblCellMar>
          <w:top w:w="28" w:type="dxa"/>
          <w:left w:w="28" w:type="dxa"/>
          <w:bottom w:w="28" w:type="dxa"/>
          <w:right w:w="28" w:type="dxa"/>
        </w:tblCellMar>
      </w:tblPr>
      <w:tblGrid>
        <w:gridCol w:w="712"/>
        <w:gridCol w:w="626"/>
        <w:gridCol w:w="627"/>
        <w:gridCol w:w="196"/>
        <w:gridCol w:w="691"/>
        <w:gridCol w:w="109"/>
        <w:gridCol w:w="109"/>
        <w:gridCol w:w="109"/>
        <w:gridCol w:w="109"/>
        <w:gridCol w:w="196"/>
        <w:gridCol w:w="691"/>
        <w:gridCol w:w="109"/>
        <w:gridCol w:w="109"/>
        <w:gridCol w:w="109"/>
        <w:gridCol w:w="109"/>
        <w:gridCol w:w="196"/>
        <w:gridCol w:w="69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foreign countries </w:t>
            </w:r>
            <w:r>
              <w:rPr>
                <w:rFonts w:ascii="Times New Roman;serif" w:hAnsi="Times New Roman;serif"/>
                <w:b w:val="false"/>
                <w:color w:val="000000"/>
                <w:sz w:val="12"/>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No other foreign country had revenue that exceeded 10% of total consolidated revenue for the years ended December 31, 2023, 2024 and 2025.</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property, equipment and software, net by country, based on the physical location of the assets:</w:t>
      </w:r>
    </w:p>
    <w:p>
      <w:pPr>
        <w:pStyle w:val="TextBody"/>
        <w:bidi w:val="0"/>
        <w:spacing w:before="0" w:after="0"/>
        <w:jc w:val="left"/>
        <w:rPr/>
      </w:pPr>
      <w:r>
        <w:rPr/>
      </w:r>
    </w:p>
    <w:tbl>
      <w:tblPr>
        <w:tblW w:w="7372" w:type="dxa"/>
        <w:jc w:val="left"/>
        <w:tblInd w:w="0" w:type="dxa"/>
        <w:tblLayout w:type="fixed"/>
        <w:tblCellMar>
          <w:top w:w="28" w:type="dxa"/>
          <w:left w:w="28" w:type="dxa"/>
          <w:bottom w:w="28" w:type="dxa"/>
          <w:right w:w="28" w:type="dxa"/>
        </w:tblCellMar>
      </w:tblPr>
      <w:tblGrid>
        <w:gridCol w:w="1179"/>
        <w:gridCol w:w="1037"/>
        <w:gridCol w:w="1038"/>
        <w:gridCol w:w="259"/>
        <w:gridCol w:w="736"/>
        <w:gridCol w:w="145"/>
        <w:gridCol w:w="109"/>
        <w:gridCol w:w="109"/>
        <w:gridCol w:w="109"/>
        <w:gridCol w:w="259"/>
        <w:gridCol w:w="736"/>
        <w:gridCol w:w="145"/>
        <w:gridCol w:w="109"/>
        <w:gridCol w:w="109"/>
        <w:gridCol w:w="109"/>
        <w:gridCol w:w="256"/>
        <w:gridCol w:w="727"/>
        <w:gridCol w:w="201"/>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foreign countries </w:t>
            </w:r>
            <w:r>
              <w:rPr>
                <w:rFonts w:ascii="Times New Roman;serif" w:hAnsi="Times New Roman;serif"/>
                <w:b w:val="false"/>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property, equipment and software, net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No other foreign country had property, equipment and software, net that exceeded 10% of total consolidated property, equipment and software, net.</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Condensed Financial Information of Registrant (Parent Company Only)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RACKSPACE TECHNOLOGY, INC. (Parent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8"/>
        <w:gridCol w:w="2411"/>
        <w:gridCol w:w="2340"/>
        <w:gridCol w:w="203"/>
        <w:gridCol w:w="778"/>
        <w:gridCol w:w="113"/>
        <w:gridCol w:w="109"/>
        <w:gridCol w:w="109"/>
        <w:gridCol w:w="109"/>
        <w:gridCol w:w="203"/>
        <w:gridCol w:w="776"/>
        <w:gridCol w:w="166"/>
      </w:tblGrid>
      <w:tr>
        <w:trPr/>
        <w:tc>
          <w:tcPr>
            <w:tcW w:w="2888"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subsidiaries of Parent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232.2 and 248.4 shares issued; 229.1 and 245.3 shares outstanding,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 is an integral part of these condensed financial statements.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RACKSPACE TECHNOLOGY, INC. (Parent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LOSS</w:t>
      </w:r>
    </w:p>
    <w:p>
      <w:pPr>
        <w:pStyle w:val="TextBody"/>
        <w:bidi w:val="0"/>
        <w:spacing w:before="0" w:after="0"/>
        <w:jc w:val="center"/>
        <w:rPr/>
      </w:pPr>
      <w:r>
        <w:rPr/>
      </w:r>
    </w:p>
    <w:tbl>
      <w:tblPr>
        <w:tblW w:w="7077" w:type="dxa"/>
        <w:jc w:val="center"/>
        <w:tblInd w:w="0" w:type="dxa"/>
        <w:tblLayout w:type="fixed"/>
        <w:tblCellMar>
          <w:top w:w="28" w:type="dxa"/>
          <w:left w:w="28" w:type="dxa"/>
          <w:bottom w:w="28" w:type="dxa"/>
          <w:right w:w="28" w:type="dxa"/>
        </w:tblCellMar>
      </w:tblPr>
      <w:tblGrid>
        <w:gridCol w:w="1293"/>
        <w:gridCol w:w="1133"/>
        <w:gridCol w:w="1144"/>
        <w:gridCol w:w="196"/>
        <w:gridCol w:w="631"/>
        <w:gridCol w:w="109"/>
        <w:gridCol w:w="109"/>
        <w:gridCol w:w="109"/>
        <w:gridCol w:w="109"/>
        <w:gridCol w:w="196"/>
        <w:gridCol w:w="631"/>
        <w:gridCol w:w="109"/>
        <w:gridCol w:w="109"/>
        <w:gridCol w:w="109"/>
        <w:gridCol w:w="109"/>
        <w:gridCol w:w="196"/>
        <w:gridCol w:w="63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losses in Parent's subsidiaries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and 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3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 is an integral part of these condensed financial statements.</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condensed statement of cash flows has not been presented as Rackspace Technology did not have any cash as of, or at any point in time during, the years ended December 31, 2023, 2024 and 2025.</w:t>
      </w:r>
    </w:p>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 TO CONDENSED FINANCIAL STATEMENTS OF REGISTRANT (Parent Company Only)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New First Lien Credit Agreement, First Lien Credit Agreement and the Indentures, as described in Note 7, “Debt” to the audited consolidated financial statements.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- 153 -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9 – CHANGES IN AND DISAGREEMENTS WITH ACCOUNTANTS ON ACCOUNTING AND FINANCIAL DISCLOSURE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9A – CONTROLS AND PROCEDURES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Based on this evaluation, our Chief Executive Officer and Chief Financial Officer concluded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that our disclosure controls and procedures were effective such that the information relating to the company, including our consolidated subsidiaries, required to be disclosed in the reports we file or submit under the Exchange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 conducted an assessment of the effectiveness of our internal control over financial reporting based on the criteria set forth in Internal Control—Integrated Framework (2013 framework) issued by the Committee of Sponsoring Organizations of the Treadway Commission. Based on the assessment, management has concluded that our internal control over financial reporting was effective as of December 31, 2025.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independent registered public accounting firm, KPMG LLP, has audited the effectiveness of our internal control over financial reporting as of December 31, 2025, as stated in their report which appears in Part II, Item 8 of this Annual Report.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There were no changes in our internal control over financial reporting during the three months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- 154 -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9B – OTHER INFORMATION</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fiscal quarter ended December 31, 2025,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9C – DISCLOSURE REGARDING FOREIGN JURISDICTIONS THAT PREVENT INSPECTIONS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- 155 -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by this item is incorporated by reference to Rackspace Technology’s Proxy Statement for its 2026 Annual Meeting of Stockholders to be filed with the SEC within 120 days after the end of the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the Rackspace Technology, Inc. Securities Trading Policy which governs, among other things, the purchase, sale and/or other dispositions of our securities by our directors, officers and employees that we believe is reasonably designed to promote compliance with insider trading laws, rules and regulations, and the exchange listing standards applicable to us. A copy of this policy is incorporated by reference in Exhibit 19.1 to this Annual Report on Form 10-K.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by this item is incorporated by reference to Rackspace Technology’s Proxy Statement for its 2026 Annual Meeting of Stockholders to be filed with the SEC within 120 days after the end of the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by this item is incorporated by reference to Rackspace Technology’s Proxy Statement for its 2026 Annual Meeting of Stockholders to be filed with the SEC within 120 days after the end of the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13 – CERTAIN RELATIONSHIPS AND RELATED TRANSACTIONS, AND DIRECTOR INDEPENDENCE</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by this item is incorporated by reference to Rackspace Technology’s Proxy Statement for its 2026 Annual Meeting of Stockholders to be filed with the SEC within 120 days after the end of the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14 – PRINCIPAL ACCOUNTANT FEES AND SERVICES</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information required by this item is incorporated by reference to Rackspace Technology’s Proxy Statement for its 2026 Annual Meeting of Stockholders to be filed with the SEC within 120 days after the end of the fiscal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- 156 -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15 – EXHIBITS AND FINANCIAL STATEMENT SCHEDULES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filed as part of this report are listed on the Index to Consolidated Financial Statements in Item 8 of this Annual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required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the accompanying Index to Exhibits,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16 – 10-K SUMMARY</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- 157 -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9"/>
        <w:gridCol w:w="155"/>
        <w:gridCol w:w="155"/>
        <w:gridCol w:w="155"/>
        <w:gridCol w:w="155"/>
        <w:gridCol w:w="157"/>
        <w:gridCol w:w="109"/>
        <w:gridCol w:w="109"/>
        <w:gridCol w:w="109"/>
        <w:gridCol w:w="2997"/>
        <w:gridCol w:w="2798"/>
        <w:gridCol w:w="2808"/>
        <w:gridCol w:w="109"/>
        <w:gridCol w:w="160"/>
      </w:tblGrid>
      <w:tr>
        <w:trPr/>
        <w:tc>
          <w:tcPr>
            <w:tcW w:w="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Second Amended and Restated Certificate of Incorporation of Rackspace Technology, Inc. (incorporated by reference from Exhibit 3.1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Second Amended and Restated Bylaws of Rackspace Technology, Inc. (incorporated by reference from Exhibit 3.2 to Rackspace Technology, Inc.’s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Indenture, dated as of December 1, 2020, among Rackspace Technology Global, Inc., the subsidiary guarantors named therein and Wells Fargo Bank, National Association, as trustee (incorporated by reference from Exhibit 4.1 to Rackspace Technology, Inc.’s Form 8-K, filed on December 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Description of Capital Stock (incorporated by reference from Exhibit 4.2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Indenture, dated as of February 9, 2021, among Rackspace Technology Global, Inc., the subsidiary guarantors party thereto from time to time and Wells Fargo Bank, National Association, as trustee (incorporated by reference from Exhibit 4.1 to Rackspace Technology, Inc.'s Form 8-K, filed on February 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Indenture, dated March 12, 2024, among Rackspace Finance, LLC, the guarantors party thereto from time to time and Computershare Trust Company, N.A., as trustee (incorporated by reference from Exhibit 4.1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First Lien Credit Agreement, dated as of November 3, 2016, among Inception Parent, Inc., Inception Merger Sub, Inc., the lenders party thereto, and Citibank, N.A., as administrative agent (incorporated by reference from Exhibit 10.1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20"/>
                  <w:u w:val="single"/>
                </w:rPr>
                <w:t>Joinder to First Lien Credit Agreement, dated as of November 3, 2016, by Rackspace Technology Global, Inc. (f.k.a. Rackspace Hosting, Inc.) (incorporated by reference from Exhibit 10.2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20"/>
                  <w:u w:val="single"/>
                </w:rPr>
                <w:t>Incremental Assumption and Amendment Agreement, dated as of December 20, 2016, among Inception Parent, Inc., Rackspace Technology Global, Inc. (f.k.a. Rackspace Hosting, Inc.), the subsidiary loan parties, the lenders party thereto, and Citibank, N.A., as administrative agent (incorporated by reference from Exhibit 10.3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20"/>
                  <w:u w:val="single"/>
                </w:rPr>
                <w:t>Incremental Assumption and Amendment Agreement No. 2, dated as of June 21, 2017, among Inception Parent, Inc., Rackspace Technology Global, Inc. (f.k.a. Rackspace Hosting, Inc.), the subsidiary loan parties, the lenders party thereto, and Citibank, N.A., as administrative agent (incorporated by reference from Exhibit 10.4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Incremental Assumption and Amendment Agreement No. 3, dated as of November 15, 2017, among Inception Parent, Inc., Rackspace Technology Global, Inc. (f.k.a. Rackspace Hosting, Inc.), the subsidiary loan parties, the lenders party thereto, and Citibank, N.A., as administrative agent (incorporated by reference from Exhibit 10.5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20"/>
                  <w:u w:val="single"/>
                </w:rPr>
                <w:t>Incremental Assumption Agreement No. 4, dated as of July 20, 2020, among Inception Parent, Inc., Rackspace Technology Global Inc., the subsidiary loan parties, the lenders party thereto and Citibank, N.A., as administrative agent (incorporated by reference from Exhibit 10.4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Incremental Assumption Agreement No. 5, dated as of February 9, 2021, among Rackspace Technology Global, Inc., the subsidiary loan parties, the lenders party thereto and Citibank, N.A., as administrative agent (incorporated by reference from Exhibit 10.1 to Rackspace Technology, Inc.’s Form 8-K, filed on February 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20"/>
                  <w:u w:val="single"/>
                </w:rPr>
                <w:t>First Lien Credit Agreement, dated March 12, 2024, among Rackspace Finance Holdings, LLC, Rackspace Finance, LLC, the lenders and issuing banks party thereto and Citibank, N.A., as administrative agent and Citibank, N.A., acting through its agency &amp; trust business, as collateral agent (incorporated by reference from Exhibit 10.1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- 158 -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109"/>
        <w:gridCol w:w="109"/>
        <w:gridCol w:w="109"/>
        <w:gridCol w:w="109"/>
        <w:gridCol w:w="109"/>
        <w:gridCol w:w="109"/>
        <w:gridCol w:w="2898"/>
        <w:gridCol w:w="2898"/>
        <w:gridCol w:w="2905"/>
        <w:gridCol w:w="109"/>
        <w:gridCol w:w="15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80"/>
                  <w:sz w:val="20"/>
                  <w:u w:val="single"/>
                </w:rPr>
                <w:t>Successor Agent Appointment and Agency Transfer Agreement, dated as of November 15, 2024, among Rackspace Technology Global, Inc., the subsidiary loan parties party thereto, the lenders party thereto, Citibank, N.A., as the predecessor administrative agent, Citibank, N.A., acting through its agency &amp; trust business, as the predecessor collateral agent, and Wilmington Trust, National Association, as the successor administrative agent and as the successor collateral agent</w:t>
              </w:r>
            </w:hyperlink>
            <w:hyperlink r:id="rId19">
              <w:r>
                <w:rPr>
                  <w:rStyle w:val="InternetLink"/>
                  <w:rFonts w:ascii="Times New Roman;serif" w:hAnsi="Times New Roman;serif"/>
                  <w:b w:val="false"/>
                  <w:color w:val="000080"/>
                  <w:sz w:val="20"/>
                  <w:u w:val="single"/>
                </w:rPr>
                <w:t xml:space="preserve"> </w:t>
              </w:r>
            </w:hyperlink>
            <w:hyperlink r:id="rId20">
              <w:r>
                <w:rPr>
                  <w:rStyle w:val="InternetLink"/>
                  <w:rFonts w:ascii="Times New Roman;serif" w:hAnsi="Times New Roman;serif"/>
                  <w:b w:val="false"/>
                  <w:color w:val="000080"/>
                  <w:sz w:val="20"/>
                  <w:u w:val="single"/>
                </w:rPr>
                <w:t>(incorporated by reference from Exhibit 10.</w:t>
              </w:r>
            </w:hyperlink>
            <w:hyperlink r:id="rId21">
              <w:r>
                <w:rPr>
                  <w:rStyle w:val="InternetLink"/>
                  <w:rFonts w:ascii="Times New Roman;serif" w:hAnsi="Times New Roman;serif"/>
                  <w:b w:val="false"/>
                  <w:color w:val="000080"/>
                  <w:sz w:val="20"/>
                  <w:u w:val="single"/>
                </w:rPr>
                <w:t>9</w:t>
              </w:r>
            </w:hyperlink>
            <w:hyperlink r:id="rId22">
              <w:r>
                <w:rPr>
                  <w:rStyle w:val="InternetLink"/>
                  <w:rFonts w:ascii="Times New Roman;serif" w:hAnsi="Times New Roman;serif"/>
                  <w:b w:val="false"/>
                  <w:color w:val="000080"/>
                  <w:sz w:val="20"/>
                  <w:u w:val="single"/>
                </w:rPr>
                <w:t xml:space="preserve"> to Rackspace Technology, Inc.’s Form 10-K for the year ended December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Incremental Assumption and Amendment Agreement No. 1, dated March 12, 2024, among Rackspace Finance Holdings, LLC, Rackspace Finance, LLC, the subsidiary loan parties party thereto, the lenders party thereto and Citibank, N.A., as administrative agent (incorporated by reference from Exhibit 10.2 to Rackspace Technology, Inc.’s Form 8-K, filed on March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FF"/>
                  <w:sz w:val="20"/>
                  <w:u w:val="single"/>
                </w:rPr>
                <w:t>Amended and Restated Investor Rights Agreement, dated as of August 4, 2020, among Rackspace Technology, Inc., Searchlight Capital II, L.P., Searchlight Capital II PV, L.P. and AP VIII Inception Holdings, L.P. (incorporated by reference from Exhibit 10.2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20"/>
                  <w:u w:val="single"/>
                </w:rPr>
                <w:t>Amended and Restated Investor Rights Agreement, dated as of August 4, 2020, among Rackspace Technology, Inc., DPH 123, LLC, ACE Investment Holdings, LLC, AP VIII Inception Holdings, L.P. and solely for purposes of Section 4.1 thereof, ABRY Partners VIII, L.P. (incorporated by reference from Exhibit 10.3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Amendment to Amended and Restated Investor Rights Agreement, dated as of December 7, 2020, between Rackspace Technology, Inc., AP VIII Inception Holdings, L.P. and Searchlight (incorporated by reference from Exhibit 10.9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20"/>
                  <w:u w:val="single"/>
                </w:rPr>
                <w:t>Amendment to Amended and Restated Investor Rights Agreement, dated as of December 7, 2020, between Rackspace Technology, Inc., AP VIII Inception Holdings, L.P. and ABRY (incorporated by reference from Exhibit 10.10 to Rackspace Technology, Inc.’s Form 10-K for the year ended December 31,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Registration Rights Agreement, dated as of August 4, 2020, among Rackspace Technology, Inc. and the Holders party thereto (incorporated by reference from Exhibit 10.1 to Rackspace Technology, Inc.’s Form 8-K, filed on August 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20"/>
                  <w:u w:val="single"/>
                </w:rPr>
                <w:t>Agreement and Plan of Merger, dated as of September 6, 2017, among Rackspace Technology, Inc. (f.k.a. Inception Topco, Inc.), Drake Merger Sub I, Inc., Drake Merger Sub II, LLC, Inception Intermediate, Inc., Inception Parent, Inc., Rackspace Technology Global, Inc. (f.k.a. Rackspace Hosting, Inc.), Datapipe Holdings, LLC, Datapipe Parent, Inc. and the key stockholders party thereto (incorporated by reference from Exhibit 10.9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erif" w:hAnsi="Times New Roman;serif"/>
                  <w:b w:val="false"/>
                  <w:color w:val="0000FF"/>
                  <w:sz w:val="20"/>
                  <w:u w:val="single"/>
                </w:rPr>
                <w:t>Receivables Purchase Agreement, dated September 29, 2023, by and among Rackspace Receivables II LLC, the persons from time to time party thereto, PNC Bank, National Association, Rackspace US, Inc. and PNC Capital Markets LLC (incorporated by reference from Exhibit 10.1 to Rackspace Technology, Inc.’s Form 8-K, filed on October 4,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FF"/>
                  <w:sz w:val="20"/>
                  <w:u w:val="single"/>
                </w:rPr>
                <w:t>Receivables Purchase Agreement, dated as of September 29, 2023, by and among Rackspace Receivables II LLC, Rackspace Receivables Canada Limited, the persons from time to time party thereto as purchasers, PNC Bank, National Association, Rackspace US, Inc., Rackspace International GmbH, Rackspace Limited and Onica Technologies Canada Inc. and PNC Capital Markets LLC as structuring agent (incorporated by reference from Exhibit 10.17 to Rackspace Technology, Inc.’s Form 10-K for the year ended December 31,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20"/>
                  <w:u w:val="single"/>
                </w:rPr>
                <w:t>Employment Agreement between the Company and Amar Maletira, dated October 16, 2020 (incorporated by reference from Exhibit 10.1 to Rackspace Technology, Inc.’s Form 8-K, filed on October 21,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FF"/>
                  <w:sz w:val="20"/>
                  <w:u w:val="single"/>
                </w:rPr>
                <w:t>Amended and Restated Employment Agreement between Rackspace Technology, Inc. and Amar Maletira, effective September 27, 2022 (incorporated by reference from Exhibit 10.1 to Rackspace Technology, Inc.'s Form 10-Q for the quarter ended September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20"/>
                  <w:u w:val="single"/>
                </w:rPr>
                <w:t>Separation Agreement and Release of Claims by and between Rackspace Technology, Inc. and Amar Maletira, dated September 6, 2025 (incorporated by reference from Exhibit 10.2 to Rackspace Technology, Inc.’s Form 8-K/A, filed on September 11,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20"/>
                  <w:u w:val="single"/>
                </w:rPr>
                <w:t>Employment Agreement by and between Rackspace Technology, Inc. and Gajen Kandiah, dated August 30, 2025 (incorporated by reference from Exhibit 10.1 to Rackspace Technology, Inc.’s Form 8-K, filed on September 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- 159 -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09"/>
        <w:gridCol w:w="109"/>
        <w:gridCol w:w="109"/>
        <w:gridCol w:w="2934"/>
        <w:gridCol w:w="2879"/>
        <w:gridCol w:w="2887"/>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20"/>
                  <w:u w:val="single"/>
                </w:rPr>
                <w:t>Amended and Restated Employment Agreement between Rackspace US, Inc. and Mark Marino, effective January 12, 2024 (incorporated by reference from Exhibit 10.1 to Rackspace Technology, Inc.’s Form 8-K, filed on January 12,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20"/>
                  <w:u w:val="single"/>
                </w:rPr>
                <w:t>Employment Agreement between Rackspace US, Inc. and Brian Lillie, effective January 16, 2023 (incorporated by reference from Exhibit 10.6 to Rackspace Technology, Inc.’s Form 10-Q for the quarter ended March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80"/>
                  <w:sz w:val="20"/>
                  <w:u w:val="single"/>
                </w:rPr>
                <w:t>Separation Agreement and Release between Rackspace US, Inc. and Brian Lillie</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(incorporated by reference from Exhibit 10.</w:t>
              </w:r>
            </w:hyperlink>
            <w:hyperlink r:id="rId41">
              <w:r>
                <w:rPr>
                  <w:rStyle w:val="InternetLink"/>
                  <w:rFonts w:ascii="Times New Roman;serif" w:hAnsi="Times New Roman;serif"/>
                  <w:b w:val="false"/>
                  <w:color w:val="000080"/>
                  <w:sz w:val="20"/>
                  <w:u w:val="single"/>
                </w:rPr>
                <w:t>23</w:t>
              </w:r>
            </w:hyperlink>
            <w:hyperlink r:id="rId42">
              <w:r>
                <w:rPr>
                  <w:rStyle w:val="InternetLink"/>
                  <w:rFonts w:ascii="Times New Roman;serif" w:hAnsi="Times New Roman;serif"/>
                  <w:b w:val="false"/>
                  <w:color w:val="000080"/>
                  <w:sz w:val="20"/>
                  <w:u w:val="single"/>
                </w:rPr>
                <w:t xml:space="preserve"> to Rackspace Technology, Inc.’s Form 10-K for the year ended December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FF"/>
                  <w:sz w:val="20"/>
                  <w:u w:val="single"/>
                </w:rPr>
                <w:t>Employment Agreement between Rackspace US, Inc. and Dharmendra Kumar (“DK”) Sinha, effective July 13, 2022 (incorporated by reference from Exhibit 10.7 to Rackspace Technology, Inc.’s Form 10-Q for the quarter ended March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erif" w:hAnsi="Times New Roman;serif"/>
                  <w:b w:val="false"/>
                  <w:color w:val="000080"/>
                  <w:sz w:val="20"/>
                  <w:u w:val="single"/>
                </w:rPr>
                <w:t>Employment Agreement between Rackspace US, Inc. and Srinivas Koushik, dated December 15, 2021</w:t>
              </w:r>
            </w:hyperlink>
            <w:hyperlink r:id="rId45">
              <w:r>
                <w:rPr>
                  <w:rStyle w:val="InternetLink"/>
                  <w:rFonts w:ascii="Times New Roman;serif" w:hAnsi="Times New Roman;serif"/>
                  <w:b w:val="false"/>
                  <w:color w:val="000080"/>
                  <w:sz w:val="20"/>
                  <w:u w:val="single"/>
                </w:rPr>
                <w:t xml:space="preserve"> </w:t>
              </w:r>
            </w:hyperlink>
            <w:hyperlink r:id="rId46">
              <w:r>
                <w:rPr>
                  <w:rStyle w:val="InternetLink"/>
                  <w:rFonts w:ascii="Times New Roman;serif" w:hAnsi="Times New Roman;serif"/>
                  <w:b w:val="false"/>
                  <w:color w:val="000080"/>
                  <w:sz w:val="20"/>
                  <w:u w:val="single"/>
                </w:rPr>
                <w:t>(incorporated by reference from Exhibit 10.</w:t>
              </w:r>
            </w:hyperlink>
            <w:hyperlink r:id="rId47">
              <w:r>
                <w:rPr>
                  <w:rStyle w:val="InternetLink"/>
                  <w:rFonts w:ascii="Times New Roman;serif" w:hAnsi="Times New Roman;serif"/>
                  <w:b w:val="false"/>
                  <w:color w:val="000080"/>
                  <w:sz w:val="20"/>
                  <w:u w:val="single"/>
                </w:rPr>
                <w:t>25</w:t>
              </w:r>
            </w:hyperlink>
            <w:hyperlink r:id="rId48">
              <w:r>
                <w:rPr>
                  <w:rStyle w:val="InternetLink"/>
                  <w:rFonts w:ascii="Times New Roman;serif" w:hAnsi="Times New Roman;serif"/>
                  <w:b w:val="false"/>
                  <w:color w:val="000080"/>
                  <w:sz w:val="20"/>
                  <w:u w:val="single"/>
                </w:rPr>
                <w:t xml:space="preserve"> to Rackspace Technology, Inc.’s Form 10-K for the year ended December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erif" w:hAnsi="Times New Roman;serif"/>
                  <w:b w:val="false"/>
                  <w:color w:val="0000FF"/>
                  <w:sz w:val="20"/>
                  <w:u w:val="single"/>
                </w:rPr>
                <w:t>Form of Non-Qualified Stock Option Agreement between Rackspace Technology, Inc. and each of the named executive officers (other than the Chief Executive Officer) under the 2017 Incentive Plan (incorporated by reference from Exhibit 10.20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erif" w:hAnsi="Times New Roman;serif"/>
                  <w:b w:val="false"/>
                  <w:color w:val="0000FF"/>
                  <w:sz w:val="20"/>
                  <w:u w:val="single"/>
                </w:rPr>
                <w:t>Form of Non-Qualified Stock Option Agreement between Rackspace Technology, Inc. and certain of the Directors under the 2017 Incentive Plan (incorporated by reference from Exhibit 10.24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erif" w:hAnsi="Times New Roman;serif"/>
                  <w:b w:val="false"/>
                  <w:color w:val="0000FF"/>
                  <w:sz w:val="20"/>
                  <w:u w:val="single"/>
                </w:rPr>
                <w:t>Form of Performance Stock Unit Agreement between Rackspace Technology, Inc. and certain of its executive officers under the 2020 Equity Incentive Plan (incorporated by reference from Exhibit 10.2 to Rackspace Technology, Inc.’s Form 10-Q for the quarter ended March 31,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erif" w:hAnsi="Times New Roman;serif"/>
                  <w:b w:val="false"/>
                  <w:color w:val="0000FF"/>
                  <w:sz w:val="20"/>
                  <w:u w:val="single"/>
                </w:rPr>
                <w:t>Form of Cash-Settled Performance Unit Agreement between Rackspace Technology, Inc. and certain of its executive officers under the 2020 Equity Incentive Plan (incorporated by reference from Exhibit 10.1 to Rackspace Technology, Inc.’s Form 10-Q for the quarter ended March 31,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Times New Roman;serif" w:hAnsi="Times New Roman;serif"/>
                  <w:b w:val="false"/>
                  <w:color w:val="0000FF"/>
                  <w:sz w:val="20"/>
                  <w:u w:val="single"/>
                </w:rPr>
                <w:t>Form of Restricted Stock Unit Award Agreement between Rackspace Technology, Inc. and certain of its executive officers under the 2020 Equity Incentive Plan (incorporated by reference from Exhibit 10.2 to Rackspace Technology, Inc.’s Form 10-Q for the quarter ended June 30,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4">
              <w:r>
                <w:rPr>
                  <w:rStyle w:val="InternetLink"/>
                  <w:rFonts w:ascii="Times New Roman;serif" w:hAnsi="Times New Roman;serif"/>
                  <w:b w:val="false"/>
                  <w:color w:val="0000FF"/>
                  <w:sz w:val="20"/>
                  <w:u w:val="single"/>
                </w:rPr>
                <w:t>Form of Cash-Settled Performance Award Agreement between Rackspace Technology, Inc. and certain of its executive officers under the 2020 Equity Incentive Plan (incorporated by reference from Exhibit 10.3 to Rackspace Technology, Inc.’s Form 10-Q for the quarter ended June 30,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erif" w:hAnsi="Times New Roman;serif"/>
                  <w:b w:val="false"/>
                  <w:color w:val="0000FF"/>
                  <w:sz w:val="20"/>
                  <w:u w:val="single"/>
                </w:rPr>
                <w:t>Form of Restricted Stock Unit Award Agreement between Rackspace Technology, Inc. and certain of its directors under the 2020 Equity Incentive Plan (incorporated by reference from Exhibit 10.4 to Rackspace Technology, Inc.’s Form 10-Q for the quarter ended June 30,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Times New Roman;serif" w:hAnsi="Times New Roman;serif"/>
                  <w:b w:val="false"/>
                  <w:color w:val="0000FF"/>
                  <w:sz w:val="20"/>
                  <w:u w:val="single"/>
                </w:rPr>
                <w:t>Form of Restricted Stock Unit Inducement Award Agreement (incorporated by reference from Exhibit 4.1 to Rackspace Technology, Inc.’s Form S-8, filed on September 4,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7">
              <w:r>
                <w:rPr>
                  <w:rStyle w:val="InternetLink"/>
                  <w:rFonts w:ascii="Times New Roman;serif" w:hAnsi="Times New Roman;serif"/>
                  <w:b w:val="false"/>
                  <w:color w:val="0000FF"/>
                  <w:sz w:val="20"/>
                  <w:u w:val="single"/>
                </w:rPr>
                <w:t>Form of Non-Qualified Stock Option Inducement Award Agreement (incorporated by reference from Exhibit 4.2 to Rackspace Technology, Inc.’s Form S-8, filed on September 4,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8">
              <w:r>
                <w:rPr>
                  <w:rStyle w:val="InternetLink"/>
                  <w:rFonts w:ascii="Times New Roman;serif" w:hAnsi="Times New Roman;serif"/>
                  <w:b w:val="false"/>
                  <w:color w:val="0000FF"/>
                  <w:sz w:val="20"/>
                  <w:u w:val="single"/>
                </w:rPr>
                <w:t>Rackspace Technology, Inc. Equity Incentive Plan, dated as of April 7, 2017 (incorporated by reference from Exhibit 10.27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9">
              <w:r>
                <w:rPr>
                  <w:rStyle w:val="InternetLink"/>
                  <w:rFonts w:ascii="Times New Roman;serif" w:hAnsi="Times New Roman;serif"/>
                  <w:b w:val="false"/>
                  <w:color w:val="0000FF"/>
                  <w:sz w:val="20"/>
                  <w:u w:val="single"/>
                </w:rPr>
                <w:t>Rackspace Technology, Inc. 2020 Equity Incentive Plan (incorporated by reference from Exhibit 4.2 to Rackspace Technology, Inc.’s Registration Statement on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Times New Roman;serif" w:hAnsi="Times New Roman;serif"/>
                  <w:b w:val="false"/>
                  <w:color w:val="0000FF"/>
                  <w:sz w:val="20"/>
                  <w:u w:val="single"/>
                </w:rPr>
                <w:t>Rackspace Technology, Inc. Amendment No. 1 to 2020 Equity Incentive Plan (incorporated by reference from Exhibit 10.1 to Rackspace Technology, Inc.’s Form 10-Q for the quarter ended June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1">
              <w:r>
                <w:rPr>
                  <w:rStyle w:val="InternetLink"/>
                  <w:rFonts w:ascii="Times New Roman;serif" w:hAnsi="Times New Roman;serif"/>
                  <w:b w:val="false"/>
                  <w:color w:val="0000FF"/>
                  <w:sz w:val="20"/>
                  <w:u w:val="single"/>
                </w:rPr>
                <w:t>Rackspace Technology, Inc. Amendment No. 2 to 2020 Equity Incentive Plan (incorporated by reference from Exhibit 10.1 to Rackspace Technology, Inc.’s Form 10-Q for the quarter ended June 30,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2">
              <w:r>
                <w:rPr>
                  <w:rStyle w:val="InternetLink"/>
                  <w:rFonts w:ascii="Times New Roman;serif" w:hAnsi="Times New Roman;serif"/>
                  <w:b w:val="false"/>
                  <w:color w:val="0000FF"/>
                  <w:sz w:val="20"/>
                  <w:u w:val="single"/>
                </w:rPr>
                <w:t>Rackspace Technology, Inc. Amendment No. 3 to 2020 Equity Incentive Plan (incorporated by reference from Exhibit 10.1 to Rackspace Technology, Inc.’s Form 10-Q for the quarter ended June 30,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3">
              <w:r>
                <w:rPr>
                  <w:rStyle w:val="InternetLink"/>
                  <w:rFonts w:ascii="Times New Roman;serif" w:hAnsi="Times New Roman;serif"/>
                  <w:b w:val="false"/>
                  <w:color w:val="0000FF"/>
                  <w:sz w:val="20"/>
                  <w:u w:val="single"/>
                </w:rPr>
                <w:t>Rackspace Technology, Inc. Employee Stock Purchase Plan (incorporated by reference from Exhibit 4.3 to Rackspace Technology, Inc.’s Registration Statement on Form S-8, filed on August 5,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4">
              <w:r>
                <w:rPr>
                  <w:rStyle w:val="InternetLink"/>
                  <w:rFonts w:ascii="Times New Roman;serif" w:hAnsi="Times New Roman;serif"/>
                  <w:b w:val="false"/>
                  <w:color w:val="0000FF"/>
                  <w:sz w:val="20"/>
                  <w:u w:val="single"/>
                </w:rPr>
                <w:t>Rackspace Technology, Inc. Annual Cash Incentive Plan (incorporated by reference from Exhibit 10.8 to Rackspace Technology, Inc.’s Form 10-Q for the quarter ended September 30,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- 160 -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1"/>
        <w:gridCol w:w="220"/>
        <w:gridCol w:w="223"/>
        <w:gridCol w:w="109"/>
        <w:gridCol w:w="109"/>
        <w:gridCol w:w="109"/>
        <w:gridCol w:w="109"/>
        <w:gridCol w:w="109"/>
        <w:gridCol w:w="109"/>
        <w:gridCol w:w="3174"/>
        <w:gridCol w:w="2705"/>
        <w:gridCol w:w="2712"/>
        <w:gridCol w:w="109"/>
        <w:gridCol w:w="157"/>
      </w:tblGrid>
      <w:tr>
        <w:trPr/>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5">
              <w:r>
                <w:rPr>
                  <w:rStyle w:val="InternetLink"/>
                  <w:rFonts w:ascii="Times New Roman;serif" w:hAnsi="Times New Roman;serif"/>
                  <w:b w:val="false"/>
                  <w:color w:val="0000FF"/>
                  <w:sz w:val="20"/>
                  <w:u w:val="single"/>
                </w:rPr>
                <w:t>Rackspace Technology, Inc. Non-Employee Director Compensation Policy (incorporated by reference from Exhibit 10.31 to Rackspace Technology, Inc.’s Registration Statement on Form S-1, filed on July 10,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6">
              <w:r>
                <w:rPr>
                  <w:rStyle w:val="InternetLink"/>
                  <w:rFonts w:ascii="Times New Roman;serif" w:hAnsi="Times New Roman;serif"/>
                  <w:b w:val="false"/>
                  <w:color w:val="000080"/>
                  <w:sz w:val="20"/>
                  <w:u w:val="single"/>
                </w:rPr>
                <w:t>Rackspace Technology, Inc. Non-Employee Director Compensation Policy, effective January 1, 2025</w:t>
              </w:r>
            </w:hyperlink>
            <w:hyperlink r:id="rId67">
              <w:r>
                <w:rPr>
                  <w:rStyle w:val="InternetLink"/>
                  <w:rFonts w:ascii="Times New Roman;serif" w:hAnsi="Times New Roman;serif"/>
                  <w:b w:val="false"/>
                  <w:color w:val="000080"/>
                  <w:sz w:val="20"/>
                  <w:u w:val="single"/>
                </w:rPr>
                <w:t xml:space="preserve"> </w:t>
              </w:r>
            </w:hyperlink>
            <w:hyperlink r:id="rId68">
              <w:r>
                <w:rPr>
                  <w:rStyle w:val="InternetLink"/>
                  <w:rFonts w:ascii="Times New Roman;serif" w:hAnsi="Times New Roman;serif"/>
                  <w:b w:val="false"/>
                  <w:color w:val="000080"/>
                  <w:sz w:val="20"/>
                  <w:u w:val="single"/>
                </w:rPr>
                <w:t>(incorporated by reference from Exhibit 1</w:t>
              </w:r>
            </w:hyperlink>
            <w:hyperlink r:id="rId69">
              <w:r>
                <w:rPr>
                  <w:rStyle w:val="InternetLink"/>
                  <w:rFonts w:ascii="Times New Roman;serif" w:hAnsi="Times New Roman;serif"/>
                  <w:b w:val="false"/>
                  <w:color w:val="000080"/>
                  <w:sz w:val="20"/>
                  <w:u w:val="single"/>
                </w:rPr>
                <w:t>0</w:t>
              </w:r>
            </w:hyperlink>
            <w:hyperlink r:id="rId70">
              <w:r>
                <w:rPr>
                  <w:rStyle w:val="InternetLink"/>
                  <w:rFonts w:ascii="Times New Roman;serif" w:hAnsi="Times New Roman;serif"/>
                  <w:b w:val="false"/>
                  <w:color w:val="000080"/>
                  <w:sz w:val="20"/>
                  <w:u w:val="single"/>
                </w:rPr>
                <w:t>.</w:t>
              </w:r>
            </w:hyperlink>
            <w:hyperlink r:id="rId71">
              <w:r>
                <w:rPr>
                  <w:rStyle w:val="InternetLink"/>
                  <w:rFonts w:ascii="Times New Roman;serif" w:hAnsi="Times New Roman;serif"/>
                  <w:b w:val="false"/>
                  <w:color w:val="000080"/>
                  <w:sz w:val="20"/>
                  <w:u w:val="single"/>
                </w:rPr>
                <w:t>4</w:t>
              </w:r>
            </w:hyperlink>
            <w:hyperlink r:id="rId72">
              <w:r>
                <w:rPr>
                  <w:rStyle w:val="InternetLink"/>
                  <w:rFonts w:ascii="Times New Roman;serif" w:hAnsi="Times New Roman;serif"/>
                  <w:b w:val="false"/>
                  <w:color w:val="000080"/>
                  <w:sz w:val="20"/>
                  <w:u w:val="single"/>
                </w:rPr>
                <w:t>1 to Rackspace Technology, Inc.’s Form 10-K for the year ended December 31,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3">
              <w:r>
                <w:rPr>
                  <w:rStyle w:val="InternetLink"/>
                  <w:rFonts w:ascii="Times New Roman;serif" w:hAnsi="Times New Roman;serif"/>
                  <w:b w:val="false"/>
                  <w:color w:val="0000FF"/>
                  <w:sz w:val="20"/>
                  <w:u w:val="single"/>
                </w:rPr>
                <w:t>Rackspace Technology, Inc. Executive Change in Control Severance Plan (incorporated by reference from Exhibit 10.1 to Rackspace Technology, Inc.’s Form 8-K, filed on March 18,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4">
              <w:r>
                <w:rPr>
                  <w:rStyle w:val="InternetLink"/>
                  <w:rFonts w:ascii="Times New Roman;serif" w:hAnsi="Times New Roman;serif"/>
                  <w:b w:val="false"/>
                  <w:color w:val="0000FF"/>
                  <w:sz w:val="20"/>
                  <w:u w:val="single"/>
                </w:rPr>
                <w:t>Form of Indemnification Agreement (incorporated by reference from Exhibit 10.32 to Rackspace Technology, Inc.’s Amendment No. 2 to Registration Statement on Form S-1/A, filed on July 27,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5">
              <w:r>
                <w:rPr>
                  <w:rStyle w:val="InternetLink"/>
                  <w:rFonts w:ascii="Times New Roman;serif" w:hAnsi="Times New Roman;serif"/>
                  <w:b w:val="false"/>
                  <w:color w:val="000080"/>
                  <w:sz w:val="20"/>
                  <w:u w:val="single"/>
                </w:rPr>
                <w:t>Letter from PricewaterhouseCoopers LLP, dated March 27, 2025</w:t>
              </w:r>
            </w:hyperlink>
            <w:hyperlink r:id="rId76">
              <w:r>
                <w:rPr>
                  <w:rStyle w:val="InternetLink"/>
                  <w:rFonts w:ascii="Times New Roman;serif" w:hAnsi="Times New Roman;serif"/>
                  <w:b w:val="false"/>
                  <w:color w:val="000080"/>
                  <w:sz w:val="20"/>
                  <w:u w:val="single"/>
                </w:rPr>
                <w:t xml:space="preserve"> (incorporated by reference from Exhibit 16.1 to Racksp</w:t>
              </w:r>
            </w:hyperlink>
            <w:hyperlink r:id="rId77">
              <w:r>
                <w:rPr>
                  <w:rStyle w:val="InternetLink"/>
                  <w:rFonts w:ascii="Times New Roman;serif" w:hAnsi="Times New Roman;serif"/>
                  <w:b w:val="false"/>
                  <w:color w:val="000080"/>
                  <w:sz w:val="20"/>
                  <w:u w:val="single"/>
                </w:rPr>
                <w:t>ace Technology, Inc</w:t>
              </w:r>
            </w:hyperlink>
            <w:hyperlink r:id="rId78">
              <w:r>
                <w:rPr>
                  <w:rStyle w:val="InternetLink"/>
                  <w:rFonts w:ascii="Times New Roman;serif" w:hAnsi="Times New Roman;serif"/>
                  <w:b w:val="false"/>
                  <w:color w:val="000080"/>
                  <w:sz w:val="20"/>
                  <w:u w:val="single"/>
                </w:rPr>
                <w:t>.</w:t>
              </w:r>
            </w:hyperlink>
            <w:hyperlink r:id="rId79">
              <w:r>
                <w:rPr>
                  <w:rStyle w:val="InternetLink"/>
                  <w:rFonts w:ascii="Times New Roman;serif" w:hAnsi="Times New Roman;serif"/>
                  <w:b w:val="false"/>
                  <w:color w:val="000080"/>
                  <w:sz w:val="20"/>
                  <w:u w:val="single"/>
                </w:rPr>
                <w:t>’</w:t>
              </w:r>
            </w:hyperlink>
            <w:hyperlink r:id="rId80">
              <w:r>
                <w:rPr>
                  <w:rStyle w:val="InternetLink"/>
                  <w:rFonts w:ascii="Times New Roman;serif" w:hAnsi="Times New Roman;serif"/>
                  <w:b w:val="false"/>
                  <w:color w:val="000080"/>
                  <w:sz w:val="20"/>
                  <w:u w:val="single"/>
                </w:rPr>
                <w:t>s F</w:t>
              </w:r>
            </w:hyperlink>
            <w:hyperlink r:id="rId81">
              <w:r>
                <w:rPr>
                  <w:rStyle w:val="InternetLink"/>
                  <w:rFonts w:ascii="Times New Roman;serif" w:hAnsi="Times New Roman;serif"/>
                  <w:b w:val="false"/>
                  <w:color w:val="000080"/>
                  <w:sz w:val="20"/>
                  <w:u w:val="single"/>
                </w:rPr>
                <w:t>orm 8-K</w:t>
              </w:r>
            </w:hyperlink>
            <w:hyperlink r:id="rId82">
              <w:r>
                <w:rPr>
                  <w:rStyle w:val="InternetLink"/>
                  <w:rFonts w:ascii="Times New Roman;serif" w:hAnsi="Times New Roman;serif"/>
                  <w:b w:val="false"/>
                  <w:color w:val="000080"/>
                  <w:sz w:val="20"/>
                  <w:u w:val="single"/>
                </w:rPr>
                <w:t>, filed on March 27,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3">
              <w:r>
                <w:rPr>
                  <w:rStyle w:val="InternetLink"/>
                  <w:rFonts w:ascii="Times New Roman;serif" w:hAnsi="Times New Roman;serif"/>
                  <w:b w:val="false"/>
                  <w:color w:val="000080"/>
                  <w:sz w:val="20"/>
                  <w:u w:val="single"/>
                </w:rPr>
                <w:t>Rackspace Technology, Inc. Securities Trading Policy</w:t>
              </w:r>
            </w:hyperlink>
            <w:hyperlink r:id="rId84">
              <w:r>
                <w:rPr>
                  <w:rStyle w:val="InternetLink"/>
                  <w:rFonts w:ascii="Times New Roman;serif" w:hAnsi="Times New Roman;serif"/>
                  <w:b w:val="false"/>
                  <w:color w:val="000080"/>
                  <w:sz w:val="20"/>
                  <w:u w:val="single"/>
                </w:rPr>
                <w:t xml:space="preserve"> </w:t>
              </w:r>
            </w:hyperlink>
            <w:hyperlink r:id="rId85">
              <w:r>
                <w:rPr>
                  <w:rStyle w:val="InternetLink"/>
                  <w:rFonts w:ascii="Times New Roman;serif" w:hAnsi="Times New Roman;serif"/>
                  <w:b w:val="false"/>
                  <w:color w:val="000080"/>
                  <w:sz w:val="20"/>
                  <w:u w:val="single"/>
                </w:rPr>
                <w:t>(incorporated by reference from Exhibit</w:t>
              </w:r>
            </w:hyperlink>
            <w:hyperlink r:id="rId86">
              <w:r>
                <w:rPr>
                  <w:rStyle w:val="InternetLink"/>
                  <w:rFonts w:ascii="Times New Roman;serif" w:hAnsi="Times New Roman;serif"/>
                  <w:b w:val="false"/>
                  <w:color w:val="000080"/>
                  <w:sz w:val="20"/>
                  <w:u w:val="single"/>
                </w:rPr>
                <w:t xml:space="preserve"> 19.1</w:t>
              </w:r>
            </w:hyperlink>
            <w:hyperlink r:id="rId87">
              <w:r>
                <w:rPr>
                  <w:rStyle w:val="InternetLink"/>
                  <w:rFonts w:ascii="Times New Roman;serif" w:hAnsi="Times New Roman;serif"/>
                  <w:b w:val="false"/>
                  <w:color w:val="000080"/>
                  <w:sz w:val="20"/>
                  <w:u w:val="single"/>
                </w:rPr>
                <w:t xml:space="preserve"> </w:t>
              </w:r>
            </w:hyperlink>
            <w:hyperlink r:id="rId88">
              <w:r>
                <w:rPr>
                  <w:rStyle w:val="InternetLink"/>
                  <w:rFonts w:ascii="Times New Roman;serif" w:hAnsi="Times New Roman;serif"/>
                  <w:b w:val="false"/>
                  <w:color w:val="000080"/>
                  <w:sz w:val="20"/>
                  <w:u w:val="single"/>
                </w:rPr>
                <w:t>to Rackspace Technology, Inc.’s Form 10-K for the year ended December 31, 202</w:t>
              </w:r>
            </w:hyperlink>
            <w:hyperlink r:id="rId89">
              <w:r>
                <w:rPr>
                  <w:rStyle w:val="InternetLink"/>
                  <w:rFonts w:ascii="Times New Roman;serif" w:hAnsi="Times New Roman;serif"/>
                  <w:b w:val="false"/>
                  <w:color w:val="000080"/>
                  <w:sz w:val="20"/>
                  <w:u w:val="single"/>
                </w:rPr>
                <w:t>4</w:t>
              </w:r>
            </w:hyperlink>
            <w:hyperlink r:id="rId90">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211q42025subsidiaries.htm">
              <w:r>
                <w:rPr>
                  <w:rStyle w:val="InternetLink"/>
                  <w:rFonts w:ascii="Times New Roman;serif" w:hAnsi="Times New Roman;serif"/>
                  <w:b w:val="false"/>
                  <w:color w:val="0000FF"/>
                  <w:sz w:val="20"/>
                  <w:u w:val="single"/>
                </w:rPr>
                <w:t>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231q42025.htm">
              <w:r>
                <w:rPr>
                  <w:rStyle w:val="InternetLink"/>
                  <w:rFonts w:ascii="Times New Roman;serif" w:hAnsi="Times New Roman;serif"/>
                  <w:b w:val="false"/>
                  <w:color w:val="0000FF"/>
                  <w:sz w:val="20"/>
                  <w:u w:val="single"/>
                </w:rPr>
                <w:t>Consent of KPMG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232q42025.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1q42025.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42025.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42025.htm">
              <w:r>
                <w:rPr>
                  <w:rStyle w:val="InternetLink"/>
                  <w:rFonts w:ascii="Times New Roman;serif" w:hAnsi="Times New Roman;serif"/>
                  <w:b w:val="false"/>
                  <w:color w:val="0000FF"/>
                  <w:sz w:val="20"/>
                  <w:u w:val="single"/>
                </w:rPr>
                <w:t>Certification of the Chief Executive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42025.htm">
              <w:r>
                <w:rPr>
                  <w:rStyle w:val="InternetLink"/>
                  <w:rFonts w:ascii="Times New Roman;serif" w:hAnsi="Times New Roman;serif"/>
                  <w:b w:val="false"/>
                  <w:color w:val="0000FF"/>
                  <w:sz w:val="20"/>
                  <w:u w:val="single"/>
                </w:rPr>
                <w:t>Certification of the Chief Financial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1">
              <w:r>
                <w:rPr>
                  <w:rStyle w:val="InternetLink"/>
                  <w:rFonts w:ascii="Times New Roman;serif" w:hAnsi="Times New Roman;serif"/>
                  <w:b w:val="false"/>
                  <w:color w:val="0000FF"/>
                  <w:sz w:val="20"/>
                  <w:u w:val="single"/>
                </w:rPr>
                <w:t>Rackspace Technology, Inc. Executive Officer Incentive Compensation Clawback Policy (incorporated by reference from Exhibit 97 to Rackspace Technology, Inc.’s Form 10-K for the year ended December 31,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8"/>
        </w:rPr>
        <w:t>*    </w:t>
      </w:r>
      <w:r>
        <w:rPr>
          <w:rFonts w:ascii="Times New Roman;serif" w:hAnsi="Times New Roman;serif"/>
          <w:b w:val="false"/>
          <w:color w:val="000000"/>
          <w:sz w:val="18"/>
        </w:rPr>
        <w:t>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Indicates management contract or compensatory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- 161 -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63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- 162 -</w:t>
                      </w:r>
                    </w:p>
                  </w:txbxContent>
                </v:textbox>
                <w10:wrap type="none"/>
              </v:rect>
            </w:pict>
          </mc:Fallback>
        </mc:AlternateContent>
      </w:r>
    </w:p>
    <w:p>
      <w:pPr>
        <w:pStyle w:val="TextBody"/>
        <w:bidi w:val="0"/>
        <w:spacing w:lineRule="auto" w:line="288" w:before="0" w:after="0"/>
        <w:jc w:val="left"/>
        <w:rPr/>
      </w:pPr>
      <w:hyperlink w:anchor="i1f3c2a6211f24c048b1a6a7e9ba0d1d7_7">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firstLine="540"/>
        <w:jc w:val="left"/>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567" w:type="dxa"/>
        <w:jc w:val="left"/>
        <w:tblInd w:w="0" w:type="dxa"/>
        <w:tblLayout w:type="fixed"/>
        <w:tblCellMar>
          <w:top w:w="28" w:type="dxa"/>
          <w:left w:w="28" w:type="dxa"/>
          <w:bottom w:w="28" w:type="dxa"/>
          <w:right w:w="28" w:type="dxa"/>
        </w:tblCellMar>
      </w:tblPr>
      <w:tblGrid>
        <w:gridCol w:w="634"/>
        <w:gridCol w:w="559"/>
        <w:gridCol w:w="562"/>
        <w:gridCol w:w="109"/>
        <w:gridCol w:w="109"/>
        <w:gridCol w:w="109"/>
        <w:gridCol w:w="1269"/>
        <w:gridCol w:w="1269"/>
        <w:gridCol w:w="1286"/>
        <w:gridCol w:w="109"/>
        <w:gridCol w:w="109"/>
        <w:gridCol w:w="109"/>
        <w:gridCol w:w="389"/>
        <w:gridCol w:w="389"/>
        <w:gridCol w:w="556"/>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Gajen Kandiah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Gajen Kandiah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Marino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Betsy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Betsy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Benjamin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Mitch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Mitch Garber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Mark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Mark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Anthony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Aaron Sobel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- 163 -</w:t>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15"/>
        <w:gridCol w:w="1506"/>
        <w:gridCol w:w="1514"/>
        <w:gridCol w:w="109"/>
        <w:gridCol w:w="109"/>
        <w:gridCol w:w="109"/>
        <w:gridCol w:w="1503"/>
        <w:gridCol w:w="1503"/>
        <w:gridCol w:w="2137"/>
      </w:tblGrid>
      <w:tr>
        <w:trPr/>
        <w:tc>
          <w:tcPr>
            <w:tcW w:w="171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Subsidiaries of Rackspace Technology, Inc.</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r>
      <w:tr>
        <w:trPr/>
        <w:tc>
          <w:tcPr>
            <w:tcW w:w="4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Adapt Services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Datapipe Asia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Datapipe Europe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Datapipe Singapore Pte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Datapipe,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Drake Merger Sub II,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GoGrid,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Inception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Inception Parent,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 Vietnam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ObjectRocket,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Onica Egypt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Onica Group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Onica Holdings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Onica Technologies Canada,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Arabia for Information Technology Single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Arabia Regional Headquarter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Asia (Shanghai)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Asia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Benelux BV</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Canada,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Finance,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Finance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Finance (UK)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Germany GmbH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Government Solutions,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Hosting Australia Pty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India Private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International GmbH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International Holdings,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Israel Holdings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Mexico s.de R.L. de C.V.</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New Zealand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Professional Services Japan GK</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Receivables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Receivables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752" w:type="dxa"/>
        <w:jc w:val="left"/>
        <w:tblInd w:w="0" w:type="dxa"/>
        <w:tblLayout w:type="fixed"/>
        <w:tblCellMar>
          <w:top w:w="28" w:type="dxa"/>
          <w:left w:w="28" w:type="dxa"/>
          <w:bottom w:w="28" w:type="dxa"/>
          <w:right w:w="28" w:type="dxa"/>
        </w:tblCellMar>
      </w:tblPr>
      <w:tblGrid>
        <w:gridCol w:w="2211"/>
        <w:gridCol w:w="1940"/>
        <w:gridCol w:w="1953"/>
        <w:gridCol w:w="109"/>
        <w:gridCol w:w="109"/>
        <w:gridCol w:w="109"/>
        <w:gridCol w:w="385"/>
        <w:gridCol w:w="385"/>
        <w:gridCol w:w="551"/>
      </w:tblGrid>
      <w:tr>
        <w:trPr/>
        <w:tc>
          <w:tcPr>
            <w:tcW w:w="221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Singapore Pte. Ltd.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Belgium B.V.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Technology Brazil LTDA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Technology Colombia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Hungary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Technology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Rackspace Technology Poland sp. z o.o. (Yocarnim Investments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US,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RelationEdge,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RSUS4,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RXT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Tricore Solutions Private Limited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Tricore Solutions, LLC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on Form S-8 (Nos. 333-290044, 333-268641, 333-273850, 333-281440 and 333-240498) of our reports dated March 6, 2026, with respect to the consolidated financial statements of Rackspace Technology, Inc. and subsidiaries and the effectiveness of internal control over financial reporting.</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 KPMG LLP </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San Antonio,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0"/>
        <w:jc w:val="left"/>
        <w:rPr/>
      </w:pPr>
      <w:r>
        <w:rPr>
          <w:rFonts w:ascii="Georgia;serif" w:hAnsi="Georgia;serif"/>
          <w:b w:val="false"/>
          <w:color w:val="000000"/>
          <w:sz w:val="20"/>
          <w:shd w:fill="FFFFFF" w:val="clear"/>
        </w:rPr>
        <w:t>We hereby consent to the incorporation by reference in the Registration Statements on Form</w:t>
      </w:r>
      <w:r>
        <w:rPr>
          <w:color w:val="000000"/>
          <w:shd w:fill="FFFFFF" w:val="clear"/>
        </w:rPr>
        <w:t xml:space="preserve"> </w:t>
      </w:r>
      <w:r>
        <w:rPr>
          <w:rFonts w:ascii="Georgia;serif" w:hAnsi="Georgia;serif"/>
          <w:b w:val="false"/>
          <w:color w:val="000000"/>
          <w:sz w:val="20"/>
          <w:shd w:fill="FFFFFF" w:val="clear"/>
        </w:rPr>
        <w:t xml:space="preserve">S-8 (Nos. 333-240498, 333-268641, 333-273850, 333-281440, and 333-290044) of Rackspace Technology, Inc. of our report dated </w:t>
      </w:r>
      <w:r>
        <w:rPr>
          <w:rFonts w:ascii="Georgia;serif" w:hAnsi="Georgia;serif"/>
          <w:b w:val="false"/>
          <w:color w:val="000000"/>
          <w:sz w:val="20"/>
        </w:rPr>
        <w:t>March 20, 2025</w:t>
      </w:r>
      <w:r>
        <w:rPr>
          <w:color w:val="000000"/>
          <w:shd w:fill="FFFFFF" w:val="clear"/>
        </w:rPr>
        <w:t xml:space="preserve"> </w:t>
      </w:r>
      <w:r>
        <w:rPr>
          <w:rFonts w:ascii="Georgia;serif" w:hAnsi="Georgia;serif"/>
          <w:b w:val="false"/>
          <w:color w:val="000000"/>
          <w:sz w:val="20"/>
          <w:shd w:fill="FFFFFF" w:val="clear"/>
        </w:rPr>
        <w:t>relating to the financial statements, which appears in this Form 10-K.</w:t>
      </w:r>
    </w:p>
    <w:p>
      <w:pPr>
        <w:pStyle w:val="TextBody"/>
        <w:bidi w:val="0"/>
        <w:spacing w:lineRule="auto" w:line="288" w:before="240" w:after="283"/>
        <w:jc w:val="left"/>
        <w:rPr>
          <w:rFonts w:ascii="Georgia;serif" w:hAnsi="Georgia;serif"/>
          <w:b w:val="false"/>
          <w:color w:val="000000"/>
          <w:sz w:val="20"/>
          <w:shd w:fill="FFFFFF" w:val="clear"/>
        </w:rPr>
      </w:pPr>
      <w:r>
        <w:rPr>
          <w:rFonts w:ascii="Georgia;serif" w:hAnsi="Georgia;serif"/>
          <w:b w:val="false"/>
          <w:color w:val="000000"/>
          <w:sz w:val="20"/>
          <w:shd w:fill="FFFFFF" w:val="clear"/>
        </w:rPr>
        <w:t>/s/ PricewaterhouseCoopers LLP</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shd w:fill="FFFFFF" w:val="clear"/>
        </w:rPr>
      </w:pPr>
      <w:r>
        <w:rPr>
          <w:rFonts w:ascii="Georgia;serif" w:hAnsi="Georgia;serif"/>
          <w:b w:val="false"/>
          <w:color w:val="000000"/>
          <w:sz w:val="20"/>
          <w:shd w:fill="FFFFFF" w:val="clear"/>
        </w:rPr>
        <w:t>Austin, Texas</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March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541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58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year ended December 31,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41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year ended December 31,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58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10019/000119312520209647/d36076dex31.htm" TargetMode="External"/><Relationship Id="rId5" Type="http://schemas.openxmlformats.org/officeDocument/2006/relationships/hyperlink" Target="https://www.sec.gov/Archives/edgar/data/1810019/000119312520209647/d36076dex32.htm" TargetMode="External"/><Relationship Id="rId6" Type="http://schemas.openxmlformats.org/officeDocument/2006/relationships/hyperlink" Target="https://www.sec.gov/Archives/edgar/data/1810019/000119312520307306/d34164dex41.htm" TargetMode="External"/><Relationship Id="rId7" Type="http://schemas.openxmlformats.org/officeDocument/2006/relationships/hyperlink" Target="https://www.sec.gov/Archives/edgar/data/1810019/000181001921000038/rxt42q42020.htm" TargetMode="External"/><Relationship Id="rId8" Type="http://schemas.openxmlformats.org/officeDocument/2006/relationships/hyperlink" Target="https://www.sec.gov/Archives/edgar/data/1810019/000119312521034506/d29348dex41.htm" TargetMode="External"/><Relationship Id="rId9" Type="http://schemas.openxmlformats.org/officeDocument/2006/relationships/hyperlink" Target="https://www.sec.gov/Archives/edgar/data/1810019/000181001924000029/rxt41_indenture.htm" TargetMode="External"/><Relationship Id="rId10" Type="http://schemas.openxmlformats.org/officeDocument/2006/relationships/hyperlink" Target="https://www.sec.gov/Archives/edgar/data/1810019/000119312520190902/d915709dex101.htm" TargetMode="External"/><Relationship Id="rId11" Type="http://schemas.openxmlformats.org/officeDocument/2006/relationships/hyperlink" Target="https://www.sec.gov/Archives/edgar/data/1810019/000119312520190902/d915709dex102.htm" TargetMode="External"/><Relationship Id="rId12" Type="http://schemas.openxmlformats.org/officeDocument/2006/relationships/hyperlink" Target="https://www.sec.gov/Archives/edgar/data/1810019/000119312520190902/d915709dex103.htm" TargetMode="External"/><Relationship Id="rId13" Type="http://schemas.openxmlformats.org/officeDocument/2006/relationships/hyperlink" Target="https://www.sec.gov/Archives/edgar/data/1810019/000119312520190902/d915709dex104.htm" TargetMode="External"/><Relationship Id="rId14" Type="http://schemas.openxmlformats.org/officeDocument/2006/relationships/hyperlink" Target="https://www.sec.gov/Archives/edgar/data/1810019/000119312520190902/d915709dex105.htm" TargetMode="External"/><Relationship Id="rId15" Type="http://schemas.openxmlformats.org/officeDocument/2006/relationships/hyperlink" Target="https://www.sec.gov/Archives/edgar/data/1810019/000119312520213058/d10215dex104.htm" TargetMode="External"/><Relationship Id="rId16" Type="http://schemas.openxmlformats.org/officeDocument/2006/relationships/hyperlink" Target="https://www.sec.gov/Archives/edgar/data/1810019/000119312521034506/d29348dex101.htm" TargetMode="External"/><Relationship Id="rId17" Type="http://schemas.openxmlformats.org/officeDocument/2006/relationships/hyperlink" Target="https://www.sec.gov/Archives/edgar/data/1810019/000181001924000029/rxt101_flca.htm" TargetMode="External"/><Relationship Id="rId18" Type="http://schemas.openxmlformats.org/officeDocument/2006/relationships/hyperlink" Target="https://www.sec.gov/Archives/edgar/data/1810019/000181001925000043/rxt109-agencytransferagree.htm" TargetMode="External"/><Relationship Id="rId19" Type="http://schemas.openxmlformats.org/officeDocument/2006/relationships/hyperlink" Target="https://www.sec.gov/Archives/edgar/data/1810019/000181001925000043/rxt109-agencytransferagree.htm" TargetMode="External"/><Relationship Id="rId20" Type="http://schemas.openxmlformats.org/officeDocument/2006/relationships/hyperlink" Target="https://www.sec.gov/Archives/edgar/data/1810019/000181001925000043/rxt109-agencytransferagree.htm" TargetMode="External"/><Relationship Id="rId21" Type="http://schemas.openxmlformats.org/officeDocument/2006/relationships/hyperlink" Target="https://www.sec.gov/Archives/edgar/data/1810019/000181001925000043/rxt109-agencytransferagree.htm" TargetMode="External"/><Relationship Id="rId22" Type="http://schemas.openxmlformats.org/officeDocument/2006/relationships/hyperlink" Target="https://www.sec.gov/Archives/edgar/data/1810019/000181001925000043/rxt109-agencytransferagree.htm" TargetMode="External"/><Relationship Id="rId23" Type="http://schemas.openxmlformats.org/officeDocument/2006/relationships/hyperlink" Target="https://www.sec.gov/Archives/edgar/data/1810019/000181001924000029/rxt102_incassumption.htm" TargetMode="External"/><Relationship Id="rId24" Type="http://schemas.openxmlformats.org/officeDocument/2006/relationships/hyperlink" Target="https://www.sec.gov/Archives/edgar/data/1810019/000119312520213058/d10215dex102.htm" TargetMode="External"/><Relationship Id="rId25" Type="http://schemas.openxmlformats.org/officeDocument/2006/relationships/hyperlink" Target="https://www.sec.gov/Archives/edgar/data/1810019/000119312520213058/d10215dex103.htm" TargetMode="External"/><Relationship Id="rId26" Type="http://schemas.openxmlformats.org/officeDocument/2006/relationships/hyperlink" Target="https://www.sec.gov/Archives/edgar/data/0001810019/000181001921000038/rxt109q42020.htm" TargetMode="External"/><Relationship Id="rId27" Type="http://schemas.openxmlformats.org/officeDocument/2006/relationships/hyperlink" Target="https://www.sec.gov/Archives/edgar/data/0001810019/000181001921000038/rxt1010q42020.htm" TargetMode="External"/><Relationship Id="rId28" Type="http://schemas.openxmlformats.org/officeDocument/2006/relationships/hyperlink" Target="https://www.sec.gov/Archives/edgar/data/1810019/000119312520213058/d10215dex101.htm" TargetMode="External"/><Relationship Id="rId29" Type="http://schemas.openxmlformats.org/officeDocument/2006/relationships/hyperlink" Target="https://www.sec.gov/Archives/edgar/data/1810019/000119312520190902/d915709dex109.htm" TargetMode="External"/><Relationship Id="rId30" Type="http://schemas.openxmlformats.org/officeDocument/2006/relationships/hyperlink" Target="https://www.sec.gov/Archives/edgar/data/1810019/000181001923000151/a01pnc_rackspace-receiva.htm" TargetMode="External"/><Relationship Id="rId31" Type="http://schemas.openxmlformats.org/officeDocument/2006/relationships/hyperlink" Target="https://www.sec.gov/Archives/edgar/data/1810019/000181001924000042/rxt1017receivablespurchase.htm" TargetMode="External"/><Relationship Id="rId32" Type="http://schemas.openxmlformats.org/officeDocument/2006/relationships/hyperlink" Target="https://www.sec.gov/Archives/edgar/data/1810019/000119312520273667/d27089dex101.htm" TargetMode="External"/><Relationship Id="rId33" Type="http://schemas.openxmlformats.org/officeDocument/2006/relationships/hyperlink" Target="https://www.sec.gov/Archives/edgar/data/1810019/000181001922000164/rxt101q32022.htm" TargetMode="External"/><Relationship Id="rId34" Type="http://schemas.openxmlformats.org/officeDocument/2006/relationships/hyperlink" Target="https://www.sec.gov/Archives/edgar/data/1810019/000181001925000138/maletiraseparationagreemen.htm" TargetMode="External"/><Relationship Id="rId35" Type="http://schemas.openxmlformats.org/officeDocument/2006/relationships/hyperlink" Target="https://www.sec.gov/Archives/edgar/data/1810019/000181001925000117/rxtceoagreementexecutionve.htm" TargetMode="External"/><Relationship Id="rId36" Type="http://schemas.openxmlformats.org/officeDocument/2006/relationships/hyperlink" Target="https://www.sec.gov/Archives/edgar/data/1810019/000181001924000005/marinomark-cfoagreement010.htm" TargetMode="External"/><Relationship Id="rId37" Type="http://schemas.openxmlformats.org/officeDocument/2006/relationships/hyperlink" Target="https://www.sec.gov/Archives/edgar/data/1810019/000181001924000094/exhibit106-brianlillieempl.htm" TargetMode="External"/><Relationship Id="rId38" Type="http://schemas.openxmlformats.org/officeDocument/2006/relationships/hyperlink" Target="https://www.sec.gov/Archives/edgar/data/1810019/000181001925000043/rxt1023-brianlillieseparat.htm" TargetMode="External"/><Relationship Id="rId39" Type="http://schemas.openxmlformats.org/officeDocument/2006/relationships/hyperlink" Target="https://www.sec.gov/Archives/edgar/data/1810019/000181001925000043/rxt1023-brianlillieseparat.htm" TargetMode="External"/><Relationship Id="rId40" Type="http://schemas.openxmlformats.org/officeDocument/2006/relationships/hyperlink" Target="https://www.sec.gov/Archives/edgar/data/1810019/000181001925000043/rxt1023-brianlillieseparat.htm" TargetMode="External"/><Relationship Id="rId41" Type="http://schemas.openxmlformats.org/officeDocument/2006/relationships/hyperlink" Target="https://www.sec.gov/Archives/edgar/data/1810019/000181001925000043/rxt1023-brianlillieseparat.htm" TargetMode="External"/><Relationship Id="rId42" Type="http://schemas.openxmlformats.org/officeDocument/2006/relationships/hyperlink" Target="https://www.sec.gov/Archives/edgar/data/1810019/000181001925000043/rxt1023-brianlillieseparat.htm" TargetMode="External"/><Relationship Id="rId43" Type="http://schemas.openxmlformats.org/officeDocument/2006/relationships/hyperlink" Target="https://www.sec.gov/Archives/edgar/data/1810019/000181001924000094/exhibit107-dksinhaemployme.htm" TargetMode="External"/><Relationship Id="rId44" Type="http://schemas.openxmlformats.org/officeDocument/2006/relationships/hyperlink" Target="https://www.sec.gov/Archives/edgar/data/1810019/000181001925000043/rxt1025-srinikoushikemploy.htm" TargetMode="External"/><Relationship Id="rId45" Type="http://schemas.openxmlformats.org/officeDocument/2006/relationships/hyperlink" Target="https://www.sec.gov/Archives/edgar/data/1810019/000181001925000043/rxt1025-srinikoushikemploy.htm" TargetMode="External"/><Relationship Id="rId46" Type="http://schemas.openxmlformats.org/officeDocument/2006/relationships/hyperlink" Target="https://www.sec.gov/Archives/edgar/data/1810019/000181001925000043/rxt1025-srinikoushikemploy.htm" TargetMode="External"/><Relationship Id="rId47" Type="http://schemas.openxmlformats.org/officeDocument/2006/relationships/hyperlink" Target="https://www.sec.gov/Archives/edgar/data/1810019/000181001925000043/rxt1025-srinikoushikemploy.htm" TargetMode="External"/><Relationship Id="rId48" Type="http://schemas.openxmlformats.org/officeDocument/2006/relationships/hyperlink" Target="https://www.sec.gov/Archives/edgar/data/1810019/000181001925000043/rxt1025-srinikoushikemploy.htm" TargetMode="External"/><Relationship Id="rId49" Type="http://schemas.openxmlformats.org/officeDocument/2006/relationships/hyperlink" Target="https://www.sec.gov/Archives/edgar/data/1810019/000119312520199062/d915709dex1020.htm" TargetMode="External"/><Relationship Id="rId50" Type="http://schemas.openxmlformats.org/officeDocument/2006/relationships/hyperlink" Target="https://www.sec.gov/Archives/edgar/data/1810019/000119312520199062/d915709dex1024.htm" TargetMode="External"/><Relationship Id="rId51" Type="http://schemas.openxmlformats.org/officeDocument/2006/relationships/hyperlink" Target="https://www.sec.gov/Archives/edgar/data/1810019/000181001922000096/rxt102q12022.htm" TargetMode="External"/><Relationship Id="rId52" Type="http://schemas.openxmlformats.org/officeDocument/2006/relationships/hyperlink" Target="https://www.sec.gov/Archives/edgar/data/1810019/000181001923000083/rxt101q12023.htm" TargetMode="External"/><Relationship Id="rId53" Type="http://schemas.openxmlformats.org/officeDocument/2006/relationships/hyperlink" Target="https://www.sec.gov/Archives/edgar/data/1810019/000181001924000132/rxt102-rsu_allparx2024xedg.htm" TargetMode="External"/><Relationship Id="rId54" Type="http://schemas.openxmlformats.org/officeDocument/2006/relationships/hyperlink" Target="https://www.sec.gov/Archives/edgar/data/1810019/000181001924000132/rxt103-indexedcashxallparx.htm" TargetMode="External"/><Relationship Id="rId55" Type="http://schemas.openxmlformats.org/officeDocument/2006/relationships/hyperlink" Target="https://www.sec.gov/Archives/edgar/data/1810019/000181001924000132/rxt104-rsu_dirx2024xedgart.htm" TargetMode="External"/><Relationship Id="rId56" Type="http://schemas.openxmlformats.org/officeDocument/2006/relationships/hyperlink" Target="https://www.sec.gov/Archives/edgar/data/1810019/000181001925000129/rxtinducementrsuagreement.htm" TargetMode="External"/><Relationship Id="rId57" Type="http://schemas.openxmlformats.org/officeDocument/2006/relationships/hyperlink" Target="https://www.sec.gov/Archives/edgar/data/1810019/000181001925000129/rxtinducementoptionagreeme.htm" TargetMode="External"/><Relationship Id="rId58" Type="http://schemas.openxmlformats.org/officeDocument/2006/relationships/hyperlink" Target="https://www.sec.gov/Archives/edgar/data/1810019/000119312520199062/d915709dex1027.htm" TargetMode="External"/><Relationship Id="rId59" Type="http://schemas.openxmlformats.org/officeDocument/2006/relationships/hyperlink" Target="https://www.sec.gov/Archives/edgar/data/1810019/000119312520209647/d36076dex42.htm" TargetMode="External"/><Relationship Id="rId60" Type="http://schemas.openxmlformats.org/officeDocument/2006/relationships/hyperlink" Target="https://www.sec.gov/Archives/edgar/data/1810019/000181001922000130/rxt101q22022.htm" TargetMode="External"/><Relationship Id="rId61" Type="http://schemas.openxmlformats.org/officeDocument/2006/relationships/hyperlink" Target="https://www.sec.gov/Archives/edgar/data/1810019/000181001923000130/rxt101q22023.htm" TargetMode="External"/><Relationship Id="rId62" Type="http://schemas.openxmlformats.org/officeDocument/2006/relationships/hyperlink" Target="https://www.sec.gov/Archives/edgar/data/1810019/000181001924000132/rxt101-amendmentno3to2020e.htm" TargetMode="External"/><Relationship Id="rId63" Type="http://schemas.openxmlformats.org/officeDocument/2006/relationships/hyperlink" Target="https://www.sec.gov/Archives/edgar/data/1810019/000119312520209647/d36076dex43.htm" TargetMode="External"/><Relationship Id="rId64" Type="http://schemas.openxmlformats.org/officeDocument/2006/relationships/hyperlink" Target="https://www.sec.gov/Archives/edgar/data/1810019/000181001920000047/rxt108q32020.htm" TargetMode="External"/><Relationship Id="rId65" Type="http://schemas.openxmlformats.org/officeDocument/2006/relationships/hyperlink" Target="https://www.sec.gov/Archives/edgar/data/1810019/000119312520190902/d915709dex1031.htm" TargetMode="External"/><Relationship Id="rId66" Type="http://schemas.openxmlformats.org/officeDocument/2006/relationships/hyperlink" Target="https://www.sec.gov/Archives/edgar/data/1810019/000181001925000043/rxt1041-20250101xnonxemplo.htm" TargetMode="External"/><Relationship Id="rId67" Type="http://schemas.openxmlformats.org/officeDocument/2006/relationships/hyperlink" Target="https://www.sec.gov/Archives/edgar/data/1810019/000181001925000043/rxt1041-20250101xnonxemplo.htm" TargetMode="External"/><Relationship Id="rId68" Type="http://schemas.openxmlformats.org/officeDocument/2006/relationships/hyperlink" Target="https://www.sec.gov/Archives/edgar/data/1810019/000181001925000043/rxt1041-20250101xnonxemplo.htm" TargetMode="External"/><Relationship Id="rId69" Type="http://schemas.openxmlformats.org/officeDocument/2006/relationships/hyperlink" Target="https://www.sec.gov/Archives/edgar/data/1810019/000181001925000043/rxt1041-20250101xnonxemplo.htm" TargetMode="External"/><Relationship Id="rId70" Type="http://schemas.openxmlformats.org/officeDocument/2006/relationships/hyperlink" Target="https://www.sec.gov/Archives/edgar/data/1810019/000181001925000043/rxt1041-20250101xnonxemplo.htm" TargetMode="External"/><Relationship Id="rId71" Type="http://schemas.openxmlformats.org/officeDocument/2006/relationships/hyperlink" Target="https://www.sec.gov/Archives/edgar/data/1810019/000181001925000043/rxt1041-20250101xnonxemplo.htm" TargetMode="External"/><Relationship Id="rId72" Type="http://schemas.openxmlformats.org/officeDocument/2006/relationships/hyperlink" Target="https://www.sec.gov/Archives/edgar/data/1810019/000181001925000043/rxt1041-20250101xnonxemplo.htm" TargetMode="External"/><Relationship Id="rId73" Type="http://schemas.openxmlformats.org/officeDocument/2006/relationships/hyperlink" Target="https://www.sec.gov/Archives/edgar/data/1810019/000181001921000058/executivechangeinctrlsever.htm" TargetMode="External"/><Relationship Id="rId74" Type="http://schemas.openxmlformats.org/officeDocument/2006/relationships/hyperlink" Target="https://www.sec.gov/Archives/edgar/data/1810019/000119312520199062/d915709dex1032.htm" TargetMode="External"/><Relationship Id="rId75" Type="http://schemas.openxmlformats.org/officeDocument/2006/relationships/hyperlink" Target="https://www.sec.gov/Archives/edgar/data/1810019/000181001925000047/a20250327-pwcletter.htm" TargetMode="External"/><Relationship Id="rId76" Type="http://schemas.openxmlformats.org/officeDocument/2006/relationships/hyperlink" Target="https://www.sec.gov/Archives/edgar/data/1810019/000181001925000047/a20250327-pwcletter.htm" TargetMode="External"/><Relationship Id="rId77" Type="http://schemas.openxmlformats.org/officeDocument/2006/relationships/hyperlink" Target="https://www.sec.gov/Archives/edgar/data/1810019/000181001925000047/a20250327-pwcletter.htm" TargetMode="External"/><Relationship Id="rId78" Type="http://schemas.openxmlformats.org/officeDocument/2006/relationships/hyperlink" Target="https://www.sec.gov/Archives/edgar/data/1810019/000181001925000047/a20250327-pwcletter.htm" TargetMode="External"/><Relationship Id="rId79" Type="http://schemas.openxmlformats.org/officeDocument/2006/relationships/hyperlink" Target="https://www.sec.gov/Archives/edgar/data/1810019/000181001925000047/a20250327-pwcletter.htm" TargetMode="External"/><Relationship Id="rId80" Type="http://schemas.openxmlformats.org/officeDocument/2006/relationships/hyperlink" Target="https://www.sec.gov/Archives/edgar/data/1810019/000181001925000047/a20250327-pwcletter.htm" TargetMode="External"/><Relationship Id="rId81" Type="http://schemas.openxmlformats.org/officeDocument/2006/relationships/hyperlink" Target="https://www.sec.gov/Archives/edgar/data/1810019/000181001925000047/a20250327-pwcletter.htm" TargetMode="External"/><Relationship Id="rId82" Type="http://schemas.openxmlformats.org/officeDocument/2006/relationships/hyperlink" Target="https://www.sec.gov/Archives/edgar/data/1810019/000181001925000047/a20250327-pwcletter.htm" TargetMode="External"/><Relationship Id="rId83" Type="http://schemas.openxmlformats.org/officeDocument/2006/relationships/hyperlink" Target="https://www.sec.gov/Archives/edgar/data/1810019/000181001925000043/rxt191-20231205xsecurities.htm" TargetMode="External"/><Relationship Id="rId84" Type="http://schemas.openxmlformats.org/officeDocument/2006/relationships/hyperlink" Target="https://www.sec.gov/Archives/edgar/data/1810019/000181001925000043/rxt191-20231205xsecurities.htm" TargetMode="External"/><Relationship Id="rId85" Type="http://schemas.openxmlformats.org/officeDocument/2006/relationships/hyperlink" Target="https://www.sec.gov/Archives/edgar/data/1810019/000181001925000043/rxt191-20231205xsecurities.htm" TargetMode="External"/><Relationship Id="rId86" Type="http://schemas.openxmlformats.org/officeDocument/2006/relationships/hyperlink" Target="https://www.sec.gov/Archives/edgar/data/1810019/000181001925000043/rxt191-20231205xsecurities.htm" TargetMode="External"/><Relationship Id="rId87" Type="http://schemas.openxmlformats.org/officeDocument/2006/relationships/hyperlink" Target="https://www.sec.gov/Archives/edgar/data/1810019/000181001925000043/rxt191-20231205xsecurities.htm" TargetMode="External"/><Relationship Id="rId88" Type="http://schemas.openxmlformats.org/officeDocument/2006/relationships/hyperlink" Target="https://www.sec.gov/Archives/edgar/data/1810019/000181001925000043/rxt191-20231205xsecurities.htm" TargetMode="External"/><Relationship Id="rId89" Type="http://schemas.openxmlformats.org/officeDocument/2006/relationships/hyperlink" Target="https://www.sec.gov/Archives/edgar/data/1810019/000181001925000043/rxt191-20231205xsecurities.htm" TargetMode="External"/><Relationship Id="rId90" Type="http://schemas.openxmlformats.org/officeDocument/2006/relationships/hyperlink" Target="https://www.sec.gov/Archives/edgar/data/1810019/000181001925000043/rxt191-20231205xsecurities.htm" TargetMode="External"/><Relationship Id="rId91" Type="http://schemas.openxmlformats.org/officeDocument/2006/relationships/hyperlink" Target="https://www.sec.gov/Archives/edgar/data/1810019/000181001924000042/rxt97clawbackpolicy.htm" TargetMode="External"/><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88656</Words>
  <Characters>498025</Characters>
  <CharactersWithSpaces>582881</CharactersWithSpaces>
  <Paragraphs>5923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