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10, 2026</w:t>
      </w:r>
    </w:p>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RACKSPACE TECHNOLOGY, INC.</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ectPr>
          <w:pgSz w:w="11900" w:h="16838" w:orient="portrait"/>
          <w:cols w:equalWidth="0" w:num="1">
            <w:col w:w="11240"/>
          </w:cols>
          <w:pgMar w:left="320" w:top="1213" w:right="339" w:bottom="1440" w:gutter="0" w:footer="0" w:header="0"/>
        </w:sectPr>
      </w:pPr>
    </w:p>
    <w:p>
      <w:pPr>
        <w:spacing w:after="0" w:line="202"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7"/>
          <w:szCs w:val="17"/>
          <w:b w:val="1"/>
          <w:bCs w:val="1"/>
          <w:color w:val="auto"/>
        </w:rPr>
        <w:t>001-39420</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81-3369925</w:t>
      </w:r>
    </w:p>
    <w:p>
      <w:pPr>
        <w:spacing w:after="0" w:line="50" w:lineRule="exact"/>
        <w:rPr>
          <w:sz w:val="24"/>
          <w:szCs w:val="24"/>
          <w:color w:val="auto"/>
        </w:rPr>
      </w:pPr>
    </w:p>
    <w:p>
      <w:pPr>
        <w:sectPr>
          <w:pgSz w:w="11900" w:h="16838" w:orient="portrait"/>
          <w:cols w:equalWidth="0" w:num="3">
            <w:col w:w="4520" w:space="720"/>
            <w:col w:w="2400" w:space="720"/>
            <w:col w:w="2880"/>
          </w:cols>
          <w:pgMar w:left="320" w:top="1213" w:right="339" w:bottom="1440" w:gutter="0" w:footer="0" w:header="0"/>
          <w:type w:val="continuous"/>
        </w:sectPr>
      </w:pPr>
    </w:p>
    <w:p>
      <w:pPr>
        <w:jc w:val="center"/>
        <w:ind w:left="680"/>
        <w:spacing w:after="0"/>
        <w:rPr>
          <w:sz w:val="20"/>
          <w:szCs w:val="20"/>
          <w:color w:val="auto"/>
        </w:rPr>
      </w:pPr>
      <w:r>
        <w:rPr>
          <w:rFonts w:ascii="Times New Roman" w:cs="Times New Roman" w:eastAsia="Times New Roman" w:hAnsi="Times New Roman"/>
          <w:sz w:val="18"/>
          <w:szCs w:val="18"/>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(Commission File</w:t>
      </w:r>
    </w:p>
    <w:p>
      <w:pPr>
        <w:spacing w:after="0" w:line="18"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413" w:lineRule="exact"/>
        <w:rPr>
          <w:sz w:val="24"/>
          <w:szCs w:val="24"/>
          <w:color w:val="auto"/>
        </w:rPr>
      </w:pPr>
    </w:p>
    <w:p>
      <w:pPr>
        <w:sectPr>
          <w:pgSz w:w="11900" w:h="16838" w:orient="portrait"/>
          <w:cols w:equalWidth="0" w:num="3">
            <w:col w:w="4240" w:space="720"/>
            <w:col w:w="1740" w:space="720"/>
            <w:col w:w="3820"/>
          </w:cols>
          <w:pgMar w:left="320" w:top="1213" w:right="339" w:bottom="1440" w:gutter="0" w:footer="0" w:header="0"/>
          <w:type w:val="continuous"/>
        </w:sect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19122 US Highway 281N, Suite 127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Antonio, Texas 78258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1-800-961-4454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5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283"/>
        </w:trPr>
        <w:tc>
          <w:tcPr>
            <w:tcW w:w="43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4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RXT</w:t>
            </w:r>
          </w:p>
        </w:tc>
        <w:tc>
          <w:tcPr>
            <w:tcW w:w="12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71"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48"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304"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Workforce Realignment</w:t>
      </w:r>
    </w:p>
    <w:p>
      <w:pPr>
        <w:spacing w:after="0" w:line="2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June 10, 2026, the Executive Committee of the Board of Directors of the Company approved a workforce realignment plan intended to accelerate the Company's strategic transformation as the operator for governed enterprise AI and to realign its workforce around how production AI is deployed, operated and scaled inside regulated enterprises. This realignment is predominantly driven by the Company's strategic decision to deemphasize certain legacy service delivery functions (primarily within its Public Cloud business unit) and geographic rationalizations in favor of redeploying resources toward its enterprise AI buildout.</w:t>
      </w:r>
    </w:p>
    <w:p>
      <w:pPr>
        <w:spacing w:after="0" w:line="21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This workforce realignment is expected to result in the termination of approximately 15% of the Company’s global workforce. A majority of the impacted employees were notified on or around June 10, 2026, with additional exits planned to occur over the following 6 months, depending on role and jurisdiction.</w:t>
      </w:r>
    </w:p>
    <w:p>
      <w:pPr>
        <w:spacing w:after="0" w:line="20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estimates that it will incur one-time expenses of approximately $14 million to $19 million in connection with the workforce realignment, substantially all of which is expected to be incurred in 2026. These charges will consist primarily of severance payments, healthcare benefits, and other termination-related costs.</w:t>
      </w:r>
    </w:p>
    <w:p>
      <w:pPr>
        <w:spacing w:after="0" w:line="2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Upon full implementation, the Company expects to realize approximately $75 million to $85 million in annualized run-rate savings compared to current expense levels. The Company intends to reinvest a significant portion of these anticipated savings in its highest-growth product and service areas, including forward-deployed engineering, AI solutions delivery, and enterprise AI infrastructure buildout. The Company may also implement additional measures in connection with its ongoing strategic transformation as it continues to evaluate opportunities to optimize its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Current Report contains forward-looking statements relating to the Company's workforce realignment plan, including without limitation, the expected number of employees affected, the anticipated timing and implementation across jurisdictions, the estimated one-time expenses of approximately $14 million to $19 million, the anticipated annualized run-rate savings of approximately $75 million to $85 million and the Company's reinvestment plans. Actual expenses, savings and reinvestments may differ materially from these estimates as a result of changes in the scope, timing or implementation of the workforce realignment plan, variations in severance obligations across jurisdictions, foreign currency fluctuations, the timing of employee exits, regulatory or legal requirements applicable in certain jurisdictions, threatened or actual litigation, the extent to which savings are offset by reinvestment in strategic product and service areas or incremental hiring in connection with the Company's ongoing strategic transformation, and other factors. There can be no assurance that the Company will realize the anticipated savings from the workforce realignment plan within the expected timeframe, or at all. The Company undertakes no obligation to update or revise these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1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RACKSPACE TECHNOLOGY, INC.</w:t>
            </w:r>
          </w:p>
        </w:tc>
      </w:tr>
      <w:tr>
        <w:trPr>
          <w:trHeight w:val="769"/>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June 16, 2026</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By:</w:t>
            </w:r>
          </w:p>
        </w:tc>
        <w:tc>
          <w:tcPr>
            <w:tcW w:w="61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Sarah Alexander</w:t>
            </w:r>
          </w:p>
        </w:tc>
      </w:tr>
      <w:tr>
        <w:trPr>
          <w:trHeight w:val="218"/>
        </w:trPr>
        <w:tc>
          <w:tcPr>
            <w:tcW w:w="1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Sarah Alexander</w:t>
            </w:r>
          </w:p>
        </w:tc>
      </w:tr>
      <w:tr>
        <w:trPr>
          <w:trHeight w:val="234"/>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Vice President, Deputy General Counsel &amp; Assistant Secretary</w:t>
            </w:r>
          </w:p>
        </w:tc>
      </w:tr>
      <w:tr>
        <w:trPr>
          <w:trHeight w:val="864"/>
        </w:trPr>
        <w:tc>
          <w:tcPr>
            <w:tcW w:w="1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14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-3-</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2026-06-16T06:02:42Z</dcterms:created>
  <dcterms:modified xsi:type="dcterms:W3CDTF">2026-06-16T06:02:42Z</dcterms:modified>
</cp:coreProperties>
</file>