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50" w:lineRule="exact"/>
        <w:rPr>
          <w:sz w:val="24"/>
          <w:szCs w:val="24"/>
          <w:color w:val="auto"/>
        </w:rPr>
      </w:pPr>
    </w:p>
    <w:p>
      <w:pPr>
        <w:ind w:left="580" w:hanging="379"/>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9"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quarterly period ended June 30, 2021.</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75" w:lineRule="exact"/>
        <w:rPr>
          <w:sz w:val="24"/>
          <w:szCs w:val="24"/>
          <w:color w:val="auto"/>
        </w:rPr>
      </w:pPr>
    </w:p>
    <w:p>
      <w:pPr>
        <w:ind w:left="580" w:hanging="379"/>
        <w:spacing w:after="0"/>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2"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7"/>
          <w:szCs w:val="17"/>
          <w:color w:val="auto"/>
        </w:rPr>
        <w:t>For the transition period from ______ to ______.</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001-39420</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41"/>
          <w:szCs w:val="41"/>
          <w:b w:val="1"/>
          <w:bCs w:val="1"/>
          <w:color w:val="auto"/>
        </w:rPr>
        <w:t>RACKSPACE TECHNOLOGY,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3397250</wp:posOffset>
            </wp:positionH>
            <wp:positionV relativeFrom="paragraph">
              <wp:posOffset>156845</wp:posOffset>
            </wp:positionV>
            <wp:extent cx="348615" cy="440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615" cy="44005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840"/>
        <w:spacing w:after="0"/>
        <w:rPr>
          <w:sz w:val="20"/>
          <w:szCs w:val="20"/>
          <w:color w:val="auto"/>
        </w:rPr>
      </w:pPr>
      <w:r>
        <w:rPr>
          <w:rFonts w:ascii="Arial" w:cs="Arial" w:eastAsia="Arial" w:hAnsi="Arial"/>
          <w:sz w:val="17"/>
          <w:szCs w:val="17"/>
          <w:b w:val="1"/>
          <w:bCs w:val="1"/>
          <w:color w:val="auto"/>
        </w:rPr>
        <w:t>Delaware</w:t>
      </w: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81-3369925</w:t>
      </w:r>
    </w:p>
    <w:p>
      <w:pPr>
        <w:spacing w:after="0" w:line="40"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(I.R.S. Employer Identification No.)</w:t>
      </w:r>
    </w:p>
    <w:p>
      <w:pPr>
        <w:spacing w:after="0" w:line="117" w:lineRule="exact"/>
        <w:rPr>
          <w:sz w:val="24"/>
          <w:szCs w:val="24"/>
          <w:color w:val="auto"/>
        </w:rPr>
      </w:pPr>
    </w:p>
    <w:p>
      <w:pPr>
        <w:sectPr>
          <w:pgSz w:w="11900" w:h="16838" w:orient="portrait"/>
          <w:cols w:equalWidth="0" w:num="2">
            <w:col w:w="6720" w:space="720"/>
            <w:col w:w="3800"/>
          </w:cols>
          <w:pgMar w:left="320" w:top="1235"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1 Fanatical Place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City of Windcrest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 Antonio, Texas 78218</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(210) 312-4000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(Former name, former address and former fiscal year, if changed since last report)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240" w:type="dxa"/>
            <w:vAlign w:val="bottom"/>
            <w:gridSpan w:val="3"/>
          </w:tcPr>
          <w:p>
            <w:pPr>
              <w:spacing w:after="0"/>
              <w:rPr>
                <w:sz w:val="20"/>
                <w:szCs w:val="20"/>
                <w:color w:val="auto"/>
              </w:rPr>
            </w:pPr>
            <w:r>
              <w:rPr>
                <w:rFonts w:ascii="Arial" w:cs="Arial" w:eastAsia="Arial" w:hAnsi="Arial"/>
                <w:sz w:val="17"/>
                <w:szCs w:val="17"/>
                <w:color w:val="auto"/>
                <w:w w:val="97"/>
              </w:rPr>
              <w:t>Securities registered pursuant to Section 12(b) of the Act:</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7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1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jc w:val="center"/>
              <w:ind w:right="553"/>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23"/>
                <w:szCs w:val="23"/>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15"/>
        </w:trPr>
        <w:tc>
          <w:tcPr>
            <w:tcW w:w="4240" w:type="dxa"/>
            <w:vAlign w:val="bottom"/>
            <w:gridSpan w:val="3"/>
          </w:tcPr>
          <w:p>
            <w:pPr>
              <w:jc w:val="center"/>
              <w:ind w:right="740"/>
              <w:spacing w:after="0"/>
              <w:rPr>
                <w:sz w:val="20"/>
                <w:szCs w:val="20"/>
                <w:color w:val="auto"/>
              </w:rPr>
            </w:pPr>
            <w:r>
              <w:rPr>
                <w:rFonts w:ascii="Arial" w:cs="Arial" w:eastAsia="Arial" w:hAnsi="Arial"/>
                <w:sz w:val="17"/>
                <w:szCs w:val="17"/>
                <w:color w:val="auto"/>
                <w:w w:val="91"/>
              </w:rPr>
              <w:t>Common stock, par value $0.01 per share</w:t>
            </w:r>
          </w:p>
        </w:tc>
        <w:tc>
          <w:tcPr>
            <w:tcW w:w="2600" w:type="dxa"/>
            <w:vAlign w:val="bottom"/>
            <w:gridSpan w:val="2"/>
          </w:tcPr>
          <w:p>
            <w:pPr>
              <w:jc w:val="center"/>
              <w:ind w:right="740"/>
              <w:spacing w:after="0"/>
              <w:rPr>
                <w:sz w:val="20"/>
                <w:szCs w:val="20"/>
                <w:color w:val="auto"/>
              </w:rPr>
            </w:pPr>
            <w:r>
              <w:rPr>
                <w:rFonts w:ascii="Arial" w:cs="Arial" w:eastAsia="Arial" w:hAnsi="Arial"/>
                <w:sz w:val="17"/>
                <w:szCs w:val="17"/>
                <w:color w:val="auto"/>
                <w:w w:val="99"/>
              </w:rPr>
              <w:t>RXT</w:t>
            </w:r>
          </w:p>
        </w:tc>
        <w:tc>
          <w:tcPr>
            <w:tcW w:w="4400" w:type="dxa"/>
            <w:vAlign w:val="bottom"/>
          </w:tcPr>
          <w:p>
            <w:pPr>
              <w:jc w:val="center"/>
              <w:spacing w:after="0"/>
              <w:rPr>
                <w:sz w:val="20"/>
                <w:szCs w:val="20"/>
                <w:color w:val="auto"/>
              </w:rPr>
            </w:pPr>
            <w:r>
              <w:rPr>
                <w:rFonts w:ascii="Arial" w:cs="Arial" w:eastAsia="Arial" w:hAnsi="Arial"/>
                <w:sz w:val="17"/>
                <w:szCs w:val="17"/>
                <w:color w:val="auto"/>
                <w:w w:val="94"/>
              </w:rPr>
              <w:t>The Nasdaq Stock Market LLC</w:t>
            </w:r>
          </w:p>
        </w:tc>
      </w:tr>
    </w:tbl>
    <w:p>
      <w:pPr>
        <w:spacing w:after="0" w:line="302" w:lineRule="exact"/>
        <w:rPr>
          <w:sz w:val="24"/>
          <w:szCs w:val="24"/>
          <w:color w:val="auto"/>
        </w:rPr>
      </w:pPr>
    </w:p>
    <w:p>
      <w:pPr>
        <w:ind w:right="180" w:firstLine="47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jc w:val="both"/>
        <w:ind w:right="240" w:firstLine="47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689610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1" w:name="page2"/>
    <w:bookmarkEnd w:id="1"/>
    <w:p>
      <w:pPr>
        <w:ind w:right="40" w:firstLine="47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911" w:right="399" w:bottom="1440" w:gutter="0" w:footer="0" w:header="0"/>
        </w:sectPr>
      </w:pPr>
    </w:p>
    <w:p>
      <w:pPr>
        <w:spacing w:after="0" w:line="237" w:lineRule="exact"/>
        <w:rPr>
          <w:sz w:val="20"/>
          <w:szCs w:val="20"/>
          <w:color w:val="auto"/>
        </w:rPr>
      </w:pPr>
    </w:p>
    <w:p>
      <w:pPr>
        <w:ind w:left="960"/>
        <w:spacing w:after="0" w:line="376"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Accelerated filer</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Smaller reporting company</w:t>
      </w:r>
    </w:p>
    <w:p>
      <w:pPr>
        <w:spacing w:after="0" w:line="50"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Emerging growth company</w:t>
      </w:r>
    </w:p>
    <w:p>
      <w:pPr>
        <w:spacing w:after="0" w:line="200" w:lineRule="exact"/>
        <w:rPr>
          <w:sz w:val="20"/>
          <w:szCs w:val="20"/>
          <w:color w:val="auto"/>
        </w:rPr>
      </w:pPr>
    </w:p>
    <w:p>
      <w:pPr>
        <w:sectPr>
          <w:pgSz w:w="11900" w:h="16838" w:orient="portrait"/>
          <w:cols w:equalWidth="0" w:num="3">
            <w:col w:w="2520" w:space="540"/>
            <w:col w:w="5280" w:space="720"/>
            <w:col w:w="2120"/>
          </w:cols>
          <w:pgMar w:left="320" w:top="911" w:right="399" w:bottom="1440" w:gutter="0" w:footer="0" w:header="0"/>
          <w:type w:val="continuous"/>
        </w:sectPr>
      </w:pPr>
    </w:p>
    <w:p>
      <w:pPr>
        <w:spacing w:after="0" w:line="163" w:lineRule="exact"/>
        <w:rPr>
          <w:sz w:val="20"/>
          <w:szCs w:val="20"/>
          <w:color w:val="auto"/>
        </w:rPr>
      </w:pPr>
    </w:p>
    <w:p>
      <w:pPr>
        <w:ind w:firstLine="47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1" w:lineRule="exact"/>
        <w:rPr>
          <w:sz w:val="20"/>
          <w:szCs w:val="20"/>
          <w:color w:val="auto"/>
        </w:rPr>
      </w:pPr>
    </w:p>
    <w:p>
      <w:pPr>
        <w:ind w:left="4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August 6, 2021, 209,134,764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568325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911" w:right="3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820" w:type="dxa"/>
            <w:vAlign w:val="bottom"/>
            <w:gridSpan w:val="14"/>
          </w:tcPr>
          <w:p>
            <w:pPr>
              <w:spacing w:after="0"/>
              <w:rPr>
                <w:sz w:val="20"/>
                <w:szCs w:val="20"/>
                <w:color w:val="auto"/>
              </w:rPr>
            </w:pPr>
            <w:r>
              <w:rPr>
                <w:rFonts w:ascii="Arial" w:cs="Arial" w:eastAsia="Arial" w:hAnsi="Arial"/>
                <w:sz w:val="17"/>
                <w:szCs w:val="17"/>
                <w:b w:val="1"/>
                <w:bCs w:val="1"/>
                <w:color w:val="auto"/>
              </w:rPr>
              <w:t>Part I - Financial Information</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700" w:type="dxa"/>
            <w:vAlign w:val="bottom"/>
            <w:gridSpan w:val="12"/>
          </w:tcPr>
          <w:p>
            <w:pPr>
              <w:spacing w:after="0"/>
              <w:rPr>
                <w:sz w:val="20"/>
                <w:szCs w:val="20"/>
                <w:color w:val="auto"/>
              </w:rPr>
            </w:pPr>
            <w:r>
              <w:rPr>
                <w:rFonts w:ascii="Arial" w:cs="Arial" w:eastAsia="Arial" w:hAnsi="Arial"/>
                <w:sz w:val="17"/>
                <w:szCs w:val="17"/>
                <w:color w:val="auto"/>
              </w:rPr>
              <w:t>Financial Statements: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900" w:type="dxa"/>
            <w:vAlign w:val="bottom"/>
            <w:gridSpan w:val="8"/>
          </w:tcPr>
          <w:p>
            <w:pPr>
              <w:spacing w:after="0" w:line="183" w:lineRule="exact"/>
              <w:rPr>
                <w:rFonts w:ascii="Arial" w:cs="Arial" w:eastAsia="Arial" w:hAnsi="Arial"/>
                <w:sz w:val="17"/>
                <w:szCs w:val="17"/>
                <w:color w:val="0000FF"/>
                <w:w w:val="90"/>
              </w:rPr>
            </w:pPr>
            <w:hyperlink w:anchor="page5">
              <w:r>
                <w:rPr>
                  <w:rFonts w:ascii="Arial" w:cs="Arial" w:eastAsia="Arial" w:hAnsi="Arial"/>
                  <w:sz w:val="17"/>
                  <w:szCs w:val="17"/>
                  <w:color w:val="0000FF"/>
                  <w:w w:val="90"/>
                </w:rPr>
                <w:t xml:space="preserve">Unaudited Consolidated Balance Sheets as of December 31, 2020 and June </w:t>
              </w:r>
            </w:hyperlink>
            <w:r>
              <w:rPr>
                <w:rFonts w:ascii="Arial" w:cs="Arial" w:eastAsia="Arial" w:hAnsi="Arial"/>
                <w:sz w:val="17"/>
                <w:szCs w:val="17"/>
                <w:color w:val="0000FF"/>
                <w:w w:val="90"/>
              </w:rPr>
              <w:t xml:space="preserve">30, </w:t>
            </w:r>
            <w:hyperlink w:anchor="page5">
              <w:r>
                <w:rPr>
                  <w:rFonts w:ascii="Arial" w:cs="Arial" w:eastAsia="Arial" w:hAnsi="Arial"/>
                  <w:sz w:val="17"/>
                  <w:szCs w:val="17"/>
                  <w:color w:val="0000FF"/>
                  <w:w w:val="90"/>
                </w:rPr>
                <w:t>2021</w:t>
              </w:r>
            </w:hyperlink>
          </w:p>
        </w:tc>
        <w:tc>
          <w:tcPr>
            <w:tcW w:w="3800" w:type="dxa"/>
            <w:vAlign w:val="bottom"/>
            <w:gridSpan w:val="4"/>
          </w:tcPr>
          <w:p>
            <w:pPr>
              <w:spacing w:after="0"/>
              <w:rPr>
                <w:sz w:val="15"/>
                <w:szCs w:val="15"/>
                <w:color w:val="auto"/>
              </w:rPr>
            </w:pPr>
          </w:p>
        </w:tc>
        <w:tc>
          <w:tcPr>
            <w:tcW w:w="80" w:type="dxa"/>
            <w:vAlign w:val="bottom"/>
          </w:tcPr>
          <w:p>
            <w:pPr>
              <w:jc w:val="center"/>
              <w:spacing w:after="0" w:line="183"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3</w:t>
              </w:r>
            </w:hyperlink>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00" w:type="dxa"/>
            <w:vAlign w:val="bottom"/>
            <w:gridSpan w:val="11"/>
          </w:tcPr>
          <w:p>
            <w:pPr>
              <w:spacing w:after="0"/>
              <w:rPr>
                <w:rFonts w:ascii="Arial" w:cs="Arial" w:eastAsia="Arial" w:hAnsi="Arial"/>
                <w:sz w:val="17"/>
                <w:szCs w:val="17"/>
                <w:color w:val="0000FF"/>
                <w:w w:val="91"/>
              </w:rPr>
            </w:pPr>
            <w:hyperlink w:anchor="page5">
              <w:r>
                <w:rPr>
                  <w:rFonts w:ascii="Arial" w:cs="Arial" w:eastAsia="Arial" w:hAnsi="Arial"/>
                  <w:sz w:val="17"/>
                  <w:szCs w:val="17"/>
                  <w:color w:val="0000FF"/>
                  <w:w w:val="91"/>
                </w:rPr>
                <w:t xml:space="preserve">Unaudited Consolidated Statements of Comprehensive Loss for the Three and Six Months Ended June </w:t>
              </w:r>
            </w:hyperlink>
            <w:r>
              <w:rPr>
                <w:rFonts w:ascii="Arial" w:cs="Arial" w:eastAsia="Arial" w:hAnsi="Arial"/>
                <w:sz w:val="17"/>
                <w:szCs w:val="17"/>
                <w:color w:val="0000FF"/>
                <w:w w:val="91"/>
              </w:rPr>
              <w:t xml:space="preserve">30, </w:t>
            </w:r>
            <w:hyperlink w:anchor="page5">
              <w:r>
                <w:rPr>
                  <w:rFonts w:ascii="Arial" w:cs="Arial" w:eastAsia="Arial" w:hAnsi="Arial"/>
                  <w:sz w:val="17"/>
                  <w:szCs w:val="17"/>
                  <w:color w:val="0000FF"/>
                  <w:w w:val="91"/>
                </w:rPr>
                <w:t xml:space="preserve">2020 and June </w:t>
              </w:r>
            </w:hyperlink>
            <w:r>
              <w:rPr>
                <w:rFonts w:ascii="Arial" w:cs="Arial" w:eastAsia="Arial" w:hAnsi="Arial"/>
                <w:sz w:val="17"/>
                <w:szCs w:val="17"/>
                <w:color w:val="0000FF"/>
                <w:w w:val="91"/>
              </w:rPr>
              <w:t xml:space="preserve">30, </w:t>
            </w:r>
            <w:hyperlink w:anchor="page5">
              <w:r>
                <w:rPr>
                  <w:rFonts w:ascii="Arial" w:cs="Arial" w:eastAsia="Arial" w:hAnsi="Arial"/>
                  <w:sz w:val="17"/>
                  <w:szCs w:val="17"/>
                  <w:color w:val="0000FF"/>
                  <w:w w:val="91"/>
                </w:rPr>
                <w:t>2021</w:t>
              </w:r>
            </w:hyperlink>
          </w:p>
        </w:tc>
        <w:tc>
          <w:tcPr>
            <w:tcW w:w="60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4</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00" w:type="dxa"/>
            <w:vAlign w:val="bottom"/>
            <w:gridSpan w:val="11"/>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Unaudited Consolidated Statements of Cash Flows for the Six Months Ended June 30, 2020 and June 30, 2021</w:t>
              </w:r>
            </w:hyperlink>
          </w:p>
        </w:tc>
        <w:tc>
          <w:tcPr>
            <w:tcW w:w="60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5</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00" w:type="dxa"/>
            <w:vAlign w:val="bottom"/>
            <w:gridSpan w:val="11"/>
          </w:tcPr>
          <w:p>
            <w:pPr>
              <w:spacing w:after="0"/>
              <w:rPr>
                <w:rFonts w:ascii="Arial" w:cs="Arial" w:eastAsia="Arial" w:hAnsi="Arial"/>
                <w:sz w:val="17"/>
                <w:szCs w:val="17"/>
                <w:color w:val="0000FF"/>
                <w:w w:val="91"/>
              </w:rPr>
            </w:pPr>
            <w:hyperlink w:anchor="page8">
              <w:r>
                <w:rPr>
                  <w:rFonts w:ascii="Arial" w:cs="Arial" w:eastAsia="Arial" w:hAnsi="Arial"/>
                  <w:sz w:val="17"/>
                  <w:szCs w:val="17"/>
                  <w:color w:val="0000FF"/>
                  <w:w w:val="91"/>
                </w:rPr>
                <w:t xml:space="preserve">Unaudited Consolidated Statements of Stockholders' Equity for the Three and Six Months Ended June </w:t>
              </w:r>
            </w:hyperlink>
            <w:r>
              <w:rPr>
                <w:rFonts w:ascii="Arial" w:cs="Arial" w:eastAsia="Arial" w:hAnsi="Arial"/>
                <w:sz w:val="17"/>
                <w:szCs w:val="17"/>
                <w:color w:val="0000FF"/>
                <w:w w:val="91"/>
              </w:rPr>
              <w:t xml:space="preserve">30, </w:t>
            </w:r>
            <w:hyperlink w:anchor="page8">
              <w:r>
                <w:rPr>
                  <w:rFonts w:ascii="Arial" w:cs="Arial" w:eastAsia="Arial" w:hAnsi="Arial"/>
                  <w:sz w:val="17"/>
                  <w:szCs w:val="17"/>
                  <w:color w:val="0000FF"/>
                  <w:w w:val="91"/>
                </w:rPr>
                <w:t xml:space="preserve">2020 and June </w:t>
              </w:r>
            </w:hyperlink>
            <w:r>
              <w:rPr>
                <w:rFonts w:ascii="Arial" w:cs="Arial" w:eastAsia="Arial" w:hAnsi="Arial"/>
                <w:sz w:val="17"/>
                <w:szCs w:val="17"/>
                <w:color w:val="0000FF"/>
                <w:w w:val="91"/>
              </w:rPr>
              <w:t xml:space="preserve">30, </w:t>
            </w:r>
            <w:hyperlink w:anchor="page8">
              <w:r>
                <w:rPr>
                  <w:rFonts w:ascii="Arial" w:cs="Arial" w:eastAsia="Arial" w:hAnsi="Arial"/>
                  <w:sz w:val="17"/>
                  <w:szCs w:val="17"/>
                  <w:color w:val="0000FF"/>
                  <w:w w:val="91"/>
                </w:rPr>
                <w:t>2021</w:t>
              </w:r>
            </w:hyperlink>
          </w:p>
        </w:tc>
        <w:tc>
          <w:tcPr>
            <w:tcW w:w="60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7</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80" w:type="dxa"/>
            <w:vAlign w:val="bottom"/>
            <w:gridSpan w:val="6"/>
          </w:tcPr>
          <w:p>
            <w:pPr>
              <w:spacing w:after="0"/>
              <w:rPr>
                <w:rFonts w:ascii="Arial" w:cs="Arial" w:eastAsia="Arial" w:hAnsi="Arial"/>
                <w:sz w:val="17"/>
                <w:szCs w:val="17"/>
                <w:color w:val="0000FF"/>
                <w:w w:val="91"/>
              </w:rPr>
            </w:pPr>
            <w:hyperlink w:anchor="page9">
              <w:r>
                <w:rPr>
                  <w:rFonts w:ascii="Arial" w:cs="Arial" w:eastAsia="Arial" w:hAnsi="Arial"/>
                  <w:sz w:val="17"/>
                  <w:szCs w:val="17"/>
                  <w:color w:val="0000FF"/>
                  <w:w w:val="91"/>
                </w:rPr>
                <w:t>Notes to the Unaudited Consolidated Financial Statements</w:t>
              </w:r>
            </w:hyperlink>
          </w:p>
        </w:tc>
        <w:tc>
          <w:tcPr>
            <w:tcW w:w="50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8</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240" w:type="dxa"/>
            <w:vAlign w:val="bottom"/>
            <w:gridSpan w:val="9"/>
          </w:tcPr>
          <w:p>
            <w:pPr>
              <w:spacing w:after="0"/>
              <w:rPr>
                <w:rFonts w:ascii="Arial" w:cs="Arial" w:eastAsia="Arial" w:hAnsi="Arial"/>
                <w:sz w:val="17"/>
                <w:szCs w:val="17"/>
                <w:color w:val="0000FF"/>
                <w:w w:val="93"/>
              </w:rPr>
            </w:pPr>
            <w:hyperlink w:anchor="page26">
              <w:r>
                <w:rPr>
                  <w:rFonts w:ascii="Arial" w:cs="Arial" w:eastAsia="Arial" w:hAnsi="Arial"/>
                  <w:sz w:val="17"/>
                  <w:szCs w:val="17"/>
                  <w:color w:val="0000FF"/>
                  <w:w w:val="93"/>
                </w:rPr>
                <w:t>Management's Discussion and Analysis of Financial Condition and Results of Operations</w:t>
              </w:r>
            </w:hyperlink>
          </w:p>
        </w:tc>
        <w:tc>
          <w:tcPr>
            <w:tcW w:w="3460" w:type="dxa"/>
            <w:vAlign w:val="bottom"/>
            <w:gridSpan w:val="3"/>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26">
              <w:r>
                <w:rPr>
                  <w:rFonts w:ascii="Arial" w:cs="Arial" w:eastAsia="Arial" w:hAnsi="Arial"/>
                  <w:sz w:val="15"/>
                  <w:szCs w:val="15"/>
                  <w:color w:val="0000FF"/>
                  <w:w w:val="71"/>
                </w:rPr>
                <w:t>25</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346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220" w:type="dxa"/>
            <w:vAlign w:val="bottom"/>
            <w:gridSpan w:val="7"/>
          </w:tcPr>
          <w:p>
            <w:pPr>
              <w:spacing w:after="0"/>
              <w:rPr>
                <w:rFonts w:ascii="Arial" w:cs="Arial" w:eastAsia="Arial" w:hAnsi="Arial"/>
                <w:sz w:val="17"/>
                <w:szCs w:val="17"/>
                <w:color w:val="0000FF"/>
                <w:w w:val="93"/>
              </w:rPr>
            </w:pPr>
            <w:hyperlink w:anchor="page49">
              <w:r>
                <w:rPr>
                  <w:rFonts w:ascii="Arial" w:cs="Arial" w:eastAsia="Arial" w:hAnsi="Arial"/>
                  <w:sz w:val="17"/>
                  <w:szCs w:val="17"/>
                  <w:color w:val="0000FF"/>
                  <w:w w:val="93"/>
                </w:rPr>
                <w:t>Quantitative and Qualitative Disclosures About Market Risk</w:t>
              </w:r>
            </w:hyperlink>
          </w:p>
        </w:tc>
        <w:tc>
          <w:tcPr>
            <w:tcW w:w="2020" w:type="dxa"/>
            <w:vAlign w:val="bottom"/>
            <w:gridSpan w:val="2"/>
          </w:tcPr>
          <w:p>
            <w:pPr>
              <w:spacing w:after="0"/>
              <w:rPr>
                <w:sz w:val="17"/>
                <w:szCs w:val="17"/>
                <w:color w:val="auto"/>
              </w:rPr>
            </w:pPr>
          </w:p>
        </w:tc>
        <w:tc>
          <w:tcPr>
            <w:tcW w:w="3460" w:type="dxa"/>
            <w:vAlign w:val="bottom"/>
            <w:gridSpan w:val="3"/>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49">
              <w:r>
                <w:rPr>
                  <w:rFonts w:ascii="Arial" w:cs="Arial" w:eastAsia="Arial" w:hAnsi="Arial"/>
                  <w:sz w:val="15"/>
                  <w:szCs w:val="15"/>
                  <w:color w:val="0000FF"/>
                  <w:w w:val="71"/>
                </w:rPr>
                <w:t>48</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480" w:type="dxa"/>
            <w:vAlign w:val="bottom"/>
            <w:tcBorders>
              <w:left w:val="single" w:sz="8" w:color="0000FF"/>
              <w:right w:val="single" w:sz="8" w:color="0000FF"/>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20" w:type="dxa"/>
            <w:vAlign w:val="bottom"/>
            <w:gridSpan w:val="4"/>
          </w:tcPr>
          <w:p>
            <w:pPr>
              <w:spacing w:after="0"/>
              <w:rPr>
                <w:rFonts w:ascii="Arial" w:cs="Arial" w:eastAsia="Arial" w:hAnsi="Arial"/>
                <w:sz w:val="17"/>
                <w:szCs w:val="17"/>
                <w:color w:val="0000FF"/>
                <w:w w:val="90"/>
              </w:rPr>
            </w:pPr>
            <w:hyperlink w:anchor="page51">
              <w:r>
                <w:rPr>
                  <w:rFonts w:ascii="Arial" w:cs="Arial" w:eastAsia="Arial" w:hAnsi="Arial"/>
                  <w:sz w:val="17"/>
                  <w:szCs w:val="17"/>
                  <w:color w:val="0000FF"/>
                  <w:w w:val="90"/>
                </w:rPr>
                <w:t>Controls and Procedures</w:t>
              </w:r>
            </w:hyperlink>
          </w:p>
        </w:tc>
        <w:tc>
          <w:tcPr>
            <w:tcW w:w="2500" w:type="dxa"/>
            <w:vAlign w:val="bottom"/>
            <w:gridSpan w:val="3"/>
          </w:tcPr>
          <w:p>
            <w:pPr>
              <w:spacing w:after="0"/>
              <w:rPr>
                <w:sz w:val="17"/>
                <w:szCs w:val="17"/>
                <w:color w:val="auto"/>
              </w:rPr>
            </w:pPr>
          </w:p>
        </w:tc>
        <w:tc>
          <w:tcPr>
            <w:tcW w:w="5480" w:type="dxa"/>
            <w:vAlign w:val="bottom"/>
            <w:gridSpan w:val="5"/>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1">
              <w:r>
                <w:rPr>
                  <w:rFonts w:ascii="Arial" w:cs="Arial" w:eastAsia="Arial" w:hAnsi="Arial"/>
                  <w:sz w:val="15"/>
                  <w:szCs w:val="15"/>
                  <w:color w:val="0000FF"/>
                  <w:w w:val="71"/>
                </w:rPr>
                <w:t>49</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80" w:type="dxa"/>
            <w:vAlign w:val="bottom"/>
            <w:tcBorders>
              <w:right w:val="single" w:sz="8" w:color="0000FF"/>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10820" w:type="dxa"/>
            <w:vAlign w:val="bottom"/>
            <w:gridSpan w:val="14"/>
          </w:tcPr>
          <w:p>
            <w:pPr>
              <w:spacing w:after="0"/>
              <w:rPr>
                <w:sz w:val="20"/>
                <w:szCs w:val="20"/>
                <w:color w:val="auto"/>
              </w:rPr>
            </w:pPr>
            <w:r>
              <w:rPr>
                <w:rFonts w:ascii="Arial" w:cs="Arial" w:eastAsia="Arial" w:hAnsi="Arial"/>
                <w:sz w:val="17"/>
                <w:szCs w:val="17"/>
                <w:b w:val="1"/>
                <w:bCs w:val="1"/>
                <w:color w:val="auto"/>
              </w:rPr>
              <w:t>Part II - Other Information</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20" w:type="dxa"/>
            <w:vAlign w:val="bottom"/>
            <w:gridSpan w:val="2"/>
          </w:tcPr>
          <w:p>
            <w:pPr>
              <w:spacing w:after="0" w:line="183" w:lineRule="exact"/>
              <w:rPr>
                <w:sz w:val="20"/>
                <w:szCs w:val="20"/>
                <w:color w:val="auto"/>
              </w:rPr>
            </w:pPr>
            <w:r>
              <w:rPr>
                <w:rFonts w:ascii="Arial" w:cs="Arial" w:eastAsia="Arial" w:hAnsi="Arial"/>
                <w:sz w:val="17"/>
                <w:szCs w:val="17"/>
                <w:color w:val="auto"/>
              </w:rPr>
              <w:t>Item 1.</w:t>
            </w:r>
          </w:p>
        </w:tc>
        <w:tc>
          <w:tcPr>
            <w:tcW w:w="1280" w:type="dxa"/>
            <w:vAlign w:val="bottom"/>
            <w:gridSpan w:val="3"/>
          </w:tcPr>
          <w:p>
            <w:pPr>
              <w:spacing w:after="0" w:line="183" w:lineRule="exact"/>
              <w:rPr>
                <w:rFonts w:ascii="Arial" w:cs="Arial" w:eastAsia="Arial" w:hAnsi="Arial"/>
                <w:sz w:val="17"/>
                <w:szCs w:val="17"/>
                <w:color w:val="0000FF"/>
                <w:w w:val="88"/>
              </w:rPr>
            </w:pPr>
            <w:hyperlink w:anchor="page52">
              <w:r>
                <w:rPr>
                  <w:rFonts w:ascii="Arial" w:cs="Arial" w:eastAsia="Arial" w:hAnsi="Arial"/>
                  <w:sz w:val="17"/>
                  <w:szCs w:val="17"/>
                  <w:color w:val="0000FF"/>
                  <w:w w:val="88"/>
                </w:rPr>
                <w:t>Legal Proceedings</w:t>
              </w:r>
            </w:hyperlink>
          </w:p>
        </w:tc>
        <w:tc>
          <w:tcPr>
            <w:tcW w:w="8420" w:type="dxa"/>
            <w:vAlign w:val="bottom"/>
            <w:gridSpan w:val="9"/>
          </w:tcPr>
          <w:p>
            <w:pPr>
              <w:spacing w:after="0"/>
              <w:rPr>
                <w:sz w:val="15"/>
                <w:szCs w:val="15"/>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50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80" w:type="dxa"/>
            <w:vAlign w:val="bottom"/>
            <w:tcBorders>
              <w:right w:val="single" w:sz="8" w:color="0000FF"/>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80" w:type="dxa"/>
            <w:vAlign w:val="bottom"/>
            <w:gridSpan w:val="3"/>
          </w:tcPr>
          <w:p>
            <w:pPr>
              <w:spacing w:after="0"/>
              <w:rPr>
                <w:rFonts w:ascii="Arial" w:cs="Arial" w:eastAsia="Arial" w:hAnsi="Arial"/>
                <w:sz w:val="17"/>
                <w:szCs w:val="17"/>
                <w:color w:val="0000FF"/>
              </w:rPr>
            </w:pPr>
            <w:hyperlink w:anchor="page52">
              <w:r>
                <w:rPr>
                  <w:rFonts w:ascii="Arial" w:cs="Arial" w:eastAsia="Arial" w:hAnsi="Arial"/>
                  <w:sz w:val="17"/>
                  <w:szCs w:val="17"/>
                  <w:color w:val="0000FF"/>
                </w:rPr>
                <w:t>Risk Factors</w:t>
              </w:r>
            </w:hyperlink>
          </w:p>
        </w:tc>
        <w:tc>
          <w:tcPr>
            <w:tcW w:w="8420" w:type="dxa"/>
            <w:vAlign w:val="bottom"/>
            <w:gridSpan w:val="9"/>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50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80" w:type="dxa"/>
            <w:vAlign w:val="bottom"/>
            <w:tcBorders>
              <w:right w:val="single" w:sz="8" w:color="0000FF"/>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4220" w:type="dxa"/>
            <w:vAlign w:val="bottom"/>
            <w:gridSpan w:val="7"/>
          </w:tcPr>
          <w:p>
            <w:pPr>
              <w:spacing w:after="0"/>
              <w:rPr>
                <w:rFonts w:ascii="Arial" w:cs="Arial" w:eastAsia="Arial" w:hAnsi="Arial"/>
                <w:sz w:val="17"/>
                <w:szCs w:val="17"/>
                <w:color w:val="0000FF"/>
                <w:w w:val="91"/>
              </w:rPr>
            </w:pPr>
            <w:hyperlink w:anchor="page52">
              <w:r>
                <w:rPr>
                  <w:rFonts w:ascii="Arial" w:cs="Arial" w:eastAsia="Arial" w:hAnsi="Arial"/>
                  <w:sz w:val="17"/>
                  <w:szCs w:val="17"/>
                  <w:color w:val="0000FF"/>
                  <w:w w:val="91"/>
                </w:rPr>
                <w:t>Unregistered Sales of Equity Securities and Use of Proceeds</w:t>
              </w:r>
            </w:hyperlink>
          </w:p>
        </w:tc>
        <w:tc>
          <w:tcPr>
            <w:tcW w:w="5480" w:type="dxa"/>
            <w:vAlign w:val="bottom"/>
            <w:gridSpan w:val="5"/>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50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480" w:type="dxa"/>
            <w:vAlign w:val="bottom"/>
            <w:tcBorders>
              <w:right w:val="single" w:sz="8" w:color="0000FF"/>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2260" w:type="dxa"/>
            <w:vAlign w:val="bottom"/>
            <w:gridSpan w:val="5"/>
          </w:tcPr>
          <w:p>
            <w:pPr>
              <w:spacing w:after="0"/>
              <w:rPr>
                <w:rFonts w:ascii="Arial" w:cs="Arial" w:eastAsia="Arial" w:hAnsi="Arial"/>
                <w:sz w:val="17"/>
                <w:szCs w:val="17"/>
                <w:color w:val="0000FF"/>
                <w:w w:val="92"/>
              </w:rPr>
            </w:pPr>
            <w:hyperlink w:anchor="page52">
              <w:r>
                <w:rPr>
                  <w:rFonts w:ascii="Arial" w:cs="Arial" w:eastAsia="Arial" w:hAnsi="Arial"/>
                  <w:sz w:val="17"/>
                  <w:szCs w:val="17"/>
                  <w:color w:val="0000FF"/>
                  <w:w w:val="92"/>
                </w:rPr>
                <w:t>Defaults Upon Senior Securities</w:t>
              </w:r>
            </w:hyperlink>
          </w:p>
        </w:tc>
        <w:tc>
          <w:tcPr>
            <w:tcW w:w="1960" w:type="dxa"/>
            <w:vAlign w:val="bottom"/>
            <w:gridSpan w:val="2"/>
          </w:tcPr>
          <w:p>
            <w:pPr>
              <w:spacing w:after="0"/>
              <w:rPr>
                <w:sz w:val="17"/>
                <w:szCs w:val="17"/>
                <w:color w:val="auto"/>
              </w:rPr>
            </w:pPr>
          </w:p>
        </w:tc>
        <w:tc>
          <w:tcPr>
            <w:tcW w:w="5480" w:type="dxa"/>
            <w:vAlign w:val="bottom"/>
            <w:gridSpan w:val="5"/>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50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7440" w:type="dxa"/>
            <w:vAlign w:val="bottom"/>
            <w:tcBorders>
              <w:right w:val="single" w:sz="8" w:color="0000FF"/>
            </w:tcBorders>
            <w:gridSpan w:val="7"/>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20" w:type="dxa"/>
            <w:vAlign w:val="bottom"/>
            <w:gridSpan w:val="4"/>
          </w:tcPr>
          <w:p>
            <w:pPr>
              <w:spacing w:after="0"/>
              <w:rPr>
                <w:rFonts w:ascii="Arial" w:cs="Arial" w:eastAsia="Arial" w:hAnsi="Arial"/>
                <w:sz w:val="17"/>
                <w:szCs w:val="17"/>
                <w:color w:val="0000FF"/>
                <w:w w:val="93"/>
              </w:rPr>
            </w:pPr>
            <w:hyperlink w:anchor="page52">
              <w:r>
                <w:rPr>
                  <w:rFonts w:ascii="Arial" w:cs="Arial" w:eastAsia="Arial" w:hAnsi="Arial"/>
                  <w:sz w:val="17"/>
                  <w:szCs w:val="17"/>
                  <w:color w:val="0000FF"/>
                  <w:w w:val="93"/>
                </w:rPr>
                <w:t>Mine Safety Disclosures</w:t>
              </w:r>
            </w:hyperlink>
          </w:p>
        </w:tc>
        <w:tc>
          <w:tcPr>
            <w:tcW w:w="540" w:type="dxa"/>
            <w:vAlign w:val="bottom"/>
          </w:tcPr>
          <w:p>
            <w:pPr>
              <w:spacing w:after="0"/>
              <w:rPr>
                <w:sz w:val="17"/>
                <w:szCs w:val="17"/>
                <w:color w:val="auto"/>
              </w:rPr>
            </w:pPr>
          </w:p>
        </w:tc>
        <w:tc>
          <w:tcPr>
            <w:tcW w:w="7440" w:type="dxa"/>
            <w:vAlign w:val="bottom"/>
            <w:gridSpan w:val="7"/>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50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tcBorders>
              <w:right w:val="single" w:sz="8" w:color="0000FF"/>
            </w:tcBorders>
            <w:gridSpan w:val="8"/>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280" w:type="dxa"/>
            <w:vAlign w:val="bottom"/>
            <w:gridSpan w:val="3"/>
          </w:tcPr>
          <w:p>
            <w:pPr>
              <w:spacing w:after="0"/>
              <w:rPr>
                <w:rFonts w:ascii="Arial" w:cs="Arial" w:eastAsia="Arial" w:hAnsi="Arial"/>
                <w:sz w:val="17"/>
                <w:szCs w:val="17"/>
                <w:color w:val="0000FF"/>
                <w:w w:val="93"/>
              </w:rPr>
            </w:pPr>
            <w:hyperlink w:anchor="page52">
              <w:r>
                <w:rPr>
                  <w:rFonts w:ascii="Arial" w:cs="Arial" w:eastAsia="Arial" w:hAnsi="Arial"/>
                  <w:sz w:val="17"/>
                  <w:szCs w:val="17"/>
                  <w:color w:val="0000FF"/>
                  <w:w w:val="93"/>
                </w:rPr>
                <w:t>Other Information</w:t>
              </w:r>
            </w:hyperlink>
          </w:p>
        </w:tc>
        <w:tc>
          <w:tcPr>
            <w:tcW w:w="440" w:type="dxa"/>
            <w:vAlign w:val="bottom"/>
          </w:tcPr>
          <w:p>
            <w:pPr>
              <w:spacing w:after="0"/>
              <w:rPr>
                <w:sz w:val="17"/>
                <w:szCs w:val="17"/>
                <w:color w:val="auto"/>
              </w:rPr>
            </w:pPr>
          </w:p>
        </w:tc>
        <w:tc>
          <w:tcPr>
            <w:tcW w:w="7980" w:type="dxa"/>
            <w:vAlign w:val="bottom"/>
            <w:gridSpan w:val="8"/>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50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420" w:type="dxa"/>
            <w:vAlign w:val="bottom"/>
            <w:tcBorders>
              <w:right w:val="single" w:sz="8" w:color="0000FF"/>
            </w:tcBorders>
            <w:gridSpan w:val="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80" w:type="dxa"/>
            <w:vAlign w:val="bottom"/>
            <w:gridSpan w:val="3"/>
          </w:tcPr>
          <w:p>
            <w:pPr>
              <w:spacing w:after="0"/>
              <w:rPr>
                <w:rFonts w:ascii="Arial" w:cs="Arial" w:eastAsia="Arial" w:hAnsi="Arial"/>
                <w:sz w:val="17"/>
                <w:szCs w:val="17"/>
                <w:color w:val="0000FF"/>
              </w:rPr>
            </w:pPr>
            <w:hyperlink w:anchor="page52">
              <w:r>
                <w:rPr>
                  <w:rFonts w:ascii="Arial" w:cs="Arial" w:eastAsia="Arial" w:hAnsi="Arial"/>
                  <w:sz w:val="17"/>
                  <w:szCs w:val="17"/>
                  <w:color w:val="0000FF"/>
                </w:rPr>
                <w:t>Exhibits</w:t>
              </w:r>
            </w:hyperlink>
          </w:p>
        </w:tc>
        <w:tc>
          <w:tcPr>
            <w:tcW w:w="8420" w:type="dxa"/>
            <w:vAlign w:val="bottom"/>
            <w:gridSpan w:val="9"/>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51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1120" w:type="dxa"/>
            <w:vAlign w:val="bottom"/>
            <w:gridSpan w:val="2"/>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52</w:t>
              </w:r>
            </w:hyperlink>
          </w:p>
        </w:tc>
      </w:tr>
      <w:tr>
        <w:trPr>
          <w:trHeight w:val="992"/>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5"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i w:val="1"/>
          <w:iCs w:val="1"/>
          <w:color w:val="auto"/>
        </w:rPr>
        <w:t>This Quarterly Report on Form 10-Q for the quarterly period ended June 30, 2021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09"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in Part II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55" w:lineRule="exact"/>
        <w:rPr>
          <w:sz w:val="20"/>
          <w:szCs w:val="20"/>
          <w:color w:val="auto"/>
        </w:rPr>
      </w:pPr>
    </w:p>
    <w:p>
      <w:pPr>
        <w:ind w:right="120" w:firstLine="470"/>
        <w:spacing w:after="0" w:line="269" w:lineRule="auto"/>
        <w:rPr>
          <w:sz w:val="20"/>
          <w:szCs w:val="20"/>
          <w:color w:val="auto"/>
        </w:rPr>
      </w:pPr>
      <w:r>
        <w:rPr>
          <w:rFonts w:ascii="Arial" w:cs="Arial" w:eastAsia="Arial" w:hAnsi="Arial"/>
          <w:sz w:val="16"/>
          <w:szCs w:val="16"/>
          <w:i w:val="1"/>
          <w:iCs w:val="1"/>
          <w:color w:val="auto"/>
        </w:rPr>
        <w:t>“Rackspace,” “Rackspace Technology,” “Fanatical Experience,” and “Rackspace Fabric” are registered or unregistered trademarks of Rackspace US, Inc. in the United States and/or other countries. OpenStack</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688975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PART I – FINANCIAL INFORMATION</w:t>
      </w:r>
    </w:p>
    <w:p>
      <w:pPr>
        <w:spacing w:after="0" w:line="105"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ITEM 1 -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180" w:type="dxa"/>
            <w:vAlign w:val="bottom"/>
          </w:tcPr>
          <w:p>
            <w:pPr>
              <w:jc w:val="right"/>
              <w:ind w:right="36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Accounts receivable, net of allowance for doubtful accounts and accrued customer credits of $28.3 and $16.0, respectively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199"/>
        </w:trPr>
        <w:tc>
          <w:tcPr>
            <w:tcW w:w="82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885.2</w:t>
            </w:r>
          </w:p>
        </w:tc>
        <w:tc>
          <w:tcPr>
            <w:tcW w:w="0" w:type="dxa"/>
            <w:vAlign w:val="bottom"/>
          </w:tcPr>
          <w:p>
            <w:pPr>
              <w:spacing w:after="0"/>
              <w:rPr>
                <w:sz w:val="1"/>
                <w:szCs w:val="1"/>
                <w:color w:val="auto"/>
              </w:rPr>
            </w:pPr>
          </w:p>
        </w:tc>
      </w:tr>
      <w:tr>
        <w:trPr>
          <w:trHeight w:val="147"/>
        </w:trPr>
        <w:tc>
          <w:tcPr>
            <w:tcW w:w="8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892.0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2,765.8</w:t>
            </w:r>
          </w:p>
        </w:tc>
        <w:tc>
          <w:tcPr>
            <w:tcW w:w="0" w:type="dxa"/>
            <w:vAlign w:val="bottom"/>
          </w:tcPr>
          <w:p>
            <w:pPr>
              <w:spacing w:after="0"/>
              <w:rPr>
                <w:sz w:val="1"/>
                <w:szCs w:val="1"/>
                <w:color w:val="auto"/>
              </w:rPr>
            </w:pP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1,553.8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6,412.3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99"/>
        </w:trPr>
        <w:tc>
          <w:tcPr>
            <w:tcW w:w="82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789.3</w:t>
            </w:r>
          </w:p>
        </w:tc>
        <w:tc>
          <w:tcPr>
            <w:tcW w:w="0" w:type="dxa"/>
            <w:vAlign w:val="bottom"/>
          </w:tcPr>
          <w:p>
            <w:pPr>
              <w:spacing w:after="0"/>
              <w:rPr>
                <w:sz w:val="1"/>
                <w:szCs w:val="1"/>
                <w:color w:val="auto"/>
              </w:rPr>
            </w:pPr>
          </w:p>
        </w:tc>
      </w:tr>
      <w:tr>
        <w:trPr>
          <w:trHeight w:val="147"/>
        </w:trPr>
        <w:tc>
          <w:tcPr>
            <w:tcW w:w="8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3,318.7</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05"/>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5,029.8</w:t>
            </w:r>
          </w:p>
        </w:tc>
        <w:tc>
          <w:tcPr>
            <w:tcW w:w="0" w:type="dxa"/>
            <w:vAlign w:val="bottom"/>
          </w:tcPr>
          <w:p>
            <w:pPr>
              <w:spacing w:after="0"/>
              <w:rPr>
                <w:sz w:val="1"/>
                <w:szCs w:val="1"/>
                <w:color w:val="auto"/>
              </w:rPr>
            </w:pPr>
          </w:p>
        </w:tc>
      </w:tr>
      <w:tr>
        <w:trPr>
          <w:trHeight w:val="144"/>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2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4"/>
              </w:rPr>
              <w:t>Common stock, $0.01 par value per share: 1,495.0 shares authorized; 201.8 and 209.0 shares issued and outstanding,</w:t>
            </w: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2,445.3</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(1,063.9)</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1,382.5</w:t>
            </w:r>
          </w:p>
        </w:tc>
        <w:tc>
          <w:tcPr>
            <w:tcW w:w="0" w:type="dxa"/>
            <w:vAlign w:val="bottom"/>
          </w:tcPr>
          <w:p>
            <w:pPr>
              <w:spacing w:after="0"/>
              <w:rPr>
                <w:sz w:val="1"/>
                <w:szCs w:val="1"/>
                <w:color w:val="auto"/>
              </w:rPr>
            </w:pPr>
          </w:p>
        </w:tc>
      </w:tr>
      <w:tr>
        <w:trPr>
          <w:trHeight w:val="205"/>
        </w:trPr>
        <w:tc>
          <w:tcPr>
            <w:tcW w:w="8240" w:type="dxa"/>
            <w:vAlign w:val="bottom"/>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6,377.8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6,412.3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7"/>
                <w:szCs w:val="17"/>
                <w:color w:val="auto"/>
              </w:rPr>
            </w:pPr>
          </w:p>
        </w:tc>
        <w:tc>
          <w:tcPr>
            <w:tcW w:w="2920" w:type="dxa"/>
            <w:vAlign w:val="bottom"/>
            <w:gridSpan w:val="4"/>
          </w:tcPr>
          <w:p>
            <w:pPr>
              <w:jc w:val="right"/>
              <w:ind w:right="64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1,469.7</w:t>
            </w:r>
          </w:p>
        </w:tc>
        <w:tc>
          <w:tcPr>
            <w:tcW w:w="0" w:type="dxa"/>
            <w:vAlign w:val="bottom"/>
          </w:tcPr>
          <w:p>
            <w:pPr>
              <w:spacing w:after="0"/>
              <w:rPr>
                <w:sz w:val="1"/>
                <w:szCs w:val="1"/>
                <w:color w:val="auto"/>
              </w:rPr>
            </w:pPr>
          </w:p>
        </w:tc>
      </w:tr>
      <w:tr>
        <w:trPr>
          <w:trHeight w:val="20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(998.9)</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06"/>
        </w:trPr>
        <w:tc>
          <w:tcPr>
            <w:tcW w:w="46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(463.6)</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9"/>
        </w:trPr>
        <w:tc>
          <w:tcPr>
            <w:tcW w:w="4600" w:type="dxa"/>
            <w:vAlign w:val="bottom"/>
          </w:tcPr>
          <w:p>
            <w:pPr>
              <w:ind w:left="3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6"/>
        </w:trPr>
        <w:tc>
          <w:tcPr>
            <w:tcW w:w="460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36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0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(loss) on derivative contracts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0"/>
        </w:trPr>
        <w:tc>
          <w:tcPr>
            <w:tcW w:w="4600" w:type="dxa"/>
            <w:vAlign w:val="bottom"/>
          </w:tcPr>
          <w:p>
            <w:pPr>
              <w:ind w:left="140"/>
              <w:spacing w:after="0" w:line="160" w:lineRule="exact"/>
              <w:rPr>
                <w:sz w:val="20"/>
                <w:szCs w:val="20"/>
                <w:color w:val="auto"/>
              </w:rPr>
            </w:pPr>
            <w:r>
              <w:rPr>
                <w:rFonts w:ascii="Arial" w:cs="Arial" w:eastAsia="Arial" w:hAnsi="Arial"/>
                <w:sz w:val="16"/>
                <w:szCs w:val="16"/>
                <w:color w:val="auto"/>
                <w:w w:val="92"/>
              </w:rPr>
              <w:t>Amount reclassified from accumulated other comprehensive income</w:t>
            </w:r>
          </w:p>
        </w:tc>
        <w:tc>
          <w:tcPr>
            <w:tcW w:w="360" w:type="dxa"/>
            <w:vAlign w:val="bottom"/>
          </w:tcPr>
          <w:p>
            <w:pPr>
              <w:spacing w:after="0"/>
              <w:rPr>
                <w:sz w:val="13"/>
                <w:szCs w:val="13"/>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(loss) to earnings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5"/>
        </w:trPr>
        <w:tc>
          <w:tcPr>
            <w:tcW w:w="4600" w:type="dxa"/>
            <w:vAlign w:val="bottom"/>
          </w:tcPr>
          <w:p>
            <w:pPr>
              <w:ind w:left="46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191"/>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216.3</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Gain on sale of land</w:t>
            </w:r>
          </w:p>
        </w:tc>
        <w:tc>
          <w:tcPr>
            <w:tcW w:w="3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modification and extinguishment costs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Unrealized (gain) loss on derivative contracts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investments,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79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2"/>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6"/>
        </w:trPr>
        <w:tc>
          <w:tcPr>
            <w:tcW w:w="7960" w:type="dxa"/>
            <w:vAlign w:val="bottom"/>
          </w:tcPr>
          <w:p>
            <w:pPr>
              <w:ind w:left="340"/>
              <w:spacing w:after="0"/>
              <w:rPr>
                <w:sz w:val="20"/>
                <w:szCs w:val="20"/>
                <w:color w:val="auto"/>
              </w:rPr>
            </w:pPr>
            <w:r>
              <w:rPr>
                <w:rFonts w:ascii="Arial" w:cs="Arial" w:eastAsia="Arial" w:hAnsi="Arial"/>
                <w:sz w:val="16"/>
                <w:szCs w:val="16"/>
                <w:color w:val="auto"/>
              </w:rPr>
              <w:t>Accounts payable, accrued expenses, and other current liabilities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2"/>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06"/>
        </w:trPr>
        <w:tc>
          <w:tcPr>
            <w:tcW w:w="796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12"/>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199"/>
        </w:trPr>
        <w:tc>
          <w:tcPr>
            <w:tcW w:w="79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208.9</w:t>
            </w:r>
          </w:p>
        </w:tc>
      </w:tr>
      <w:tr>
        <w:trPr>
          <w:trHeight w:val="212"/>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land</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06"/>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05"/>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of common stock withheld for employee taxes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2,838.5</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long-term debt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(2,866.4)</w:t>
            </w: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Payments for debt issuance costs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financing component of interest rate swap</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financing obligations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05"/>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06"/>
        </w:trPr>
        <w:tc>
          <w:tcPr>
            <w:tcW w:w="79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05"/>
        </w:trPr>
        <w:tc>
          <w:tcPr>
            <w:tcW w:w="7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Increase in cash, cash equivalents, and restricted cash</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06"/>
        </w:trPr>
        <w:tc>
          <w:tcPr>
            <w:tcW w:w="79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r>
      <w:tr>
        <w:trPr>
          <w:trHeight w:val="230"/>
        </w:trPr>
        <w:tc>
          <w:tcPr>
            <w:tcW w:w="7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7"/>
                <w:szCs w:val="17"/>
                <w:color w:val="auto"/>
              </w:rPr>
            </w:pPr>
          </w:p>
        </w:tc>
        <w:tc>
          <w:tcPr>
            <w:tcW w:w="680" w:type="dxa"/>
            <w:vAlign w:val="bottom"/>
          </w:tcPr>
          <w:p>
            <w:pPr>
              <w:jc w:val="right"/>
              <w:ind w:right="5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52"/>
        </w:trPr>
        <w:tc>
          <w:tcPr>
            <w:tcW w:w="7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c>
          <w:tcPr>
            <w:tcW w:w="680" w:type="dxa"/>
            <w:vAlign w:val="bottom"/>
          </w:tcPr>
          <w:p>
            <w:pPr>
              <w:jc w:val="right"/>
              <w:ind w:right="5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06"/>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Decrease in property, equipment and software accrued in liabilities</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5"/>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52"/>
        </w:trPr>
        <w:tc>
          <w:tcPr>
            <w:tcW w:w="7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9"/>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increase in buildings within property, equipment and software, net due to lease modification</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960" w:type="dxa"/>
            <w:vAlign w:val="bottom"/>
          </w:tcPr>
          <w:p>
            <w:pPr>
              <w:ind w:left="120"/>
              <w:spacing w:after="0"/>
              <w:rPr>
                <w:sz w:val="20"/>
                <w:szCs w:val="20"/>
                <w:color w:val="auto"/>
              </w:rPr>
            </w:pPr>
            <w:r>
              <w:rPr>
                <w:rFonts w:ascii="Arial" w:cs="Arial" w:eastAsia="Arial" w:hAnsi="Arial"/>
                <w:sz w:val="16"/>
                <w:szCs w:val="16"/>
                <w:color w:val="auto"/>
              </w:rPr>
              <w:t>Other non-cash investing and financing activities</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680" w:type="dxa"/>
            <w:vAlign w:val="bottom"/>
          </w:tcPr>
          <w:p>
            <w:pPr>
              <w:jc w:val="right"/>
              <w:ind w:right="50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321" w:lineRule="exact"/>
        <w:rPr>
          <w:sz w:val="20"/>
          <w:szCs w:val="20"/>
          <w:color w:val="auto"/>
        </w:rPr>
      </w:pPr>
    </w:p>
    <w:p>
      <w:pPr>
        <w:ind w:right="560" w:firstLine="470"/>
        <w:spacing w:after="0" w:line="288" w:lineRule="auto"/>
        <w:rPr>
          <w:sz w:val="20"/>
          <w:szCs w:val="20"/>
          <w:color w:val="auto"/>
        </w:rPr>
      </w:pPr>
      <w:r>
        <w:rPr>
          <w:rFonts w:ascii="Arial" w:cs="Arial" w:eastAsia="Arial" w:hAnsi="Arial"/>
          <w:sz w:val="17"/>
          <w:szCs w:val="17"/>
          <w:color w:val="auto"/>
        </w:rPr>
        <w:t>The following table provides a reconciliation of cash, cash equivalents, and restricted cash to the total of such amounts shown on the Consolidated Statements of Cash Flows.</w:t>
      </w:r>
    </w:p>
    <w:p>
      <w:pPr>
        <w:spacing w:after="0" w:line="222"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5"/>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r>
      <w:tr>
        <w:trPr>
          <w:trHeight w:val="206"/>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0"/>
        </w:trPr>
        <w:tc>
          <w:tcPr>
            <w:tcW w:w="7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87"/>
              </w:rPr>
              <w:t>Total Stockholders'</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Comprehensive Loss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Deficit</w:t>
            </w:r>
          </w:p>
        </w:tc>
        <w:tc>
          <w:tcPr>
            <w:tcW w:w="26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5"/>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1,610.2</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(765.7)</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796.6</w:t>
            </w:r>
          </w:p>
        </w:tc>
        <w:tc>
          <w:tcPr>
            <w:tcW w:w="0" w:type="dxa"/>
            <w:vAlign w:val="bottom"/>
          </w:tcPr>
          <w:p>
            <w:pPr>
              <w:spacing w:after="0"/>
              <w:rPr>
                <w:sz w:val="1"/>
                <w:szCs w:val="1"/>
                <w:color w:val="auto"/>
              </w:rPr>
            </w:pPr>
          </w:p>
        </w:tc>
      </w:tr>
      <w:tr>
        <w:trPr>
          <w:trHeight w:val="160"/>
        </w:trPr>
        <w:tc>
          <w:tcPr>
            <w:tcW w:w="3980" w:type="dxa"/>
            <w:vAlign w:val="bottom"/>
          </w:tcPr>
          <w:p>
            <w:pPr>
              <w:ind w:left="140"/>
              <w:spacing w:after="0" w:line="160" w:lineRule="exact"/>
              <w:rPr>
                <w:sz w:val="20"/>
                <w:szCs w:val="20"/>
                <w:color w:val="auto"/>
              </w:rPr>
            </w:pPr>
            <w:r>
              <w:rPr>
                <w:rFonts w:ascii="Arial" w:cs="Arial" w:eastAsia="Arial" w:hAnsi="Arial"/>
                <w:sz w:val="16"/>
                <w:szCs w:val="16"/>
                <w:color w:val="auto"/>
                <w:w w:val="88"/>
              </w:rPr>
              <w:t>Exercise of stock options and release of stock awards, net of</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3980" w:type="dxa"/>
            <w:vAlign w:val="bottom"/>
          </w:tcPr>
          <w:p>
            <w:pPr>
              <w:ind w:left="140"/>
              <w:spacing w:after="0"/>
              <w:rPr>
                <w:sz w:val="20"/>
                <w:szCs w:val="20"/>
                <w:color w:val="auto"/>
              </w:rPr>
            </w:pPr>
            <w:r>
              <w:rPr>
                <w:rFonts w:ascii="Arial" w:cs="Arial" w:eastAsia="Arial" w:hAnsi="Arial"/>
                <w:sz w:val="16"/>
                <w:szCs w:val="16"/>
                <w:color w:val="auto"/>
              </w:rPr>
              <w:t>shares withheld</w:t>
            </w: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5"/>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1,619.2</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gridSpan w:val="4"/>
            <w:vMerge w:val="restart"/>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80" w:type="dxa"/>
            <w:vAlign w:val="bottom"/>
            <w:vMerge w:val="continue"/>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37" w:lineRule="exact"/>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37" w:lineRule="exact"/>
              <w:rPr>
                <w:sz w:val="20"/>
                <w:szCs w:val="20"/>
                <w:color w:val="auto"/>
              </w:rPr>
            </w:pPr>
            <w:r>
              <w:rPr>
                <w:rFonts w:ascii="Arial" w:cs="Arial" w:eastAsia="Arial" w:hAnsi="Arial"/>
                <w:sz w:val="15"/>
                <w:szCs w:val="15"/>
                <w:b w:val="1"/>
                <w:bCs w:val="1"/>
                <w:color w:val="auto"/>
                <w:w w:val="92"/>
              </w:rPr>
              <w:t>Comprehensive</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37" w:lineRule="exact"/>
              <w:rPr>
                <w:sz w:val="20"/>
                <w:szCs w:val="20"/>
                <w:color w:val="auto"/>
              </w:rPr>
            </w:pPr>
            <w:r>
              <w:rPr>
                <w:rFonts w:ascii="Arial" w:cs="Arial" w:eastAsia="Arial" w:hAnsi="Arial"/>
                <w:sz w:val="15"/>
                <w:szCs w:val="15"/>
                <w:b w:val="1"/>
                <w:bCs w:val="1"/>
                <w:color w:val="auto"/>
                <w:w w:val="95"/>
              </w:rPr>
              <w:t>Accumulated</w:t>
            </w:r>
          </w:p>
        </w:tc>
        <w:tc>
          <w:tcPr>
            <w:tcW w:w="1320" w:type="dxa"/>
            <w:vAlign w:val="bottom"/>
            <w:gridSpan w:val="2"/>
          </w:tcPr>
          <w:p>
            <w:pPr>
              <w:spacing w:after="0" w:line="137" w:lineRule="exact"/>
              <w:rPr>
                <w:sz w:val="20"/>
                <w:szCs w:val="20"/>
                <w:color w:val="auto"/>
              </w:rPr>
            </w:pPr>
            <w:r>
              <w:rPr>
                <w:rFonts w:ascii="Arial" w:cs="Arial" w:eastAsia="Arial" w:hAnsi="Arial"/>
                <w:sz w:val="15"/>
                <w:szCs w:val="15"/>
                <w:b w:val="1"/>
                <w:bCs w:val="1"/>
                <w:color w:val="auto"/>
                <w:w w:val="93"/>
              </w:rPr>
              <w:t>Total Stockholders'</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Income (Loss)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Deficit</w:t>
            </w:r>
          </w:p>
        </w:tc>
        <w:tc>
          <w:tcPr>
            <w:tcW w:w="26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5"/>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1,602.7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160"/>
        </w:trPr>
        <w:tc>
          <w:tcPr>
            <w:tcW w:w="3980" w:type="dxa"/>
            <w:vAlign w:val="bottom"/>
          </w:tcPr>
          <w:p>
            <w:pPr>
              <w:ind w:left="140"/>
              <w:spacing w:after="0" w:line="160" w:lineRule="exact"/>
              <w:rPr>
                <w:sz w:val="20"/>
                <w:szCs w:val="20"/>
                <w:color w:val="auto"/>
              </w:rPr>
            </w:pPr>
            <w:r>
              <w:rPr>
                <w:rFonts w:ascii="Arial" w:cs="Arial" w:eastAsia="Arial" w:hAnsi="Arial"/>
                <w:sz w:val="16"/>
                <w:szCs w:val="16"/>
                <w:color w:val="auto"/>
                <w:w w:val="88"/>
              </w:rPr>
              <w:t>Exercise of stock options and release of stock awards, net of</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4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3980" w:type="dxa"/>
            <w:vAlign w:val="bottom"/>
          </w:tcPr>
          <w:p>
            <w:pPr>
              <w:ind w:left="140"/>
              <w:spacing w:after="0"/>
              <w:rPr>
                <w:sz w:val="20"/>
                <w:szCs w:val="20"/>
                <w:color w:val="auto"/>
              </w:rPr>
            </w:pPr>
            <w:r>
              <w:rPr>
                <w:rFonts w:ascii="Arial" w:cs="Arial" w:eastAsia="Arial" w:hAnsi="Arial"/>
                <w:sz w:val="16"/>
                <w:szCs w:val="16"/>
                <w:color w:val="auto"/>
              </w:rPr>
              <w:t>shares withheld</w:t>
            </w: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5"/>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1,619.2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(798.3)</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87"/>
              </w:rPr>
              <w:t>Total Stockholders'</w:t>
            </w:r>
          </w:p>
        </w:tc>
      </w:tr>
      <w:tr>
        <w:trPr>
          <w:trHeight w:val="199"/>
        </w:trPr>
        <w:tc>
          <w:tcPr>
            <w:tcW w:w="398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Comprehensive 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Equity</w:t>
            </w:r>
          </w:p>
        </w:tc>
      </w:tr>
      <w:tr>
        <w:trPr>
          <w:trHeight w:val="205"/>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2,402.6</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1,375.2</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Exercise of stock options and release of stock awards</w:t>
            </w: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Issuance of shares from Employee Stock Purchase Plan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1,382.5</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87"/>
              </w:rPr>
              <w:t>Total Stockholders'</w:t>
            </w:r>
          </w:p>
        </w:tc>
      </w:tr>
      <w:tr>
        <w:trPr>
          <w:trHeight w:val="199"/>
        </w:trPr>
        <w:tc>
          <w:tcPr>
            <w:tcW w:w="398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Comprehensive 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Equity</w:t>
            </w:r>
          </w:p>
        </w:tc>
      </w:tr>
      <w:tr>
        <w:trPr>
          <w:trHeight w:val="205"/>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2,363.6</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 and release of stock awards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w w:val="95"/>
              </w:rPr>
              <w:t>Issuance of shares from Employee Stock Purchase Plan</w:t>
            </w: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09"/>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05"/>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2,445.3</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(1,063.9)</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1,382.5</w:t>
            </w: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THE UNAUDITED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Company Overview, Basis of Presentation, and 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Operations and Basis of Presentation</w:t>
      </w:r>
    </w:p>
    <w:p>
      <w:pPr>
        <w:spacing w:after="0" w:line="249" w:lineRule="exact"/>
        <w:rPr>
          <w:sz w:val="20"/>
          <w:szCs w:val="20"/>
          <w:color w:val="auto"/>
        </w:rPr>
      </w:pPr>
    </w:p>
    <w:p>
      <w:pPr>
        <w:ind w:right="260" w:firstLine="470"/>
        <w:spacing w:after="0" w:line="264" w:lineRule="auto"/>
        <w:rPr>
          <w:sz w:val="20"/>
          <w:szCs w:val="20"/>
          <w:color w:val="auto"/>
        </w:rPr>
      </w:pPr>
      <w:r>
        <w:rPr>
          <w:rFonts w:ascii="Arial" w:cs="Arial" w:eastAsia="Arial" w:hAnsi="Arial"/>
          <w:sz w:val="17"/>
          <w:szCs w:val="17"/>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0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2" w:lineRule="exact"/>
        <w:rPr>
          <w:sz w:val="20"/>
          <w:szCs w:val="20"/>
          <w:color w:val="auto"/>
        </w:rPr>
      </w:pPr>
    </w:p>
    <w:p>
      <w:pPr>
        <w:ind w:right="640" w:firstLine="470"/>
        <w:spacing w:after="0" w:line="288" w:lineRule="auto"/>
        <w:rPr>
          <w:sz w:val="20"/>
          <w:szCs w:val="20"/>
          <w:color w:val="auto"/>
        </w:rPr>
      </w:pPr>
      <w:r>
        <w:rPr>
          <w:rFonts w:ascii="Arial" w:cs="Arial" w:eastAsia="Arial" w:hAnsi="Arial"/>
          <w:sz w:val="17"/>
          <w:szCs w:val="17"/>
          <w:color w:val="auto"/>
        </w:rPr>
        <w:t>For ease of reference, the terms “we,” “our company,” “the company,” “us,” or “our” as used in this report refer to Rackspace Technology and its consolidated subsidiaries.</w:t>
      </w:r>
    </w:p>
    <w:p>
      <w:pPr>
        <w:spacing w:after="0" w:line="184"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The unaudited consolidated financial statements include the accounts of Rackspace Technology, Inc. and our wholly-owned subsidiaries. Intercompany transactions and balances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249"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The unaudited consolidated financial statements as of June 30, 2021, and for the three and six months ended June 30, 2020 and 2021,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 disclosure rules and regulations that permit reduced disclosure for interim periods. These unaudited interim consolidated financial statements should be read in conjunction with the audited consolidated financial statements and the related notes thereto included in our Annual Report on Form 10-K for the year ended December 31, 2020 ("Annual Report on Form 10-K"). The unaudited interim consolidated financial statements have been prepared on the same basis as the audited consolidated financial statements included in our Annual Report on Form 10-K and, in the opinion of management, reflect all adjustments, which include normal recurring adjustments, necessary for a fair statement of our financial position as of June 30, 2021, our results of operations and stockholders' equity for the three and six months ended June 30, 2020 and 2021, and our cash flows for the six months ended June 30, 2020 and 2021.</w:t>
      </w:r>
    </w:p>
    <w:p>
      <w:pPr>
        <w:spacing w:after="0" w:line="199"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The results of operations for the three and six months ended June 30, 2021 are not necessarily indicative of the results of operations to be expected for the year ending December 31, 2021, or for any other interim period, or for any other future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3"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249"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In March 2020, the World Health Organization declared COVID-19 a global pandemic. The effects of COVID-19 (and any variations thereof) continue to evolve,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severity of the outbreak, the pace of economic recovery, the possible resurgence in the spread of the virus or any variant strain(s) of the virus, advances in testing, treatment, and prevention, including the efficacy and availability of vaccines, its impact on our customers, vendors and employees, and its impact on our sales cycles as well as industry events, all of which are uncertain and cannot be predicted. We continue to face a greater degree of uncertainty in making estimates and assumptions needed to prepare our consolidated financial statements and footnotes as a result of COVID-19.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Events</w:t>
      </w:r>
    </w:p>
    <w:p>
      <w:pPr>
        <w:spacing w:after="0" w:line="249" w:lineRule="exact"/>
        <w:rPr>
          <w:sz w:val="20"/>
          <w:szCs w:val="20"/>
          <w:color w:val="auto"/>
        </w:rPr>
      </w:pPr>
    </w:p>
    <w:p>
      <w:pPr>
        <w:ind w:right="40" w:firstLine="470"/>
        <w:spacing w:after="0" w:line="263" w:lineRule="auto"/>
        <w:rPr>
          <w:sz w:val="20"/>
          <w:szCs w:val="20"/>
          <w:color w:val="auto"/>
        </w:rPr>
      </w:pPr>
      <w:r>
        <w:rPr>
          <w:rFonts w:ascii="Arial" w:cs="Arial" w:eastAsia="Arial" w:hAnsi="Arial"/>
          <w:sz w:val="17"/>
          <w:szCs w:val="17"/>
          <w:color w:val="auto"/>
        </w:rPr>
        <w:t>On July 21, 2021, we committed to an internal restructuring plan, which will drive a change in the types of and location of certain positions and is expected to result in the termination of approximately 10% of our workforce. We anticipate that approximately 85% of these roles will be backfilled in our offshore service centers. As part of the plan, we are also expanding our internal training program to further develop expertise in cloud services. The rebalance in workforce is a component of a broader strategic review of our operations that is intended to more effectively align our resources with our business priorities in high growth areas. Substantially all of the employees impacted by the reduction in force were notified of the reduction on July 22, 2021 and will exit the company over the next 12 months.</w:t>
      </w:r>
    </w:p>
    <w:p>
      <w:pPr>
        <w:spacing w:after="0" w:line="205"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We estimate that we will incur expenses of approximately $70 million to $80 million related to the restructuring plan over the next 12-24 months with the majority of expenses incurred in the next 12 months. These expenses will consist primarily of termination benefits to the affected employees, including, but not limited to, severance payments, healthcare benefits and other exit costs. The remainder of these expenses will consist of various costs associated with the restructuring plan, including one time offshore build-out costs, asset write-offs, professional fees, and expected investments in automation and technology. During the second quarter of 2021, we incurred costs of $6.4 million related to the restructuring plan which are included within "Selling, general and administrative expenses" in the Consolidated Statements of Comprehensive Loss and consist mainly of certain contractual termination benefits and professional fees.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 and Estimates</w:t>
      </w:r>
    </w:p>
    <w:p>
      <w:pPr>
        <w:spacing w:after="0" w:line="249" w:lineRule="exact"/>
        <w:rPr>
          <w:sz w:val="20"/>
          <w:szCs w:val="20"/>
          <w:color w:val="auto"/>
        </w:rPr>
      </w:pPr>
    </w:p>
    <w:p>
      <w:pPr>
        <w:jc w:val="both"/>
        <w:ind w:right="320" w:firstLine="470"/>
        <w:spacing w:after="0" w:line="272" w:lineRule="auto"/>
        <w:rPr>
          <w:sz w:val="20"/>
          <w:szCs w:val="20"/>
          <w:color w:val="auto"/>
        </w:rPr>
      </w:pPr>
      <w:r>
        <w:rPr>
          <w:rFonts w:ascii="Arial" w:cs="Arial" w:eastAsia="Arial" w:hAnsi="Arial"/>
          <w:sz w:val="17"/>
          <w:szCs w:val="17"/>
          <w:color w:val="auto"/>
        </w:rPr>
        <w:t>Our Annual Report on Form 10-K includes an additional discussion of the significant accounting policies and estimates used in the preparation of our consolidated financial statements. There were no material changes to our significant accounting policies and estimates during the six months ended June 30, 2021.</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Change in Accounting Estimate</w:t>
      </w:r>
    </w:p>
    <w:p>
      <w:pPr>
        <w:spacing w:after="0" w:line="249" w:lineRule="exact"/>
        <w:rPr>
          <w:sz w:val="20"/>
          <w:szCs w:val="20"/>
          <w:color w:val="auto"/>
        </w:rPr>
      </w:pPr>
    </w:p>
    <w:p>
      <w:pPr>
        <w:ind w:right="260" w:firstLine="470"/>
        <w:spacing w:after="0" w:line="263" w:lineRule="auto"/>
        <w:rPr>
          <w:sz w:val="20"/>
          <w:szCs w:val="20"/>
          <w:color w:val="auto"/>
        </w:rPr>
      </w:pPr>
      <w:r>
        <w:rPr>
          <w:rFonts w:ascii="Arial" w:cs="Arial" w:eastAsia="Arial" w:hAnsi="Arial"/>
          <w:sz w:val="17"/>
          <w:szCs w:val="17"/>
          <w:color w:val="auto"/>
        </w:rPr>
        <w:t>In March 2021, we completed an assessment of the useful lives of certain assets within the Computers and equipment asset class. The timing of this review was based on a combination of factors accumulating over time that provided the company with updated information to make a better estimate on the economic lives of certain property and equipment. These factors included changes in customer purchasing patterns, technological advancements and the availability of extended equipment warranties. The assessment resulted in a revision within our policy ranges for certain useful lives in this asset class. This change in accounting estimate was effective in the first quarter of 2021. The effect of this change was a reduction in depreciation expense of $7.5 million and $14.1 million for the three and six months ended June 30, 2021,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249" w:lineRule="exact"/>
        <w:rPr>
          <w:sz w:val="20"/>
          <w:szCs w:val="20"/>
          <w:color w:val="auto"/>
        </w:rPr>
      </w:pPr>
    </w:p>
    <w:p>
      <w:pPr>
        <w:ind w:right="120" w:firstLine="470"/>
        <w:spacing w:after="0" w:line="321" w:lineRule="auto"/>
        <w:rPr>
          <w:sz w:val="20"/>
          <w:szCs w:val="20"/>
          <w:color w:val="auto"/>
        </w:rPr>
      </w:pPr>
      <w:r>
        <w:rPr>
          <w:rFonts w:ascii="Arial" w:cs="Arial" w:eastAsia="Arial" w:hAnsi="Arial"/>
          <w:sz w:val="16"/>
          <w:szCs w:val="16"/>
          <w:color w:val="auto"/>
        </w:rPr>
        <w:t>Certain reclassifications have been made to the prior period consolidated financial statements to conform to the current period presentation. Specifically, the current portion of "Finance lease liabilities" is now presented separately from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Simplifying the Accounting for Income Taxes</w:t>
      </w:r>
    </w:p>
    <w:p>
      <w:pPr>
        <w:spacing w:after="0" w:line="249" w:lineRule="exact"/>
        <w:rPr>
          <w:sz w:val="20"/>
          <w:szCs w:val="20"/>
          <w:color w:val="auto"/>
        </w:rPr>
      </w:pPr>
    </w:p>
    <w:p>
      <w:pPr>
        <w:ind w:right="100" w:firstLine="470"/>
        <w:spacing w:after="0" w:line="267"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 Simplifying the Accounting for Income Taxes</w:t>
      </w:r>
      <w:r>
        <w:rPr>
          <w:rFonts w:ascii="Arial" w:cs="Arial" w:eastAsia="Arial" w:hAnsi="Arial"/>
          <w:sz w:val="17"/>
          <w:szCs w:val="17"/>
          <w:color w:val="auto"/>
        </w:rPr>
        <w:t>, which removes certain exceptions to the general principles in Topic 740 and improves consistent application of and simplifies GAAP for other areas of Topic 740 by clarifying and amending existing guidance. We adopted this guidance on January 1, 2021. The adoption of this guidance did not have a material impact on our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Customer Contracts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balances related to customer contracts: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160" w:type="dxa"/>
            <w:vAlign w:val="bottom"/>
            <w:gridSpan w:val="2"/>
          </w:tcPr>
          <w:p>
            <w:pPr>
              <w:ind w:left="780"/>
              <w:spacing w:after="0"/>
              <w:rPr>
                <w:sz w:val="20"/>
                <w:szCs w:val="20"/>
                <w:color w:val="auto"/>
              </w:rPr>
            </w:pPr>
            <w:r>
              <w:rPr>
                <w:rFonts w:ascii="Arial" w:cs="Arial" w:eastAsia="Arial" w:hAnsi="Arial"/>
                <w:sz w:val="16"/>
                <w:szCs w:val="16"/>
                <w:b w:val="1"/>
                <w:bCs w:val="1"/>
                <w:color w:val="auto"/>
              </w:rPr>
              <w:t>Consolidated Balance Sheets Account</w:t>
            </w:r>
          </w:p>
        </w:tc>
        <w:tc>
          <w:tcPr>
            <w:tcW w:w="10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December 31, 2020</w:t>
            </w:r>
          </w:p>
        </w:tc>
        <w:tc>
          <w:tcPr>
            <w:tcW w:w="200" w:type="dxa"/>
            <w:vAlign w:val="bottom"/>
          </w:tcPr>
          <w:p>
            <w:pPr>
              <w:spacing w:after="0"/>
              <w:rPr>
                <w:sz w:val="17"/>
                <w:szCs w:val="17"/>
                <w:color w:val="auto"/>
              </w:rPr>
            </w:pPr>
          </w:p>
        </w:tc>
        <w:tc>
          <w:tcPr>
            <w:tcW w:w="1280" w:type="dxa"/>
            <w:vAlign w:val="bottom"/>
          </w:tcPr>
          <w:p>
            <w:pPr>
              <w:jc w:val="right"/>
              <w:ind w:right="202"/>
              <w:spacing w:after="0"/>
              <w:rPr>
                <w:sz w:val="20"/>
                <w:szCs w:val="20"/>
                <w:color w:val="auto"/>
              </w:rPr>
            </w:pPr>
            <w:r>
              <w:rPr>
                <w:rFonts w:ascii="Arial" w:cs="Arial" w:eastAsia="Arial" w:hAnsi="Arial"/>
                <w:sz w:val="16"/>
                <w:szCs w:val="16"/>
                <w:b w:val="1"/>
                <w:bCs w:val="1"/>
                <w:color w:val="auto"/>
                <w:w w:val="94"/>
              </w:rPr>
              <w:t>June 30, 2021</w:t>
            </w:r>
          </w:p>
        </w:tc>
      </w:tr>
      <w:tr>
        <w:trPr>
          <w:trHeight w:val="205"/>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4060" w:type="dxa"/>
            <w:vAlign w:val="bottom"/>
            <w:tcBorders>
              <w:top w:val="single" w:sz="8" w:color="auto"/>
            </w:tcBorders>
            <w:shd w:val="clear" w:color="auto" w:fill="CCEEFF"/>
          </w:tcPr>
          <w:p>
            <w:pPr>
              <w:ind w:left="20"/>
              <w:spacing w:after="0" w:line="206"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0"/>
                <w:szCs w:val="20"/>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501.1</w:t>
            </w:r>
          </w:p>
        </w:tc>
      </w:tr>
      <w:tr>
        <w:trPr>
          <w:trHeight w:val="206"/>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6"/>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bl>
    <w:p>
      <w:pPr>
        <w:spacing w:after="0" w:line="30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Allowance for doubtful accounts and accrued customer credits was $28.3 million and $16.0 million as of December 31, 2020 and June 30, 2021, respectively.</w:t>
      </w:r>
    </w:p>
    <w:p>
      <w:pPr>
        <w:spacing w:after="0" w:line="232"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Amounts recognized in revenue for the three months ended June 30, 2020 and 2021, which were included in deferred revenue as of the beginning of each period, totaled $29.1 million and $25.2 million, respectively. Amounts recognized in revenue for the six months ended June 30, 2020 and 2021, which were included in deferred revenue as of the beginning of each period, totaled $46.9 million and $46.1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Incurred to Obtain and Fulfill a Contract</w:t>
      </w:r>
    </w:p>
    <w:p>
      <w:pPr>
        <w:spacing w:after="0" w:line="236"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As of December 31, 2020 and June 30, 2021, the balances of capitalized costs to obtain a contract were $59.3 million and $57.8 million, respectively, and the balances of capitalized costs to fulfill a contract were $25.0 million and $25.6 million, respectively. These capitalized costs are included in “Other non-current assets” on the Consolidated Balance Sheets.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Amortization of capitalized sales commissions and implementation costs was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78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w w:val="94"/>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3"/>
        </w:trPr>
        <w:tc>
          <w:tcPr>
            <w:tcW w:w="460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108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w:t>
      </w:r>
    </w:p>
    <w:p>
      <w:pPr>
        <w:spacing w:after="0" w:line="249" w:lineRule="exact"/>
        <w:rPr>
          <w:sz w:val="20"/>
          <w:szCs w:val="20"/>
          <w:color w:val="auto"/>
        </w:rPr>
      </w:pPr>
    </w:p>
    <w:p>
      <w:pPr>
        <w:jc w:val="both"/>
        <w:ind w:right="380" w:firstLine="470"/>
        <w:spacing w:after="0" w:line="324" w:lineRule="auto"/>
        <w:rPr>
          <w:sz w:val="20"/>
          <w:szCs w:val="20"/>
          <w:color w:val="auto"/>
        </w:rPr>
      </w:pPr>
      <w:r>
        <w:rPr>
          <w:rFonts w:ascii="Arial" w:cs="Arial" w:eastAsia="Arial" w:hAnsi="Arial"/>
          <w:sz w:val="15"/>
          <w:szCs w:val="15"/>
          <w:color w:val="auto"/>
        </w:rPr>
        <w:t>As of June 30, 2021, the aggregate amount of transaction price allocated to remaining performance obligations was $801.3 million, of which 38% is expected to be recognized as revenue during 2021 and the remainder thereafter. These remaining performance obligations primarily relate to our fixed-term arrangements. Our other revenue arrangements are usage-based, and as such, we recognize revenue based on the right to invoice for the services performed.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Share</w:t>
      </w:r>
    </w:p>
    <w:p>
      <w:pPr>
        <w:spacing w:after="0" w:line="255" w:lineRule="exact"/>
        <w:rPr>
          <w:sz w:val="20"/>
          <w:szCs w:val="20"/>
          <w:color w:val="auto"/>
        </w:rPr>
      </w:pPr>
    </w:p>
    <w:p>
      <w:pPr>
        <w:ind w:right="380" w:firstLine="470"/>
        <w:spacing w:after="0" w:line="288" w:lineRule="auto"/>
        <w:rPr>
          <w:sz w:val="20"/>
          <w:szCs w:val="20"/>
          <w:color w:val="auto"/>
        </w:rPr>
      </w:pPr>
      <w:r>
        <w:rPr>
          <w:rFonts w:ascii="Arial" w:cs="Arial" w:eastAsia="Arial" w:hAnsi="Arial"/>
          <w:sz w:val="17"/>
          <w:szCs w:val="17"/>
          <w:color w:val="auto"/>
        </w:rPr>
        <w:t>Basic net loss per share is calculated by dividing net loss attributable to common stockholders by the weighted average shares outstanding during the period.</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computation of basic and diluted net loss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7"/>
                <w:szCs w:val="17"/>
                <w:color w:val="auto"/>
              </w:rPr>
            </w:pPr>
          </w:p>
        </w:tc>
        <w:tc>
          <w:tcPr>
            <w:tcW w:w="2680" w:type="dxa"/>
            <w:vAlign w:val="bottom"/>
            <w:gridSpan w:val="4"/>
          </w:tcPr>
          <w:p>
            <w:pPr>
              <w:jc w:val="right"/>
              <w:ind w:right="502"/>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r>
      <w:tr>
        <w:trPr>
          <w:trHeight w:val="205"/>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6"/>
        </w:trPr>
        <w:tc>
          <w:tcPr>
            <w:tcW w:w="5120" w:type="dxa"/>
            <w:vAlign w:val="bottom"/>
          </w:tcPr>
          <w:p>
            <w:pPr>
              <w:ind w:left="460"/>
              <w:spacing w:after="0"/>
              <w:rPr>
                <w:sz w:val="20"/>
                <w:szCs w:val="20"/>
                <w:color w:val="auto"/>
              </w:rPr>
            </w:pPr>
            <w:r>
              <w:rPr>
                <w:rFonts w:ascii="Arial" w:cs="Arial" w:eastAsia="Arial" w:hAnsi="Arial"/>
                <w:sz w:val="16"/>
                <w:szCs w:val="16"/>
                <w:color w:val="auto"/>
              </w:rPr>
              <w:t>Net loss attributable to common stockholders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2"/>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6"/>
        </w:trPr>
        <w:tc>
          <w:tcPr>
            <w:tcW w:w="5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Common stock</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w:t>
            </w:r>
          </w:p>
        </w:tc>
      </w:tr>
      <w:tr>
        <w:trPr>
          <w:trHeight w:val="202"/>
        </w:trPr>
        <w:tc>
          <w:tcPr>
            <w:tcW w:w="5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Number of shares used in per share computations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r>
      <w:tr>
        <w:trPr>
          <w:trHeight w:val="205"/>
        </w:trPr>
        <w:tc>
          <w:tcPr>
            <w:tcW w:w="5120" w:type="dxa"/>
            <w:vAlign w:val="bottom"/>
          </w:tcPr>
          <w:p>
            <w:pPr>
              <w:ind w:left="640"/>
              <w:spacing w:after="0"/>
              <w:rPr>
                <w:sz w:val="20"/>
                <w:szCs w:val="20"/>
                <w:color w:val="auto"/>
              </w:rPr>
            </w:pPr>
            <w:r>
              <w:rPr>
                <w:rFonts w:ascii="Arial" w:cs="Arial" w:eastAsia="Arial" w:hAnsi="Arial"/>
                <w:sz w:val="16"/>
                <w:szCs w:val="16"/>
                <w:color w:val="auto"/>
              </w:rPr>
              <w:t>Net loss per share</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120" w:firstLine="470"/>
        <w:spacing w:after="0" w:line="263" w:lineRule="auto"/>
        <w:rPr>
          <w:sz w:val="20"/>
          <w:szCs w:val="20"/>
          <w:color w:val="auto"/>
        </w:rPr>
      </w:pPr>
      <w:r>
        <w:rPr>
          <w:rFonts w:ascii="Arial" w:cs="Arial" w:eastAsia="Arial" w:hAnsi="Arial"/>
          <w:sz w:val="17"/>
          <w:szCs w:val="17"/>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25.4 million and 19.4 million potential common shares from the computation of dilutive loss per share for the three months ended June 30, 2020 and 2021, respectively, and 25.4 million and 19.4 million potential shares for the six months ended June 30, 2020 and 2021, respectively, because the effect would have been anti-dilutive.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Equipment and Software, net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equipment and software, net,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180" w:type="dxa"/>
            <w:vAlign w:val="bottom"/>
          </w:tcPr>
          <w:p>
            <w:pPr>
              <w:jc w:val="right"/>
              <w:ind w:right="362"/>
              <w:spacing w:after="0"/>
              <w:rPr>
                <w:sz w:val="20"/>
                <w:szCs w:val="20"/>
                <w:color w:val="auto"/>
              </w:rPr>
            </w:pPr>
            <w:r>
              <w:rPr>
                <w:rFonts w:ascii="Arial" w:cs="Arial" w:eastAsia="Arial" w:hAnsi="Arial"/>
                <w:sz w:val="16"/>
                <w:szCs w:val="16"/>
                <w:b w:val="1"/>
                <w:bCs w:val="1"/>
                <w:color w:val="auto"/>
              </w:rPr>
              <w:t>June 30,</w:t>
            </w:r>
          </w:p>
        </w:tc>
      </w:tr>
      <w:tr>
        <w:trPr>
          <w:trHeight w:val="20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r>
      <w:tr>
        <w:trPr>
          <w:trHeight w:val="20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1,220.9</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503.3</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513.9</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199"/>
        </w:trPr>
        <w:tc>
          <w:tcPr>
            <w:tcW w:w="8240" w:type="dxa"/>
            <w:vAlign w:val="bottom"/>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2,232.3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2,280.8</w:t>
            </w: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(1,408.9)</w:t>
            </w:r>
          </w:p>
        </w:tc>
      </w:tr>
      <w:tr>
        <w:trPr>
          <w:trHeight w:val="20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23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40" w:firstLine="470"/>
        <w:spacing w:after="0" w:line="267" w:lineRule="auto"/>
        <w:rPr>
          <w:sz w:val="20"/>
          <w:szCs w:val="20"/>
          <w:color w:val="auto"/>
        </w:rPr>
      </w:pPr>
      <w:r>
        <w:rPr>
          <w:rFonts w:ascii="Arial" w:cs="Arial" w:eastAsia="Arial" w:hAnsi="Arial"/>
          <w:sz w:val="17"/>
          <w:szCs w:val="17"/>
          <w:color w:val="auto"/>
        </w:rPr>
        <w:t>On January 15, 2021, we completed the sale of a parcel of undeveloped land in the United Kingdom adjacent to one of our existing data centers. The net book value of the land prior to the sale was $11.4 million and we received cash proceeds of $32.2 million, less brokerage and professional fees of $0.9 million, resulting in net cash proceeds of $31.3 million. Therefore, we recorded a gain on sale of land of $19.9 million to "Gain on sale of land" in the Consolidated Statements of Comprehensive Loss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Intangible Assets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changes in the carrying amounts of goodwill by reportable segment: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Multicloud 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Apps &amp; Cross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OpenStack Public</w:t>
            </w:r>
          </w:p>
        </w:tc>
        <w:tc>
          <w:tcPr>
            <w:tcW w:w="80" w:type="dxa"/>
            <w:vAlign w:val="bottom"/>
          </w:tcPr>
          <w:p>
            <w:pPr>
              <w:spacing w:after="0"/>
              <w:rPr>
                <w:sz w:val="16"/>
                <w:szCs w:val="16"/>
                <w:color w:val="auto"/>
              </w:rPr>
            </w:pPr>
          </w:p>
        </w:tc>
        <w:tc>
          <w:tcPr>
            <w:tcW w:w="136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86"/>
              </w:rPr>
              <w:t>Total Consolidated</w:t>
            </w:r>
          </w:p>
        </w:tc>
        <w:tc>
          <w:tcPr>
            <w:tcW w:w="0" w:type="dxa"/>
            <w:vAlign w:val="bottom"/>
          </w:tcPr>
          <w:p>
            <w:pPr>
              <w:spacing w:after="0"/>
              <w:rPr>
                <w:sz w:val="1"/>
                <w:szCs w:val="1"/>
                <w:color w:val="auto"/>
              </w:rPr>
            </w:pPr>
          </w:p>
        </w:tc>
      </w:tr>
      <w:tr>
        <w:trPr>
          <w:trHeight w:val="206"/>
        </w:trPr>
        <w:tc>
          <w:tcPr>
            <w:tcW w:w="5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Platform</w:t>
            </w: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Cloud</w:t>
            </w:r>
          </w:p>
        </w:tc>
        <w:tc>
          <w:tcPr>
            <w:tcW w:w="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Balance as of December 31, 2020 </w:t>
            </w:r>
            <w:r>
              <w:rPr>
                <w:rFonts w:ascii="Arial" w:cs="Arial" w:eastAsia="Arial" w:hAnsi="Arial"/>
                <w:sz w:val="20"/>
                <w:szCs w:val="20"/>
                <w:color w:val="auto"/>
                <w:vertAlign w:val="superscript"/>
              </w:rPr>
              <w:t>(1)</w:t>
            </w:r>
          </w:p>
        </w:tc>
        <w:tc>
          <w:tcPr>
            <w:tcW w:w="52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322.8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Multicloud Services had accumulated impairment charges of $295.0 million as of December 31, 2020.</w:t>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our intangible assets other than goodwill: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7"/>
              </w:rPr>
              <w:t>December 31, 2020</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June 30, 2021</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6"/>
                <w:szCs w:val="16"/>
                <w:b w:val="1"/>
                <w:bCs w:val="1"/>
                <w:color w:val="auto"/>
                <w:w w:val="89"/>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102"/>
              <w:spacing w:after="0" w:line="153" w:lineRule="exact"/>
              <w:rPr>
                <w:sz w:val="20"/>
                <w:szCs w:val="20"/>
                <w:color w:val="auto"/>
              </w:rPr>
            </w:pPr>
            <w:r>
              <w:rPr>
                <w:rFonts w:ascii="Arial" w:cs="Arial" w:eastAsia="Arial" w:hAnsi="Arial"/>
                <w:sz w:val="16"/>
                <w:szCs w:val="16"/>
                <w:b w:val="1"/>
                <w:bCs w:val="1"/>
                <w:color w:val="auto"/>
                <w:w w:val="92"/>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3" w:lineRule="exact"/>
              <w:rPr>
                <w:sz w:val="20"/>
                <w:szCs w:val="20"/>
                <w:color w:val="auto"/>
              </w:rPr>
            </w:pPr>
            <w:r>
              <w:rPr>
                <w:rFonts w:ascii="Arial" w:cs="Arial" w:eastAsia="Arial" w:hAnsi="Arial"/>
                <w:sz w:val="16"/>
                <w:szCs w:val="16"/>
                <w:b w:val="1"/>
                <w:bCs w:val="1"/>
                <w:color w:val="auto"/>
                <w:w w:val="87"/>
              </w:rPr>
              <w:t>Gross carrying</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6"/>
                <w:szCs w:val="16"/>
                <w:b w:val="1"/>
                <w:bCs w:val="1"/>
                <w:color w:val="auto"/>
                <w:w w:val="87"/>
              </w:rPr>
              <w:t>Accumulated</w:t>
            </w:r>
          </w:p>
        </w:tc>
        <w:tc>
          <w:tcPr>
            <w:tcW w:w="160" w:type="dxa"/>
            <w:vAlign w:val="bottom"/>
          </w:tcPr>
          <w:p>
            <w:pPr>
              <w:spacing w:after="0"/>
              <w:rPr>
                <w:sz w:val="13"/>
                <w:szCs w:val="13"/>
                <w:color w:val="auto"/>
              </w:rPr>
            </w:pPr>
          </w:p>
        </w:tc>
        <w:tc>
          <w:tcPr>
            <w:tcW w:w="1160" w:type="dxa"/>
            <w:vAlign w:val="bottom"/>
          </w:tcPr>
          <w:p>
            <w:pPr>
              <w:jc w:val="right"/>
              <w:ind w:right="162"/>
              <w:spacing w:after="0" w:line="153" w:lineRule="exact"/>
              <w:rPr>
                <w:sz w:val="20"/>
                <w:szCs w:val="20"/>
                <w:color w:val="auto"/>
              </w:rPr>
            </w:pPr>
            <w:r>
              <w:rPr>
                <w:rFonts w:ascii="Arial" w:cs="Arial" w:eastAsia="Arial" w:hAnsi="Arial"/>
                <w:sz w:val="16"/>
                <w:szCs w:val="16"/>
                <w:b w:val="1"/>
                <w:bCs w:val="1"/>
                <w:color w:val="auto"/>
                <w:w w:val="96"/>
              </w:rPr>
              <w:t>Net carrying</w:t>
            </w:r>
          </w:p>
        </w:tc>
        <w:tc>
          <w:tcPr>
            <w:tcW w:w="0" w:type="dxa"/>
            <w:vAlign w:val="bottom"/>
          </w:tcPr>
          <w:p>
            <w:pPr>
              <w:spacing w:after="0"/>
              <w:rPr>
                <w:sz w:val="1"/>
                <w:szCs w:val="1"/>
                <w:color w:val="auto"/>
              </w:rPr>
            </w:pPr>
          </w:p>
        </w:tc>
      </w:tr>
      <w:tr>
        <w:trPr>
          <w:trHeight w:val="206"/>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amount</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amount</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Pr>
          <w:p>
            <w:pPr>
              <w:spacing w:after="0"/>
              <w:rPr>
                <w:sz w:val="17"/>
                <w:szCs w:val="17"/>
                <w:color w:val="auto"/>
              </w:rPr>
            </w:pPr>
          </w:p>
        </w:tc>
        <w:tc>
          <w:tcPr>
            <w:tcW w:w="1160" w:type="dxa"/>
            <w:vAlign w:val="bottom"/>
          </w:tcPr>
          <w:p>
            <w:pPr>
              <w:jc w:val="right"/>
              <w:ind w:right="32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5"/>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1,281.1</w:t>
            </w:r>
          </w:p>
        </w:tc>
        <w:tc>
          <w:tcPr>
            <w:tcW w:w="0" w:type="dxa"/>
            <w:vAlign w:val="bottom"/>
          </w:tcPr>
          <w:p>
            <w:pPr>
              <w:spacing w:after="0"/>
              <w:rPr>
                <w:sz w:val="1"/>
                <w:szCs w:val="1"/>
                <w:color w:val="auto"/>
              </w:rPr>
            </w:pPr>
          </w:p>
        </w:tc>
      </w:tr>
      <w:tr>
        <w:trPr>
          <w:trHeight w:val="206"/>
        </w:trPr>
        <w:tc>
          <w:tcPr>
            <w:tcW w:w="2740" w:type="dxa"/>
            <w:vAlign w:val="bottom"/>
          </w:tcPr>
          <w:p>
            <w:pPr>
              <w:ind w:left="140"/>
              <w:spacing w:after="0"/>
              <w:rPr>
                <w:sz w:val="20"/>
                <w:szCs w:val="20"/>
                <w:color w:val="auto"/>
              </w:rPr>
            </w:pPr>
            <w:r>
              <w:rPr>
                <w:rFonts w:ascii="Arial" w:cs="Arial" w:eastAsia="Arial" w:hAnsi="Arial"/>
                <w:sz w:val="16"/>
                <w:szCs w:val="16"/>
                <w:color w:val="auto"/>
              </w:rPr>
              <w:t>Property tax abatement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9"/>
        </w:trPr>
        <w:tc>
          <w:tcPr>
            <w:tcW w:w="2740" w:type="dxa"/>
            <w:vAlign w:val="bottom"/>
          </w:tcPr>
          <w:p>
            <w:pPr>
              <w:ind w:left="240"/>
              <w:spacing w:after="0"/>
              <w:rPr>
                <w:sz w:val="20"/>
                <w:szCs w:val="20"/>
                <w:color w:val="auto"/>
              </w:rPr>
            </w:pPr>
            <w:r>
              <w:rPr>
                <w:rFonts w:ascii="Arial" w:cs="Arial" w:eastAsia="Arial" w:hAnsi="Arial"/>
                <w:sz w:val="16"/>
                <w:szCs w:val="16"/>
                <w:color w:val="auto"/>
                <w:w w:val="97"/>
              </w:rPr>
              <w:t>Total definite-lived intangible assets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1,303.8</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name (indefinite-lived)</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40"/>
        </w:trPr>
        <w:tc>
          <w:tcPr>
            <w:tcW w:w="2740" w:type="dxa"/>
            <w:vAlign w:val="bottom"/>
          </w:tcPr>
          <w:p>
            <w:pPr>
              <w:ind w:left="320"/>
              <w:spacing w:after="0" w:line="140" w:lineRule="exact"/>
              <w:rPr>
                <w:sz w:val="20"/>
                <w:szCs w:val="20"/>
                <w:color w:val="auto"/>
              </w:rPr>
            </w:pPr>
            <w:r>
              <w:rPr>
                <w:rFonts w:ascii="Arial" w:cs="Arial" w:eastAsia="Arial" w:hAnsi="Arial"/>
                <w:sz w:val="16"/>
                <w:szCs w:val="16"/>
                <w:color w:val="auto"/>
              </w:rPr>
              <w:t>Total intangible assets other than</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2,299.9</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1,646.3</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2,301.4</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(747.6)</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1,553.8</w:t>
            </w:r>
          </w:p>
        </w:tc>
        <w:tc>
          <w:tcPr>
            <w:tcW w:w="0" w:type="dxa"/>
            <w:vAlign w:val="bottom"/>
          </w:tcPr>
          <w:p>
            <w:pPr>
              <w:spacing w:after="0"/>
              <w:rPr>
                <w:sz w:val="1"/>
                <w:szCs w:val="1"/>
                <w:color w:val="auto"/>
              </w:rPr>
            </w:pPr>
          </w:p>
        </w:tc>
      </w:tr>
      <w:tr>
        <w:trPr>
          <w:trHeight w:val="185"/>
        </w:trPr>
        <w:tc>
          <w:tcPr>
            <w:tcW w:w="2740" w:type="dxa"/>
            <w:vAlign w:val="bottom"/>
          </w:tcPr>
          <w:p>
            <w:pPr>
              <w:ind w:left="320"/>
              <w:spacing w:after="0" w:line="180" w:lineRule="exact"/>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Debt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(In millions, except %)</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0"/>
              </w:rPr>
              <w:t>June 30, 2021</w:t>
            </w:r>
          </w:p>
        </w:tc>
        <w:tc>
          <w:tcPr>
            <w:tcW w:w="1000" w:type="dxa"/>
            <w:vAlign w:val="bottom"/>
            <w:tcBorders>
              <w:bottom w:val="single" w:sz="8" w:color="auto"/>
            </w:tcBorders>
          </w:tcPr>
          <w:p>
            <w:pPr>
              <w:spacing w:after="0"/>
              <w:rPr>
                <w:sz w:val="17"/>
                <w:szCs w:val="17"/>
                <w:color w:val="auto"/>
              </w:rPr>
            </w:pPr>
          </w:p>
        </w:tc>
      </w:tr>
      <w:tr>
        <w:trPr>
          <w:trHeight w:val="208"/>
        </w:trPr>
        <w:tc>
          <w:tcPr>
            <w:tcW w:w="340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Debt Instrument</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20"/>
              <w:spacing w:after="0" w:line="208"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ind w:left="220"/>
              <w:spacing w:after="0" w:line="208"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9"/>
              </w:rPr>
              <w:t>Amount</w:t>
            </w:r>
          </w:p>
        </w:tc>
      </w:tr>
      <w:tr>
        <w:trPr>
          <w:trHeight w:val="20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Prior Term Loan Facility</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November 3, 2023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2,795.6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362"/>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Term Loan Facility</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February 15, 2028</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center"/>
              <w:ind w:left="462"/>
              <w:spacing w:after="0"/>
              <w:rPr>
                <w:sz w:val="20"/>
                <w:szCs w:val="20"/>
                <w:color w:val="auto"/>
              </w:rPr>
            </w:pPr>
            <w:r>
              <w:rPr>
                <w:rFonts w:ascii="Arial" w:cs="Arial" w:eastAsia="Arial" w:hAnsi="Arial"/>
                <w:sz w:val="16"/>
                <w:szCs w:val="16"/>
                <w:color w:val="auto"/>
                <w:w w:val="92"/>
              </w:rPr>
              <w:t>3.50%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2,294.3</w:t>
            </w: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August 7, 2025</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362"/>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3.50% Senior Secured Notes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February 15, 2028</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center"/>
              <w:ind w:left="462"/>
              <w:spacing w:after="0"/>
              <w:rPr>
                <w:sz w:val="20"/>
                <w:szCs w:val="20"/>
                <w:color w:val="auto"/>
              </w:rPr>
            </w:pPr>
            <w:r>
              <w:rPr>
                <w:rFonts w:ascii="Arial" w:cs="Arial" w:eastAsia="Arial" w:hAnsi="Arial"/>
                <w:sz w:val="16"/>
                <w:szCs w:val="16"/>
                <w:color w:val="auto"/>
                <w:w w:val="92"/>
              </w:rPr>
              <w:t>3.50%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December 1,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5.375%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550.0</w:t>
            </w:r>
          </w:p>
        </w:tc>
        <w:tc>
          <w:tcPr>
            <w:tcW w:w="1080" w:type="dxa"/>
            <w:vAlign w:val="bottom"/>
            <w:gridSpan w:val="2"/>
            <w:shd w:val="clear" w:color="auto" w:fill="CCEEFF"/>
          </w:tcPr>
          <w:p>
            <w:pPr>
              <w:jc w:val="center"/>
              <w:ind w:left="462"/>
              <w:spacing w:after="0"/>
              <w:rPr>
                <w:sz w:val="20"/>
                <w:szCs w:val="20"/>
                <w:color w:val="auto"/>
              </w:rPr>
            </w:pPr>
            <w:r>
              <w:rPr>
                <w:rFonts w:ascii="Arial" w:cs="Arial" w:eastAsia="Arial" w:hAnsi="Arial"/>
                <w:sz w:val="16"/>
                <w:szCs w:val="16"/>
                <w:color w:val="auto"/>
                <w:w w:val="92"/>
              </w:rPr>
              <w:t>5.375%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06"/>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Receivables Financing Facility</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19, 2022</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2.37%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7"/>
                <w:szCs w:val="17"/>
                <w:color w:val="auto"/>
              </w:rPr>
            </w:pPr>
          </w:p>
        </w:tc>
        <w:tc>
          <w:tcPr>
            <w:tcW w:w="980" w:type="dxa"/>
            <w:vAlign w:val="bottom"/>
          </w:tcPr>
          <w:p>
            <w:pPr>
              <w:jc w:val="center"/>
              <w:ind w:left="362"/>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06"/>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05"/>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3,362.7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3,341.7</w:t>
            </w:r>
          </w:p>
        </w:tc>
      </w:tr>
      <w:tr>
        <w:trPr>
          <w:trHeight w:val="206"/>
        </w:trPr>
        <w:tc>
          <w:tcPr>
            <w:tcW w:w="3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 of debt</w:t>
            </w:r>
          </w:p>
        </w:tc>
        <w:tc>
          <w:tcPr>
            <w:tcW w:w="1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25"/>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3,319.3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3,318.7</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Interest rates are as of each respective balance sheet date.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Facilities</w:t>
      </w:r>
    </w:p>
    <w:p>
      <w:pPr>
        <w:spacing w:after="0" w:line="249"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Our senior secured credit facilities include a first lien term loan facility (the "Term Loan Facility") and a revolving credit facility (the "Revolving Credit Facility" and, together with the Term Loan Facility, the "Senior Facilities").</w:t>
      </w:r>
    </w:p>
    <w:p>
      <w:pPr>
        <w:spacing w:after="0" w:line="184"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On February 9, 2021, we amended and restated the credit agreement governing our Senior Facilities (the "First Lien Credit Agreement"), which included a new seven-year $2,300.0 million senior secured first lien term loan facility due on February 15, 2028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our prior term loan facility (the "Prior Term Loan Facility"), to pay related fees and expenses and for general corporate purposes.</w:t>
      </w:r>
    </w:p>
    <w:p>
      <w:pPr>
        <w:spacing w:after="0" w:line="206" w:lineRule="exact"/>
        <w:rPr>
          <w:sz w:val="20"/>
          <w:szCs w:val="20"/>
          <w:color w:val="auto"/>
        </w:rPr>
      </w:pPr>
    </w:p>
    <w:p>
      <w:pPr>
        <w:ind w:right="20" w:firstLine="470"/>
        <w:spacing w:after="0" w:line="299" w:lineRule="auto"/>
        <w:rPr>
          <w:sz w:val="20"/>
          <w:szCs w:val="20"/>
          <w:color w:val="auto"/>
        </w:rPr>
      </w:pPr>
      <w:r>
        <w:rPr>
          <w:rFonts w:ascii="Arial" w:cs="Arial" w:eastAsia="Arial" w:hAnsi="Arial"/>
          <w:sz w:val="15"/>
          <w:szCs w:val="15"/>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0.75% floor, in the case of the Term Loan Facility, and a 1.00% floor, in the case of the Revolving Credit Facility, or (b) a base rate determined by reference to the highest of (i) the federal funds rate plus 0.50%, (ii) the prime rate of Citibank, N.A.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10"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198" w:lineRule="exact"/>
        <w:rPr>
          <w:sz w:val="20"/>
          <w:szCs w:val="20"/>
          <w:color w:val="auto"/>
        </w:rPr>
      </w:pPr>
    </w:p>
    <w:p>
      <w:pPr>
        <w:ind w:right="300" w:firstLine="470"/>
        <w:spacing w:after="0" w:line="272" w:lineRule="auto"/>
        <w:rPr>
          <w:sz w:val="20"/>
          <w:szCs w:val="20"/>
          <w:color w:val="auto"/>
        </w:rPr>
      </w:pPr>
      <w:r>
        <w:rPr>
          <w:rFonts w:ascii="Arial" w:cs="Arial" w:eastAsia="Arial" w:hAnsi="Arial"/>
          <w:sz w:val="17"/>
          <w:szCs w:val="17"/>
          <w:color w:val="auto"/>
        </w:rPr>
        <w:t>As of June 30, 2021, the interest rate on the Term Loan Facility was 3.50%. Beginning June 30, 2021, we are required to make quarterly principal payments of $5.8 million. See Note 10, "Derivatives" for information on interest rate swap agreements we utilize to manage the interest rate risk on the Term Loan Facility.</w:t>
      </w:r>
    </w:p>
    <w:p>
      <w:pPr>
        <w:spacing w:after="0" w:line="198"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280" w:firstLine="470"/>
        <w:spacing w:after="0" w:line="272" w:lineRule="auto"/>
        <w:rPr>
          <w:sz w:val="20"/>
          <w:szCs w:val="20"/>
          <w:color w:val="auto"/>
        </w:rPr>
      </w:pPr>
      <w:r>
        <w:rPr>
          <w:rFonts w:ascii="Arial" w:cs="Arial" w:eastAsia="Arial" w:hAnsi="Arial"/>
          <w:sz w:val="17"/>
          <w:szCs w:val="17"/>
          <w:color w:val="auto"/>
        </w:rPr>
        <w:t>The fair value of the Term Loan Facility as of June 30, 2021 was $2,282.8 million, based on quoted market prices for identical assets that are traded in over-the-counter secondary markets that are not considered active. The fair value of the Term Loan Facility is classified as Level 2 within the fair value hierarchy.</w:t>
      </w:r>
    </w:p>
    <w:p>
      <w:pPr>
        <w:spacing w:after="0" w:line="198"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 As of June 30, 2021, we were in compliance with all covenants under the Senior Facilities.</w:t>
      </w:r>
    </w:p>
    <w:p>
      <w:pPr>
        <w:spacing w:after="0" w:line="209" w:lineRule="exact"/>
        <w:rPr>
          <w:sz w:val="20"/>
          <w:szCs w:val="20"/>
          <w:color w:val="auto"/>
        </w:rPr>
      </w:pPr>
    </w:p>
    <w:p>
      <w:pPr>
        <w:ind w:right="700" w:firstLine="470"/>
        <w:spacing w:after="0" w:line="288" w:lineRule="auto"/>
        <w:rPr>
          <w:sz w:val="20"/>
          <w:szCs w:val="20"/>
          <w:color w:val="auto"/>
        </w:rPr>
      </w:pPr>
      <w:r>
        <w:rPr>
          <w:rFonts w:ascii="Arial" w:cs="Arial" w:eastAsia="Arial" w:hAnsi="Arial"/>
          <w:sz w:val="17"/>
          <w:szCs w:val="17"/>
          <w:color w:val="auto"/>
        </w:rPr>
        <w:t>The Revolving Credit Facility matures on August 7, 2025. As of June 30, 2021, we had total commitments of $375.0 million and no outstanding borrowings under the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3.50% Senior Secured Notes due 2028</w:t>
      </w:r>
    </w:p>
    <w:p>
      <w:pPr>
        <w:spacing w:after="0" w:line="249" w:lineRule="exact"/>
        <w:rPr>
          <w:sz w:val="20"/>
          <w:szCs w:val="20"/>
          <w:color w:val="auto"/>
        </w:rPr>
      </w:pPr>
    </w:p>
    <w:p>
      <w:pPr>
        <w:ind w:right="140" w:firstLine="470"/>
        <w:spacing w:after="0" w:line="307" w:lineRule="auto"/>
        <w:rPr>
          <w:sz w:val="20"/>
          <w:szCs w:val="20"/>
          <w:color w:val="auto"/>
        </w:rPr>
      </w:pPr>
      <w:r>
        <w:rPr>
          <w:rFonts w:ascii="Arial" w:cs="Arial" w:eastAsia="Arial" w:hAnsi="Arial"/>
          <w:sz w:val="15"/>
          <w:szCs w:val="15"/>
          <w:color w:val="auto"/>
        </w:rPr>
        <w:t>On February 9, 2021, Rackspace Technology Global issued $550.0 million aggregate principal amount of 3.50% Senior Secured Notes due 2028 (the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178" w:lineRule="exact"/>
        <w:rPr>
          <w:sz w:val="20"/>
          <w:szCs w:val="20"/>
          <w:color w:val="auto"/>
        </w:rPr>
      </w:pPr>
    </w:p>
    <w:p>
      <w:pPr>
        <w:ind w:right="360" w:firstLine="470"/>
        <w:spacing w:after="0" w:line="264" w:lineRule="auto"/>
        <w:rPr>
          <w:sz w:val="20"/>
          <w:szCs w:val="20"/>
          <w:color w:val="auto"/>
        </w:rPr>
      </w:pPr>
      <w:r>
        <w:rPr>
          <w:rFonts w:ascii="Arial" w:cs="Arial" w:eastAsia="Arial" w:hAnsi="Arial"/>
          <w:sz w:val="17"/>
          <w:szCs w:val="17"/>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206"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indenture governing the 3.50% Senior Secured Notes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 plus accrued and unpaid interest, if any, to, but excluding,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 of the aggregate principal amount, plus accrued and unpaid interest, if any, to, but not including the purchase date.</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2021, Rackspace Technology Global was in compliance with all covenants under the 3.50% Notes Indenture.</w:t>
      </w:r>
    </w:p>
    <w:p>
      <w:pPr>
        <w:spacing w:after="0" w:line="249" w:lineRule="exact"/>
        <w:rPr>
          <w:sz w:val="20"/>
          <w:szCs w:val="20"/>
          <w:color w:val="auto"/>
        </w:rPr>
      </w:pPr>
    </w:p>
    <w:p>
      <w:pPr>
        <w:ind w:right="240" w:firstLine="470"/>
        <w:spacing w:after="0" w:line="272" w:lineRule="auto"/>
        <w:rPr>
          <w:sz w:val="20"/>
          <w:szCs w:val="20"/>
          <w:color w:val="auto"/>
        </w:rPr>
      </w:pPr>
      <w:r>
        <w:rPr>
          <w:rFonts w:ascii="Arial" w:cs="Arial" w:eastAsia="Arial" w:hAnsi="Arial"/>
          <w:sz w:val="17"/>
          <w:szCs w:val="17"/>
          <w:color w:val="auto"/>
        </w:rPr>
        <w:t>The fair value of the 3.50% Senior Secured Notes as of June 30, 2021 was $532.1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5.375% Senior Notes due 2028</w:t>
      </w:r>
    </w:p>
    <w:p>
      <w:pPr>
        <w:spacing w:after="0" w:line="249" w:lineRule="exact"/>
        <w:rPr>
          <w:sz w:val="20"/>
          <w:szCs w:val="20"/>
          <w:color w:val="auto"/>
        </w:rPr>
      </w:pPr>
    </w:p>
    <w:p>
      <w:pPr>
        <w:ind w:right="40" w:firstLine="470"/>
        <w:spacing w:after="0" w:line="297" w:lineRule="auto"/>
        <w:rPr>
          <w:sz w:val="20"/>
          <w:szCs w:val="20"/>
          <w:color w:val="auto"/>
        </w:rPr>
      </w:pPr>
      <w:r>
        <w:rPr>
          <w:rFonts w:ascii="Arial" w:cs="Arial" w:eastAsia="Arial" w:hAnsi="Arial"/>
          <w:sz w:val="16"/>
          <w:szCs w:val="16"/>
          <w:color w:val="auto"/>
        </w:rPr>
        <w:t>On December 1, 2020, Rackspace Technology Global issued $550.0 million aggregate principal amount of 5.375% Senior Notes due 2028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179"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w:t>
      </w:r>
    </w:p>
    <w:p>
      <w:pPr>
        <w:spacing w:after="0" w:line="202"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indenture governing the 5.375% Senior Notes (the "5.375% Notes Indenture") and accrued and unpaid interest, if any, to but excluding the redemption date; from December 1, 2023 to December 1, 2024, at a redemption price equal to 102.688% of the principal amount, plus accrued and unpaid interest, if any, to but excluding the redemption date; from December 1, 2024 to December 1,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195" w:lineRule="exact"/>
        <w:rPr>
          <w:sz w:val="20"/>
          <w:szCs w:val="20"/>
          <w:color w:val="auto"/>
        </w:rPr>
      </w:pPr>
    </w:p>
    <w:p>
      <w:pPr>
        <w:ind w:right="200" w:firstLine="470"/>
        <w:spacing w:after="0" w:line="295" w:lineRule="auto"/>
        <w:rPr>
          <w:sz w:val="20"/>
          <w:szCs w:val="20"/>
          <w:color w:val="auto"/>
        </w:rPr>
      </w:pPr>
      <w:r>
        <w:rPr>
          <w:rFonts w:ascii="Arial" w:cs="Arial" w:eastAsia="Arial" w:hAnsi="Arial"/>
          <w:sz w:val="15"/>
          <w:szCs w:val="15"/>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w:t>
      </w:r>
    </w:p>
    <w:p>
      <w:pPr>
        <w:ind w:right="400"/>
        <w:spacing w:after="0" w:line="273" w:lineRule="auto"/>
        <w:rPr>
          <w:sz w:val="20"/>
          <w:szCs w:val="20"/>
          <w:color w:val="auto"/>
        </w:rPr>
      </w:pPr>
      <w:r>
        <w:rPr>
          <w:rFonts w:ascii="Arial" w:cs="Arial" w:eastAsia="Arial" w:hAnsi="Arial"/>
          <w:sz w:val="17"/>
          <w:szCs w:val="17"/>
          <w:color w:val="auto"/>
        </w:rPr>
        <w:t>5.375% Senior Notes at a price in cash equal to 101.0% of the aggregate principal amount, plus accrued and unpaid interest, if any, to, but not including the purchase date.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2021, Rackspace Technology Global was in compliance with all covenants under the 5.375% Notes Indenture.</w:t>
      </w:r>
    </w:p>
    <w:p>
      <w:pPr>
        <w:spacing w:after="0" w:line="249" w:lineRule="exact"/>
        <w:rPr>
          <w:sz w:val="20"/>
          <w:szCs w:val="20"/>
          <w:color w:val="auto"/>
        </w:rPr>
      </w:pPr>
    </w:p>
    <w:p>
      <w:pPr>
        <w:ind w:right="280" w:firstLine="470"/>
        <w:spacing w:after="0" w:line="272" w:lineRule="auto"/>
        <w:rPr>
          <w:sz w:val="20"/>
          <w:szCs w:val="20"/>
          <w:color w:val="auto"/>
        </w:rPr>
      </w:pPr>
      <w:r>
        <w:rPr>
          <w:rFonts w:ascii="Arial" w:cs="Arial" w:eastAsia="Arial" w:hAnsi="Arial"/>
          <w:sz w:val="17"/>
          <w:szCs w:val="17"/>
          <w:color w:val="auto"/>
        </w:rPr>
        <w:t>The fair value of the 5.375% Senior Notes as of June 30, 2021 was $563.8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Financing Agreement</w:t>
      </w:r>
    </w:p>
    <w:p>
      <w:pPr>
        <w:spacing w:after="0" w:line="249"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Under the accounts receivable financing agreement (the "Receivables Financing Facility") entered into in 2020, a bankruptcy-remote special purpose vehicle ("SPV") indirectly wholly owned by Rackspace Technology Global granted a security interest in all of its current and future receivables and related assets in exchange for a credit facility permitting borrowings of up to a maximum aggregate amount of $100.0 million from time to time. Rackspace Technology Global was the primary beneficiary of the SPV.</w:t>
      </w:r>
    </w:p>
    <w:p>
      <w:pPr>
        <w:spacing w:after="0" w:line="202"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During the three months ended June 30, 2021, the SPV repaid the outstanding balance of $50.0 million and terminated the Receivables Financing Facility. The termination resulted in expense of $0.5 million recorded within "Debt modification and extinguishment costs" in our Consolidated Statements of Comprehensive Loss for the three and six months ended June 30, 2021. The expense was comprised of the write-off of the unamortized debt issuance costs, as well as third party fees associated with the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February 2021 Refinancing Transaction</w:t>
      </w:r>
    </w:p>
    <w:p>
      <w:pPr>
        <w:spacing w:after="0" w:line="249"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The February 2021 Refinancing Transaction represented an extinguishment and modification of debt. We derecognized $2,795.6 million of the Prior Term Loan Facility and wrote off $9.4 million in unamortized debt issuance costs and debt discount associated with the portion of the Prior Term Loan Facility that was deemed extinguished. We recognized $2,300.0 million borrowed under the Term Loan Facility and $41.0 million of associated debt issuance costs and debt discount, including amounts allocated from the Prior Term Loan Facility, both classified as a direct deduction from the carrying value of non-current debt on our Consolidated Balance Sheets. We recognized $550.0 million aggregate principal amount of the 3.50% Senior Secured Notes due 2028 and $6.8 million of associated debt issuance costs, including amounts allocated from the Prior Term Loan Facility. The February 2021 Refinancing Transaction resulted in expense of $37.0 million recorded within "Debt modification and extinguishment costs" in our Consolidated Statements of Comprehensive Loss for the six months ended June 30, 2021. The expense was comprised of the write-off of unamortized debt issuance costs and debt discount associated with the portion of the Prior Term Loan Facility that was deemed extinguished, as well as $27.6 million in third party fees associated with the modification.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contingencies that arise from various litigation, claims and commitments, none of which we consider to be material.</w:t>
      </w:r>
    </w:p>
    <w:p>
      <w:pPr>
        <w:spacing w:after="0" w:line="249"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02"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8"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Share-Based Compensation</w:t>
      </w:r>
    </w:p>
    <w:p>
      <w:pPr>
        <w:spacing w:after="0" w:line="255" w:lineRule="exact"/>
        <w:rPr>
          <w:sz w:val="20"/>
          <w:szCs w:val="20"/>
          <w:color w:val="auto"/>
        </w:rPr>
      </w:pPr>
    </w:p>
    <w:p>
      <w:pPr>
        <w:ind w:right="280" w:firstLine="470"/>
        <w:spacing w:after="0" w:line="272" w:lineRule="auto"/>
        <w:rPr>
          <w:sz w:val="20"/>
          <w:szCs w:val="20"/>
          <w:color w:val="auto"/>
        </w:rPr>
      </w:pPr>
      <w:r>
        <w:rPr>
          <w:rFonts w:ascii="Arial" w:cs="Arial" w:eastAsia="Arial" w:hAnsi="Arial"/>
          <w:sz w:val="17"/>
          <w:szCs w:val="17"/>
          <w:color w:val="auto"/>
        </w:rPr>
        <w:t>During the six months ended June 30, 2021, we granted 4.0 million restricted stock units ("RSUs") under the Rackspace Technology, Inc. 2020 Equity Incentive Plan with a weighted-average grant date fair value of $22.55. The majority of the RSUs were granted as part of our annual compensation award process and vest ratably over a three-year period, subject to continued service.</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Share-based compensation expense recognized was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7"/>
                <w:szCs w:val="17"/>
                <w:color w:val="auto"/>
              </w:rPr>
            </w:pPr>
          </w:p>
        </w:tc>
        <w:tc>
          <w:tcPr>
            <w:tcW w:w="2900" w:type="dxa"/>
            <w:vAlign w:val="bottom"/>
            <w:gridSpan w:val="4"/>
          </w:tcPr>
          <w:p>
            <w:pPr>
              <w:jc w:val="right"/>
              <w:ind w:right="642"/>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center"/>
              <w:ind w:left="822"/>
              <w:spacing w:after="0"/>
              <w:rPr>
                <w:sz w:val="20"/>
                <w:szCs w:val="20"/>
                <w:color w:val="auto"/>
              </w:rPr>
            </w:pPr>
            <w:r>
              <w:rPr>
                <w:rFonts w:ascii="Arial" w:cs="Arial" w:eastAsia="Arial" w:hAnsi="Arial"/>
                <w:sz w:val="16"/>
                <w:szCs w:val="16"/>
                <w:color w:val="auto"/>
                <w:w w:val="89"/>
              </w:rPr>
              <w:t>2.3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0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822"/>
              <w:spacing w:after="0"/>
              <w:rPr>
                <w:sz w:val="20"/>
                <w:szCs w:val="20"/>
                <w:color w:val="auto"/>
              </w:rPr>
            </w:pPr>
            <w:r>
              <w:rPr>
                <w:rFonts w:ascii="Arial" w:cs="Arial" w:eastAsia="Arial" w:hAnsi="Arial"/>
                <w:sz w:val="16"/>
                <w:szCs w:val="16"/>
                <w:color w:val="auto"/>
                <w:w w:val="89"/>
              </w:rPr>
              <w:t>6.8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r>
      <w:tr>
        <w:trPr>
          <w:trHeight w:val="205"/>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22"/>
              <w:spacing w:after="0"/>
              <w:rPr>
                <w:sz w:val="20"/>
                <w:szCs w:val="20"/>
                <w:color w:val="auto"/>
              </w:rPr>
            </w:pPr>
            <w:r>
              <w:rPr>
                <w:rFonts w:ascii="Arial" w:cs="Arial" w:eastAsia="Arial" w:hAnsi="Arial"/>
                <w:sz w:val="16"/>
                <w:szCs w:val="16"/>
                <w:color w:val="auto"/>
                <w:w w:val="89"/>
              </w:rPr>
              <w:t>9.1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06"/>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802"/>
              <w:spacing w:after="0"/>
              <w:rPr>
                <w:sz w:val="20"/>
                <w:szCs w:val="20"/>
                <w:color w:val="auto"/>
              </w:rPr>
            </w:pPr>
            <w:r>
              <w:rPr>
                <w:rFonts w:ascii="Arial" w:cs="Arial" w:eastAsia="Arial" w:hAnsi="Arial"/>
                <w:sz w:val="16"/>
                <w:szCs w:val="16"/>
                <w:color w:val="auto"/>
                <w:w w:val="91"/>
              </w:rPr>
              <w:t>(1.9)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30"/>
        </w:trPr>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822"/>
              <w:spacing w:after="0"/>
              <w:rPr>
                <w:sz w:val="20"/>
                <w:szCs w:val="20"/>
                <w:color w:val="auto"/>
              </w:rPr>
            </w:pPr>
            <w:r>
              <w:rPr>
                <w:rFonts w:ascii="Arial" w:cs="Arial" w:eastAsia="Arial" w:hAnsi="Arial"/>
                <w:sz w:val="16"/>
                <w:szCs w:val="16"/>
                <w:color w:val="auto"/>
                <w:w w:val="89"/>
              </w:rPr>
              <w:t>7.2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June 30, 2021, there was $128.6 million of total unrecognized compensation cost related to stock options, RSUs and the ESPP, which will be recognized using the straight-line method over a weighted average period of 2.0 years.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Taxes</w:t>
      </w:r>
    </w:p>
    <w:p>
      <w:pPr>
        <w:spacing w:after="0" w:line="229" w:lineRule="exact"/>
        <w:rPr>
          <w:sz w:val="20"/>
          <w:szCs w:val="20"/>
          <w:color w:val="auto"/>
        </w:rPr>
      </w:pPr>
    </w:p>
    <w:p>
      <w:pPr>
        <w:ind w:right="120" w:firstLine="470"/>
        <w:spacing w:after="0" w:line="260" w:lineRule="auto"/>
        <w:rPr>
          <w:sz w:val="20"/>
          <w:szCs w:val="20"/>
          <w:color w:val="auto"/>
        </w:rPr>
      </w:pPr>
      <w:r>
        <w:rPr>
          <w:rFonts w:ascii="Arial" w:cs="Arial" w:eastAsia="Arial" w:hAnsi="Arial"/>
          <w:sz w:val="17"/>
          <w:szCs w:val="17"/>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June 30, 2021, our effective tax rate is higher than the U.S. federal statutory rate of 21% due to the net impact of the geographic distribution of our earnings and application of the global intangible low-taxed income (“GILTI”) provisions that were implemented with the Tax Cuts and Jobs Act (the “Act”) that was passed on December 22, 2017. For the six months ended June 30, 2021, our effective tax rate is lower than the U.S. federal statutory rate due to the net impact of the geographical distribution of our earnings, the application of the GILTI provisions, as well as executive compensation that is nondeductible under Internal Revenue Code ("IRC") Section 162(m). In the next 12 months, we are likely to have a release of historic tax reserves that will result in a tax benefit of $10 million to $15 million due to the lapse of statute of limitations.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Derivatives</w:t>
      </w:r>
    </w:p>
    <w:p>
      <w:pPr>
        <w:spacing w:after="0" w:line="255"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We utilize derivative instruments, including interest rate swap agreements and foreign currency hedging contracts, to manage our exposure to interest rate risk and foreign currency fluctuations.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Swaps</w:t>
      </w:r>
    </w:p>
    <w:p>
      <w:pPr>
        <w:spacing w:after="0" w:line="249"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02"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On a quarterly basis, we net settle with the counterparty for the difference between the fixed rate specified in each swap agreement and the variable rate based upon the three-month LIBOR as applied to the notional amount of the swap.</w:t>
      </w:r>
    </w:p>
    <w:p>
      <w:pPr>
        <w:spacing w:after="0" w:line="184" w:lineRule="exact"/>
        <w:rPr>
          <w:sz w:val="20"/>
          <w:szCs w:val="20"/>
          <w:color w:val="auto"/>
        </w:rPr>
      </w:pPr>
    </w:p>
    <w:p>
      <w:pPr>
        <w:ind w:right="220" w:firstLine="470"/>
        <w:spacing w:after="0" w:line="261" w:lineRule="auto"/>
        <w:rPr>
          <w:sz w:val="20"/>
          <w:szCs w:val="20"/>
          <w:color w:val="auto"/>
        </w:rPr>
      </w:pPr>
      <w:r>
        <w:rPr>
          <w:rFonts w:ascii="Arial" w:cs="Arial" w:eastAsia="Arial" w:hAnsi="Arial"/>
          <w:sz w:val="17"/>
          <w:szCs w:val="17"/>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(loss)" in the Consolidated Balance Sheets and reclassified to "Interest expense" in the period when the underlying transaction affects earnings. The income tax effects of cash flow hedges are released from "Accumulated other comprehensive income (loss)" in the period when the underlying transaction affects earnings. Any stranded income tax effects are released from “Accumulated other comprehensive income (loss)” into “Benefit (provision) for income taxes” under the portfolio approach. As of December 31, 2020, all of our cash flow hedges were highly effective.</w:t>
      </w:r>
    </w:p>
    <w:p>
      <w:pPr>
        <w:spacing w:after="0" w:line="207"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During the six months ended June 30, 2021, we completed a series of transactions to modify our interest rate swap positions as follows: (i) All the interest rate swaps outstanding as of December 31, 2020, as shown in the table below, with the exception of the agreement that matured on February 3, 2021, were de-designated as cash flow hedges on January 31, 2021, (ii) on February 12, 2021, we entered into a $900.0 million receive-fixed interest rate swap which was designed to offset the terms of the remaining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05"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The amount remaining in “Accumulated other comprehensive income (loss)" for the de-designated December 2016 and December 2018 swaps at the de-designation date was approximately $51.6 million, and will be amortized as an increase to "Interest expense" over the effective period of the original swap agreements.</w:t>
      </w:r>
    </w:p>
    <w:p>
      <w:pPr>
        <w:spacing w:after="0" w:line="198" w:lineRule="exact"/>
        <w:rPr>
          <w:sz w:val="20"/>
          <w:szCs w:val="20"/>
          <w:color w:val="auto"/>
        </w:rPr>
      </w:pPr>
    </w:p>
    <w:p>
      <w:pPr>
        <w:ind w:right="80" w:firstLine="470"/>
        <w:spacing w:after="0" w:line="288" w:lineRule="auto"/>
        <w:rPr>
          <w:sz w:val="20"/>
          <w:szCs w:val="20"/>
          <w:color w:val="auto"/>
        </w:rPr>
      </w:pPr>
      <w:r>
        <w:rPr>
          <w:rFonts w:ascii="Arial" w:cs="Arial" w:eastAsia="Arial" w:hAnsi="Arial"/>
          <w:sz w:val="16"/>
          <w:szCs w:val="16"/>
          <w:color w:val="auto"/>
        </w:rPr>
        <w:t xml:space="preserve">The new receive-fixed interest rate swap qualifies as a hybrid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derivative for which the fair value option has been elected. This $900.0 million swap will remain undesignated to economically offset the now undesignated December 2016 swaps. This new swap and the December 2016 swaps mature on February 3, 2022. Cash settlements related to this receive-fixed interest rate swap will offset and are classified as operating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color w:val="auto"/>
        </w:rPr>
        <w:t xml:space="preserve">The new pay-fixed interest rate swap also qualifies as a hybrid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This new $1.35 billion swap is indexed to three-month LIBOR and will be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Consolidated Statements of Cash Flows while the portion treated as an at-market derivative will be classified as operating activities.</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2021, the cash flow hedge was highly effective.</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key terms of interest rate swaps outstanding are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87"/>
              </w:rPr>
              <w:t>December 31, 2020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w w:val="88"/>
              </w:rPr>
              <w:t>June 30, 2021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Effective Date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b w:val="1"/>
                <w:bCs w:val="1"/>
                <w:color w:val="auto"/>
                <w:w w:val="88"/>
              </w:rPr>
              <w:t>Fixed Rate Paid</w:t>
            </w:r>
          </w:p>
        </w:tc>
        <w:tc>
          <w:tcPr>
            <w:tcW w:w="100" w:type="dxa"/>
            <w:vAlign w:val="bottom"/>
          </w:tcPr>
          <w:p>
            <w:pPr>
              <w:spacing w:after="0"/>
              <w:rPr>
                <w:sz w:val="13"/>
                <w:szCs w:val="13"/>
                <w:color w:val="auto"/>
              </w:rPr>
            </w:pPr>
          </w:p>
        </w:tc>
        <w:tc>
          <w:tcPr>
            <w:tcW w:w="1980" w:type="dxa"/>
            <w:vAlign w:val="bottom"/>
            <w:gridSpan w:val="3"/>
          </w:tcPr>
          <w:p>
            <w:pPr>
              <w:jc w:val="center"/>
              <w:ind w:right="580"/>
              <w:spacing w:after="0" w:line="156" w:lineRule="exact"/>
              <w:rPr>
                <w:sz w:val="20"/>
                <w:szCs w:val="20"/>
                <w:color w:val="auto"/>
              </w:rPr>
            </w:pPr>
            <w:r>
              <w:rPr>
                <w:rFonts w:ascii="Arial" w:cs="Arial" w:eastAsia="Arial" w:hAnsi="Arial"/>
                <w:sz w:val="16"/>
                <w:szCs w:val="16"/>
                <w:b w:val="1"/>
                <w:bCs w:val="1"/>
                <w:color w:val="auto"/>
                <w:w w:val="91"/>
              </w:rPr>
              <w:t>Notional Amount (in</w:t>
            </w:r>
          </w:p>
        </w:tc>
        <w:tc>
          <w:tcPr>
            <w:tcW w:w="90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85"/>
              </w:rPr>
              <w:t>Status</w:t>
            </w:r>
          </w:p>
        </w:tc>
        <w:tc>
          <w:tcPr>
            <w:tcW w:w="100" w:type="dxa"/>
            <w:vAlign w:val="bottom"/>
          </w:tcPr>
          <w:p>
            <w:pPr>
              <w:spacing w:after="0"/>
              <w:rPr>
                <w:sz w:val="13"/>
                <w:szCs w:val="13"/>
                <w:color w:val="auto"/>
              </w:rPr>
            </w:pPr>
          </w:p>
        </w:tc>
        <w:tc>
          <w:tcPr>
            <w:tcW w:w="1820" w:type="dxa"/>
            <w:vAlign w:val="bottom"/>
            <w:gridSpan w:val="3"/>
          </w:tcPr>
          <w:p>
            <w:pPr>
              <w:jc w:val="center"/>
              <w:ind w:right="440"/>
              <w:spacing w:after="0" w:line="156" w:lineRule="exact"/>
              <w:rPr>
                <w:sz w:val="20"/>
                <w:szCs w:val="20"/>
                <w:color w:val="auto"/>
              </w:rPr>
            </w:pPr>
            <w:r>
              <w:rPr>
                <w:rFonts w:ascii="Arial" w:cs="Arial" w:eastAsia="Arial" w:hAnsi="Arial"/>
                <w:sz w:val="16"/>
                <w:szCs w:val="16"/>
                <w:b w:val="1"/>
                <w:bCs w:val="1"/>
                <w:color w:val="auto"/>
                <w:w w:val="90"/>
              </w:rPr>
              <w:t>Notional Amount (in</w:t>
            </w: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5"/>
              </w:rPr>
              <w:t>Status</w:t>
            </w: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Maturity Date</w:t>
            </w:r>
          </w:p>
        </w:tc>
        <w:tc>
          <w:tcPr>
            <w:tcW w:w="0" w:type="dxa"/>
            <w:vAlign w:val="bottom"/>
          </w:tcPr>
          <w:p>
            <w:pPr>
              <w:spacing w:after="0"/>
              <w:rPr>
                <w:sz w:val="1"/>
                <w:szCs w:val="1"/>
                <w:color w:val="auto"/>
              </w:rPr>
            </w:pPr>
          </w:p>
        </w:tc>
      </w:tr>
      <w:tr>
        <w:trPr>
          <w:trHeight w:val="206"/>
        </w:trPr>
        <w:tc>
          <w:tcPr>
            <w:tcW w:w="222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(Received)</w:t>
            </w:r>
          </w:p>
        </w:tc>
        <w:tc>
          <w:tcPr>
            <w:tcW w:w="100" w:type="dxa"/>
            <w:vAlign w:val="bottom"/>
          </w:tcPr>
          <w:p>
            <w:pPr>
              <w:spacing w:after="0"/>
              <w:rPr>
                <w:sz w:val="17"/>
                <w:szCs w:val="17"/>
                <w:color w:val="auto"/>
              </w:rPr>
            </w:pPr>
          </w:p>
        </w:tc>
        <w:tc>
          <w:tcPr>
            <w:tcW w:w="19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88"/>
              </w:rPr>
              <w:t>millions)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millions)</w:t>
            </w:r>
          </w:p>
        </w:tc>
        <w:tc>
          <w:tcPr>
            <w:tcW w:w="1060" w:type="dxa"/>
            <w:vAlign w:val="bottom"/>
            <w:gridSpan w:val="2"/>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3, 2017</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1.7625%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Matured</w:t>
            </w: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February 3, 2021</w:t>
            </w: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3, 2017</w:t>
            </w:r>
          </w:p>
        </w:tc>
        <w:tc>
          <w:tcPr>
            <w:tcW w:w="1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6"/>
              </w:rPr>
              <w:t>Active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3, 2017</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Active</w:t>
            </w: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147"/>
        </w:trPr>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Entered into December 2018:</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3, 2019</w:t>
            </w:r>
          </w:p>
        </w:tc>
        <w:tc>
          <w:tcPr>
            <w:tcW w:w="1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2.7490%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86"/>
              </w:rPr>
              <w:t>Terminated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November 3, 2023</w:t>
            </w: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3, 2020</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2.7350%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tcPr>
          <w:p>
            <w:pPr>
              <w:spacing w:after="0"/>
              <w:rPr>
                <w:sz w:val="17"/>
                <w:szCs w:val="17"/>
                <w:color w:val="auto"/>
              </w:rPr>
            </w:pPr>
          </w:p>
        </w:tc>
        <w:tc>
          <w:tcPr>
            <w:tcW w:w="18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86"/>
              </w:rPr>
              <w:t>Terminated</w:t>
            </w: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November 3, 2023</w:t>
            </w: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3, 2021</w:t>
            </w:r>
          </w:p>
        </w:tc>
        <w:tc>
          <w:tcPr>
            <w:tcW w:w="1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2.7360%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86"/>
              </w:rPr>
              <w:t>Terminated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November 3, 2023</w:t>
            </w: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3, 2022</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2.7800%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tcPr>
          <w:p>
            <w:pPr>
              <w:spacing w:after="0"/>
              <w:rPr>
                <w:sz w:val="17"/>
                <w:szCs w:val="17"/>
                <w:color w:val="auto"/>
              </w:rPr>
            </w:pPr>
          </w:p>
        </w:tc>
        <w:tc>
          <w:tcPr>
            <w:tcW w:w="18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86"/>
              </w:rPr>
              <w:t>Terminated</w:t>
            </w: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November 3, 2023</w:t>
            </w:r>
          </w:p>
        </w:tc>
        <w:tc>
          <w:tcPr>
            <w:tcW w:w="0" w:type="dxa"/>
            <w:vAlign w:val="bottom"/>
          </w:tcPr>
          <w:p>
            <w:pPr>
              <w:spacing w:after="0"/>
              <w:rPr>
                <w:sz w:val="1"/>
                <w:szCs w:val="1"/>
                <w:color w:val="auto"/>
              </w:rPr>
            </w:pPr>
          </w:p>
        </w:tc>
      </w:tr>
      <w:tr>
        <w:trPr>
          <w:trHeight w:val="147"/>
        </w:trPr>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Entered into February 2021:</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3, 2021</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6"/>
              </w:rPr>
              <w:t>Active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9, 2021</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2.3820%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Active</w:t>
            </w: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February 9, 2026</w:t>
            </w:r>
          </w:p>
        </w:tc>
        <w:tc>
          <w:tcPr>
            <w:tcW w:w="0" w:type="dxa"/>
            <w:vAlign w:val="bottom"/>
          </w:tcPr>
          <w:p>
            <w:pPr>
              <w:spacing w:after="0"/>
              <w:rPr>
                <w:sz w:val="1"/>
                <w:szCs w:val="1"/>
                <w:color w:val="auto"/>
              </w:rPr>
            </w:pPr>
          </w:p>
        </w:tc>
      </w:tr>
      <w:tr>
        <w:trPr>
          <w:trHeight w:val="230"/>
        </w:trPr>
        <w:tc>
          <w:tcPr>
            <w:tcW w:w="222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Total</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220" w:firstLine="470"/>
        <w:spacing w:after="0" w:line="358" w:lineRule="auto"/>
        <w:rPr>
          <w:sz w:val="20"/>
          <w:szCs w:val="20"/>
          <w:color w:val="auto"/>
        </w:rPr>
      </w:pPr>
      <w:r>
        <w:rPr>
          <w:rFonts w:ascii="Arial" w:cs="Arial" w:eastAsia="Arial" w:hAnsi="Arial"/>
          <w:sz w:val="15"/>
          <w:szCs w:val="15"/>
          <w:color w:val="auto"/>
        </w:rPr>
        <w:t>Our interest rate swap agreements,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Hedging Contracts</w:t>
      </w:r>
    </w:p>
    <w:p>
      <w:pPr>
        <w:spacing w:after="0" w:line="249"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188"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settlement dates throughout the year. The June 30, 2020 settlement date resulted in us making a final net payment of $1.7 million. As of December 31, 2020, there was no notional amount outstanding related to these contracts.</w:t>
      </w:r>
    </w:p>
    <w:p>
      <w:pPr>
        <w:spacing w:after="0" w:line="198" w:lineRule="exact"/>
        <w:rPr>
          <w:sz w:val="20"/>
          <w:szCs w:val="20"/>
          <w:color w:val="auto"/>
        </w:rPr>
      </w:pPr>
    </w:p>
    <w:p>
      <w:pPr>
        <w:jc w:val="both"/>
        <w:ind w:right="40" w:firstLine="470"/>
        <w:spacing w:after="0" w:line="288" w:lineRule="auto"/>
        <w:rPr>
          <w:sz w:val="20"/>
          <w:szCs w:val="20"/>
          <w:color w:val="auto"/>
        </w:rPr>
      </w:pPr>
      <w:r>
        <w:rPr>
          <w:rFonts w:ascii="Arial" w:cs="Arial" w:eastAsia="Arial" w:hAnsi="Arial"/>
          <w:sz w:val="17"/>
          <w:szCs w:val="17"/>
          <w:color w:val="auto"/>
        </w:rPr>
        <w:t>During the fourth quarter of 2020, we entered into two foreign currency forward contracts. Under the terms of these contracts, on November 30, 2021, we will sell a total of £80 million at an average rate of 1.3388 British pound sterling to U.S. dollar and receive $107.1 million.</w:t>
      </w:r>
    </w:p>
    <w:p>
      <w:pPr>
        <w:spacing w:after="0" w:line="184"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fair value are recorded in "Other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Values of Derivatives on the Consolidated Balance Sheets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fair values of our derivatives and their location on the Consolidated Balance Sheets as of December 31, 2020 and June 30, 2021 were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6"/>
                <w:szCs w:val="16"/>
                <w:b w:val="1"/>
                <w:bCs w:val="1"/>
                <w:color w:val="auto"/>
              </w:rPr>
              <w:t>December 31, 2020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962"/>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00"/>
        </w:trPr>
        <w:tc>
          <w:tcPr>
            <w:tcW w:w="2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5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00" w:type="dxa"/>
            <w:vAlign w:val="bottom"/>
          </w:tcPr>
          <w:p>
            <w:pPr>
              <w:jc w:val="right"/>
              <w:ind w:right="302"/>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Arial" w:cs="Arial" w:eastAsia="Arial" w:hAnsi="Arial"/>
                <w:sz w:val="16"/>
                <w:szCs w:val="16"/>
                <w:b w:val="1"/>
                <w:bCs w:val="1"/>
                <w:color w:val="auto"/>
                <w:w w:val="86"/>
              </w:rPr>
              <w:t>Derivatives not designated as hedging</w:t>
            </w:r>
          </w:p>
        </w:tc>
        <w:tc>
          <w:tcPr>
            <w:tcW w:w="2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Location</w:t>
            </w:r>
          </w:p>
        </w:tc>
        <w:tc>
          <w:tcPr>
            <w:tcW w:w="10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5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shd w:val="clear" w:color="auto" w:fill="CCEEFF"/>
          </w:tcPr>
          <w:p>
            <w:pPr>
              <w:ind w:left="40"/>
              <w:spacing w:after="0" w:line="212" w:lineRule="exact"/>
              <w:rPr>
                <w:sz w:val="20"/>
                <w:szCs w:val="20"/>
                <w:color w:val="auto"/>
              </w:rPr>
            </w:pPr>
            <w:r>
              <w:rPr>
                <w:rFonts w:ascii="Arial" w:cs="Arial" w:eastAsia="Arial" w:hAnsi="Arial"/>
                <w:sz w:val="16"/>
                <w:szCs w:val="16"/>
                <w:color w:val="auto"/>
              </w:rPr>
              <w:t xml:space="preserve">Other current assets </w:t>
            </w:r>
            <w:r>
              <w:rPr>
                <w:rFonts w:ascii="Arial" w:cs="Arial" w:eastAsia="Arial" w:hAnsi="Arial"/>
                <w:sz w:val="20"/>
                <w:szCs w:val="20"/>
                <w:color w:val="auto"/>
                <w:vertAlign w:val="superscript"/>
              </w:rPr>
              <w:t>(1)</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108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0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5"/>
        </w:trPr>
        <w:tc>
          <w:tcPr>
            <w:tcW w:w="2560" w:type="dxa"/>
            <w:vAlign w:val="bottom"/>
          </w:tcPr>
          <w:p>
            <w:pPr>
              <w:ind w:left="220"/>
              <w:spacing w:after="0"/>
              <w:rPr>
                <w:sz w:val="20"/>
                <w:szCs w:val="20"/>
                <w:color w:val="auto"/>
              </w:rPr>
            </w:pPr>
            <w:r>
              <w:rPr>
                <w:rFonts w:ascii="Arial" w:cs="Arial" w:eastAsia="Arial" w:hAnsi="Arial"/>
                <w:sz w:val="16"/>
                <w:szCs w:val="16"/>
                <w:color w:val="auto"/>
              </w:rPr>
              <w:t>Total</w:t>
            </w:r>
          </w:p>
        </w:tc>
        <w:tc>
          <w:tcPr>
            <w:tcW w:w="2560" w:type="dxa"/>
            <w:vAlign w:val="bottom"/>
          </w:tcPr>
          <w:p>
            <w:pPr>
              <w:spacing w:after="0"/>
              <w:rPr>
                <w:sz w:val="17"/>
                <w:szCs w:val="17"/>
                <w:color w:val="auto"/>
              </w:rPr>
            </w:pP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83"/>
        </w:trPr>
        <w:tc>
          <w:tcPr>
            <w:tcW w:w="2560" w:type="dxa"/>
            <w:vAlign w:val="bottom"/>
            <w:tcBorders>
              <w:bottom w:val="single" w:sz="8" w:color="CCEEFF"/>
            </w:tcBorders>
          </w:tcPr>
          <w:p>
            <w:pPr>
              <w:spacing w:after="0"/>
              <w:rPr>
                <w:sz w:val="6"/>
                <w:szCs w:val="6"/>
                <w:color w:val="auto"/>
              </w:rPr>
            </w:pPr>
          </w:p>
        </w:tc>
        <w:tc>
          <w:tcPr>
            <w:tcW w:w="2560" w:type="dxa"/>
            <w:vAlign w:val="bottom"/>
            <w:tcBorders>
              <w:bottom w:val="single" w:sz="8" w:color="CCEEFF"/>
            </w:tcBorders>
          </w:tcPr>
          <w:p>
            <w:pPr>
              <w:spacing w:after="0"/>
              <w:rPr>
                <w:sz w:val="6"/>
                <w:szCs w:val="6"/>
                <w:color w:val="auto"/>
              </w:rPr>
            </w:pPr>
          </w:p>
        </w:tc>
        <w:tc>
          <w:tcPr>
            <w:tcW w:w="108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114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120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560" w:type="dxa"/>
            <w:vAlign w:val="bottom"/>
            <w:tcBorders>
              <w:top w:val="single" w:sz="8" w:color="CCEEFF"/>
            </w:tcBorders>
          </w:tcPr>
          <w:p>
            <w:pPr>
              <w:ind w:left="20"/>
              <w:spacing w:after="0" w:line="157" w:lineRule="exact"/>
              <w:rPr>
                <w:sz w:val="20"/>
                <w:szCs w:val="20"/>
                <w:color w:val="auto"/>
              </w:rPr>
            </w:pPr>
            <w:r>
              <w:rPr>
                <w:rFonts w:ascii="Arial" w:cs="Arial" w:eastAsia="Arial" w:hAnsi="Arial"/>
                <w:sz w:val="16"/>
                <w:szCs w:val="16"/>
                <w:b w:val="1"/>
                <w:bCs w:val="1"/>
                <w:color w:val="auto"/>
                <w:w w:val="95"/>
              </w:rPr>
              <w:t>Derivatives designated as hedging</w:t>
            </w:r>
          </w:p>
        </w:tc>
        <w:tc>
          <w:tcPr>
            <w:tcW w:w="2560" w:type="dxa"/>
            <w:vAlign w:val="bottom"/>
            <w:tcBorders>
              <w:top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Location</w:t>
            </w:r>
          </w:p>
        </w:tc>
        <w:tc>
          <w:tcPr>
            <w:tcW w:w="10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5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Pr>
          <w:p>
            <w:pPr>
              <w:ind w:left="40"/>
              <w:spacing w:after="0" w:line="209"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0"/>
                <w:szCs w:val="20"/>
                <w:color w:val="auto"/>
                <w:vertAlign w:val="superscript"/>
              </w:rPr>
              <w:t>(2)</w:t>
            </w:r>
          </w:p>
        </w:tc>
        <w:tc>
          <w:tcPr>
            <w:tcW w:w="108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w w:val="89"/>
              </w:rPr>
              <w:t>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shd w:val="clear" w:color="auto" w:fill="CCEEFF"/>
          </w:tcPr>
          <w:p>
            <w:pPr>
              <w:ind w:left="40"/>
              <w:spacing w:after="0" w:line="209"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0"/>
                <w:szCs w:val="20"/>
                <w:color w:val="auto"/>
                <w:vertAlign w:val="superscript"/>
              </w:rPr>
              <w:t>(3)</w:t>
            </w:r>
          </w:p>
        </w:tc>
        <w:tc>
          <w:tcPr>
            <w:tcW w:w="10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64.4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02"/>
        </w:trPr>
        <w:tc>
          <w:tcPr>
            <w:tcW w:w="2560" w:type="dxa"/>
            <w:vAlign w:val="bottom"/>
          </w:tcPr>
          <w:p>
            <w:pPr>
              <w:ind w:left="220"/>
              <w:spacing w:after="0"/>
              <w:rPr>
                <w:sz w:val="20"/>
                <w:szCs w:val="20"/>
                <w:color w:val="auto"/>
              </w:rPr>
            </w:pPr>
            <w:r>
              <w:rPr>
                <w:rFonts w:ascii="Arial" w:cs="Arial" w:eastAsia="Arial" w:hAnsi="Arial"/>
                <w:sz w:val="16"/>
                <w:szCs w:val="16"/>
                <w:color w:val="auto"/>
              </w:rPr>
              <w:t>Total</w:t>
            </w:r>
          </w:p>
        </w:tc>
        <w:tc>
          <w:tcPr>
            <w:tcW w:w="2560" w:type="dxa"/>
            <w:vAlign w:val="bottom"/>
          </w:tcPr>
          <w:p>
            <w:pPr>
              <w:spacing w:after="0"/>
              <w:rPr>
                <w:sz w:val="17"/>
                <w:szCs w:val="17"/>
                <w:color w:val="auto"/>
              </w:rPr>
            </w:pP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2"/>
              <w:spacing w:after="0"/>
              <w:rPr>
                <w:sz w:val="20"/>
                <w:szCs w:val="20"/>
                <w:color w:val="auto"/>
              </w:rPr>
            </w:pPr>
            <w:r>
              <w:rPr>
                <w:rFonts w:ascii="Arial" w:cs="Arial" w:eastAsia="Arial" w:hAnsi="Arial"/>
                <w:sz w:val="16"/>
                <w:szCs w:val="16"/>
                <w:color w:val="auto"/>
                <w:w w:val="89"/>
              </w:rPr>
              <w:t>87.0</w:t>
            </w:r>
          </w:p>
        </w:tc>
        <w:tc>
          <w:tcPr>
            <w:tcW w:w="100" w:type="dxa"/>
            <w:vAlign w:val="bottom"/>
          </w:tcPr>
          <w:p>
            <w:pPr>
              <w:spacing w:after="0"/>
              <w:rPr>
                <w:sz w:val="17"/>
                <w:szCs w:val="17"/>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340" w:hanging="335"/>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entire balance as of June 30, 2021 is comprised of the receive-fixed interest rate swap for which the fair value option has been elected.</w:t>
      </w:r>
    </w:p>
    <w:p>
      <w:pPr>
        <w:spacing w:after="0" w:line="12" w:lineRule="exact"/>
        <w:rPr>
          <w:rFonts w:ascii="Arial" w:cs="Arial" w:eastAsia="Arial" w:hAnsi="Arial"/>
          <w:sz w:val="16"/>
          <w:szCs w:val="16"/>
          <w:color w:val="auto"/>
        </w:rPr>
      </w:pPr>
    </w:p>
    <w:p>
      <w:pPr>
        <w:ind w:left="340" w:hanging="335"/>
        <w:spacing w:after="0" w:line="238"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as of June 30, 2021 includes $17.2 million related to the financing component of the pay-fixed interest rate swap.</w:t>
      </w:r>
    </w:p>
    <w:p>
      <w:pPr>
        <w:ind w:left="340" w:hanging="335"/>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entire balance as of June 30, 2021 is comprised of the financing component of the pay-fixed interest rate swap.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hanging="105"/>
        <w:spacing w:after="0"/>
        <w:tabs>
          <w:tab w:leader="none" w:pos="5540" w:val="left"/>
        </w:tabs>
        <w:numPr>
          <w:ilvl w:val="1"/>
          <w:numId w:val="3"/>
        </w:numPr>
        <w:rPr>
          <w:rFonts w:ascii="Arial" w:cs="Arial" w:eastAsia="Arial" w:hAnsi="Arial"/>
          <w:sz w:val="17"/>
          <w:szCs w:val="17"/>
          <w:color w:val="auto"/>
        </w:rPr>
      </w:pPr>
      <w:r>
        <w:rPr>
          <w:rFonts w:ascii="Arial" w:cs="Arial" w:eastAsia="Arial" w:hAnsi="Arial"/>
          <w:sz w:val="17"/>
          <w:szCs w:val="17"/>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480" w:firstLine="627"/>
        <w:spacing w:after="0" w:line="288" w:lineRule="auto"/>
        <w:rPr>
          <w:sz w:val="20"/>
          <w:szCs w:val="20"/>
          <w:color w:val="auto"/>
        </w:rPr>
      </w:pPr>
      <w:r>
        <w:rPr>
          <w:rFonts w:ascii="Arial" w:cs="Arial" w:eastAsia="Arial" w:hAnsi="Arial"/>
          <w:sz w:val="17"/>
          <w:szCs w:val="17"/>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86"/>
              </w:rPr>
              <w:t>June 30, 2021</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6"/>
                <w:szCs w:val="16"/>
                <w:b w:val="1"/>
                <w:bCs w:val="1"/>
                <w:color w:val="auto"/>
                <w:w w:val="86"/>
              </w:rPr>
              <w:t>Gross Amounts</w:t>
            </w:r>
          </w:p>
        </w:tc>
        <w:tc>
          <w:tcPr>
            <w:tcW w:w="100" w:type="dxa"/>
            <w:vAlign w:val="bottom"/>
          </w:tcPr>
          <w:p>
            <w:pPr>
              <w:spacing w:after="0"/>
              <w:rPr>
                <w:sz w:val="13"/>
                <w:szCs w:val="13"/>
                <w:color w:val="auto"/>
              </w:rPr>
            </w:pPr>
          </w:p>
        </w:tc>
        <w:tc>
          <w:tcPr>
            <w:tcW w:w="860" w:type="dxa"/>
            <w:vAlign w:val="bottom"/>
          </w:tcPr>
          <w:p>
            <w:pPr>
              <w:jc w:val="center"/>
              <w:ind w:left="162"/>
              <w:spacing w:after="0" w:line="153" w:lineRule="exact"/>
              <w:rPr>
                <w:sz w:val="20"/>
                <w:szCs w:val="20"/>
                <w:color w:val="auto"/>
              </w:rPr>
            </w:pPr>
            <w:r>
              <w:rPr>
                <w:rFonts w:ascii="Arial" w:cs="Arial" w:eastAsia="Arial" w:hAnsi="Arial"/>
                <w:sz w:val="16"/>
                <w:szCs w:val="16"/>
                <w:b w:val="1"/>
                <w:bCs w:val="1"/>
                <w:color w:val="auto"/>
                <w:w w:val="90"/>
              </w:rPr>
              <w:t>Effect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ind w:left="40"/>
              <w:spacing w:after="0" w:line="153" w:lineRule="exact"/>
              <w:rPr>
                <w:sz w:val="20"/>
                <w:szCs w:val="20"/>
                <w:color w:val="auto"/>
              </w:rPr>
            </w:pPr>
            <w:r>
              <w:rPr>
                <w:rFonts w:ascii="Arial" w:cs="Arial" w:eastAsia="Arial" w:hAnsi="Arial"/>
                <w:sz w:val="16"/>
                <w:szCs w:val="16"/>
                <w:b w:val="1"/>
                <w:bCs w:val="1"/>
                <w:color w:val="auto"/>
                <w:w w:val="94"/>
              </w:rPr>
              <w:t>Gross Amounts</w:t>
            </w: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3" w:lineRule="exact"/>
              <w:rPr>
                <w:sz w:val="20"/>
                <w:szCs w:val="20"/>
                <w:color w:val="auto"/>
              </w:rPr>
            </w:pPr>
            <w:r>
              <w:rPr>
                <w:rFonts w:ascii="Arial" w:cs="Arial" w:eastAsia="Arial" w:hAnsi="Arial"/>
                <w:sz w:val="16"/>
                <w:szCs w:val="16"/>
                <w:b w:val="1"/>
                <w:bCs w:val="1"/>
                <w:color w:val="auto"/>
                <w:w w:val="87"/>
              </w:rPr>
              <w:t>Effect of</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82"/>
              <w:spacing w:after="0" w:line="157" w:lineRule="exact"/>
              <w:rPr>
                <w:sz w:val="20"/>
                <w:szCs w:val="20"/>
                <w:color w:val="auto"/>
              </w:rPr>
            </w:pPr>
            <w:r>
              <w:rPr>
                <w:rFonts w:ascii="Arial" w:cs="Arial" w:eastAsia="Arial" w:hAnsi="Arial"/>
                <w:sz w:val="16"/>
                <w:szCs w:val="16"/>
                <w:b w:val="1"/>
                <w:bCs w:val="1"/>
                <w:color w:val="auto"/>
                <w:w w:val="88"/>
              </w:rPr>
              <w:t>on Balance</w:t>
            </w: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7" w:lineRule="exact"/>
              <w:rPr>
                <w:sz w:val="20"/>
                <w:szCs w:val="20"/>
                <w:color w:val="auto"/>
              </w:rPr>
            </w:pPr>
            <w:r>
              <w:rPr>
                <w:rFonts w:ascii="Arial" w:cs="Arial" w:eastAsia="Arial" w:hAnsi="Arial"/>
                <w:sz w:val="16"/>
                <w:szCs w:val="16"/>
                <w:b w:val="1"/>
                <w:bCs w:val="1"/>
                <w:color w:val="auto"/>
                <w:w w:val="91"/>
              </w:rPr>
              <w:t>Counter-Party</w:t>
            </w:r>
          </w:p>
        </w:tc>
        <w:tc>
          <w:tcPr>
            <w:tcW w:w="100" w:type="dxa"/>
            <w:vAlign w:val="bottom"/>
          </w:tcPr>
          <w:p>
            <w:pPr>
              <w:spacing w:after="0"/>
              <w:rPr>
                <w:sz w:val="13"/>
                <w:szCs w:val="13"/>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Amounts</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6"/>
                <w:szCs w:val="16"/>
                <w:b w:val="1"/>
                <w:bCs w:val="1"/>
                <w:color w:val="auto"/>
                <w:w w:val="86"/>
              </w:rPr>
              <w:t>on Balance</w:t>
            </w:r>
          </w:p>
        </w:tc>
        <w:tc>
          <w:tcPr>
            <w:tcW w:w="1180" w:type="dxa"/>
            <w:vAlign w:val="bottom"/>
            <w:gridSpan w:val="3"/>
          </w:tcPr>
          <w:p>
            <w:pPr>
              <w:jc w:val="center"/>
              <w:ind w:right="100"/>
              <w:spacing w:after="0" w:line="157" w:lineRule="exact"/>
              <w:rPr>
                <w:sz w:val="20"/>
                <w:szCs w:val="20"/>
                <w:color w:val="auto"/>
              </w:rPr>
            </w:pPr>
            <w:r>
              <w:rPr>
                <w:rFonts w:ascii="Arial" w:cs="Arial" w:eastAsia="Arial" w:hAnsi="Arial"/>
                <w:sz w:val="16"/>
                <w:szCs w:val="16"/>
                <w:b w:val="1"/>
                <w:bCs w:val="1"/>
                <w:color w:val="auto"/>
                <w:w w:val="89"/>
              </w:rPr>
              <w:t>Counter-Party</w:t>
            </w:r>
          </w:p>
        </w:tc>
        <w:tc>
          <w:tcPr>
            <w:tcW w:w="120" w:type="dxa"/>
            <w:vAlign w:val="bottom"/>
          </w:tcPr>
          <w:p>
            <w:pPr>
              <w:spacing w:after="0"/>
              <w:rPr>
                <w:sz w:val="13"/>
                <w:szCs w:val="13"/>
                <w:color w:val="auto"/>
              </w:rPr>
            </w:pPr>
          </w:p>
        </w:tc>
        <w:tc>
          <w:tcPr>
            <w:tcW w:w="10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88"/>
              </w:rPr>
              <w:t>Net Amounts</w:t>
            </w: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940" w:type="dxa"/>
            <w:vAlign w:val="bottom"/>
          </w:tcPr>
          <w:p>
            <w:pPr>
              <w:jc w:val="right"/>
              <w:ind w:right="282"/>
              <w:spacing w:after="0"/>
              <w:rPr>
                <w:sz w:val="20"/>
                <w:szCs w:val="20"/>
                <w:color w:val="auto"/>
              </w:rPr>
            </w:pPr>
            <w:r>
              <w:rPr>
                <w:rFonts w:ascii="Arial" w:cs="Arial" w:eastAsia="Arial" w:hAnsi="Arial"/>
                <w:sz w:val="16"/>
                <w:szCs w:val="16"/>
                <w:b w:val="1"/>
                <w:bCs w:val="1"/>
                <w:color w:val="auto"/>
              </w:rPr>
              <w:t>Sheet</w:t>
            </w:r>
          </w:p>
        </w:tc>
        <w:tc>
          <w:tcPr>
            <w:tcW w:w="100" w:type="dxa"/>
            <w:vAlign w:val="bottom"/>
          </w:tcPr>
          <w:p>
            <w:pPr>
              <w:spacing w:after="0"/>
              <w:rPr>
                <w:sz w:val="17"/>
                <w:szCs w:val="17"/>
                <w:color w:val="auto"/>
              </w:rPr>
            </w:pPr>
          </w:p>
        </w:tc>
        <w:tc>
          <w:tcPr>
            <w:tcW w:w="860" w:type="dxa"/>
            <w:vAlign w:val="bottom"/>
          </w:tcPr>
          <w:p>
            <w:pPr>
              <w:jc w:val="center"/>
              <w:ind w:left="162"/>
              <w:spacing w:after="0"/>
              <w:rPr>
                <w:sz w:val="20"/>
                <w:szCs w:val="20"/>
                <w:color w:val="auto"/>
              </w:rPr>
            </w:pPr>
            <w:r>
              <w:rPr>
                <w:rFonts w:ascii="Arial" w:cs="Arial" w:eastAsia="Arial" w:hAnsi="Arial"/>
                <w:sz w:val="16"/>
                <w:szCs w:val="16"/>
                <w:b w:val="1"/>
                <w:bCs w:val="1"/>
                <w:color w:val="auto"/>
                <w:w w:val="90"/>
              </w:rPr>
              <w:t>Netting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Sheet</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Netting</w:t>
            </w: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160" w:type="dxa"/>
            <w:vAlign w:val="bottom"/>
            <w:tcBorders>
              <w:bottom w:val="single" w:sz="8" w:color="CCEEFF"/>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top w:val="single" w:sz="8" w:color="auto"/>
              <w:bottom w:val="single" w:sz="8" w:color="auto"/>
            </w:tcBorders>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96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top w:val="single" w:sz="8" w:color="auto"/>
              <w:bottom w:val="single" w:sz="8" w:color="auto"/>
            </w:tcBorders>
          </w:tcPr>
          <w:p>
            <w:pPr>
              <w:spacing w:after="0"/>
              <w:rPr>
                <w:sz w:val="6"/>
                <w:szCs w:val="6"/>
                <w:color w:val="auto"/>
              </w:rPr>
            </w:pPr>
          </w:p>
        </w:tc>
        <w:tc>
          <w:tcPr>
            <w:tcW w:w="10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16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960" w:type="dxa"/>
            <w:vAlign w:val="bottom"/>
            <w:gridSpan w:val="2"/>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0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contracts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960" w:type="dxa"/>
            <w:vAlign w:val="bottom"/>
            <w:gridSpan w:val="2"/>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Derivatives on the Consolidated Statements of Comprehensive Loss</w:t>
      </w:r>
    </w:p>
    <w:p>
      <w:pPr>
        <w:spacing w:after="0" w:line="249"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effect of our derivatives and their location on the Consolidated Statements of Comprehensive Loss for the three and six months ended June 30, 2020 and 2021 was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7"/>
                <w:szCs w:val="17"/>
                <w:color w:val="auto"/>
              </w:rPr>
            </w:pPr>
          </w:p>
        </w:tc>
        <w:tc>
          <w:tcPr>
            <w:tcW w:w="2920" w:type="dxa"/>
            <w:vAlign w:val="bottom"/>
            <w:gridSpan w:val="4"/>
          </w:tcPr>
          <w:p>
            <w:pPr>
              <w:jc w:val="right"/>
              <w:ind w:right="64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0"/>
        </w:trPr>
        <w:tc>
          <w:tcPr>
            <w:tcW w:w="2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Arial" w:cs="Arial" w:eastAsia="Arial" w:hAnsi="Arial"/>
                <w:sz w:val="16"/>
                <w:szCs w:val="16"/>
                <w:b w:val="1"/>
                <w:bCs w:val="1"/>
                <w:color w:val="auto"/>
                <w:w w:val="88"/>
              </w:rPr>
              <w:t>Derivatives not designated as hedging</w:t>
            </w:r>
          </w:p>
        </w:tc>
        <w:tc>
          <w:tcPr>
            <w:tcW w:w="2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Location</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802"/>
              <w:spacing w:after="0"/>
              <w:rPr>
                <w:sz w:val="20"/>
                <w:szCs w:val="20"/>
                <w:color w:val="auto"/>
              </w:rPr>
            </w:pPr>
            <w:r>
              <w:rPr>
                <w:rFonts w:ascii="Arial" w:cs="Arial" w:eastAsia="Arial" w:hAnsi="Arial"/>
                <w:sz w:val="16"/>
                <w:szCs w:val="16"/>
                <w:color w:val="auto"/>
                <w:w w:val="91"/>
              </w:rPr>
              <w:t>(3.2)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020" w:type="dxa"/>
            <w:vAlign w:val="bottom"/>
          </w:tcPr>
          <w:p>
            <w:pPr>
              <w:ind w:left="80"/>
              <w:spacing w:after="0"/>
              <w:rPr>
                <w:sz w:val="20"/>
                <w:szCs w:val="20"/>
                <w:color w:val="auto"/>
              </w:rPr>
            </w:pPr>
            <w:r>
              <w:rPr>
                <w:rFonts w:ascii="Arial" w:cs="Arial" w:eastAsia="Arial" w:hAnsi="Arial"/>
                <w:sz w:val="16"/>
                <w:szCs w:val="16"/>
                <w:color w:val="auto"/>
                <w:w w:val="94"/>
              </w:rPr>
              <w:t>Other income (expense), net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center"/>
              <w:ind w:left="822"/>
              <w:spacing w:after="0"/>
              <w:rPr>
                <w:sz w:val="20"/>
                <w:szCs w:val="20"/>
                <w:color w:val="auto"/>
              </w:rPr>
            </w:pPr>
            <w:r>
              <w:rPr>
                <w:rFonts w:ascii="Arial" w:cs="Arial" w:eastAsia="Arial" w:hAnsi="Arial"/>
                <w:sz w:val="16"/>
                <w:szCs w:val="16"/>
                <w:color w:val="auto"/>
                <w:w w:val="89"/>
              </w:rPr>
              <w:t>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95"/>
        </w:trPr>
        <w:tc>
          <w:tcPr>
            <w:tcW w:w="262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20"/>
              <w:spacing w:after="0" w:line="157" w:lineRule="exact"/>
              <w:rPr>
                <w:sz w:val="20"/>
                <w:szCs w:val="20"/>
                <w:color w:val="auto"/>
              </w:rPr>
            </w:pPr>
            <w:r>
              <w:rPr>
                <w:rFonts w:ascii="Arial" w:cs="Arial" w:eastAsia="Arial" w:hAnsi="Arial"/>
                <w:sz w:val="16"/>
                <w:szCs w:val="16"/>
                <w:b w:val="1"/>
                <w:bCs w:val="1"/>
                <w:color w:val="auto"/>
                <w:w w:val="98"/>
              </w:rPr>
              <w:t>Derivatives designated as hedging</w:t>
            </w:r>
          </w:p>
        </w:tc>
        <w:tc>
          <w:tcPr>
            <w:tcW w:w="2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Location</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802"/>
              <w:spacing w:after="0"/>
              <w:rPr>
                <w:sz w:val="20"/>
                <w:szCs w:val="20"/>
                <w:color w:val="auto"/>
              </w:rPr>
            </w:pPr>
            <w:r>
              <w:rPr>
                <w:rFonts w:ascii="Arial" w:cs="Arial" w:eastAsia="Arial" w:hAnsi="Arial"/>
                <w:sz w:val="16"/>
                <w:szCs w:val="16"/>
                <w:color w:val="auto"/>
                <w:w w:val="91"/>
              </w:rPr>
              <w:t>(1.7)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Interest expense was $68.9 million and $50.5 million for the three months ended June 30, 2020 and 2021, respectively, and $140.9 million and $103.1 million for the six months ended June 30, 2020 and 2021, respectively. As of June 30, 2021, the amount of cash flow hedge losses included within "Accumulated other comprehensive income (loss)" that is expected to be reclassified as an increase to "Interest expense" over the next 12 months is approximately $23.8 million. See Note 11, "Accumulated Other Comprehensive Income (Loss)," for information regarding changes in fair value of our derivatives designated as hedging instruments.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Credit-risk-related Contingent Features</w:t>
      </w:r>
    </w:p>
    <w:p>
      <w:pPr>
        <w:spacing w:after="0" w:line="249" w:lineRule="exact"/>
        <w:rPr>
          <w:sz w:val="20"/>
          <w:szCs w:val="20"/>
          <w:color w:val="auto"/>
        </w:rPr>
      </w:pPr>
    </w:p>
    <w:p>
      <w:pPr>
        <w:ind w:right="260" w:firstLine="470"/>
        <w:spacing w:after="0" w:line="288" w:lineRule="auto"/>
        <w:rPr>
          <w:sz w:val="20"/>
          <w:szCs w:val="20"/>
          <w:color w:val="auto"/>
        </w:rPr>
      </w:pPr>
      <w:r>
        <w:rPr>
          <w:rFonts w:ascii="Arial" w:cs="Arial" w:eastAsia="Arial" w:hAnsi="Arial"/>
          <w:sz w:val="16"/>
          <w:szCs w:val="16"/>
          <w:color w:val="auto"/>
        </w:rPr>
        <w:t>We have agreements with interest rate swap counterparties that contain a provision whereby if we default on any of our material indebtedness, then we could also be declared in default of our interest rate swap agreements. As of June 30, 2021, our interest rate swap agreements with an aggregate fair value of $95.8 million were in a net liability position. However, if we were in default, our master netting arrangements with certain of our interest rate swap counterparties contain provisions which could result in net settlement of all outstanding agreements.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Accumulated Other Comprehensive Income (Loss)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Accumulated other comprehensive income (loss) consisted of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780" w:type="dxa"/>
            <w:vAlign w:val="bottom"/>
          </w:tcPr>
          <w:p>
            <w:pPr>
              <w:jc w:val="center"/>
              <w:ind w:left="262"/>
              <w:spacing w:after="0"/>
              <w:rPr>
                <w:sz w:val="20"/>
                <w:szCs w:val="20"/>
                <w:color w:val="auto"/>
              </w:rPr>
            </w:pPr>
            <w:r>
              <w:rPr>
                <w:rFonts w:ascii="Arial" w:cs="Arial" w:eastAsia="Arial" w:hAnsi="Arial"/>
                <w:sz w:val="16"/>
                <w:szCs w:val="16"/>
                <w:b w:val="1"/>
                <w:bCs w:val="1"/>
                <w:color w:val="auto"/>
                <w:w w:val="87"/>
              </w:rPr>
              <w:t>Accumulated Foreign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20" w:type="dxa"/>
            <w:vAlign w:val="bottom"/>
          </w:tcPr>
          <w:p>
            <w:pPr>
              <w:spacing w:after="0"/>
              <w:rPr>
                <w:sz w:val="16"/>
                <w:szCs w:val="16"/>
                <w:color w:val="auto"/>
              </w:rPr>
            </w:pPr>
          </w:p>
        </w:tc>
        <w:tc>
          <w:tcPr>
            <w:tcW w:w="190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57"/>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780" w:type="dxa"/>
            <w:vAlign w:val="bottom"/>
          </w:tcPr>
          <w:p>
            <w:pPr>
              <w:jc w:val="center"/>
              <w:ind w:left="242"/>
              <w:spacing w:after="0" w:line="157" w:lineRule="exact"/>
              <w:rPr>
                <w:sz w:val="20"/>
                <w:szCs w:val="20"/>
                <w:color w:val="auto"/>
              </w:rPr>
            </w:pPr>
            <w:r>
              <w:rPr>
                <w:rFonts w:ascii="Arial" w:cs="Arial" w:eastAsia="Arial" w:hAnsi="Arial"/>
                <w:sz w:val="16"/>
                <w:szCs w:val="16"/>
                <w:b w:val="1"/>
                <w:bCs w:val="1"/>
                <w:color w:val="auto"/>
                <w:w w:val="90"/>
              </w:rPr>
              <w:t>Currency Translation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60" w:type="dxa"/>
            <w:vAlign w:val="bottom"/>
            <w:vMerge w:val="continue"/>
          </w:tcPr>
          <w:p>
            <w:pPr>
              <w:spacing w:after="0"/>
              <w:rPr>
                <w:sz w:val="17"/>
                <w:szCs w:val="17"/>
                <w:color w:val="auto"/>
              </w:rPr>
            </w:pPr>
          </w:p>
        </w:tc>
        <w:tc>
          <w:tcPr>
            <w:tcW w:w="1780" w:type="dxa"/>
            <w:vAlign w:val="bottom"/>
          </w:tcPr>
          <w:p>
            <w:pPr>
              <w:jc w:val="center"/>
              <w:ind w:left="242"/>
              <w:spacing w:after="0"/>
              <w:rPr>
                <w:sz w:val="20"/>
                <w:szCs w:val="20"/>
                <w:color w:val="auto"/>
              </w:rPr>
            </w:pPr>
            <w:r>
              <w:rPr>
                <w:rFonts w:ascii="Arial" w:cs="Arial" w:eastAsia="Arial" w:hAnsi="Arial"/>
                <w:sz w:val="16"/>
                <w:szCs w:val="16"/>
                <w:b w:val="1"/>
                <w:bCs w:val="1"/>
                <w:color w:val="auto"/>
                <w:w w:val="88"/>
              </w:rPr>
              <w:t>Adjustments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Derivative Contracts</w:t>
            </w:r>
          </w:p>
        </w:tc>
        <w:tc>
          <w:tcPr>
            <w:tcW w:w="220" w:type="dxa"/>
            <w:vAlign w:val="bottom"/>
          </w:tcPr>
          <w:p>
            <w:pPr>
              <w:spacing w:after="0"/>
              <w:rPr>
                <w:sz w:val="17"/>
                <w:szCs w:val="17"/>
                <w:color w:val="auto"/>
              </w:rPr>
            </w:pPr>
          </w:p>
        </w:tc>
        <w:tc>
          <w:tcPr>
            <w:tcW w:w="1900" w:type="dxa"/>
            <w:vAlign w:val="bottom"/>
          </w:tcPr>
          <w:p>
            <w:pPr>
              <w:jc w:val="right"/>
              <w:ind w:right="282"/>
              <w:spacing w:after="0"/>
              <w:rPr>
                <w:sz w:val="20"/>
                <w:szCs w:val="20"/>
                <w:color w:val="auto"/>
              </w:rPr>
            </w:pPr>
            <w:r>
              <w:rPr>
                <w:rFonts w:ascii="Arial" w:cs="Arial" w:eastAsia="Arial" w:hAnsi="Arial"/>
                <w:sz w:val="16"/>
                <w:szCs w:val="16"/>
                <w:b w:val="1"/>
                <w:bCs w:val="1"/>
                <w:color w:val="auto"/>
                <w:w w:val="93"/>
              </w:rPr>
              <w:t>Comprehensive Loss</w:t>
            </w:r>
          </w:p>
        </w:tc>
        <w:tc>
          <w:tcPr>
            <w:tcW w:w="0" w:type="dxa"/>
            <w:vAlign w:val="bottom"/>
          </w:tcPr>
          <w:p>
            <w:pPr>
              <w:spacing w:after="0"/>
              <w:rPr>
                <w:sz w:val="1"/>
                <w:szCs w:val="1"/>
                <w:color w:val="auto"/>
              </w:rPr>
            </w:pPr>
          </w:p>
        </w:tc>
      </w:tr>
      <w:tr>
        <w:trPr>
          <w:trHeight w:val="20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780" w:type="dxa"/>
            <w:vAlign w:val="bottom"/>
            <w:tcBorders>
              <w:top w:val="single" w:sz="8" w:color="auto"/>
            </w:tcBorders>
            <w:shd w:val="clear" w:color="auto" w:fill="CCEEFF"/>
          </w:tcPr>
          <w:p>
            <w:pPr>
              <w:jc w:val="right"/>
              <w:ind w:right="160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(8.4)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$0.2</w:t>
            </w:r>
          </w:p>
        </w:tc>
        <w:tc>
          <w:tcPr>
            <w:tcW w:w="1780" w:type="dxa"/>
            <w:vAlign w:val="bottom"/>
          </w:tcPr>
          <w:p>
            <w:pPr>
              <w:spacing w:after="0"/>
              <w:rPr>
                <w:sz w:val="17"/>
                <w:szCs w:val="17"/>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Unrealized loss on derivative contracts, net of tax benefit of $2.3</w:t>
            </w:r>
          </w:p>
        </w:tc>
        <w:tc>
          <w:tcPr>
            <w:tcW w:w="1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0"/>
        </w:trPr>
        <w:tc>
          <w:tcPr>
            <w:tcW w:w="4660" w:type="dxa"/>
            <w:vAlign w:val="bottom"/>
          </w:tcPr>
          <w:p>
            <w:pPr>
              <w:ind w:left="180"/>
              <w:spacing w:after="0" w:line="160" w:lineRule="exact"/>
              <w:rPr>
                <w:sz w:val="20"/>
                <w:szCs w:val="20"/>
                <w:color w:val="auto"/>
              </w:rPr>
            </w:pPr>
            <w:r>
              <w:rPr>
                <w:rFonts w:ascii="Arial" w:cs="Arial" w:eastAsia="Arial" w:hAnsi="Arial"/>
                <w:sz w:val="16"/>
                <w:szCs w:val="16"/>
                <w:color w:val="auto"/>
                <w:w w:val="91"/>
              </w:rPr>
              <w:t>Amount reclassified from Accumulated comprehensive income (loss)</w:t>
            </w:r>
          </w:p>
        </w:tc>
        <w:tc>
          <w:tcPr>
            <w:tcW w:w="1780" w:type="dxa"/>
            <w:vAlign w:val="bottom"/>
          </w:tcPr>
          <w:p>
            <w:pPr>
              <w:spacing w:after="0"/>
              <w:rPr>
                <w:sz w:val="13"/>
                <w:szCs w:val="13"/>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line="206" w:lineRule="exact"/>
              <w:rPr>
                <w:sz w:val="20"/>
                <w:szCs w:val="20"/>
                <w:color w:val="auto"/>
              </w:rPr>
            </w:pPr>
            <w:r>
              <w:rPr>
                <w:rFonts w:ascii="Arial" w:cs="Arial" w:eastAsia="Arial" w:hAnsi="Arial"/>
                <w:sz w:val="16"/>
                <w:szCs w:val="16"/>
                <w:color w:val="auto"/>
              </w:rPr>
              <w:t>into earnings, net of tax benefit of $0.5</w:t>
            </w:r>
            <w:r>
              <w:rPr>
                <w:rFonts w:ascii="Arial" w:cs="Arial" w:eastAsia="Arial" w:hAnsi="Arial"/>
                <w:sz w:val="20"/>
                <w:szCs w:val="20"/>
                <w:color w:val="auto"/>
                <w:vertAlign w:val="superscript"/>
              </w:rPr>
              <w:t>(1)</w:t>
            </w:r>
          </w:p>
        </w:tc>
        <w:tc>
          <w:tcPr>
            <w:tcW w:w="17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780" w:type="dxa"/>
            <w:vAlign w:val="bottom"/>
            <w:tcBorders>
              <w:top w:val="single" w:sz="8" w:color="auto"/>
              <w:bottom w:val="single" w:sz="8" w:color="auto"/>
            </w:tcBorders>
            <w:shd w:val="clear" w:color="auto" w:fill="CCEEFF"/>
          </w:tcPr>
          <w:p>
            <w:pPr>
              <w:jc w:val="right"/>
              <w:ind w:right="160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80" w:hanging="375"/>
        <w:spacing w:after="0"/>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interest expense recognized of $3.7 million, partially offset by amortization of off-market swap value of $1.5 million for the three months ended June 30, 2020.</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Accumulated Foreign</w:t>
            </w:r>
          </w:p>
        </w:tc>
        <w:tc>
          <w:tcPr>
            <w:tcW w:w="22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40" w:type="dxa"/>
            <w:vAlign w:val="bottom"/>
          </w:tcPr>
          <w:p>
            <w:pPr>
              <w:spacing w:after="0"/>
              <w:rPr>
                <w:sz w:val="16"/>
                <w:szCs w:val="16"/>
                <w:color w:val="auto"/>
              </w:rPr>
            </w:pPr>
          </w:p>
        </w:tc>
        <w:tc>
          <w:tcPr>
            <w:tcW w:w="188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w w:val="98"/>
              </w:rPr>
              <w:t>Accumulated Other</w:t>
            </w:r>
          </w:p>
        </w:tc>
        <w:tc>
          <w:tcPr>
            <w:tcW w:w="0" w:type="dxa"/>
            <w:vAlign w:val="bottom"/>
          </w:tcPr>
          <w:p>
            <w:pPr>
              <w:spacing w:after="0"/>
              <w:rPr>
                <w:sz w:val="1"/>
                <w:szCs w:val="1"/>
                <w:color w:val="auto"/>
              </w:rPr>
            </w:pPr>
          </w:p>
        </w:tc>
      </w:tr>
      <w:tr>
        <w:trPr>
          <w:trHeight w:val="157"/>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3"/>
                <w:szCs w:val="13"/>
                <w:color w:val="auto"/>
              </w:rPr>
            </w:pPr>
          </w:p>
        </w:tc>
        <w:tc>
          <w:tcPr>
            <w:tcW w:w="2000" w:type="dxa"/>
            <w:vAlign w:val="bottom"/>
            <w:gridSpan w:val="2"/>
          </w:tcPr>
          <w:p>
            <w:pPr>
              <w:jc w:val="center"/>
              <w:ind w:right="340"/>
              <w:spacing w:after="0" w:line="157" w:lineRule="exact"/>
              <w:rPr>
                <w:sz w:val="20"/>
                <w:szCs w:val="20"/>
                <w:color w:val="auto"/>
              </w:rPr>
            </w:pPr>
            <w:r>
              <w:rPr>
                <w:rFonts w:ascii="Arial" w:cs="Arial" w:eastAsia="Arial" w:hAnsi="Arial"/>
                <w:sz w:val="16"/>
                <w:szCs w:val="16"/>
                <w:b w:val="1"/>
                <w:bCs w:val="1"/>
                <w:color w:val="auto"/>
                <w:w w:val="90"/>
              </w:rPr>
              <w:t>Currency Translation</w:t>
            </w:r>
          </w:p>
        </w:tc>
        <w:tc>
          <w:tcPr>
            <w:tcW w:w="2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6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8"/>
              </w:rPr>
              <w:t>Adjustments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97"/>
              </w:rPr>
              <w:t>Derivative Contracts</w:t>
            </w:r>
          </w:p>
        </w:tc>
        <w:tc>
          <w:tcPr>
            <w:tcW w:w="12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Comprehensive Income (Loss)</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$1.4</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Unrealized loss on derivative contracts, net of tax benefit of $16.3</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157"/>
        </w:trPr>
        <w:tc>
          <w:tcPr>
            <w:tcW w:w="4660" w:type="dxa"/>
            <w:vAlign w:val="bottom"/>
          </w:tcPr>
          <w:p>
            <w:pPr>
              <w:ind w:left="180"/>
              <w:spacing w:after="0" w:line="157" w:lineRule="exact"/>
              <w:rPr>
                <w:sz w:val="20"/>
                <w:szCs w:val="20"/>
                <w:color w:val="auto"/>
              </w:rPr>
            </w:pPr>
            <w:r>
              <w:rPr>
                <w:rFonts w:ascii="Arial" w:cs="Arial" w:eastAsia="Arial" w:hAnsi="Arial"/>
                <w:sz w:val="16"/>
                <w:szCs w:val="16"/>
                <w:color w:val="auto"/>
                <w:w w:val="91"/>
              </w:rPr>
              <w:t>Amount reclassified from Accumulated comprehensive income (loss)</w:t>
            </w:r>
          </w:p>
        </w:tc>
        <w:tc>
          <w:tcPr>
            <w:tcW w:w="220" w:type="dxa"/>
            <w:vAlign w:val="bottom"/>
          </w:tcPr>
          <w:p>
            <w:pPr>
              <w:spacing w:after="0"/>
              <w:rPr>
                <w:sz w:val="13"/>
                <w:szCs w:val="13"/>
                <w:color w:val="auto"/>
              </w:rPr>
            </w:pPr>
          </w:p>
        </w:tc>
        <w:tc>
          <w:tcPr>
            <w:tcW w:w="2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4660" w:type="dxa"/>
            <w:vAlign w:val="bottom"/>
          </w:tcPr>
          <w:p>
            <w:pPr>
              <w:ind w:left="180"/>
              <w:spacing w:after="0" w:line="209" w:lineRule="exact"/>
              <w:rPr>
                <w:sz w:val="20"/>
                <w:szCs w:val="20"/>
                <w:color w:val="auto"/>
              </w:rPr>
            </w:pPr>
            <w:r>
              <w:rPr>
                <w:rFonts w:ascii="Arial" w:cs="Arial" w:eastAsia="Arial" w:hAnsi="Arial"/>
                <w:sz w:val="16"/>
                <w:szCs w:val="16"/>
                <w:color w:val="auto"/>
              </w:rPr>
              <w:t xml:space="preserve">into earnings, net of tax benefit of $0.4 </w:t>
            </w:r>
            <w:r>
              <w:rPr>
                <w:rFonts w:ascii="Arial" w:cs="Arial" w:eastAsia="Arial" w:hAnsi="Arial"/>
                <w:sz w:val="20"/>
                <w:szCs w:val="20"/>
                <w:color w:val="auto"/>
                <w:vertAlign w:val="superscript"/>
              </w:rPr>
              <w:t>(1)</w:t>
            </w:r>
          </w:p>
        </w:tc>
        <w:tc>
          <w:tcPr>
            <w:tcW w:w="22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interest expense recognized of $4.4 million, partially offset by amortization of off-market swap value of $2.7 million for the six months ended June 30, 2020.</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Accumulated Foreign</w:t>
            </w:r>
          </w:p>
        </w:tc>
        <w:tc>
          <w:tcPr>
            <w:tcW w:w="22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20" w:type="dxa"/>
            <w:vAlign w:val="bottom"/>
          </w:tcPr>
          <w:p>
            <w:pPr>
              <w:spacing w:after="0"/>
              <w:rPr>
                <w:sz w:val="16"/>
                <w:szCs w:val="16"/>
                <w:color w:val="auto"/>
              </w:rPr>
            </w:pPr>
          </w:p>
        </w:tc>
        <w:tc>
          <w:tcPr>
            <w:tcW w:w="1900" w:type="dxa"/>
            <w:vAlign w:val="bottom"/>
            <w:vMerge w:val="restart"/>
          </w:tcPr>
          <w:p>
            <w:pPr>
              <w:jc w:val="center"/>
              <w:ind w:right="142"/>
              <w:spacing w:after="0"/>
              <w:rPr>
                <w:sz w:val="20"/>
                <w:szCs w:val="20"/>
                <w:color w:val="auto"/>
              </w:rPr>
            </w:pPr>
            <w:r>
              <w:rPr>
                <w:rFonts w:ascii="Arial" w:cs="Arial" w:eastAsia="Arial" w:hAnsi="Arial"/>
                <w:sz w:val="16"/>
                <w:szCs w:val="16"/>
                <w:b w:val="1"/>
                <w:bCs w:val="1"/>
                <w:color w:val="auto"/>
                <w:w w:val="89"/>
              </w:rPr>
              <w:t>Accumulated Other</w:t>
            </w:r>
          </w:p>
        </w:tc>
        <w:tc>
          <w:tcPr>
            <w:tcW w:w="0" w:type="dxa"/>
            <w:vAlign w:val="bottom"/>
          </w:tcPr>
          <w:p>
            <w:pPr>
              <w:spacing w:after="0"/>
              <w:rPr>
                <w:sz w:val="1"/>
                <w:szCs w:val="1"/>
                <w:color w:val="auto"/>
              </w:rPr>
            </w:pPr>
          </w:p>
        </w:tc>
      </w:tr>
      <w:tr>
        <w:trPr>
          <w:trHeight w:val="157"/>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3"/>
                <w:szCs w:val="13"/>
                <w:color w:val="auto"/>
              </w:rPr>
            </w:pPr>
          </w:p>
        </w:tc>
        <w:tc>
          <w:tcPr>
            <w:tcW w:w="2000" w:type="dxa"/>
            <w:vAlign w:val="bottom"/>
            <w:gridSpan w:val="2"/>
          </w:tcPr>
          <w:p>
            <w:pPr>
              <w:jc w:val="center"/>
              <w:ind w:right="340"/>
              <w:spacing w:after="0" w:line="157" w:lineRule="exact"/>
              <w:rPr>
                <w:sz w:val="20"/>
                <w:szCs w:val="20"/>
                <w:color w:val="auto"/>
              </w:rPr>
            </w:pPr>
            <w:r>
              <w:rPr>
                <w:rFonts w:ascii="Arial" w:cs="Arial" w:eastAsia="Arial" w:hAnsi="Arial"/>
                <w:sz w:val="16"/>
                <w:szCs w:val="16"/>
                <w:b w:val="1"/>
                <w:bCs w:val="1"/>
                <w:color w:val="auto"/>
                <w:w w:val="90"/>
              </w:rPr>
              <w:t>Currency Translation</w:t>
            </w:r>
          </w:p>
        </w:tc>
        <w:tc>
          <w:tcPr>
            <w:tcW w:w="2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Adjustments</w:t>
            </w:r>
          </w:p>
        </w:tc>
        <w:tc>
          <w:tcPr>
            <w:tcW w:w="220" w:type="dxa"/>
            <w:vAlign w:val="bottom"/>
          </w:tcPr>
          <w:p>
            <w:pPr>
              <w:spacing w:after="0"/>
              <w:rPr>
                <w:sz w:val="17"/>
                <w:szCs w:val="17"/>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Derivative Contracts</w:t>
            </w:r>
          </w:p>
        </w:tc>
        <w:tc>
          <w:tcPr>
            <w:tcW w:w="220" w:type="dxa"/>
            <w:vAlign w:val="bottom"/>
          </w:tcPr>
          <w:p>
            <w:pPr>
              <w:spacing w:after="0"/>
              <w:rPr>
                <w:sz w:val="17"/>
                <w:szCs w:val="17"/>
                <w:color w:val="auto"/>
              </w:rPr>
            </w:pPr>
          </w:p>
        </w:tc>
        <w:tc>
          <w:tcPr>
            <w:tcW w:w="190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Comprehensive Loss</w:t>
            </w:r>
          </w:p>
        </w:tc>
        <w:tc>
          <w:tcPr>
            <w:tcW w:w="0" w:type="dxa"/>
            <w:vAlign w:val="bottom"/>
          </w:tcPr>
          <w:p>
            <w:pPr>
              <w:spacing w:after="0"/>
              <w:rPr>
                <w:sz w:val="1"/>
                <w:szCs w:val="1"/>
                <w:color w:val="auto"/>
              </w:rPr>
            </w:pPr>
          </w:p>
        </w:tc>
      </w:tr>
      <w:tr>
        <w:trPr>
          <w:trHeight w:val="20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center"/>
              <w:ind w:left="1482"/>
              <w:spacing w:after="0"/>
              <w:rPr>
                <w:sz w:val="20"/>
                <w:szCs w:val="20"/>
                <w:color w:val="auto"/>
              </w:rPr>
            </w:pPr>
            <w:r>
              <w:rPr>
                <w:rFonts w:ascii="Arial" w:cs="Arial" w:eastAsia="Arial" w:hAnsi="Arial"/>
                <w:sz w:val="16"/>
                <w:szCs w:val="16"/>
                <w:color w:val="auto"/>
                <w:w w:val="91"/>
              </w:rPr>
              <w:t>(2.2)</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w w:val="92"/>
              </w:rPr>
              <w:t>Foreign currency translation adjustments, net of tax expense of $0.2</w:t>
            </w:r>
          </w:p>
        </w:tc>
        <w:tc>
          <w:tcPr>
            <w:tcW w:w="220" w:type="dxa"/>
            <w:vAlign w:val="bottom"/>
          </w:tcPr>
          <w:p>
            <w:pPr>
              <w:spacing w:after="0"/>
              <w:rPr>
                <w:sz w:val="17"/>
                <w:szCs w:val="17"/>
                <w:color w:val="auto"/>
              </w:rPr>
            </w:pPr>
          </w:p>
        </w:tc>
        <w:tc>
          <w:tcPr>
            <w:tcW w:w="1900" w:type="dxa"/>
            <w:vAlign w:val="bottom"/>
          </w:tcPr>
          <w:p>
            <w:pPr>
              <w:jc w:val="right"/>
              <w:ind w:right="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900" w:type="dxa"/>
            <w:vAlign w:val="bottom"/>
          </w:tcPr>
          <w:p>
            <w:pPr>
              <w:jc w:val="center"/>
              <w:ind w:left="1502"/>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Unrealized loss on derivative contracts, net of tax benefit of $2.0</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ind w:left="1482"/>
              <w:spacing w:after="0"/>
              <w:rPr>
                <w:sz w:val="20"/>
                <w:szCs w:val="20"/>
                <w:color w:val="auto"/>
              </w:rPr>
            </w:pPr>
            <w:r>
              <w:rPr>
                <w:rFonts w:ascii="Arial" w:cs="Arial" w:eastAsia="Arial" w:hAnsi="Arial"/>
                <w:sz w:val="16"/>
                <w:szCs w:val="16"/>
                <w:color w:val="auto"/>
                <w:w w:val="91"/>
              </w:rPr>
              <w:t>(6.0)</w:t>
            </w:r>
          </w:p>
        </w:tc>
        <w:tc>
          <w:tcPr>
            <w:tcW w:w="0" w:type="dxa"/>
            <w:vAlign w:val="bottom"/>
          </w:tcPr>
          <w:p>
            <w:pPr>
              <w:spacing w:after="0"/>
              <w:rPr>
                <w:sz w:val="1"/>
                <w:szCs w:val="1"/>
                <w:color w:val="auto"/>
              </w:rPr>
            </w:pPr>
          </w:p>
        </w:tc>
      </w:tr>
      <w:tr>
        <w:trPr>
          <w:trHeight w:val="160"/>
        </w:trPr>
        <w:tc>
          <w:tcPr>
            <w:tcW w:w="4660" w:type="dxa"/>
            <w:vAlign w:val="bottom"/>
          </w:tcPr>
          <w:p>
            <w:pPr>
              <w:ind w:left="180"/>
              <w:spacing w:after="0" w:line="160" w:lineRule="exact"/>
              <w:rPr>
                <w:sz w:val="20"/>
                <w:szCs w:val="20"/>
                <w:color w:val="auto"/>
              </w:rPr>
            </w:pPr>
            <w:r>
              <w:rPr>
                <w:rFonts w:ascii="Arial" w:cs="Arial" w:eastAsia="Arial" w:hAnsi="Arial"/>
                <w:sz w:val="16"/>
                <w:szCs w:val="16"/>
                <w:color w:val="auto"/>
                <w:w w:val="91"/>
              </w:rPr>
              <w:t>Amount reclassified from Accumulated comprehensive income (loss)</w:t>
            </w:r>
          </w:p>
        </w:tc>
        <w:tc>
          <w:tcPr>
            <w:tcW w:w="220" w:type="dxa"/>
            <w:vAlign w:val="bottom"/>
          </w:tcPr>
          <w:p>
            <w:pPr>
              <w:spacing w:after="0"/>
              <w:rPr>
                <w:sz w:val="13"/>
                <w:szCs w:val="13"/>
                <w:color w:val="auto"/>
              </w:rPr>
            </w:pPr>
          </w:p>
        </w:tc>
        <w:tc>
          <w:tcPr>
            <w:tcW w:w="2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restart"/>
          </w:tcPr>
          <w:p>
            <w:pPr>
              <w:jc w:val="center"/>
              <w:ind w:left="1502"/>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line="206" w:lineRule="exact"/>
              <w:rPr>
                <w:sz w:val="20"/>
                <w:szCs w:val="20"/>
                <w:color w:val="auto"/>
              </w:rPr>
            </w:pPr>
            <w:r>
              <w:rPr>
                <w:rFonts w:ascii="Arial" w:cs="Arial" w:eastAsia="Arial" w:hAnsi="Arial"/>
                <w:sz w:val="16"/>
                <w:szCs w:val="16"/>
                <w:color w:val="auto"/>
              </w:rPr>
              <w:t xml:space="preserve">into earnings, net of tax benefit of $1.5 </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center"/>
              <w:ind w:left="1482"/>
              <w:spacing w:after="0"/>
              <w:rPr>
                <w:sz w:val="20"/>
                <w:szCs w:val="20"/>
                <w:color w:val="auto"/>
              </w:rPr>
            </w:pPr>
            <w:r>
              <w:rPr>
                <w:rFonts w:ascii="Arial" w:cs="Arial" w:eastAsia="Arial" w:hAnsi="Arial"/>
                <w:sz w:val="16"/>
                <w:szCs w:val="16"/>
                <w:color w:val="auto"/>
                <w:w w:val="91"/>
              </w:rPr>
              <w:t>(1.0)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80" w:right="180" w:hanging="475"/>
        <w:spacing w:after="0" w:line="259" w:lineRule="auto"/>
        <w:tabs>
          <w:tab w:leader="none" w:pos="38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interest expense recognized of $1.2 million and amortization of off-market swap value and accumulated loss at hedge de-designation of $4.8 million for the three months ended June 30, 2021.</w:t>
      </w:r>
    </w:p>
    <w:p>
      <w:pPr>
        <w:spacing w:after="0" w:line="200" w:lineRule="exact"/>
        <w:rPr>
          <w:rFonts w:ascii="Arial" w:cs="Arial" w:eastAsia="Arial" w:hAnsi="Arial"/>
          <w:sz w:val="16"/>
          <w:szCs w:val="16"/>
          <w:color w:val="auto"/>
        </w:rPr>
      </w:pPr>
    </w:p>
    <w:p>
      <w:pPr>
        <w:spacing w:after="0" w:line="341" w:lineRule="exact"/>
        <w:rPr>
          <w:rFonts w:ascii="Arial" w:cs="Arial" w:eastAsia="Arial" w:hAnsi="Arial"/>
          <w:sz w:val="16"/>
          <w:szCs w:val="16"/>
          <w:color w:val="auto"/>
        </w:rPr>
      </w:pPr>
    </w:p>
    <w:p>
      <w:pPr>
        <w:ind w:left="5540" w:hanging="105"/>
        <w:spacing w:after="0"/>
        <w:tabs>
          <w:tab w:leader="none" w:pos="5540" w:val="left"/>
        </w:tabs>
        <w:numPr>
          <w:ilvl w:val="1"/>
          <w:numId w:val="6"/>
        </w:numPr>
        <w:rPr>
          <w:rFonts w:ascii="Arial" w:cs="Arial" w:eastAsia="Arial" w:hAnsi="Arial"/>
          <w:sz w:val="17"/>
          <w:szCs w:val="17"/>
          <w:color w:val="auto"/>
        </w:rPr>
      </w:pPr>
      <w:r>
        <w:rPr>
          <w:rFonts w:ascii="Arial" w:cs="Arial" w:eastAsia="Arial" w:hAnsi="Arial"/>
          <w:sz w:val="17"/>
          <w:szCs w:val="17"/>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Accumulated Foreign</w:t>
            </w:r>
          </w:p>
        </w:tc>
        <w:tc>
          <w:tcPr>
            <w:tcW w:w="22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20" w:type="dxa"/>
            <w:vAlign w:val="bottom"/>
          </w:tcPr>
          <w:p>
            <w:pPr>
              <w:spacing w:after="0"/>
              <w:rPr>
                <w:sz w:val="16"/>
                <w:szCs w:val="16"/>
                <w:color w:val="auto"/>
              </w:rPr>
            </w:pPr>
          </w:p>
        </w:tc>
        <w:tc>
          <w:tcPr>
            <w:tcW w:w="190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57"/>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3"/>
                <w:szCs w:val="13"/>
                <w:color w:val="auto"/>
              </w:rPr>
            </w:pPr>
          </w:p>
        </w:tc>
        <w:tc>
          <w:tcPr>
            <w:tcW w:w="2000" w:type="dxa"/>
            <w:vAlign w:val="bottom"/>
            <w:gridSpan w:val="2"/>
          </w:tcPr>
          <w:p>
            <w:pPr>
              <w:jc w:val="center"/>
              <w:ind w:right="340"/>
              <w:spacing w:after="0" w:line="157" w:lineRule="exact"/>
              <w:rPr>
                <w:sz w:val="20"/>
                <w:szCs w:val="20"/>
                <w:color w:val="auto"/>
              </w:rPr>
            </w:pPr>
            <w:r>
              <w:rPr>
                <w:rFonts w:ascii="Arial" w:cs="Arial" w:eastAsia="Arial" w:hAnsi="Arial"/>
                <w:sz w:val="16"/>
                <w:szCs w:val="16"/>
                <w:b w:val="1"/>
                <w:bCs w:val="1"/>
                <w:color w:val="auto"/>
                <w:w w:val="90"/>
              </w:rPr>
              <w:t>Currency Translation</w:t>
            </w:r>
          </w:p>
        </w:tc>
        <w:tc>
          <w:tcPr>
            <w:tcW w:w="2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Adjustments</w:t>
            </w:r>
          </w:p>
        </w:tc>
        <w:tc>
          <w:tcPr>
            <w:tcW w:w="220" w:type="dxa"/>
            <w:vAlign w:val="bottom"/>
          </w:tcPr>
          <w:p>
            <w:pPr>
              <w:spacing w:after="0"/>
              <w:rPr>
                <w:sz w:val="17"/>
                <w:szCs w:val="17"/>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Derivative Contracts</w:t>
            </w:r>
          </w:p>
        </w:tc>
        <w:tc>
          <w:tcPr>
            <w:tcW w:w="220" w:type="dxa"/>
            <w:vAlign w:val="bottom"/>
          </w:tcPr>
          <w:p>
            <w:pPr>
              <w:spacing w:after="0"/>
              <w:rPr>
                <w:sz w:val="17"/>
                <w:szCs w:val="17"/>
                <w:color w:val="auto"/>
              </w:rPr>
            </w:pPr>
          </w:p>
        </w:tc>
        <w:tc>
          <w:tcPr>
            <w:tcW w:w="1900" w:type="dxa"/>
            <w:vAlign w:val="bottom"/>
          </w:tcPr>
          <w:p>
            <w:pPr>
              <w:jc w:val="right"/>
              <w:ind w:right="282"/>
              <w:spacing w:after="0"/>
              <w:rPr>
                <w:sz w:val="20"/>
                <w:szCs w:val="20"/>
                <w:color w:val="auto"/>
              </w:rPr>
            </w:pPr>
            <w:r>
              <w:rPr>
                <w:rFonts w:ascii="Arial" w:cs="Arial" w:eastAsia="Arial" w:hAnsi="Arial"/>
                <w:sz w:val="16"/>
                <w:szCs w:val="16"/>
                <w:b w:val="1"/>
                <w:bCs w:val="1"/>
                <w:color w:val="auto"/>
                <w:w w:val="93"/>
              </w:rPr>
              <w:t>Comprehensive Loss</w:t>
            </w:r>
          </w:p>
        </w:tc>
        <w:tc>
          <w:tcPr>
            <w:tcW w:w="0" w:type="dxa"/>
            <w:vAlign w:val="bottom"/>
          </w:tcPr>
          <w:p>
            <w:pPr>
              <w:spacing w:after="0"/>
              <w:rPr>
                <w:sz w:val="1"/>
                <w:szCs w:val="1"/>
                <w:color w:val="auto"/>
              </w:rPr>
            </w:pPr>
          </w:p>
        </w:tc>
      </w:tr>
      <w:tr>
        <w:trPr>
          <w:trHeight w:val="20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w w:val="92"/>
              </w:rPr>
              <w:t>Foreign currency translation adjustments, net of tax expense of $0.3</w:t>
            </w:r>
          </w:p>
        </w:tc>
        <w:tc>
          <w:tcPr>
            <w:tcW w:w="220" w:type="dxa"/>
            <w:vAlign w:val="bottom"/>
          </w:tcPr>
          <w:p>
            <w:pPr>
              <w:spacing w:after="0"/>
              <w:rPr>
                <w:sz w:val="17"/>
                <w:szCs w:val="17"/>
                <w:color w:val="auto"/>
              </w:rPr>
            </w:pPr>
          </w:p>
        </w:tc>
        <w:tc>
          <w:tcPr>
            <w:tcW w:w="190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Unrealized gain on derivative contracts, net of tax expense of $1.2</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0"/>
        </w:trPr>
        <w:tc>
          <w:tcPr>
            <w:tcW w:w="4660" w:type="dxa"/>
            <w:vAlign w:val="bottom"/>
          </w:tcPr>
          <w:p>
            <w:pPr>
              <w:ind w:left="180"/>
              <w:spacing w:after="0" w:line="160" w:lineRule="exact"/>
              <w:rPr>
                <w:sz w:val="20"/>
                <w:szCs w:val="20"/>
                <w:color w:val="auto"/>
              </w:rPr>
            </w:pPr>
            <w:r>
              <w:rPr>
                <w:rFonts w:ascii="Arial" w:cs="Arial" w:eastAsia="Arial" w:hAnsi="Arial"/>
                <w:sz w:val="16"/>
                <w:szCs w:val="16"/>
                <w:color w:val="auto"/>
                <w:w w:val="91"/>
              </w:rPr>
              <w:t>Amount reclassified from Accumulated comprehensive income (loss)</w:t>
            </w:r>
          </w:p>
        </w:tc>
        <w:tc>
          <w:tcPr>
            <w:tcW w:w="220" w:type="dxa"/>
            <w:vAlign w:val="bottom"/>
          </w:tcPr>
          <w:p>
            <w:pPr>
              <w:spacing w:after="0"/>
              <w:rPr>
                <w:sz w:val="13"/>
                <w:szCs w:val="13"/>
                <w:color w:val="auto"/>
              </w:rPr>
            </w:pPr>
          </w:p>
        </w:tc>
        <w:tc>
          <w:tcPr>
            <w:tcW w:w="2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line="206" w:lineRule="exact"/>
              <w:rPr>
                <w:sz w:val="20"/>
                <w:szCs w:val="20"/>
                <w:color w:val="auto"/>
              </w:rPr>
            </w:pPr>
            <w:r>
              <w:rPr>
                <w:rFonts w:ascii="Arial" w:cs="Arial" w:eastAsia="Arial" w:hAnsi="Arial"/>
                <w:sz w:val="16"/>
                <w:szCs w:val="16"/>
                <w:color w:val="auto"/>
              </w:rPr>
              <w:t xml:space="preserve">into earnings, net of tax benefit of $2.9 </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80" w:right="300" w:hanging="475"/>
        <w:spacing w:after="0" w:line="259" w:lineRule="auto"/>
        <w:tabs>
          <w:tab w:leader="none" w:pos="38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interest expense recognized of $4.0 million and amortization of off-market swap value and accumulated loss at hedge de-designation of $7.4 million for the six months ended June 30, 2021.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Related Party Transactions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connection with the Rackspace Acquisition, we entered into a management consulting agreement with affiliates of Apollo and Searchlight Capital</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Partners L.P (“Searchlight”), (the “Apollo/Searchlight Management Consulting Agreement”) and a transaction fee agreement with an affiliate of Apollo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“Transaction Fee Agreement”). In addition, on November 15, 2017, we entered into a management consulting agreement with ABRY Partners, LLC and ABRY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Partners II, LLC (collectively, “ABRY”) (the “ABRY Management Consulting Agreement”). For the three and six months ended June 30, 2020, we recorded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$3.5 million and $7.1 million, respectively, of management consulting fees within "Selling, general and administrative expenses" in the Consolidated Statements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of Comprehensive Loss.</w:t>
      </w:r>
    </w:p>
    <w:p>
      <w:pPr>
        <w:spacing w:after="0" w:line="237"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On July 24, 2020, we executed termination letters with each of the parties to the Apollo/Searchlight Management Consulting Agreement, the Transaction Fee Agreement and the ABRY Management Consulting Agreement, whereby all such agreements terminated effective as of the pricing of our initial public offering on August 4, 2020. Therefore no management consulting or transaction fees were accrued or were payable under any of these agreements for periods subsequent to August 4, 2020.</w:t>
      </w:r>
    </w:p>
    <w:p>
      <w:pPr>
        <w:spacing w:after="0" w:line="202"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Affiliates of ABRY are also Term Loan Facility lenders under the First Lien Credit Agreement. As of June 30, 2021, the outstanding principal amount of the Term Loan Facility was $2,294.3 million, of which $47.9 million, or 2.1%, is due to ABRY affiliates.</w:t>
      </w:r>
    </w:p>
    <w:p>
      <w:pPr>
        <w:spacing w:after="0" w:line="184" w:lineRule="exact"/>
        <w:rPr>
          <w:sz w:val="20"/>
          <w:szCs w:val="20"/>
          <w:color w:val="auto"/>
        </w:rPr>
      </w:pPr>
    </w:p>
    <w:p>
      <w:pPr>
        <w:ind w:right="120" w:firstLine="470"/>
        <w:spacing w:after="0" w:line="321"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in connection with our November 15, 2017 acquisition of Datapipe Parent, Inc.</w:t>
      </w:r>
    </w:p>
    <w:p>
      <w:pPr>
        <w:spacing w:after="0" w:line="161"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Apollo Global Securities, LLC ("Apollo Global Securities"), an affiliate of Apollo, received approximately $0.6 million in connection with their role as an initial purchaser of the 3.50% Senior Secured Notes issued on February 9, 2021.</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Apollo Global Securities also received $2.3 million in arranger fees in connection with the entry into the Term Loan Facility on February 9, 2021.</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Segment Reporting</w:t>
      </w:r>
    </w:p>
    <w:p>
      <w:pPr>
        <w:spacing w:after="0" w:line="255"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non-GAAP gross profit, which is a non-GAAP measure of profitability. For the calculation of non-GAAP gross profit, we allocate certain costs, such as data center operating costs, customer support costs, license expense, and depreciation, to our segments generally based on segment revenue.</w:t>
      </w:r>
    </w:p>
    <w:p>
      <w:pPr>
        <w:spacing w:after="0" w:line="205"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color w:val="auto"/>
        </w:rPr>
        <w:t>The table below presents a reconciliation of revenue by reportable segment to consolidated revenue and a reconciliation of segment non-GAAP gross profit to total consolidated gross profit for the three and six months ended June 30, 2020 and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7"/>
                <w:szCs w:val="17"/>
                <w:color w:val="auto"/>
              </w:rPr>
            </w:pPr>
          </w:p>
        </w:tc>
        <w:tc>
          <w:tcPr>
            <w:tcW w:w="2920" w:type="dxa"/>
            <w:vAlign w:val="bottom"/>
            <w:gridSpan w:val="4"/>
          </w:tcPr>
          <w:p>
            <w:pPr>
              <w:jc w:val="right"/>
              <w:ind w:right="642"/>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19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605.1</w:t>
            </w:r>
          </w:p>
        </w:tc>
        <w:tc>
          <w:tcPr>
            <w:tcW w:w="12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1,026.9</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1,184.7</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r>
      <w:tr>
        <w:trPr>
          <w:trHeight w:val="20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r>
      <w:tr>
        <w:trPr>
          <w:trHeight w:val="23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consolidated revenue</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Non-GAAP gross profit by segment: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397.5</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398.4</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2"/>
        </w:trPr>
        <w:tc>
          <w:tcPr>
            <w:tcW w:w="458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09"/>
        </w:trPr>
        <w:tc>
          <w:tcPr>
            <w:tcW w:w="458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4580" w:type="dxa"/>
            <w:vAlign w:val="bottom"/>
          </w:tcPr>
          <w:p>
            <w:pPr>
              <w:ind w:left="140"/>
              <w:spacing w:after="0" w:line="209"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0"/>
                <w:szCs w:val="20"/>
                <w:color w:val="auto"/>
                <w:vertAlign w:val="superscript"/>
              </w:rPr>
              <w:t>(2)</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458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0"/>
                <w:szCs w:val="20"/>
                <w:color w:val="auto"/>
                <w:vertAlign w:val="superscript"/>
              </w:rPr>
              <w:t>(3)</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02"/>
        </w:trPr>
        <w:tc>
          <w:tcPr>
            <w:tcW w:w="4580" w:type="dxa"/>
            <w:vAlign w:val="bottom"/>
          </w:tcPr>
          <w:p>
            <w:pPr>
              <w:ind w:left="240"/>
              <w:spacing w:after="0"/>
              <w:rPr>
                <w:sz w:val="20"/>
                <w:szCs w:val="20"/>
                <w:color w:val="auto"/>
              </w:rPr>
            </w:pPr>
            <w:r>
              <w:rPr>
                <w:rFonts w:ascii="Arial" w:cs="Arial" w:eastAsia="Arial" w:hAnsi="Arial"/>
                <w:sz w:val="16"/>
                <w:szCs w:val="16"/>
                <w:color w:val="auto"/>
              </w:rPr>
              <w:t>Total consolidated gross profit</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w:t>
            </w: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80" w:hanging="475"/>
        <w:spacing w:after="0" w:line="247" w:lineRule="auto"/>
        <w:tabs>
          <w:tab w:leader="none" w:pos="391"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 w:lineRule="exact"/>
        <w:rPr>
          <w:rFonts w:ascii="Arial" w:cs="Arial" w:eastAsia="Arial" w:hAnsi="Arial"/>
          <w:sz w:val="16"/>
          <w:szCs w:val="16"/>
          <w:color w:val="auto"/>
        </w:rPr>
      </w:pPr>
    </w:p>
    <w:p>
      <w:pPr>
        <w:ind w:left="340" w:hanging="335"/>
        <w:spacing w:after="0" w:line="23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ind w:left="340" w:hanging="335"/>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Adjustment for the impact of business transformation and optimization activities, as well as associated severance, facility closure costs and lease termination expenses.</w:t>
      </w:r>
    </w:p>
    <w:p>
      <w:pPr>
        <w:spacing w:after="0" w:line="200" w:lineRule="exact"/>
        <w:rPr>
          <w:rFonts w:ascii="Arial" w:cs="Arial" w:eastAsia="Arial" w:hAnsi="Arial"/>
          <w:sz w:val="13"/>
          <w:szCs w:val="13"/>
          <w:color w:val="auto"/>
        </w:rPr>
      </w:pPr>
    </w:p>
    <w:p>
      <w:pPr>
        <w:spacing w:after="0" w:line="392" w:lineRule="exact"/>
        <w:rPr>
          <w:rFonts w:ascii="Arial" w:cs="Arial" w:eastAsia="Arial" w:hAnsi="Arial"/>
          <w:sz w:val="13"/>
          <w:szCs w:val="13"/>
          <w:color w:val="auto"/>
        </w:rPr>
      </w:pPr>
    </w:p>
    <w:p>
      <w:pPr>
        <w:ind w:left="5540" w:hanging="105"/>
        <w:spacing w:after="0"/>
        <w:tabs>
          <w:tab w:leader="none" w:pos="5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2 - MANAGEMENT’S DISCUSSION AND ANALYSIS OF FINANCIAL CONDITION</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AND RESULTS OF OPERATIONS</w:t>
      </w:r>
    </w:p>
    <w:p>
      <w:pPr>
        <w:spacing w:after="0" w:line="237"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consolidated financial statements and the related notes included elsewhere in this Quarterly Report on Form 10-Q (this "Quarterly Report") and with the audited consolidated financial statements and the related notes included in our Annual Report on Form 10-K. References to “Rackspace Technology,” “we,” “our company,” “the company,” “us,” or “our” refer to Rackspace Technology, Inc. and its consolidated subsidiaries.</w:t>
      </w:r>
    </w:p>
    <w:p>
      <w:pPr>
        <w:spacing w:after="0" w:line="206" w:lineRule="exact"/>
        <w:rPr>
          <w:sz w:val="20"/>
          <w:szCs w:val="20"/>
          <w:color w:val="auto"/>
        </w:rPr>
      </w:pPr>
    </w:p>
    <w:p>
      <w:pPr>
        <w:ind w:right="120" w:firstLine="470"/>
        <w:spacing w:after="0" w:line="358" w:lineRule="auto"/>
        <w:rPr>
          <w:sz w:val="20"/>
          <w:szCs w:val="20"/>
          <w:color w:val="auto"/>
        </w:rPr>
      </w:pPr>
      <w:r>
        <w:rPr>
          <w:rFonts w:ascii="Arial" w:cs="Arial" w:eastAsia="Arial" w:hAnsi="Arial"/>
          <w:sz w:val="15"/>
          <w:szCs w:val="15"/>
          <w:i w:val="1"/>
          <w:iCs w:val="1"/>
          <w:color w:val="auto"/>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Overview</w:t>
      </w:r>
    </w:p>
    <w:p>
      <w:pPr>
        <w:spacing w:after="0" w:line="255"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198" w:lineRule="exact"/>
        <w:rPr>
          <w:sz w:val="20"/>
          <w:szCs w:val="20"/>
          <w:color w:val="auto"/>
        </w:rPr>
      </w:pPr>
    </w:p>
    <w:p>
      <w:pPr>
        <w:ind w:firstLine="470"/>
        <w:spacing w:after="0" w:line="299" w:lineRule="auto"/>
        <w:rPr>
          <w:sz w:val="20"/>
          <w:szCs w:val="20"/>
          <w:color w:val="auto"/>
        </w:rPr>
      </w:pPr>
      <w:r>
        <w:rPr>
          <w:rFonts w:ascii="Arial" w:cs="Arial" w:eastAsia="Arial" w:hAnsi="Arial"/>
          <w:sz w:val="15"/>
          <w:szCs w:val="15"/>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1 of Part I, Financial Statements - Note 13,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183"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On August 7, 2020, we completed our initial public offering (the “IPO”), in which we issued and sold 33,500,000 shares of our common stock at a public offering price of $21.00 per share.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Events</w:t>
      </w:r>
    </w:p>
    <w:p>
      <w:pPr>
        <w:spacing w:after="0" w:line="249" w:lineRule="exact"/>
        <w:rPr>
          <w:sz w:val="20"/>
          <w:szCs w:val="20"/>
          <w:color w:val="auto"/>
        </w:rPr>
      </w:pPr>
    </w:p>
    <w:p>
      <w:pPr>
        <w:ind w:right="560" w:firstLine="470"/>
        <w:spacing w:after="0" w:line="288" w:lineRule="auto"/>
        <w:rPr>
          <w:sz w:val="20"/>
          <w:szCs w:val="20"/>
          <w:color w:val="auto"/>
        </w:rPr>
      </w:pPr>
      <w:r>
        <w:rPr>
          <w:rFonts w:ascii="Arial" w:cs="Arial" w:eastAsia="Arial" w:hAnsi="Arial"/>
          <w:sz w:val="17"/>
          <w:szCs w:val="17"/>
          <w:color w:val="auto"/>
        </w:rPr>
        <w:t>For a description of subsequent events, see "Subsequent Events" in Item 1 of Part I, Financial Statements - Note 1, "Company Overview, Basis of Presentation, and Summary of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249" w:lineRule="exact"/>
        <w:rPr>
          <w:sz w:val="20"/>
          <w:szCs w:val="20"/>
          <w:color w:val="auto"/>
        </w:rPr>
      </w:pPr>
    </w:p>
    <w:p>
      <w:pPr>
        <w:ind w:firstLine="470"/>
        <w:spacing w:after="0" w:line="275" w:lineRule="auto"/>
        <w:rPr>
          <w:sz w:val="20"/>
          <w:szCs w:val="20"/>
          <w:color w:val="auto"/>
        </w:rPr>
      </w:pPr>
      <w:r>
        <w:rPr>
          <w:rFonts w:ascii="Arial" w:cs="Arial" w:eastAsia="Arial" w:hAnsi="Arial"/>
          <w:sz w:val="16"/>
          <w:szCs w:val="16"/>
          <w:color w:val="auto"/>
        </w:rPr>
        <w:t>The outbreak of a novel strain of coronavirus, referred to as COVID-19, has spread globally, including within the United States, and resulted in the World Health Organization declaring the outbreak a "pandemic" in March 2020, with variant strains of the virus continuing to be identified globally. The effects of COVID-19 and its variants continue to evolve, and the full impact and duration of the virus are unknown. Managing COVID-19 has severely impacted healthcare systems and businesses worldwide. The effects of COVID-19 and its variants and the response to the virus have negatively impacted overall economic conditions. To date, COVID-19 and its variants have not adversely affected our results of operations or financial condition in any material respect; however, the ultimate extent of the impact of COVID-19 and its variants on our operational and financial performance will depend on certain developments, including the duration and severity of the outbreak, the pace of economic recovery, the possible resurgence in the spread of the virus or any variant strain(s) of the virus, advances in testing, treatment, and prevention, including the efficacy and availability of vaccines, its impact on our customers, vendors and employees and its impact on our sales cycles as well as industry events, all of which are uncertain and cannot be predicted. If the pandemic worsens or the global economic recovery slows, we could experience service disruption, loss of customers or higher levels of doubtful trade accounts receivable, which could have an adverse effect on our results of operations and cash flows. We continue to focus on the health and safety of our employees, customers and partners and, among other things, have implemented a work-from-home policy and are limiting contact between our employees and customers while continuing to deliver a Fanatical Experience. To date, the impact on our business has been limited as most of our services are already delivered remotely or capable of being delivered remotely and we have a diverse customer base. The full extent to which COVID-19 and its variants may impact our financial condition or results of operations over the medium to long term, however, remains uncertain. Due to our recurring revenue business model, the effect of COVID-19 and its variants may not be fully reflected in our results of operations until future periods, if at all.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including developing a plan to return our workforce back to the office when it is safe to do so.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55"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Differentiating Our Service Offerings in a Competitive Market Environment</w:t>
      </w:r>
    </w:p>
    <w:p>
      <w:pPr>
        <w:spacing w:after="0" w:line="249"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Azure, Google Cloud, Oracle, SAP and VMWare. We believe we are unique in our ability to serve customers across major technology stacks and deployment options, all while delivering a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 Annualized Recurring Revenue (“ARR”), which we believe is an important indicator of our market differentiation and future revenue opportunity from recurring customer contracts, was $2,492.9 million and $2,817.1 million for the three months ended June 30, 2020 and 2021, respectively. See “</w:t>
      </w:r>
      <w:r>
        <w:rPr>
          <w:rFonts w:ascii="Arial" w:cs="Arial" w:eastAsia="Arial" w:hAnsi="Arial"/>
          <w:sz w:val="17"/>
          <w:szCs w:val="17"/>
          <w:i w:val="1"/>
          <w:iCs w:val="1"/>
          <w:color w:val="auto"/>
        </w:rPr>
        <w:t>Key Operating Metrics</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Relationships and Retention</w:t>
      </w:r>
    </w:p>
    <w:p>
      <w:pPr>
        <w:spacing w:after="0" w:line="249" w:lineRule="exact"/>
        <w:rPr>
          <w:sz w:val="20"/>
          <w:szCs w:val="20"/>
          <w:color w:val="auto"/>
        </w:rPr>
      </w:pPr>
    </w:p>
    <w:p>
      <w:pPr>
        <w:ind w:right="160" w:firstLine="470"/>
        <w:spacing w:after="0" w:line="280" w:lineRule="auto"/>
        <w:rPr>
          <w:sz w:val="20"/>
          <w:szCs w:val="20"/>
          <w:color w:val="auto"/>
        </w:rPr>
      </w:pPr>
      <w:r>
        <w:rPr>
          <w:rFonts w:ascii="Arial" w:cs="Arial" w:eastAsia="Arial" w:hAnsi="Arial"/>
          <w:sz w:val="16"/>
          <w:szCs w:val="16"/>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the Rackspace Fabric provides customers a unified experience across their entire cloud and security footprint, and that our Rackspace Elastic Engineering model, announced in April 2021,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Shift in Capital Intensity</w:t>
      </w:r>
    </w:p>
    <w:p>
      <w:pPr>
        <w:spacing w:after="0" w:line="249" w:lineRule="exact"/>
        <w:rPr>
          <w:sz w:val="20"/>
          <w:szCs w:val="20"/>
          <w:color w:val="auto"/>
        </w:rPr>
      </w:pPr>
    </w:p>
    <w:p>
      <w:pPr>
        <w:ind w:right="40" w:firstLine="470"/>
        <w:spacing w:after="0" w:line="302" w:lineRule="auto"/>
        <w:rPr>
          <w:sz w:val="20"/>
          <w:szCs w:val="20"/>
          <w:color w:val="auto"/>
        </w:rPr>
      </w:pPr>
      <w:r>
        <w:rPr>
          <w:rFonts w:ascii="Arial" w:cs="Arial" w:eastAsia="Arial" w:hAnsi="Arial"/>
          <w:sz w:val="15"/>
          <w:szCs w:val="15"/>
          <w:color w:val="auto"/>
        </w:rPr>
        <w:t>In recent years, the mix of our revenues has shifted from high capital intensity service offerings to low capital intensity service offerings and we expect this mix shift to continue. Historically, we primarily offered dedicated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multicloud services, application services and professional services, which have significantly lower success-based capital requirements because they allow us to leverage our partners’ infrastructure or technology because we are able to use technology to make our capital expenditures more efficient. As a result, we have recently experienced and expect to continue to experience changes in our capital expenditures requirements.</w:t>
      </w:r>
    </w:p>
    <w:p>
      <w:pPr>
        <w:spacing w:after="0" w:line="180"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Our capital expenditures equaled 8% and 11% of our revenue for the three months ended June 30, 2020 and 2021, respectively, and 10% of our revenue for both the six months ended June 30, 2020 and 2021. The increase in the second quarter of 2021 was primarily driven by the renewal of multi-year, enterprise storage and software license agreements which are recognized as capital expenditures in the period of renewal, despite the cash payments occurring over time. While there is some variability in capital expenditures from quarter to quarter due to timing of purchases, we expect to lower capex intensity levels over the longer term.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Operating Metrics</w:t>
      </w:r>
    </w:p>
    <w:p>
      <w:pPr>
        <w:spacing w:after="0" w:line="255"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following table and discussion present and summarize our key operating performance indicators, which management uses as measures of our current and future business and financial performance:</w:t>
      </w:r>
    </w:p>
    <w:p>
      <w:pPr>
        <w:spacing w:after="0" w:line="313"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4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b w:val="1"/>
                <w:bCs w:val="1"/>
                <w:color w:val="auto"/>
              </w:rPr>
              <w:t>2021</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Bookings</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w:t>
            </w:r>
          </w:p>
        </w:tc>
      </w:tr>
      <w:tr>
        <w:trPr>
          <w:trHeight w:val="203"/>
        </w:trPr>
        <w:tc>
          <w:tcPr>
            <w:tcW w:w="7120" w:type="dxa"/>
            <w:vAlign w:val="bottom"/>
          </w:tcPr>
          <w:p>
            <w:pPr>
              <w:ind w:left="20"/>
              <w:spacing w:after="0"/>
              <w:rPr>
                <w:sz w:val="20"/>
                <w:szCs w:val="20"/>
                <w:color w:val="auto"/>
              </w:rPr>
            </w:pPr>
            <w:r>
              <w:rPr>
                <w:rFonts w:ascii="Arial" w:cs="Arial" w:eastAsia="Arial" w:hAnsi="Arial"/>
                <w:sz w:val="16"/>
                <w:szCs w:val="16"/>
                <w:color w:val="auto"/>
              </w:rPr>
              <w:t>Annualized Recurring Revenue (ARR)</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2,492.9</w:t>
            </w:r>
          </w:p>
        </w:tc>
        <w:tc>
          <w:tcPr>
            <w:tcW w:w="12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2,817.1</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Bookings</w:t>
      </w:r>
    </w:p>
    <w:p>
      <w:pPr>
        <w:spacing w:after="0" w:line="249" w:lineRule="exact"/>
        <w:rPr>
          <w:sz w:val="20"/>
          <w:szCs w:val="20"/>
          <w:color w:val="auto"/>
        </w:rPr>
      </w:pPr>
    </w:p>
    <w:p>
      <w:pPr>
        <w:ind w:right="60" w:firstLine="470"/>
        <w:spacing w:after="0" w:line="288" w:lineRule="auto"/>
        <w:rPr>
          <w:sz w:val="20"/>
          <w:szCs w:val="20"/>
          <w:color w:val="auto"/>
        </w:rPr>
      </w:pPr>
      <w:r>
        <w:rPr>
          <w:rFonts w:ascii="Arial" w:cs="Arial" w:eastAsia="Arial" w:hAnsi="Arial"/>
          <w:sz w:val="16"/>
          <w:szCs w:val="16"/>
          <w:color w:val="auto"/>
        </w:rPr>
        <w:t>We calculate Bookings for a given period as the annualized monthly value of our recurring customer contracts entered into during the period from (i) new customers and (ii) net upgrades by existing customers within the same workload, plus the actual (not annualized) estimated value of professional services consulting, advisory or project-based orders received during the period. “Recurring customer contracts” are any contracts entered into on a multi-year or month-to-month basis, but excluding any professional services contracts for consulting, advisory or project-based work.</w:t>
      </w:r>
    </w:p>
    <w:p>
      <w:pPr>
        <w:spacing w:after="0" w:line="188"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Bookings for any period may reflect orders that we perform in the same period, orders that remain outstanding as of the end of the period and the annualized value of recurring month-to-month contracts entered into during the period, even if the terms of such contracts do not require the contract to be renewed. Bookings include net upgrades by existing customers within the same workload, but exclude net downgrades by such customers within that workload. Any customer that contracts for a new workload is considered a new customer and the entire value of the contract or upgrade is recorded in Bookings, irrespective of whether the same customer canceled or downgraded other workloads. Bookings also do not include the impact of any known contract non-renewals or service cancellations by our customers, except for positive net upgrades by existing customers. In cases where a new or upgrading customer enters into a multi-year contract, Bookings include only the annualized contract value. Bookings do not include usage-based fees in excess of contracted minimum commitments until actually incurred.</w:t>
      </w:r>
    </w:p>
    <w:p>
      <w:pPr>
        <w:spacing w:after="0" w:line="207" w:lineRule="exact"/>
        <w:rPr>
          <w:sz w:val="20"/>
          <w:szCs w:val="20"/>
          <w:color w:val="auto"/>
        </w:rPr>
      </w:pPr>
    </w:p>
    <w:p>
      <w:pPr>
        <w:ind w:firstLine="470"/>
        <w:spacing w:after="0" w:line="288" w:lineRule="auto"/>
        <w:rPr>
          <w:sz w:val="20"/>
          <w:szCs w:val="20"/>
          <w:color w:val="auto"/>
        </w:rPr>
      </w:pPr>
      <w:r>
        <w:rPr>
          <w:rFonts w:ascii="Arial" w:cs="Arial" w:eastAsia="Arial" w:hAnsi="Arial"/>
          <w:sz w:val="16"/>
          <w:szCs w:val="16"/>
          <w:color w:val="auto"/>
        </w:rPr>
        <w:t>We use Bookings to measure the amount of new business generated in a period, which we believe is an important indicator of new customer acquisition and our ability to cross-sell new services to existing customers. Bookings are also used by management as a factor in determining performance-based compensation for our sales force. While we believe Bookings, in combination with other metrics, is an indicator of our near-term future revenue opportunity, it is not intended to be used as a projection of future revenue. Our calculation of Bookings may differ from similarly-titled metrics presented by other companies.</w:t>
      </w:r>
    </w:p>
    <w:p>
      <w:pPr>
        <w:spacing w:after="0" w:line="188" w:lineRule="exact"/>
        <w:rPr>
          <w:sz w:val="20"/>
          <w:szCs w:val="20"/>
          <w:color w:val="auto"/>
        </w:rPr>
      </w:pPr>
    </w:p>
    <w:p>
      <w:pPr>
        <w:ind w:right="240" w:firstLine="470"/>
        <w:spacing w:after="0" w:line="313" w:lineRule="auto"/>
        <w:rPr>
          <w:sz w:val="20"/>
          <w:szCs w:val="20"/>
          <w:color w:val="auto"/>
        </w:rPr>
      </w:pPr>
      <w:r>
        <w:rPr>
          <w:rFonts w:ascii="Arial" w:cs="Arial" w:eastAsia="Arial" w:hAnsi="Arial"/>
          <w:sz w:val="15"/>
          <w:szCs w:val="15"/>
          <w:color w:val="auto"/>
        </w:rPr>
        <w:t>Our Bookings decreased $30.3 million to $258.2 million for the three months ended June 30, 2021 from $288.5 million for the three months ended June 30, 2020. Bookings for the three months ended June 30, 2020 included one large deal valued at approximately $38 million. Excluding this deal from the comparative period, Bookings growth was 3% year-over-year. The 3% increase in Bookings was attributable to the execution of several initiatives focused on enhancing growth, including an investment in sales, an improvement in sales productivity, and an increase in the number of enterprise customers.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Annualized Recurring Revenue</w:t>
      </w:r>
    </w:p>
    <w:p>
      <w:pPr>
        <w:spacing w:after="0" w:line="236"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We calculate Annualized Recurring Revenue, or ARR, by annualizing our actual revenue from existing recurring customer contracts (as defined under “Bookings” above) for the most recently completed fiscal quarter. ARR is not adjusted for the impact of any known or projected future customer cancellations, service upgrades or downgrades or price increases or decreases.</w:t>
      </w:r>
    </w:p>
    <w:p>
      <w:pPr>
        <w:spacing w:after="0" w:line="198" w:lineRule="exact"/>
        <w:rPr>
          <w:sz w:val="20"/>
          <w:szCs w:val="20"/>
          <w:color w:val="auto"/>
        </w:rPr>
      </w:pPr>
    </w:p>
    <w:p>
      <w:pPr>
        <w:ind w:right="160" w:firstLine="470"/>
        <w:spacing w:after="0" w:line="264" w:lineRule="auto"/>
        <w:rPr>
          <w:sz w:val="20"/>
          <w:szCs w:val="20"/>
          <w:color w:val="auto"/>
        </w:rPr>
      </w:pPr>
      <w:r>
        <w:rPr>
          <w:rFonts w:ascii="Arial" w:cs="Arial" w:eastAsia="Arial" w:hAnsi="Arial"/>
          <w:sz w:val="17"/>
          <w:szCs w:val="17"/>
          <w:color w:val="auto"/>
        </w:rPr>
        <w:t>We use ARR as a measure of our revenue trend and an indicator of our future revenue opportunity from existing recurring customer contracts, assuming zero cancellations. The amount of actual revenue that we recognize over any 12-month period is likely to differ from ARR at the beginning of that period, sometimes significantly. This may occur due to new Bookings, higher or lower professional services revenue, subsequent changes in our pricing, service cancellations, upgrades or downgrades and acquisitions or divestitures. Our calculation of ARR may differ from similarly-titled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ARR was $2,492.9 million and $2,817.1 million for the three months ended June 30, 2020 and 2021, respectively.</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Key Components of Statement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6"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month-to-month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36" w:lineRule="exact"/>
        <w:rPr>
          <w:sz w:val="20"/>
          <w:szCs w:val="20"/>
          <w:color w:val="auto"/>
        </w:rPr>
      </w:pPr>
    </w:p>
    <w:p>
      <w:pPr>
        <w:ind w:right="240" w:firstLine="470"/>
        <w:spacing w:after="0" w:line="313" w:lineRule="auto"/>
        <w:rPr>
          <w:sz w:val="20"/>
          <w:szCs w:val="20"/>
          <w:color w:val="auto"/>
        </w:rPr>
      </w:pPr>
      <w:r>
        <w:rPr>
          <w:rFonts w:ascii="Arial" w:cs="Arial" w:eastAsia="Arial" w:hAnsi="Arial"/>
          <w:sz w:val="15"/>
          <w:szCs w:val="15"/>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 (SG&amp;A)</w:t>
      </w:r>
    </w:p>
    <w:p>
      <w:pPr>
        <w:spacing w:after="0" w:line="236"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06"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84" w:lineRule="exact"/>
        <w:rPr>
          <w:sz w:val="20"/>
          <w:szCs w:val="20"/>
          <w:color w:val="auto"/>
        </w:rPr>
      </w:pPr>
    </w:p>
    <w:p>
      <w:pPr>
        <w:ind w:right="260" w:firstLine="470"/>
        <w:spacing w:after="0" w:line="267" w:lineRule="auto"/>
        <w:rPr>
          <w:sz w:val="20"/>
          <w:szCs w:val="20"/>
          <w:color w:val="auto"/>
        </w:rPr>
      </w:pPr>
      <w:r>
        <w:rPr>
          <w:rFonts w:ascii="Arial" w:cs="Arial" w:eastAsia="Arial" w:hAnsi="Arial"/>
          <w:sz w:val="17"/>
          <w:szCs w:val="17"/>
          <w:color w:val="auto"/>
        </w:rPr>
        <w:t>Additionally, SG&amp;A has historically included management fees. The management consulting agreements were terminated on August 4, 2020, and therefore no management fees will accrue or be payable for periods subsequent to that date, thereby reducing our SG&amp;A expenses; however, we also expect certain of our other recurring SG&amp;A costs to increase due to the expansion of accounting, legal, investor relations and other functions, incremental insurance coverage and other services needed to operate as a public company.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6"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9, "Taxes."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55"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color w:val="auto"/>
        </w:rPr>
        <w:t>We discuss our historical results of operations, and the key components of those results, below. Past financial results are not necessarily indicative of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June 30, 2020 Compared to Three Months Ended June 30, 2021</w:t>
      </w:r>
    </w:p>
    <w:p>
      <w:pPr>
        <w:spacing w:after="0" w:line="249"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6"/>
                <w:szCs w:val="16"/>
                <w:b w:val="1"/>
                <w:bCs w:val="1"/>
                <w:color w:val="auto"/>
                <w:w w:val="94"/>
              </w:rPr>
              <w:t>Three Months Ended 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6"/>
                <w:szCs w:val="16"/>
                <w:b w:val="1"/>
                <w:bCs w:val="1"/>
                <w:color w:val="auto"/>
                <w:w w:val="94"/>
              </w:rPr>
              <w:t>Year-Over-Year Comparison</w:t>
            </w:r>
          </w:p>
        </w:tc>
      </w:tr>
      <w:tr>
        <w:trPr>
          <w:trHeight w:val="202"/>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 Change</w:t>
            </w:r>
          </w:p>
        </w:tc>
      </w:tr>
      <w:tr>
        <w:trPr>
          <w:trHeight w:val="205"/>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0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22.6 %</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6.1 %</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from operations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(87.2)%</w:t>
            </w:r>
          </w:p>
        </w:tc>
      </w:tr>
      <w:tr>
        <w:trPr>
          <w:trHeight w:val="206"/>
        </w:trPr>
        <w:tc>
          <w:tcPr>
            <w:tcW w:w="32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Gain on investments, net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(90.0)%</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6"/>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100.0 %</w:t>
            </w:r>
          </w:p>
        </w:tc>
      </w:tr>
      <w:tr>
        <w:trPr>
          <w:trHeight w:val="205"/>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199"/>
        </w:trPr>
        <w:tc>
          <w:tcPr>
            <w:tcW w:w="3280" w:type="dxa"/>
            <w:vAlign w:val="bottom"/>
          </w:tcPr>
          <w:p>
            <w:pPr>
              <w:ind w:left="340"/>
              <w:spacing w:after="0"/>
              <w:rPr>
                <w:sz w:val="20"/>
                <w:szCs w:val="20"/>
                <w:color w:val="auto"/>
              </w:rPr>
            </w:pPr>
            <w:r>
              <w:rPr>
                <w:rFonts w:ascii="Arial" w:cs="Arial" w:eastAsia="Arial" w:hAnsi="Arial"/>
                <w:sz w:val="16"/>
                <w:szCs w:val="16"/>
                <w:color w:val="auto"/>
              </w:rPr>
              <w:t>Loss before income taxes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5.6 %</w:t>
            </w: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05"/>
        </w:trPr>
        <w:tc>
          <w:tcPr>
            <w:tcW w:w="3280" w:type="dxa"/>
            <w:vAlign w:val="bottom"/>
          </w:tcPr>
          <w:p>
            <w:pPr>
              <w:ind w:left="46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12.3 %</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Revenue increased $87 million, or 13.3%, to $744 million in the three months ended June 30, 2021 from $657 million in the three months ended June 30,</w:t>
      </w:r>
    </w:p>
    <w:p>
      <w:pPr>
        <w:spacing w:after="0" w:line="49"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2020. Revenue was positively impacted by new customer acquisition and growing customer spend in our Multicloud Services and Apps &amp; Cross Platform segments, as discussed below.</w:t>
      </w:r>
    </w:p>
    <w:p>
      <w:pPr>
        <w:spacing w:after="0" w:line="197"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After removing the impact of foreign currency fluctuations, on a constant currency basis, revenue increased 11.4% year-over-year. The following table presents revenue growth by segment: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6"/>
                <w:szCs w:val="16"/>
                <w:b w:val="1"/>
                <w:bCs w:val="1"/>
                <w:color w:val="auto"/>
                <w:w w:val="98"/>
              </w:rPr>
              <w:t>Three Months Ended June 30,</w:t>
            </w:r>
          </w:p>
        </w:tc>
        <w:tc>
          <w:tcPr>
            <w:tcW w:w="12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1302"/>
              <w:spacing w:after="0"/>
              <w:rPr>
                <w:sz w:val="20"/>
                <w:szCs w:val="20"/>
                <w:color w:val="auto"/>
              </w:rPr>
            </w:pPr>
            <w:r>
              <w:rPr>
                <w:rFonts w:ascii="Arial" w:cs="Arial" w:eastAsia="Arial" w:hAnsi="Arial"/>
                <w:sz w:val="16"/>
                <w:szCs w:val="16"/>
                <w:b w:val="1"/>
                <w:bCs w:val="1"/>
                <w:color w:val="auto"/>
              </w:rPr>
              <w:t>% Change</w:t>
            </w:r>
          </w:p>
        </w:tc>
      </w:tr>
      <w:tr>
        <w:trPr>
          <w:trHeight w:val="20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42"/>
              <w:spacing w:after="0" w:line="206" w:lineRule="exact"/>
              <w:rPr>
                <w:sz w:val="20"/>
                <w:szCs w:val="20"/>
                <w:color w:val="auto"/>
              </w:rPr>
            </w:pPr>
            <w:r>
              <w:rPr>
                <w:rFonts w:ascii="Arial" w:cs="Arial" w:eastAsia="Arial" w:hAnsi="Arial"/>
                <w:sz w:val="16"/>
                <w:szCs w:val="16"/>
                <w:b w:val="1"/>
                <w:bCs w:val="1"/>
                <w:color w:val="auto"/>
                <w:w w:val="94"/>
              </w:rPr>
              <w:t xml:space="preserve">Constant Currency </w:t>
            </w:r>
            <w:r>
              <w:rPr>
                <w:rFonts w:ascii="Arial" w:cs="Arial" w:eastAsia="Arial" w:hAnsi="Arial"/>
                <w:sz w:val="20"/>
                <w:szCs w:val="20"/>
                <w:b w:val="1"/>
                <w:bCs w:val="1"/>
                <w:color w:val="auto"/>
                <w:w w:val="94"/>
                <w:vertAlign w:val="superscript"/>
              </w:rPr>
              <w:t>(1)</w:t>
            </w:r>
          </w:p>
        </w:tc>
      </w:tr>
      <w:tr>
        <w:trPr>
          <w:trHeight w:val="20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15.0 %</w:t>
            </w:r>
          </w:p>
        </w:tc>
      </w:tr>
      <w:tr>
        <w:trPr>
          <w:trHeight w:val="205"/>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Revenue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(21.9)%</w:t>
            </w:r>
          </w:p>
        </w:tc>
      </w:tr>
      <w:tr>
        <w:trPr>
          <w:trHeight w:val="23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2" w:lineRule="exact"/>
        <w:rPr>
          <w:sz w:val="20"/>
          <w:szCs w:val="20"/>
          <w:color w:val="auto"/>
        </w:rPr>
      </w:pPr>
    </w:p>
    <w:p>
      <w:pPr>
        <w:ind w:left="380" w:hanging="375"/>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540" w:hanging="105"/>
        <w:spacing w:after="0"/>
        <w:tabs>
          <w:tab w:leader="none" w:pos="5540" w:val="left"/>
        </w:tabs>
        <w:numPr>
          <w:ilvl w:val="1"/>
          <w:numId w:val="9"/>
        </w:numPr>
        <w:rPr>
          <w:rFonts w:ascii="Arial" w:cs="Arial" w:eastAsia="Arial" w:hAnsi="Arial"/>
          <w:sz w:val="17"/>
          <w:szCs w:val="17"/>
          <w:color w:val="auto"/>
        </w:rPr>
      </w:pPr>
      <w:r>
        <w:rPr>
          <w:rFonts w:ascii="Arial" w:cs="Arial" w:eastAsia="Arial" w:hAnsi="Arial"/>
          <w:sz w:val="17"/>
          <w:szCs w:val="17"/>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right="60" w:firstLine="470"/>
        <w:spacing w:after="0" w:line="272" w:lineRule="auto"/>
        <w:rPr>
          <w:sz w:val="20"/>
          <w:szCs w:val="20"/>
          <w:color w:val="auto"/>
        </w:rPr>
      </w:pPr>
      <w:r>
        <w:rPr>
          <w:rFonts w:ascii="Arial" w:cs="Arial" w:eastAsia="Arial" w:hAnsi="Arial"/>
          <w:sz w:val="17"/>
          <w:szCs w:val="17"/>
          <w:color w:val="auto"/>
        </w:rPr>
        <w:t>Multicloud Services revenue in the three months ended June 30, 2021 increased 17%, on an actual basis, and 15% on a constant currency basis, from the three months ended June 30, 2020. Underlying growth was driven by both the acquisition of new customers and increased spend by existing customers, partially offset by cancellations by existing customers.</w:t>
      </w:r>
    </w:p>
    <w:p>
      <w:pPr>
        <w:spacing w:after="0" w:line="198"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Apps &amp; Cross Platform revenue in the three months ended June 30, 2021 increased 16%, on an actual basis, and 15% on a constant currency basis, from the three months ended June 30, 2020, primarily due to growth in our offerings for managed security and management of productivity and collaboration applications, partially offset by a decrease in professional services revenue.</w:t>
      </w:r>
    </w:p>
    <w:p>
      <w:pPr>
        <w:spacing w:after="0" w:line="198"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OpenStack Public Cloud revenue in the three months ended June 30, 2021 decreased 20%, on an actual basis, and 22% on a constant currency basis, from the three months ended June 30, 2020 due to customer churn.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49"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Cost of revenue increased $94 million, or 23%, to $508 million in the three months ended June 30, 2021 from $415 million in the three months ended June 30, 2020, primarily due to an increase in usage charges for third-party infrastructure associated with growth in these offerings and the impact of an increased volume of larger, multi-year customer contracts which typically have a larger infrastructure component and lower margins. The increase in third-party infrastructure was partially offset by a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Additionally, in March 2021, we completed an assessment of the useful lives of certain customer gear equipment which resulted in a revision of certain useful lives within our policy ranges, further contributing to the reduction in depreciation expense. We also had a year-over-year reduction in data center costs as a result of initiatives to lower our cost structure, which included the consolidation of data center facilities. There was a moderate decline in personnel costs primarily due to an increased number of roles in lower-cost locations and a reduction in non-equity incentive bonus expense, partially offset by an increase in share-based compensation expense.</w:t>
      </w:r>
    </w:p>
    <w:p>
      <w:pPr>
        <w:spacing w:after="0" w:line="195"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As a percentage of revenue, cost of revenue increased 510 basis points in the three months ended June 30, 2021 to 68.3% from 63.2% in the three months ended June 30, 2020, primarily driven by a 1,330 basis point increase in usage charges for third-party infrastructure, partially offset by a decrease related to depreciation, personnel, and data center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 and Non-GAAP Gross Profit</w:t>
      </w:r>
    </w:p>
    <w:p>
      <w:pPr>
        <w:spacing w:after="0" w:line="236"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Our consolidated gross profit was $236 million in the three months ended June 30, 2021, a decrease of $6 million from $242 million in the three months ended June 30, 2020. Our Non-GAAP Gross Profit was $250 million in the three months ended June 30, 2021, a decrease of $1 million from $251 million in the three months ended June 30, 2020. Non-GAAP Gross Profit is a non-GAAP financial measure. See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below for more information. Our consolidated gross margin was 31.7% in the three months ended June 30, 2021, a decrease of 510 basis points from 36.8% in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table below presents our segment non-GAAP gross profit and gross margin for the periods indicated, and the change in gross profit between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Three Months Ended June 30,</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6"/>
                <w:szCs w:val="16"/>
                <w:b w:val="1"/>
                <w:bCs w:val="1"/>
                <w:color w:val="auto"/>
                <w:w w:val="91"/>
              </w:rPr>
              <w:t>Year-Over-Year Comparison</w:t>
            </w:r>
          </w:p>
        </w:tc>
        <w:tc>
          <w:tcPr>
            <w:tcW w:w="0" w:type="dxa"/>
            <w:vAlign w:val="bottom"/>
          </w:tcPr>
          <w:p>
            <w:pPr>
              <w:spacing w:after="0"/>
              <w:rPr>
                <w:sz w:val="1"/>
                <w:szCs w:val="1"/>
                <w:color w:val="auto"/>
              </w:rPr>
            </w:pPr>
          </w:p>
        </w:tc>
      </w:tr>
      <w:tr>
        <w:trPr>
          <w:trHeight w:val="153"/>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 by segment:</w:t>
            </w:r>
          </w:p>
        </w:tc>
        <w:tc>
          <w:tcPr>
            <w:tcW w:w="16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3"/>
                <w:szCs w:val="13"/>
                <w:color w:val="auto"/>
              </w:rPr>
            </w:pPr>
          </w:p>
        </w:tc>
        <w:tc>
          <w:tcPr>
            <w:tcW w:w="1160" w:type="dxa"/>
            <w:vAlign w:val="bottom"/>
          </w:tcPr>
          <w:p>
            <w:pPr>
              <w:jc w:val="right"/>
              <w:ind w:right="22"/>
              <w:spacing w:after="0" w:line="153" w:lineRule="exact"/>
              <w:rPr>
                <w:sz w:val="20"/>
                <w:szCs w:val="20"/>
                <w:color w:val="auto"/>
              </w:rPr>
            </w:pPr>
            <w:r>
              <w:rPr>
                <w:rFonts w:ascii="Arial" w:cs="Arial" w:eastAsia="Arial" w:hAnsi="Arial"/>
                <w:sz w:val="16"/>
                <w:szCs w:val="16"/>
                <w:b w:val="1"/>
                <w:bCs w:val="1"/>
                <w:color w:val="auto"/>
                <w:w w:val="98"/>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8"/>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4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Revenue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540" w:type="dxa"/>
            <w:vAlign w:val="bottom"/>
            <w:gridSpan w:val="4"/>
            <w:shd w:val="clear" w:color="auto" w:fill="CCEEFF"/>
          </w:tcPr>
          <w:p>
            <w:pPr>
              <w:ind w:left="820"/>
              <w:spacing w:after="0"/>
              <w:rPr>
                <w:sz w:val="20"/>
                <w:szCs w:val="20"/>
                <w:color w:val="auto"/>
              </w:rPr>
            </w:pPr>
            <w:r>
              <w:rPr>
                <w:rFonts w:ascii="Arial" w:cs="Arial" w:eastAsia="Arial" w:hAnsi="Arial"/>
                <w:sz w:val="16"/>
                <w:szCs w:val="16"/>
                <w:color w:val="auto"/>
              </w:rPr>
              <w:t>33.4 %  $</w:t>
            </w:r>
          </w:p>
        </w:tc>
        <w:tc>
          <w:tcPr>
            <w:tcW w:w="90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89"/>
              </w:rPr>
              <w:t>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33.8 %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w:t>
            </w:r>
          </w:p>
        </w:tc>
        <w:tc>
          <w:tcPr>
            <w:tcW w:w="1280" w:type="dxa"/>
            <w:vAlign w:val="bottom"/>
            <w:gridSpan w:val="2"/>
          </w:tcPr>
          <w:p>
            <w:pPr>
              <w:ind w:left="820"/>
              <w:spacing w:after="0"/>
              <w:rPr>
                <w:sz w:val="20"/>
                <w:szCs w:val="20"/>
                <w:color w:val="auto"/>
              </w:rPr>
            </w:pPr>
            <w:r>
              <w:rPr>
                <w:rFonts w:ascii="Arial" w:cs="Arial" w:eastAsia="Arial" w:hAnsi="Arial"/>
                <w:sz w:val="16"/>
                <w:szCs w:val="16"/>
                <w:color w:val="auto"/>
                <w:w w:val="88"/>
              </w:rPr>
              <w:t>34.5 %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left="502"/>
              <w:spacing w:after="0"/>
              <w:rPr>
                <w:sz w:val="20"/>
                <w:szCs w:val="20"/>
                <w:color w:val="auto"/>
              </w:rPr>
            </w:pPr>
            <w:r>
              <w:rPr>
                <w:rFonts w:ascii="Arial" w:cs="Arial" w:eastAsia="Arial" w:hAnsi="Arial"/>
                <w:sz w:val="16"/>
                <w:szCs w:val="16"/>
                <w:color w:val="auto"/>
                <w:w w:val="89"/>
              </w:rPr>
              <w:t>5.0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18.5 %</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41.1 %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88"/>
              </w:rPr>
              <w:t>35.0 %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42"/>
              <w:spacing w:after="0"/>
              <w:rPr>
                <w:sz w:val="20"/>
                <w:szCs w:val="20"/>
                <w:color w:val="auto"/>
              </w:rPr>
            </w:pPr>
            <w:r>
              <w:rPr>
                <w:rFonts w:ascii="Arial" w:cs="Arial" w:eastAsia="Arial" w:hAnsi="Arial"/>
                <w:sz w:val="16"/>
                <w:szCs w:val="16"/>
                <w:color w:val="auto"/>
                <w:w w:val="91"/>
              </w:rPr>
              <w:t>(7.6)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99"/>
        </w:trPr>
        <w:tc>
          <w:tcPr>
            <w:tcW w:w="410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251.4</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left="442"/>
              <w:spacing w:after="0"/>
              <w:rPr>
                <w:sz w:val="20"/>
                <w:szCs w:val="20"/>
                <w:color w:val="auto"/>
              </w:rPr>
            </w:pPr>
            <w:r>
              <w:rPr>
                <w:rFonts w:ascii="Arial" w:cs="Arial" w:eastAsia="Arial" w:hAnsi="Arial"/>
                <w:sz w:val="16"/>
                <w:szCs w:val="16"/>
                <w:color w:val="auto"/>
                <w:w w:val="91"/>
              </w:rPr>
              <w:t>(1.3)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line="209"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340"/>
              <w:spacing w:after="0" w:line="209"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0"/>
                <w:szCs w:val="20"/>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46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60" w:right="600" w:hanging="391"/>
        <w:spacing w:after="0" w:line="232" w:lineRule="auto"/>
        <w:rPr>
          <w:sz w:val="20"/>
          <w:szCs w:val="20"/>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 for the impact of purchase accounting from the Rackspace Acquisition on expenses.</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5"/>
          <w:szCs w:val="15"/>
          <w:color w:val="auto"/>
        </w:rPr>
        <w:t>Adjustment for the impact of business transformation and optimization activities, as well as associated severance, facility closure costs and lease termination expenses.</w:t>
      </w:r>
    </w:p>
    <w:p>
      <w:pPr>
        <w:spacing w:after="0" w:line="348" w:lineRule="exact"/>
        <w:rPr>
          <w:sz w:val="20"/>
          <w:szCs w:val="20"/>
          <w:color w:val="auto"/>
        </w:rPr>
      </w:pPr>
    </w:p>
    <w:p>
      <w:pPr>
        <w:ind w:right="220" w:firstLine="470"/>
        <w:spacing w:after="0" w:line="272" w:lineRule="auto"/>
        <w:rPr>
          <w:sz w:val="20"/>
          <w:szCs w:val="20"/>
          <w:color w:val="auto"/>
        </w:rPr>
      </w:pPr>
      <w:r>
        <w:rPr>
          <w:rFonts w:ascii="Arial" w:cs="Arial" w:eastAsia="Arial" w:hAnsi="Arial"/>
          <w:sz w:val="17"/>
          <w:szCs w:val="17"/>
          <w:color w:val="auto"/>
        </w:rPr>
        <w:t>Multicloud Services non-GAAP gross profit was relatively flat year-over-year. Segment non-GAAP gross profit as a percentage of segment revenue decreased by 530 basis points, reflecting a 27% increase in segment cost of revenue and a 17% increase in segment revenue. The increase in costs was mainly driven by higher third-party infrastructure costs, partially offset by lower depreciation and data center costs.</w:t>
      </w:r>
    </w:p>
    <w:p>
      <w:pPr>
        <w:spacing w:after="0" w:line="198" w:lineRule="exact"/>
        <w:rPr>
          <w:sz w:val="20"/>
          <w:szCs w:val="20"/>
          <w:color w:val="auto"/>
        </w:rPr>
      </w:pPr>
    </w:p>
    <w:p>
      <w:pPr>
        <w:ind w:right="260" w:firstLine="470"/>
        <w:spacing w:after="0" w:line="267" w:lineRule="auto"/>
        <w:rPr>
          <w:sz w:val="20"/>
          <w:szCs w:val="20"/>
          <w:color w:val="auto"/>
        </w:rPr>
      </w:pPr>
      <w:r>
        <w:rPr>
          <w:rFonts w:ascii="Arial" w:cs="Arial" w:eastAsia="Arial" w:hAnsi="Arial"/>
          <w:sz w:val="17"/>
          <w:szCs w:val="17"/>
          <w:color w:val="auto"/>
        </w:rPr>
        <w:t>Apps &amp; Cross Platform non-GAAP gross profit increased 19% in the three months ended June 30, 2021 from the three months ended June 30, 2020. Segment non-GAAP gross profit as a percentage of segment revenue increased by 70 basis points, reflecting a 15% increase in segment cost of revenue and a 16% increase in segment revenue. The increase in cost of revenue was driven by the segment’s higher business volume as well as higher third-party infrastructure costs.</w:t>
      </w:r>
    </w:p>
    <w:p>
      <w:pPr>
        <w:spacing w:after="0" w:line="202"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OpenStack Public Cloud non-GAAP gross profit decreased 32% in the three months ended June 30, 2021 from the three months ended June 30, 2020 due to customer churn. Segment non-GAAP gross profit as a percentage of segment revenue decreased by 610 basis points, reflecting a 20% decrease in segment revenue, partially offset by a 12% decrease in segment cost of revenue.</w:t>
      </w:r>
    </w:p>
    <w:p>
      <w:pPr>
        <w:spacing w:after="0" w:line="198" w:lineRule="exact"/>
        <w:rPr>
          <w:sz w:val="20"/>
          <w:szCs w:val="20"/>
          <w:color w:val="auto"/>
        </w:rPr>
      </w:pPr>
    </w:p>
    <w:p>
      <w:pPr>
        <w:ind w:right="220" w:firstLine="470"/>
        <w:spacing w:after="0" w:line="288" w:lineRule="auto"/>
        <w:rPr>
          <w:sz w:val="20"/>
          <w:szCs w:val="20"/>
          <w:color w:val="auto"/>
        </w:rPr>
      </w:pPr>
      <w:r>
        <w:rPr>
          <w:rFonts w:ascii="Arial" w:cs="Arial" w:eastAsia="Arial" w:hAnsi="Arial"/>
          <w:sz w:val="16"/>
          <w:szCs w:val="16"/>
          <w:color w:val="auto"/>
        </w:rPr>
        <w:t>The aggregate amount of costs reflected in consolidated gross profit but excluded from segment non-GAAP gross profit was $14.6 million in the three months ended June 30, 2021, an increase of $5.1 million from $9.5 million in the three months ended June 30, 2020, reflecting higher restructuring and transformation expenses and share-based compensation, partially offset by lower purchase accounting adjustments and other compensation expense. For more information about our segment non-GAAP gross profit, see Item 1 of Part I, Financial Statements - Note 13, "Segment Reporting."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36"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Selling, general and administrative expenses increased $13 million, or 6%, to $233 million in the three months ended June 30, 2021 from $219 million in the three months ended June 30, 2020, primarily due to costs related to our business transformation initiatives and incremental costs to operate as a public company, partially offset by a reduction in management consulting fees as the agreements were terminated in connection with the IPO. Personnel costs also increased primarily due to share-based compensation expense, partially offset by a reduction in non-equity incentive bonus expense.</w:t>
      </w:r>
    </w:p>
    <w:p>
      <w:pPr>
        <w:spacing w:after="0" w:line="188"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As a percentage of revenue, selling, general and administrative expenses decreased 210 basis points, to 31.3% in the three months ended June 30, 2021 from 33.4% in the three months ended June 30, 2020, for the reasons discussed above, including a 110 basis points reduction in personnel costs, and further impacted by our revenue growth.</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36"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Interest expense decreased $18 million to $51 million in the three months ended June 30, 2021 from $69 million in the three months ended June 30, 2020, primarily driven by a reduction in total debt outstanding and lower interest rates as a result of significant debt refinancing transactions between periods.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Modification and Extinguishment Costs</w:t>
      </w:r>
    </w:p>
    <w:p>
      <w:pPr>
        <w:spacing w:after="0" w:line="236" w:lineRule="exact"/>
        <w:rPr>
          <w:sz w:val="20"/>
          <w:szCs w:val="20"/>
          <w:color w:val="auto"/>
        </w:rPr>
      </w:pPr>
    </w:p>
    <w:p>
      <w:pPr>
        <w:ind w:right="580" w:firstLine="470"/>
        <w:spacing w:after="0" w:line="288" w:lineRule="auto"/>
        <w:rPr>
          <w:sz w:val="20"/>
          <w:szCs w:val="20"/>
          <w:color w:val="auto"/>
        </w:rPr>
      </w:pPr>
      <w:r>
        <w:rPr>
          <w:rFonts w:ascii="Arial" w:cs="Arial" w:eastAsia="Arial" w:hAnsi="Arial"/>
          <w:sz w:val="17"/>
          <w:szCs w:val="17"/>
          <w:color w:val="auto"/>
        </w:rPr>
        <w:t>We recorded $0.5 million of debt modification and extinguishment costs in the three months ended June 30, 2021 related to the termination of the Receivables Financing Facility, as further discussed in Item 1 of Part I, Financial Statements - Note 6, "Debt."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for Income Taxes</w:t>
      </w:r>
    </w:p>
    <w:p>
      <w:pPr>
        <w:spacing w:after="0" w:line="236"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Our income tax benefit decreased to $11 million in the three months ended June 30, 2021 from $12 million in the three months ended June 30, 2020. Our effective tax rate decreased from 27.4% in the three months ended June 30, 2020 to 23.0% in the three months ended June 30, 2021. The decrease in the effective tax rate year-over-year is primarily due to executive compensation that is nondeductible under IRC Section 162(m). The difference between the effective tax rate for the three months ended June 30, 2021 and the statutory rate is primarily due to the geographic distribution of profits and application of the GILTI provisions.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2020 Compared to Six Months Ended June 30, 2021</w:t>
      </w:r>
    </w:p>
    <w:p>
      <w:pPr>
        <w:spacing w:after="0" w:line="249"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6"/>
                <w:szCs w:val="16"/>
                <w:b w:val="1"/>
                <w:bCs w:val="1"/>
                <w:color w:val="auto"/>
                <w:w w:val="98"/>
              </w:rPr>
              <w:t>Six Months Ended 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6"/>
                <w:szCs w:val="16"/>
                <w:b w:val="1"/>
                <w:bCs w:val="1"/>
                <w:color w:val="auto"/>
                <w:w w:val="94"/>
              </w:rPr>
              <w:t>Year-Over-Year Comparison</w:t>
            </w:r>
          </w:p>
        </w:tc>
      </w:tr>
      <w:tr>
        <w:trPr>
          <w:trHeight w:val="202"/>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 Change</w:t>
            </w:r>
          </w:p>
        </w:tc>
      </w:tr>
      <w:tr>
        <w:trPr>
          <w:trHeight w:val="205"/>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1,469.7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0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22.1 %</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3.7 %</w:t>
            </w: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199"/>
        </w:trPr>
        <w:tc>
          <w:tcPr>
            <w:tcW w:w="3280" w:type="dxa"/>
            <w:vAlign w:val="bottom"/>
          </w:tcPr>
          <w:p>
            <w:pPr>
              <w:ind w:left="34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(38.7)%</w:t>
            </w: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(26.8)%</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200" w:type="dxa"/>
            <w:vAlign w:val="bottom"/>
          </w:tcPr>
          <w:p>
            <w:pPr>
              <w:spacing w:after="0"/>
              <w:rPr>
                <w:sz w:val="17"/>
                <w:szCs w:val="17"/>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199"/>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3.6 %</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r>
      <w:tr>
        <w:trPr>
          <w:trHeight w:val="20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15.7 %</w:t>
            </w:r>
          </w:p>
        </w:tc>
      </w:tr>
      <w:tr>
        <w:trPr>
          <w:trHeight w:val="230"/>
        </w:trPr>
        <w:tc>
          <w:tcPr>
            <w:tcW w:w="3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24.5 %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Revenue increased $161 million, or 12.3%, to $1,470 million in the six months ended June 30, 2021 from $1,309 million in the six months ended June 30,</w:t>
      </w:r>
    </w:p>
    <w:p>
      <w:pPr>
        <w:spacing w:after="0" w:line="49"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2020. Revenue was positively impacted by new customer acquisition and growing customer spend in our Multicloud Services and Apps &amp; Cross Platform segments, as discussed below.</w:t>
      </w:r>
    </w:p>
    <w:p>
      <w:pPr>
        <w:spacing w:after="0" w:line="197"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After removing the impact from foreign currency fluctuations, on a constant currency basis, revenue increased 10.7% year-over-year. The following table presents revenue growth by segment: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1302"/>
              <w:spacing w:after="0"/>
              <w:rPr>
                <w:sz w:val="20"/>
                <w:szCs w:val="20"/>
                <w:color w:val="auto"/>
              </w:rPr>
            </w:pPr>
            <w:r>
              <w:rPr>
                <w:rFonts w:ascii="Arial" w:cs="Arial" w:eastAsia="Arial" w:hAnsi="Arial"/>
                <w:sz w:val="16"/>
                <w:szCs w:val="16"/>
                <w:b w:val="1"/>
                <w:bCs w:val="1"/>
                <w:color w:val="auto"/>
              </w:rPr>
              <w:t>% Change</w:t>
            </w:r>
          </w:p>
        </w:tc>
      </w:tr>
      <w:tr>
        <w:trPr>
          <w:trHeight w:val="20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42"/>
              <w:spacing w:after="0" w:line="206" w:lineRule="exact"/>
              <w:rPr>
                <w:sz w:val="20"/>
                <w:szCs w:val="20"/>
                <w:color w:val="auto"/>
              </w:rPr>
            </w:pPr>
            <w:r>
              <w:rPr>
                <w:rFonts w:ascii="Arial" w:cs="Arial" w:eastAsia="Arial" w:hAnsi="Arial"/>
                <w:sz w:val="16"/>
                <w:szCs w:val="16"/>
                <w:b w:val="1"/>
                <w:bCs w:val="1"/>
                <w:color w:val="auto"/>
                <w:w w:val="94"/>
              </w:rPr>
              <w:t xml:space="preserve">Constant Currency </w:t>
            </w:r>
            <w:r>
              <w:rPr>
                <w:rFonts w:ascii="Arial" w:cs="Arial" w:eastAsia="Arial" w:hAnsi="Arial"/>
                <w:sz w:val="20"/>
                <w:szCs w:val="20"/>
                <w:b w:val="1"/>
                <w:bCs w:val="1"/>
                <w:color w:val="auto"/>
                <w:w w:val="94"/>
                <w:vertAlign w:val="superscript"/>
              </w:rPr>
              <w:t>(1)</w:t>
            </w:r>
          </w:p>
        </w:tc>
      </w:tr>
      <w:tr>
        <w:trPr>
          <w:trHeight w:val="20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13.7 %</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17.8 %</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16.9 %</w:t>
            </w:r>
          </w:p>
        </w:tc>
      </w:tr>
      <w:tr>
        <w:trPr>
          <w:trHeight w:val="205"/>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(22.8)%</w:t>
            </w:r>
          </w:p>
        </w:tc>
      </w:tr>
      <w:tr>
        <w:trPr>
          <w:trHeight w:val="23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1,469.7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2"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32"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Multicloud Services revenue in the six months ended June 30, 2021 increased 15%, on an actual basis, and 14% on a constant currency basis, from the six months ended June 30, 2020. Underlying growth was primarily driven by both the acquisition of new customers and increased spend by existing customers, partially offset by cancellations by existing customers.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right="20" w:firstLine="470"/>
        <w:spacing w:after="0" w:line="272" w:lineRule="auto"/>
        <w:rPr>
          <w:sz w:val="20"/>
          <w:szCs w:val="20"/>
          <w:color w:val="auto"/>
        </w:rPr>
      </w:pPr>
      <w:r>
        <w:rPr>
          <w:rFonts w:ascii="Arial" w:cs="Arial" w:eastAsia="Arial" w:hAnsi="Arial"/>
          <w:sz w:val="17"/>
          <w:szCs w:val="17"/>
          <w:color w:val="auto"/>
        </w:rPr>
        <w:t>Apps &amp; Cross Platform revenue in the six months ended June 30, 2021 increased 18%, on an actual basis, and 17% on a constant currency basis, from the six months ended June 30, 2020, primarily due to growth in our offerings for managed security and management of productivity and collaboration applications, partially offset by a decrease in professional services revenue.</w:t>
      </w:r>
    </w:p>
    <w:p>
      <w:pPr>
        <w:spacing w:after="0" w:line="198" w:lineRule="exact"/>
        <w:rPr>
          <w:sz w:val="20"/>
          <w:szCs w:val="20"/>
          <w:color w:val="auto"/>
        </w:rPr>
      </w:pPr>
    </w:p>
    <w:p>
      <w:pPr>
        <w:ind w:right="160" w:firstLine="470"/>
        <w:spacing w:after="0" w:line="288" w:lineRule="auto"/>
        <w:rPr>
          <w:sz w:val="20"/>
          <w:szCs w:val="20"/>
          <w:color w:val="auto"/>
        </w:rPr>
      </w:pPr>
      <w:r>
        <w:rPr>
          <w:rFonts w:ascii="Arial" w:cs="Arial" w:eastAsia="Arial" w:hAnsi="Arial"/>
          <w:sz w:val="17"/>
          <w:szCs w:val="17"/>
          <w:color w:val="auto"/>
        </w:rPr>
        <w:t>OpenStack Public Cloud revenue in the six months ended June 30, 2021 decreased 21%, on an actual basis, and 23% on a constant currency basis, from the six months ended June 30, 2020 due to customer churn.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49" w:lineRule="exact"/>
        <w:rPr>
          <w:sz w:val="20"/>
          <w:szCs w:val="20"/>
          <w:color w:val="auto"/>
        </w:rPr>
      </w:pPr>
    </w:p>
    <w:p>
      <w:pPr>
        <w:ind w:firstLine="470"/>
        <w:spacing w:after="0" w:line="259" w:lineRule="auto"/>
        <w:rPr>
          <w:sz w:val="20"/>
          <w:szCs w:val="20"/>
          <w:color w:val="auto"/>
        </w:rPr>
      </w:pPr>
      <w:r>
        <w:rPr>
          <w:rFonts w:ascii="Arial" w:cs="Arial" w:eastAsia="Arial" w:hAnsi="Arial"/>
          <w:sz w:val="17"/>
          <w:szCs w:val="17"/>
          <w:color w:val="auto"/>
        </w:rPr>
        <w:t>Cost of revenue increased $181 million, or 22%, to $999 million in the six months ended June 30, 2021 from $818 million in the six months ended June 30, 2020, primarily due to an increase in usage charges for third-party infrastructure associated with growth in these offerings and the impact of an increased volume of larger, multi-year customer contracts which typically have a larger infrastructure component and lower margins. Personnel costs also increased primarily due to higher severance expense related to business optimization initiatives to shift roles to lower-cost locations and an increase in share-based compensation expense, partially offset by a reduction in non-equity incentive bonus expense. The increase in third-party infrastructure and personnel costs was partially offset by a decrease in depreciation expense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Additionally, in March 2021, we completed an assessment of the useful lives of certain customer gear equipment which resulted in a revision of certain useful lives within our policy ranges, further contributing to the reduction in depreciation expense. We also had year-over-year expense reductions in data center and license expenses as a result of initiatives to lower our cost structure, which included the consolidation of data center facilities and optimizing our vendor license spending.</w:t>
      </w:r>
    </w:p>
    <w:p>
      <w:pPr>
        <w:spacing w:after="0" w:line="215"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As a percentage of revenue, cost of revenue increased 550 basis points in the six months ended June 30, 2021 to 68.0% from 62.5% in the six months ended June 30, 2020, primarily driven by a 1,340 basis point increase in usage charges for third-party infrastructure, partially offset by a decrease related to depreciation, data center, and license expense. Personnel costs also contributed to a reduction in basis points as revenue growth outpaced the expense increase between periods.</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ind w:left="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Gross Profit and Adjusted Consolidated and Non-GAAP Gross Profit</w:t>
      </w:r>
    </w:p>
    <w:p>
      <w:pPr>
        <w:spacing w:after="0" w:line="249" w:lineRule="exact"/>
        <w:rPr>
          <w:sz w:val="20"/>
          <w:szCs w:val="20"/>
          <w:color w:val="auto"/>
        </w:rPr>
      </w:pPr>
    </w:p>
    <w:p>
      <w:pPr>
        <w:ind w:left="20" w:firstLine="470"/>
        <w:spacing w:after="0" w:line="264" w:lineRule="auto"/>
        <w:rPr>
          <w:sz w:val="20"/>
          <w:szCs w:val="20"/>
          <w:color w:val="auto"/>
        </w:rPr>
      </w:pPr>
      <w:r>
        <w:rPr>
          <w:rFonts w:ascii="Arial" w:cs="Arial" w:eastAsia="Arial" w:hAnsi="Arial"/>
          <w:sz w:val="17"/>
          <w:szCs w:val="17"/>
          <w:color w:val="auto"/>
        </w:rPr>
        <w:t>Our consolidated gross profit was $471 million in the six months ended June 30, 2021, a decrease of $20 million from $491 million in the six months ended June 30, 2020. Our Non-GAAP Gross Profit was $500 million in the six months ended June 30, 2021, a decrease of $8 million from $508 million in the six months ended June 30, 2020. Non-GAAP Gross Profit is a non-GAAP financial measure. See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below for more information. Our consolidated gross margin was 32.0% in the six months ended June 30, 2021, a decrease of 550 basis points from 37.5% in the six months ended June 30, 2020.</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table below presents our segment non-GAAP gross profit and gross margin for the periods indicated, and the change in gross profit between periods: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6"/>
                <w:szCs w:val="16"/>
                <w:b w:val="1"/>
                <w:bCs w:val="1"/>
                <w:color w:val="auto"/>
                <w:w w:val="91"/>
              </w:rPr>
              <w:t>Year-Over-Year Comparison</w:t>
            </w:r>
          </w:p>
        </w:tc>
        <w:tc>
          <w:tcPr>
            <w:tcW w:w="0" w:type="dxa"/>
            <w:vAlign w:val="bottom"/>
          </w:tcPr>
          <w:p>
            <w:pPr>
              <w:spacing w:after="0"/>
              <w:rPr>
                <w:sz w:val="1"/>
                <w:szCs w:val="1"/>
                <w:color w:val="auto"/>
              </w:rPr>
            </w:pPr>
          </w:p>
        </w:tc>
      </w:tr>
      <w:tr>
        <w:trPr>
          <w:trHeight w:val="153"/>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 by segment:</w:t>
            </w:r>
          </w:p>
        </w:tc>
        <w:tc>
          <w:tcPr>
            <w:tcW w:w="16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3"/>
                <w:szCs w:val="13"/>
                <w:color w:val="auto"/>
              </w:rPr>
            </w:pPr>
          </w:p>
        </w:tc>
        <w:tc>
          <w:tcPr>
            <w:tcW w:w="1160" w:type="dxa"/>
            <w:vAlign w:val="bottom"/>
          </w:tcPr>
          <w:p>
            <w:pPr>
              <w:jc w:val="right"/>
              <w:ind w:right="22"/>
              <w:spacing w:after="0" w:line="153" w:lineRule="exact"/>
              <w:rPr>
                <w:sz w:val="20"/>
                <w:szCs w:val="20"/>
                <w:color w:val="auto"/>
              </w:rPr>
            </w:pPr>
            <w:r>
              <w:rPr>
                <w:rFonts w:ascii="Arial" w:cs="Arial" w:eastAsia="Arial" w:hAnsi="Arial"/>
                <w:sz w:val="16"/>
                <w:szCs w:val="16"/>
                <w:b w:val="1"/>
                <w:bCs w:val="1"/>
                <w:color w:val="auto"/>
                <w:w w:val="98"/>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8"/>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4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Revenue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w:t>
            </w:r>
          </w:p>
        </w:tc>
        <w:tc>
          <w:tcPr>
            <w:tcW w:w="1540" w:type="dxa"/>
            <w:vAlign w:val="bottom"/>
            <w:gridSpan w:val="4"/>
            <w:shd w:val="clear" w:color="auto" w:fill="CCEEFF"/>
          </w:tcPr>
          <w:p>
            <w:pPr>
              <w:ind w:left="820"/>
              <w:spacing w:after="0"/>
              <w:rPr>
                <w:sz w:val="20"/>
                <w:szCs w:val="20"/>
                <w:color w:val="auto"/>
              </w:rPr>
            </w:pPr>
            <w:r>
              <w:rPr>
                <w:rFonts w:ascii="Arial" w:cs="Arial" w:eastAsia="Arial" w:hAnsi="Arial"/>
                <w:sz w:val="16"/>
                <w:szCs w:val="16"/>
                <w:color w:val="auto"/>
              </w:rPr>
              <w:t>33.6 %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35.4 %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66.9</w:t>
            </w:r>
          </w:p>
        </w:tc>
        <w:tc>
          <w:tcPr>
            <w:tcW w:w="1280" w:type="dxa"/>
            <w:vAlign w:val="bottom"/>
            <w:gridSpan w:val="2"/>
          </w:tcPr>
          <w:p>
            <w:pPr>
              <w:ind w:left="820"/>
              <w:spacing w:after="0"/>
              <w:rPr>
                <w:sz w:val="20"/>
                <w:szCs w:val="20"/>
                <w:color w:val="auto"/>
              </w:rPr>
            </w:pPr>
            <w:r>
              <w:rPr>
                <w:rFonts w:ascii="Arial" w:cs="Arial" w:eastAsia="Arial" w:hAnsi="Arial"/>
                <w:sz w:val="16"/>
                <w:szCs w:val="16"/>
                <w:color w:val="auto"/>
                <w:w w:val="88"/>
              </w:rPr>
              <w:t>35.2 %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17.2 %</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88"/>
              </w:rPr>
              <w:t>36.5 %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199"/>
        </w:trPr>
        <w:tc>
          <w:tcPr>
            <w:tcW w:w="410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507.6</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line="209"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340"/>
              <w:spacing w:after="0" w:line="209"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0"/>
                <w:szCs w:val="20"/>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46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491.2</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80" w:right="680" w:hanging="470"/>
        <w:spacing w:after="0" w:line="232" w:lineRule="auto"/>
        <w:rPr>
          <w:sz w:val="20"/>
          <w:szCs w:val="20"/>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Adjustment for the impact of purchase accounting from the Rackspace Acquisition on expenses.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Adjustment for the impact of business transformation and optimization activities, as well as associated severance, facility closure costs and lease termination expenses.</w:t>
      </w:r>
    </w:p>
    <w:p>
      <w:pPr>
        <w:spacing w:after="0" w:line="348" w:lineRule="exact"/>
        <w:rPr>
          <w:sz w:val="20"/>
          <w:szCs w:val="20"/>
          <w:color w:val="auto"/>
        </w:rPr>
      </w:pPr>
    </w:p>
    <w:p>
      <w:pPr>
        <w:ind w:left="20" w:right="220" w:firstLine="470"/>
        <w:spacing w:after="0" w:line="272" w:lineRule="auto"/>
        <w:rPr>
          <w:sz w:val="20"/>
          <w:szCs w:val="20"/>
          <w:color w:val="auto"/>
        </w:rPr>
      </w:pPr>
      <w:r>
        <w:rPr>
          <w:rFonts w:ascii="Arial" w:cs="Arial" w:eastAsia="Arial" w:hAnsi="Arial"/>
          <w:sz w:val="17"/>
          <w:szCs w:val="17"/>
          <w:color w:val="auto"/>
        </w:rPr>
        <w:t>Multicloud Services non-GAAP gross profit was relatively flat year-over-year. Segment non-GAAP gross profit as a percentage of segment revenue decreased by 510 basis points, reflecting a 25% increase in segment cost of revenue and a 15% increase in segment revenue. The increase in costs was mainly driven by higher third-party infrastructure costs, partially offset by lower depreciation and data center costs.</w:t>
      </w:r>
    </w:p>
    <w:p>
      <w:pPr>
        <w:spacing w:after="0" w:line="198" w:lineRule="exact"/>
        <w:rPr>
          <w:sz w:val="20"/>
          <w:szCs w:val="20"/>
          <w:color w:val="auto"/>
        </w:rPr>
      </w:pPr>
    </w:p>
    <w:p>
      <w:pPr>
        <w:ind w:left="20" w:right="320" w:firstLine="470"/>
        <w:spacing w:after="0" w:line="267" w:lineRule="auto"/>
        <w:rPr>
          <w:sz w:val="20"/>
          <w:szCs w:val="20"/>
          <w:color w:val="auto"/>
        </w:rPr>
      </w:pPr>
      <w:r>
        <w:rPr>
          <w:rFonts w:ascii="Arial" w:cs="Arial" w:eastAsia="Arial" w:hAnsi="Arial"/>
          <w:sz w:val="17"/>
          <w:szCs w:val="17"/>
          <w:color w:val="auto"/>
        </w:rPr>
        <w:t>Apps &amp; Cross Platform non-GAAP gross profit increased by 17% in the six months ended June 30, 2021 from the six months ended June 30, 2020. Segment non-GAAP gross profit as a percentage of segment revenue was essentially flat year-over-year as segment revenue and cost of revenue increased in proportion with one another. The increase in cost of revenue was primarily driven by the segment’s higher business volume as well as higher third-party infrastructure costs.</w:t>
      </w:r>
    </w:p>
    <w:p>
      <w:pPr>
        <w:spacing w:after="0" w:line="202" w:lineRule="exact"/>
        <w:rPr>
          <w:sz w:val="20"/>
          <w:szCs w:val="20"/>
          <w:color w:val="auto"/>
        </w:rPr>
      </w:pPr>
    </w:p>
    <w:p>
      <w:pPr>
        <w:ind w:left="20" w:right="120" w:firstLine="470"/>
        <w:spacing w:after="0" w:line="272" w:lineRule="auto"/>
        <w:rPr>
          <w:sz w:val="20"/>
          <w:szCs w:val="20"/>
          <w:color w:val="auto"/>
        </w:rPr>
      </w:pPr>
      <w:r>
        <w:rPr>
          <w:rFonts w:ascii="Arial" w:cs="Arial" w:eastAsia="Arial" w:hAnsi="Arial"/>
          <w:sz w:val="17"/>
          <w:szCs w:val="17"/>
          <w:color w:val="auto"/>
        </w:rPr>
        <w:t>OpenStack Public Cloud non-GAAP gross profit decreased 35% in the six months ended June 30, 2021 from the six months ended June 30, 2020, due to customer churn. Segment non-GAAP gross profit as a percentage of segment revenue decreased by 730 basis points, reflecting a 21% decrease in segment revenue, partially offset by an 11% decrease in segment cost of revenue.</w:t>
      </w:r>
    </w:p>
    <w:p>
      <w:pPr>
        <w:spacing w:after="0" w:line="198" w:lineRule="exact"/>
        <w:rPr>
          <w:sz w:val="20"/>
          <w:szCs w:val="20"/>
          <w:color w:val="auto"/>
        </w:rPr>
      </w:pPr>
    </w:p>
    <w:p>
      <w:pPr>
        <w:ind w:left="20" w:right="220" w:firstLine="470"/>
        <w:spacing w:after="0" w:line="288" w:lineRule="auto"/>
        <w:rPr>
          <w:sz w:val="20"/>
          <w:szCs w:val="20"/>
          <w:color w:val="auto"/>
        </w:rPr>
      </w:pPr>
      <w:r>
        <w:rPr>
          <w:rFonts w:ascii="Arial" w:cs="Arial" w:eastAsia="Arial" w:hAnsi="Arial"/>
          <w:sz w:val="16"/>
          <w:szCs w:val="16"/>
          <w:color w:val="auto"/>
        </w:rPr>
        <w:t>The aggregate amount of costs reflected in consolidated gross profit but excluded from segment non-GAAP gross profit was $29.2 million in the six months ended June 30, 2021, an increase of $12.8 million from $16.4 million in the six months ended June 30, 2020, reflecting higher restructuring and transformation expenses and share-based compensation, partially offset by lower purchase accounting adjustments and other compensation expense. For more information about our segment non-GAAP gross profit, see Item 1 of Part I, Financial Statements - Note 13, "Segment Reporting."</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49" w:lineRule="exact"/>
        <w:rPr>
          <w:sz w:val="20"/>
          <w:szCs w:val="20"/>
          <w:color w:val="auto"/>
        </w:rPr>
      </w:pPr>
    </w:p>
    <w:p>
      <w:pPr>
        <w:ind w:right="220" w:firstLine="470"/>
        <w:spacing w:after="0" w:line="288" w:lineRule="auto"/>
        <w:rPr>
          <w:sz w:val="20"/>
          <w:szCs w:val="20"/>
          <w:color w:val="auto"/>
        </w:rPr>
      </w:pPr>
      <w:r>
        <w:rPr>
          <w:rFonts w:ascii="Arial" w:cs="Arial" w:eastAsia="Arial" w:hAnsi="Arial"/>
          <w:sz w:val="16"/>
          <w:szCs w:val="16"/>
          <w:color w:val="auto"/>
        </w:rPr>
        <w:t>Selling, general and administrative expenses increased $17 million, or 4%, to $464 million in the six months ended June 30, 2021 from $447 million in the six months ended June 30, 2020, primarily due to costs related to our business transformation initiatives and incremental costs to operate as a public company, partially offset by a reduction in management consulting fees as the agreements were terminated in connection with the IPO. Personnel costs also increased primarily due to share-based compensation expense, partially offset by a reduction in non-equity incentive bonus expense.</w:t>
      </w:r>
    </w:p>
    <w:p>
      <w:pPr>
        <w:spacing w:after="0" w:line="18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a percentage of revenue, selling, general and administrative expenses decreased 260 basis points, to 31.5% in the six months ended June 30, 2021 from 34.1% in the six months ended June 30, 2020, for the reasons discussed above, including a 130 basis points reduction in personnel costs, and further impacted by our revenue growth.</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Land</w:t>
      </w:r>
    </w:p>
    <w:p>
      <w:pPr>
        <w:spacing w:after="0" w:line="249"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In January 2021, we recorded a $20 million gain related to the sale of a parcel of undeveloped land in the United Kingdom adjacent to one of our existing data centers, as further discussed in Item 1 of Part I, Financial Statements - Note 4, "Property, Equipment and Software, net"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49" w:lineRule="exact"/>
        <w:rPr>
          <w:sz w:val="20"/>
          <w:szCs w:val="20"/>
          <w:color w:val="auto"/>
        </w:rPr>
      </w:pPr>
    </w:p>
    <w:p>
      <w:pPr>
        <w:ind w:right="140" w:firstLine="470"/>
        <w:spacing w:after="0" w:line="321" w:lineRule="auto"/>
        <w:rPr>
          <w:sz w:val="20"/>
          <w:szCs w:val="20"/>
          <w:color w:val="auto"/>
        </w:rPr>
      </w:pPr>
      <w:r>
        <w:rPr>
          <w:rFonts w:ascii="Arial" w:cs="Arial" w:eastAsia="Arial" w:hAnsi="Arial"/>
          <w:sz w:val="16"/>
          <w:szCs w:val="16"/>
          <w:color w:val="auto"/>
        </w:rPr>
        <w:t>Interest expense decreased $38 million to $103 million in the six months ended June 30, 2021 from $141 million in the six months ended June 30, 2020, primarily driven by a reduction in total debt outstanding and lower interest rates as a result of significant debt refinancing transactions between periods.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Modification and Extinguishment Costs</w:t>
      </w:r>
    </w:p>
    <w:p>
      <w:pPr>
        <w:spacing w:after="0" w:line="249"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In the six months ended June 30, 2021 we recorded $37 million and $0.5 million of debt modification and extinguishment costs related to the February 2021 Refinancing Transaction and termination of the Receivables Financing Facility, respectively, as further discussed in Item 1 of Part I, Financial Statements - Note 6, "Debt.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for Income Taxes</w:t>
      </w:r>
    </w:p>
    <w:p>
      <w:pPr>
        <w:spacing w:after="0" w:line="249"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Our income tax benefit increased to $18 million in the six months ended June 30, 2021 from $15 million in the six months ended June 30, 2020. Our effective tax rate decreased from 15.9% in the six months ended June 30, 2020 to 15.0% in the six months ended June 30, 2021. The decrease in the effective tax rate year-over-year is primarily due to the geographic distribution of profits and executive compensation that is nondeductible under IRC Section 162(m). The difference between the effective tax rate for the six months ended June 30, 2021 and the statutory rate is primarily due to the geographic distribution of profits, application of GILTI provisions, as well as executive compensation that is nondeductible under IRC Section 162(m).</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Financial Measures</w:t>
      </w:r>
    </w:p>
    <w:p>
      <w:pPr>
        <w:spacing w:after="0" w:line="255"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Constant Currency Revenue</w:t>
      </w:r>
    </w:p>
    <w:p>
      <w:pPr>
        <w:spacing w:after="0" w:line="236" w:lineRule="exact"/>
        <w:rPr>
          <w:sz w:val="20"/>
          <w:szCs w:val="20"/>
          <w:color w:val="auto"/>
        </w:rPr>
      </w:pPr>
    </w:p>
    <w:p>
      <w:pPr>
        <w:ind w:right="200" w:firstLine="470"/>
        <w:spacing w:after="0" w:line="264"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6"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following table presents, by segment, actual and constant currency revenue and constant currency revenue growth rates, for and between the periods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60" w:type="dxa"/>
            <w:vAlign w:val="bottom"/>
          </w:tcPr>
          <w:p>
            <w:pPr>
              <w:spacing w:after="0"/>
              <w:rPr>
                <w:sz w:val="16"/>
                <w:szCs w:val="16"/>
                <w:color w:val="auto"/>
              </w:rPr>
            </w:pPr>
          </w:p>
        </w:tc>
        <w:tc>
          <w:tcPr>
            <w:tcW w:w="4120" w:type="dxa"/>
            <w:vAlign w:val="bottom"/>
            <w:gridSpan w:val="7"/>
            <w:vMerge w:val="restart"/>
          </w:tcPr>
          <w:p>
            <w:pPr>
              <w:jc w:val="center"/>
              <w:ind w:right="182"/>
              <w:spacing w:after="0"/>
              <w:rPr>
                <w:sz w:val="20"/>
                <w:szCs w:val="20"/>
                <w:color w:val="auto"/>
              </w:rPr>
            </w:pPr>
            <w:r>
              <w:rPr>
                <w:rFonts w:ascii="Arial" w:cs="Arial" w:eastAsia="Arial" w:hAnsi="Arial"/>
                <w:sz w:val="16"/>
                <w:szCs w:val="16"/>
                <w:b w:val="1"/>
                <w:bCs w:val="1"/>
                <w:color w:val="auto"/>
                <w:w w:val="89"/>
              </w:rPr>
              <w:t>Three Months Ended June 30, 2021</w:t>
            </w:r>
          </w:p>
        </w:tc>
        <w:tc>
          <w:tcPr>
            <w:tcW w:w="100" w:type="dxa"/>
            <w:vAlign w:val="bottom"/>
          </w:tcPr>
          <w:p>
            <w:pPr>
              <w:spacing w:after="0"/>
              <w:rPr>
                <w:sz w:val="16"/>
                <w:szCs w:val="16"/>
                <w:color w:val="auto"/>
              </w:rPr>
            </w:pPr>
          </w:p>
        </w:tc>
        <w:tc>
          <w:tcPr>
            <w:tcW w:w="2960" w:type="dxa"/>
            <w:vAlign w:val="bottom"/>
            <w:gridSpan w:val="3"/>
            <w:vMerge w:val="restart"/>
          </w:tcPr>
          <w:p>
            <w:pPr>
              <w:jc w:val="right"/>
              <w:ind w:right="104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88"/>
              </w:rPr>
              <w:t>June 30, 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center"/>
              <w:ind w:right="122"/>
              <w:spacing w:after="0"/>
              <w:rPr>
                <w:sz w:val="20"/>
                <w:szCs w:val="20"/>
                <w:color w:val="auto"/>
              </w:rPr>
            </w:pPr>
            <w:r>
              <w:rPr>
                <w:rFonts w:ascii="Arial" w:cs="Arial" w:eastAsia="Arial" w:hAnsi="Arial"/>
                <w:sz w:val="16"/>
                <w:szCs w:val="16"/>
                <w:b w:val="1"/>
                <w:bCs w:val="1"/>
                <w:color w:val="auto"/>
                <w:w w:val="83"/>
              </w:rPr>
              <w:t>Revenue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line="153" w:lineRule="exact"/>
              <w:rPr>
                <w:sz w:val="20"/>
                <w:szCs w:val="20"/>
                <w:color w:val="auto"/>
              </w:rPr>
            </w:pPr>
            <w:r>
              <w:rPr>
                <w:rFonts w:ascii="Arial" w:cs="Arial" w:eastAsia="Arial" w:hAnsi="Arial"/>
                <w:sz w:val="16"/>
                <w:szCs w:val="16"/>
                <w:b w:val="1"/>
                <w:bCs w:val="1"/>
                <w:color w:val="auto"/>
                <w:w w:val="89"/>
              </w:rPr>
              <w:t>Foreign Currency</w:t>
            </w:r>
          </w:p>
        </w:tc>
        <w:tc>
          <w:tcPr>
            <w:tcW w:w="220" w:type="dxa"/>
            <w:vAlign w:val="bottom"/>
          </w:tcPr>
          <w:p>
            <w:pPr>
              <w:spacing w:after="0"/>
              <w:rPr>
                <w:sz w:val="13"/>
                <w:szCs w:val="13"/>
                <w:color w:val="auto"/>
              </w:rPr>
            </w:pPr>
          </w:p>
        </w:tc>
        <w:tc>
          <w:tcPr>
            <w:tcW w:w="1180" w:type="dxa"/>
            <w:vAlign w:val="bottom"/>
          </w:tcPr>
          <w:p>
            <w:pPr>
              <w:jc w:val="right"/>
              <w:ind w:right="242"/>
              <w:spacing w:after="0" w:line="153" w:lineRule="exact"/>
              <w:rPr>
                <w:sz w:val="20"/>
                <w:szCs w:val="20"/>
                <w:color w:val="auto"/>
              </w:rPr>
            </w:pPr>
            <w:r>
              <w:rPr>
                <w:rFonts w:ascii="Arial" w:cs="Arial" w:eastAsia="Arial" w:hAnsi="Arial"/>
                <w:sz w:val="16"/>
                <w:szCs w:val="16"/>
                <w:b w:val="1"/>
                <w:bCs w:val="1"/>
                <w:color w:val="auto"/>
                <w:w w:val="98"/>
              </w:rPr>
              <w:t>Revenue in</w:t>
            </w:r>
          </w:p>
        </w:tc>
        <w:tc>
          <w:tcPr>
            <w:tcW w:w="100" w:type="dxa"/>
            <w:vAlign w:val="bottom"/>
          </w:tcPr>
          <w:p>
            <w:pPr>
              <w:spacing w:after="0"/>
              <w:rPr>
                <w:sz w:val="13"/>
                <w:szCs w:val="13"/>
                <w:color w:val="auto"/>
              </w:rPr>
            </w:pPr>
          </w:p>
        </w:tc>
        <w:tc>
          <w:tcPr>
            <w:tcW w:w="134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Actual</w:t>
            </w:r>
          </w:p>
        </w:tc>
        <w:tc>
          <w:tcPr>
            <w:tcW w:w="100" w:type="dxa"/>
            <w:vAlign w:val="bottom"/>
            <w:vMerge w:val="restart"/>
          </w:tcPr>
          <w:p>
            <w:pPr>
              <w:spacing w:after="0"/>
              <w:rPr>
                <w:sz w:val="13"/>
                <w:szCs w:val="13"/>
                <w:color w:val="auto"/>
              </w:rPr>
            </w:pPr>
          </w:p>
        </w:tc>
        <w:tc>
          <w:tcPr>
            <w:tcW w:w="152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2"/>
              <w:spacing w:after="0" w:line="209" w:lineRule="exact"/>
              <w:rPr>
                <w:sz w:val="20"/>
                <w:szCs w:val="20"/>
                <w:color w:val="auto"/>
              </w:rPr>
            </w:pPr>
            <w:r>
              <w:rPr>
                <w:rFonts w:ascii="Arial" w:cs="Arial" w:eastAsia="Arial" w:hAnsi="Arial"/>
                <w:sz w:val="16"/>
                <w:szCs w:val="16"/>
                <w:b w:val="1"/>
                <w:bCs w:val="1"/>
                <w:color w:val="auto"/>
                <w:w w:val="85"/>
              </w:rPr>
              <w:t xml:space="preserve">Translation </w:t>
            </w:r>
            <w:r>
              <w:rPr>
                <w:rFonts w:ascii="Arial" w:cs="Arial" w:eastAsia="Arial" w:hAnsi="Arial"/>
                <w:sz w:val="20"/>
                <w:szCs w:val="20"/>
                <w:b w:val="1"/>
                <w:bCs w:val="1"/>
                <w:color w:val="auto"/>
                <w:w w:val="85"/>
                <w:vertAlign w:val="superscript"/>
              </w:rPr>
              <w:t>(a)</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Constant Currency</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594.6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91.8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5"/>
        </w:trPr>
        <w:tc>
          <w:tcPr>
            <w:tcW w:w="2180" w:type="dxa"/>
            <w:vAlign w:val="bottom"/>
          </w:tcPr>
          <w:p>
            <w:pPr>
              <w:ind w:left="2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731.4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60" w:hanging="43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Six Months Ended</w:t>
            </w:r>
          </w:p>
        </w:tc>
        <w:tc>
          <w:tcPr>
            <w:tcW w:w="240" w:type="dxa"/>
            <w:vAlign w:val="bottom"/>
          </w:tcPr>
          <w:p>
            <w:pPr>
              <w:spacing w:after="0"/>
              <w:rPr>
                <w:sz w:val="16"/>
                <w:szCs w:val="16"/>
                <w:color w:val="auto"/>
              </w:rPr>
            </w:pPr>
          </w:p>
        </w:tc>
        <w:tc>
          <w:tcPr>
            <w:tcW w:w="3040" w:type="dxa"/>
            <w:vAlign w:val="bottom"/>
            <w:gridSpan w:val="6"/>
            <w:vMerge w:val="restart"/>
          </w:tcPr>
          <w:p>
            <w:pPr>
              <w:jc w:val="center"/>
              <w:ind w:left="762"/>
              <w:spacing w:after="0"/>
              <w:rPr>
                <w:sz w:val="20"/>
                <w:szCs w:val="20"/>
                <w:color w:val="auto"/>
              </w:rPr>
            </w:pPr>
            <w:r>
              <w:rPr>
                <w:rFonts w:ascii="Arial" w:cs="Arial" w:eastAsia="Arial" w:hAnsi="Arial"/>
                <w:sz w:val="16"/>
                <w:szCs w:val="16"/>
                <w:b w:val="1"/>
                <w:bCs w:val="1"/>
                <w:color w:val="auto"/>
                <w:w w:val="88"/>
              </w:rPr>
              <w:t>Six Months Ended June 30, 2021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vMerge w:val="restart"/>
          </w:tcPr>
          <w:p>
            <w:pPr>
              <w:jc w:val="right"/>
              <w:ind w:right="106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6"/>
              </w:rPr>
              <w:t>June 30, 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86"/>
              </w:rPr>
              <w:t>Revenue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180"/>
              <w:spacing w:after="0" w:line="153" w:lineRule="exact"/>
              <w:rPr>
                <w:sz w:val="20"/>
                <w:szCs w:val="20"/>
                <w:color w:val="auto"/>
              </w:rPr>
            </w:pPr>
            <w:r>
              <w:rPr>
                <w:rFonts w:ascii="Arial" w:cs="Arial" w:eastAsia="Arial" w:hAnsi="Arial"/>
                <w:sz w:val="16"/>
                <w:szCs w:val="16"/>
                <w:b w:val="1"/>
                <w:bCs w:val="1"/>
                <w:color w:val="auto"/>
                <w:w w:val="89"/>
              </w:rPr>
              <w:t>Foreign Currency</w:t>
            </w:r>
          </w:p>
        </w:tc>
        <w:tc>
          <w:tcPr>
            <w:tcW w:w="300" w:type="dxa"/>
            <w:vAlign w:val="bottom"/>
          </w:tcPr>
          <w:p>
            <w:pPr>
              <w:spacing w:after="0"/>
              <w:rPr>
                <w:sz w:val="13"/>
                <w:szCs w:val="13"/>
                <w:color w:val="auto"/>
              </w:rPr>
            </w:pPr>
          </w:p>
        </w:tc>
        <w:tc>
          <w:tcPr>
            <w:tcW w:w="1080" w:type="dxa"/>
            <w:vAlign w:val="bottom"/>
          </w:tcPr>
          <w:p>
            <w:pPr>
              <w:jc w:val="right"/>
              <w:ind w:right="242"/>
              <w:spacing w:after="0" w:line="153" w:lineRule="exact"/>
              <w:rPr>
                <w:sz w:val="20"/>
                <w:szCs w:val="20"/>
                <w:color w:val="auto"/>
              </w:rPr>
            </w:pPr>
            <w:r>
              <w:rPr>
                <w:rFonts w:ascii="Arial" w:cs="Arial" w:eastAsia="Arial" w:hAnsi="Arial"/>
                <w:sz w:val="16"/>
                <w:szCs w:val="16"/>
                <w:b w:val="1"/>
                <w:bCs w:val="1"/>
                <w:color w:val="auto"/>
                <w:w w:val="86"/>
              </w:rPr>
              <w:t>Revenue in</w:t>
            </w:r>
          </w:p>
        </w:tc>
        <w:tc>
          <w:tcPr>
            <w:tcW w:w="100" w:type="dxa"/>
            <w:vAlign w:val="bottom"/>
          </w:tcPr>
          <w:p>
            <w:pPr>
              <w:spacing w:after="0"/>
              <w:rPr>
                <w:sz w:val="13"/>
                <w:szCs w:val="13"/>
                <w:color w:val="auto"/>
              </w:rPr>
            </w:pPr>
          </w:p>
        </w:tc>
        <w:tc>
          <w:tcPr>
            <w:tcW w:w="134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15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5"/>
              </w:rPr>
              <w:t>Constant Currency</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
              <w:spacing w:after="0" w:line="209" w:lineRule="exact"/>
              <w:rPr>
                <w:sz w:val="20"/>
                <w:szCs w:val="20"/>
                <w:color w:val="auto"/>
              </w:rPr>
            </w:pPr>
            <w:r>
              <w:rPr>
                <w:rFonts w:ascii="Arial" w:cs="Arial" w:eastAsia="Arial" w:hAnsi="Arial"/>
                <w:sz w:val="16"/>
                <w:szCs w:val="16"/>
                <w:b w:val="1"/>
                <w:bCs w:val="1"/>
                <w:color w:val="auto"/>
                <w:w w:val="87"/>
              </w:rPr>
              <w:t xml:space="preserve">Translation </w:t>
            </w:r>
            <w:r>
              <w:rPr>
                <w:rFonts w:ascii="Arial" w:cs="Arial" w:eastAsia="Arial" w:hAnsi="Arial"/>
                <w:sz w:val="20"/>
                <w:szCs w:val="20"/>
                <w:b w:val="1"/>
                <w:bCs w:val="1"/>
                <w:color w:val="auto"/>
                <w:w w:val="87"/>
                <w:vertAlign w:val="superscript"/>
              </w:rPr>
              <w:t>(a)</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Constant Currency</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17.8 %</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16.9 %</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5"/>
        </w:trPr>
        <w:tc>
          <w:tcPr>
            <w:tcW w:w="2180" w:type="dxa"/>
            <w:vAlign w:val="bottom"/>
          </w:tcPr>
          <w:p>
            <w:pPr>
              <w:ind w:left="24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1,469.7</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60" w:hanging="43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Gross Profit</w:t>
      </w:r>
    </w:p>
    <w:p>
      <w:pPr>
        <w:spacing w:after="0" w:line="236"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Our principal measure of segment profitability is segment non-GAAP gross profit. We also present Non-GAAP Gross Profit in this MD&amp;A, which is the aggregate of segment non-GAAP gross profit, because we believe the measure is useful in analyzing trends in our underlying, recurring gross margins. We define Non-GAAP Gross Profit as our consolidated gross profit, adjusted to exclude the impact of share-based compensation expense and other non-recurring or unusual compensation items, purchase accounting-related effects, and certain business transformation-related costs. For a reconciliation of our Non-GAAP Gross Profit to our total consolidated gross profit, see “G</w:t>
      </w:r>
      <w:r>
        <w:rPr>
          <w:rFonts w:ascii="Arial" w:cs="Arial" w:eastAsia="Arial" w:hAnsi="Arial"/>
          <w:sz w:val="17"/>
          <w:szCs w:val="17"/>
          <w:i w:val="1"/>
          <w:iCs w:val="1"/>
          <w:color w:val="auto"/>
        </w:rPr>
        <w:t>ross Profit and Non-GAAP Gross Profit</w:t>
      </w:r>
      <w:r>
        <w:rPr>
          <w:rFonts w:ascii="Arial" w:cs="Arial" w:eastAsia="Arial" w:hAnsi="Arial"/>
          <w:sz w:val="17"/>
          <w:szCs w:val="17"/>
          <w:color w:val="auto"/>
        </w:rPr>
        <w:t>” above.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Net Income (Loss), Non-GAAP Operating Profit and Adjusted EBITDA</w:t>
      </w:r>
    </w:p>
    <w:p>
      <w:pPr>
        <w:spacing w:after="0" w:line="236"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2"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196"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management fees, the amortization of acquired intangible assets and certain other non-operating, non-recurring or non-core gains and losses, as well as the tax effects of these non-GAAP adjustments.</w:t>
      </w:r>
    </w:p>
    <w:p>
      <w:pPr>
        <w:spacing w:after="0" w:line="202"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We define Non-GAAP Operating Profit as net income (loss), plus interest expense and income taxes, further adjusted to exclude the impact of non-cash charges for share-based compensation, special bonuses and other compensation expense, transaction-related costs and adjustments, restructuring and transformation charges, management fees, the amortization of acquired intangible assets and certain other non-operating, non-recurring or non-core gains and losses.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define Adjusted EBITDA as Non-GAAP Operating Profit plus depreciation and amortization.</w:t>
      </w:r>
    </w:p>
    <w:p>
      <w:pPr>
        <w:spacing w:after="0" w:line="249"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Non-GAAP Operating Profit and Adjusted EBITDA are management’s principal metrics for measuring our underlying financial performance. Adjusted EBITDA, along with other quantitative and qualitative information, is also the principal financial measure used by management and our board of directors in determining performance-based compensation for our management and key employees.</w:t>
      </w:r>
    </w:p>
    <w:p>
      <w:pPr>
        <w:spacing w:after="0" w:line="198"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The following table presents a reconciliation of Non-GAAP Net Income (Loss), Non-GAAP Operating Profit and Adjusted EBITDA to our net loss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12"/>
        </w:trPr>
        <w:tc>
          <w:tcPr>
            <w:tcW w:w="460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0"/>
                <w:szCs w:val="20"/>
                <w:color w:val="auto"/>
                <w:vertAlign w:val="superscript"/>
              </w:rPr>
              <w:t>(a)</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9"/>
        </w:trPr>
        <w:tc>
          <w:tcPr>
            <w:tcW w:w="4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0"/>
                <w:szCs w:val="20"/>
                <w:color w:val="auto"/>
                <w:vertAlign w:val="superscript"/>
              </w:rPr>
              <w:t>(b)</w:t>
            </w:r>
          </w:p>
        </w:tc>
        <w:tc>
          <w:tcPr>
            <w:tcW w:w="104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09"/>
        </w:trPr>
        <w:tc>
          <w:tcPr>
            <w:tcW w:w="460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0"/>
                <w:szCs w:val="20"/>
                <w:color w:val="auto"/>
                <w:vertAlign w:val="superscript"/>
              </w:rPr>
              <w:t>(c)</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09"/>
        </w:trPr>
        <w:tc>
          <w:tcPr>
            <w:tcW w:w="4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0"/>
                <w:szCs w:val="20"/>
                <w:color w:val="auto"/>
                <w:vertAlign w:val="superscript"/>
              </w:rPr>
              <w:t>(d)</w:t>
            </w:r>
          </w:p>
        </w:tc>
        <w:tc>
          <w:tcPr>
            <w:tcW w:w="104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9"/>
        </w:trPr>
        <w:tc>
          <w:tcPr>
            <w:tcW w:w="4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0"/>
                <w:szCs w:val="20"/>
                <w:color w:val="auto"/>
                <w:vertAlign w:val="superscript"/>
              </w:rPr>
              <w:t>(e)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460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Debt modification and extinguishment costs </w:t>
            </w:r>
            <w:r>
              <w:rPr>
                <w:rFonts w:ascii="Arial" w:cs="Arial" w:eastAsia="Arial" w:hAnsi="Arial"/>
                <w:sz w:val="20"/>
                <w:szCs w:val="20"/>
                <w:color w:val="auto"/>
                <w:vertAlign w:val="superscript"/>
              </w:rPr>
              <w:t>(f)</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09"/>
        </w:trPr>
        <w:tc>
          <w:tcPr>
            <w:tcW w:w="4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0"/>
                <w:szCs w:val="20"/>
                <w:color w:val="auto"/>
                <w:vertAlign w:val="superscript"/>
              </w:rPr>
              <w:t>(g)</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460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0"/>
                <w:szCs w:val="20"/>
                <w:color w:val="auto"/>
                <w:vertAlign w:val="superscript"/>
              </w:rPr>
              <w:t>(h)</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209"/>
        </w:trPr>
        <w:tc>
          <w:tcPr>
            <w:tcW w:w="460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0"/>
                <w:szCs w:val="20"/>
                <w:color w:val="auto"/>
                <w:vertAlign w:val="superscript"/>
              </w:rPr>
              <w:t>(i)</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r>
      <w:tr>
        <w:trPr>
          <w:trHeight w:val="202"/>
        </w:trPr>
        <w:tc>
          <w:tcPr>
            <w:tcW w:w="4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Net Income</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103.1</w:t>
            </w: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9"/>
        </w:trPr>
        <w:tc>
          <w:tcPr>
            <w:tcW w:w="460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0"/>
                <w:szCs w:val="20"/>
                <w:color w:val="auto"/>
                <w:vertAlign w:val="superscript"/>
              </w:rPr>
              <w:t>(i)</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r>
      <w:tr>
        <w:trPr>
          <w:trHeight w:val="202"/>
        </w:trPr>
        <w:tc>
          <w:tcPr>
            <w:tcW w:w="4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Operating Profit</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w:t>
            </w:r>
          </w:p>
        </w:tc>
      </w:tr>
      <w:tr>
        <w:trPr>
          <w:trHeight w:val="209"/>
        </w:trPr>
        <w:tc>
          <w:tcPr>
            <w:tcW w:w="460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 xml:space="preserve">Depreciation </w:t>
            </w:r>
            <w:r>
              <w:rPr>
                <w:rFonts w:ascii="Arial" w:cs="Arial" w:eastAsia="Arial" w:hAnsi="Arial"/>
                <w:sz w:val="20"/>
                <w:szCs w:val="20"/>
                <w:color w:val="auto"/>
                <w:vertAlign w:val="superscript"/>
              </w:rPr>
              <w:t>(j)</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r>
      <w:tr>
        <w:trPr>
          <w:trHeight w:val="227"/>
        </w:trPr>
        <w:tc>
          <w:tcPr>
            <w:tcW w:w="4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104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187.6</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right="240" w:hanging="334"/>
        <w:spacing w:after="0" w:line="242"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21" w:lineRule="exact"/>
        <w:rPr>
          <w:rFonts w:ascii="Arial" w:cs="Arial" w:eastAsia="Arial" w:hAnsi="Arial"/>
          <w:sz w:val="16"/>
          <w:szCs w:val="16"/>
          <w:color w:val="auto"/>
        </w:rPr>
      </w:pPr>
    </w:p>
    <w:p>
      <w:pPr>
        <w:ind w:left="480" w:right="220" w:hanging="338"/>
        <w:spacing w:after="0" w:line="300" w:lineRule="auto"/>
        <w:tabs>
          <w:tab w:leader="none" w:pos="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legal, professional, accounting and other advisory fees related to the acquisition of Onica in the fourth quarter of 2019 and the IPO in the third quarter of 2020,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1" w:lineRule="exact"/>
        <w:rPr>
          <w:rFonts w:ascii="Arial" w:cs="Arial" w:eastAsia="Arial" w:hAnsi="Arial"/>
          <w:sz w:val="13"/>
          <w:szCs w:val="13"/>
          <w:color w:val="auto"/>
        </w:rPr>
      </w:pPr>
    </w:p>
    <w:p>
      <w:pPr>
        <w:ind w:left="480" w:right="360" w:hanging="334"/>
        <w:spacing w:after="0" w:line="242"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w:t>
      </w:r>
    </w:p>
    <w:p>
      <w:pPr>
        <w:spacing w:after="0" w:line="21" w:lineRule="exact"/>
        <w:rPr>
          <w:rFonts w:ascii="Arial" w:cs="Arial" w:eastAsia="Arial" w:hAnsi="Arial"/>
          <w:sz w:val="16"/>
          <w:szCs w:val="16"/>
          <w:color w:val="auto"/>
        </w:rPr>
      </w:pPr>
    </w:p>
    <w:p>
      <w:pPr>
        <w:ind w:left="480" w:right="400" w:hanging="338"/>
        <w:spacing w:after="0" w:line="242"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historical management fees pursuant to management consulting agreements. The management consulting agreements were terminated effective August 4, 2020, and therefore no management fees have accrued or will be payable for periods after August 4, 2020.</w:t>
      </w:r>
    </w:p>
    <w:p>
      <w:pPr>
        <w:spacing w:after="0" w:line="21" w:lineRule="exact"/>
        <w:rPr>
          <w:rFonts w:ascii="Arial" w:cs="Arial" w:eastAsia="Arial" w:hAnsi="Arial"/>
          <w:sz w:val="16"/>
          <w:szCs w:val="16"/>
          <w:color w:val="auto"/>
        </w:rPr>
      </w:pPr>
    </w:p>
    <w:p>
      <w:pPr>
        <w:ind w:left="480" w:hanging="334"/>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w:t>
      </w:r>
    </w:p>
    <w:p>
      <w:pPr>
        <w:spacing w:after="0" w:line="38" w:lineRule="exact"/>
        <w:rPr>
          <w:rFonts w:ascii="Arial" w:cs="Arial" w:eastAsia="Arial" w:hAnsi="Arial"/>
          <w:sz w:val="16"/>
          <w:szCs w:val="16"/>
          <w:color w:val="auto"/>
        </w:rPr>
      </w:pPr>
    </w:p>
    <w:p>
      <w:pPr>
        <w:ind w:left="480" w:hanging="325"/>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expenses related to the February 2021 Refinancing Transaction and termination of the Receivables Financing Facility.</w:t>
      </w:r>
    </w:p>
    <w:p>
      <w:pPr>
        <w:spacing w:after="0" w:line="38" w:lineRule="exact"/>
        <w:rPr>
          <w:rFonts w:ascii="Arial" w:cs="Arial" w:eastAsia="Arial" w:hAnsi="Arial"/>
          <w:sz w:val="16"/>
          <w:szCs w:val="16"/>
          <w:color w:val="auto"/>
        </w:rPr>
      </w:pPr>
    </w:p>
    <w:p>
      <w:pPr>
        <w:ind w:left="480" w:hanging="338"/>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mainly changes in the fair value of foreign currency derivatives.</w:t>
      </w:r>
    </w:p>
    <w:p>
      <w:pPr>
        <w:spacing w:after="0" w:line="38" w:lineRule="exact"/>
        <w:rPr>
          <w:rFonts w:ascii="Arial" w:cs="Arial" w:eastAsia="Arial" w:hAnsi="Arial"/>
          <w:sz w:val="16"/>
          <w:szCs w:val="16"/>
          <w:color w:val="auto"/>
        </w:rPr>
      </w:pPr>
    </w:p>
    <w:p>
      <w:pPr>
        <w:ind w:left="480" w:hanging="338"/>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38" w:lineRule="exact"/>
        <w:rPr>
          <w:sz w:val="20"/>
          <w:szCs w:val="20"/>
          <w:color w:val="auto"/>
        </w:rPr>
      </w:pPr>
    </w:p>
    <w:p>
      <w:pPr>
        <w:ind w:left="480" w:right="40" w:hanging="321"/>
        <w:spacing w:after="0" w:line="241" w:lineRule="auto"/>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2020 and 2021 interim periods, we based it on an average of the 2019 and estimated 2020 tax rates and 2020 and estimated 2021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5" w:lineRule="exact"/>
        <w:rPr>
          <w:rFonts w:ascii="Arial" w:cs="Arial" w:eastAsia="Arial" w:hAnsi="Arial"/>
          <w:sz w:val="15"/>
          <w:szCs w:val="15"/>
          <w:color w:val="auto"/>
        </w:rPr>
      </w:pPr>
    </w:p>
    <w:p>
      <w:pPr>
        <w:ind w:left="480" w:hanging="321"/>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9" w:lineRule="exact"/>
        <w:rPr>
          <w:rFonts w:ascii="Arial" w:cs="Arial" w:eastAsia="Arial" w:hAnsi="Arial"/>
          <w:sz w:val="16"/>
          <w:szCs w:val="16"/>
          <w:color w:val="auto"/>
        </w:rPr>
      </w:pPr>
    </w:p>
    <w:p>
      <w:pPr>
        <w:ind w:left="5540" w:hanging="105"/>
        <w:spacing w:after="0"/>
        <w:tabs>
          <w:tab w:leader="none" w:pos="55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Earnings Per Share (EPS)</w:t>
      </w:r>
    </w:p>
    <w:p>
      <w:pPr>
        <w:spacing w:after="0" w:line="249"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We define Non-GAAP EPS as Non-GAAP Net Income divided by our GAAP weighted average number of shares outstanding for the period on a diluted basis and further adjusted for the weighted average number of shares associated with securities which are anti-dilutive to GAAP earnings per share but dilutive to Non-GAAP EPS. Management uses Non-GAAP EPS to evaluate the performance of our business on a comparable basis from period to period, including by adjusting for the impact of the issuance of shares that would be dilutive to Non-GAAP EPS. The following table reconciles Non-GAAP EPS to our GAAP net loss per share on a diluted basis: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20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r>
      <w:tr>
        <w:trPr>
          <w:trHeight w:val="205"/>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(100.6)</w:t>
            </w: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7"/>
                <w:szCs w:val="17"/>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7"/>
                <w:szCs w:val="17"/>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7"/>
                <w:szCs w:val="17"/>
                <w:color w:val="auto"/>
              </w:rPr>
            </w:pP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2"/>
        </w:trPr>
        <w:tc>
          <w:tcPr>
            <w:tcW w:w="5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165.5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207.9</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206.2</w:t>
            </w:r>
          </w:p>
        </w:tc>
      </w:tr>
      <w:tr>
        <w:trPr>
          <w:trHeight w:val="212"/>
        </w:trPr>
        <w:tc>
          <w:tcPr>
            <w:tcW w:w="516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0"/>
                <w:szCs w:val="20"/>
                <w:color w:val="auto"/>
                <w:vertAlign w:val="superscript"/>
              </w:rPr>
              <w:t>(a)</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2"/>
        </w:trPr>
        <w:tc>
          <w:tcPr>
            <w:tcW w:w="516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167.4</w:t>
            </w: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213.3</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7"/>
                <w:szCs w:val="17"/>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7"/>
                <w:szCs w:val="17"/>
                <w:color w:val="auto"/>
              </w:rPr>
            </w:pPr>
          </w:p>
        </w:tc>
        <w:tc>
          <w:tcPr>
            <w:tcW w:w="940" w:type="dxa"/>
            <w:vAlign w:val="bottom"/>
          </w:tcPr>
          <w:p>
            <w:pPr>
              <w:jc w:val="right"/>
              <w:ind w:right="78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7"/>
                <w:szCs w:val="17"/>
                <w:color w:val="auto"/>
              </w:rPr>
            </w:pP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(0.49)</w:t>
            </w:r>
          </w:p>
        </w:tc>
      </w:tr>
      <w:tr>
        <w:trPr>
          <w:trHeight w:val="212"/>
        </w:trPr>
        <w:tc>
          <w:tcPr>
            <w:tcW w:w="516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0"/>
                <w:szCs w:val="20"/>
                <w:color w:val="auto"/>
                <w:vertAlign w:val="superscript"/>
              </w:rPr>
              <w:t>(b)</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r>
      <w:tr>
        <w:trPr>
          <w:trHeight w:val="209"/>
        </w:trPr>
        <w:tc>
          <w:tcPr>
            <w:tcW w:w="516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 xml:space="preserve">Per share impacts of shares dilutive after adjustments to net loss </w:t>
            </w:r>
            <w:r>
              <w:rPr>
                <w:rFonts w:ascii="Arial" w:cs="Arial" w:eastAsia="Arial" w:hAnsi="Arial"/>
                <w:sz w:val="20"/>
                <w:szCs w:val="20"/>
                <w:color w:val="auto"/>
                <w:vertAlign w:val="superscript"/>
              </w:rPr>
              <w:t>(a)</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27"/>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EPS</w:t>
            </w: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right="20" w:hanging="458"/>
        <w:spacing w:after="0" w:line="248" w:lineRule="auto"/>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Reflects impact of awards that would have been anti-dilutive to Net loss per share, and therefore not included in the calculation, but would be dilutive to Non-GAAP EPS and are therefore included in the share count for purposes of this non-GAAP measure. Potential common share equivalents consist of shares issuable upon the exercise of stock options, vesting of restricted stock or purchase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Arial" w:cs="Arial" w:eastAsia="Arial" w:hAnsi="Arial"/>
          <w:sz w:val="16"/>
          <w:szCs w:val="16"/>
          <w:color w:val="auto"/>
        </w:rPr>
        <w:t>C")</w:t>
      </w:r>
      <w:r>
        <w:rPr>
          <w:rFonts w:ascii="Arial" w:cs="Arial" w:eastAsia="Arial" w:hAnsi="Arial"/>
          <w:sz w:val="15"/>
          <w:szCs w:val="15"/>
          <w:color w:val="auto"/>
        </w:rPr>
        <w:t>, which are included in the denominator for the entire period if such shares would be issuable as of the end of the reporting period assuming the end of the reporting period was the end of the contingency period.</w:t>
      </w:r>
    </w:p>
    <w:p>
      <w:pPr>
        <w:spacing w:after="0" w:line="16" w:lineRule="exact"/>
        <w:rPr>
          <w:rFonts w:ascii="Arial" w:cs="Arial" w:eastAsia="Arial" w:hAnsi="Arial"/>
          <w:sz w:val="15"/>
          <w:szCs w:val="15"/>
          <w:color w:val="auto"/>
        </w:rPr>
      </w:pPr>
    </w:p>
    <w:p>
      <w:pPr>
        <w:ind w:left="480" w:right="160" w:hanging="458"/>
        <w:spacing w:after="0" w:line="242"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40" w:hanging="105"/>
        <w:spacing w:after="0"/>
        <w:tabs>
          <w:tab w:leader="none" w:pos="55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49"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the Revolving Credit Facility. As of June 30, 2021, the Revolving Credit Facility provided for up to $375 million of borrowings, none of which was drawn as of June 30, 2021. On June 29, 2021, as part of our on-going efforts to reduce debt, we entered into an agreement to voluntarily prepay and terminate the Receivables Financing Facility. As of June 30, 2021, we had no remaining outstanding balance under the Receivables Financing Facility. We believe our Revolving Credit Facility will provide sufficient liquidity, if needed, to cover amounts that we may have previously drawn upon under the terminated facility.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(see discussion below),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00"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5.375% Senior Notes (the "5.375% Notes Indenture") or the indenture governing the 3.50% Senior Secured Notes (the "3.50% Notes Indenture" and, together with the 5.375% Notes Indenture, the "Indentures"), if applicable), for cash or other consideration.</w:t>
      </w:r>
    </w:p>
    <w:p>
      <w:pPr>
        <w:spacing w:after="0" w:line="192"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At June 30, 2021, we held $215 million in cash and cash equivalents (not including $3 million in restricted cash, which is included in "Other non-current assets"), of which $108 million was held by foreign entities.</w:t>
      </w:r>
    </w:p>
    <w:p>
      <w:pPr>
        <w:spacing w:after="0" w:line="184" w:lineRule="exact"/>
        <w:rPr>
          <w:sz w:val="20"/>
          <w:szCs w:val="20"/>
          <w:color w:val="auto"/>
        </w:rPr>
      </w:pPr>
    </w:p>
    <w:p>
      <w:pPr>
        <w:jc w:val="both"/>
        <w:ind w:right="480" w:firstLine="470"/>
        <w:spacing w:after="0" w:line="272" w:lineRule="auto"/>
        <w:rPr>
          <w:sz w:val="20"/>
          <w:szCs w:val="20"/>
          <w:color w:val="auto"/>
        </w:rPr>
      </w:pPr>
      <w:r>
        <w:rPr>
          <w:rFonts w:ascii="Arial" w:cs="Arial" w:eastAsia="Arial" w:hAnsi="Arial"/>
          <w:sz w:val="17"/>
          <w:szCs w:val="17"/>
          <w:color w:val="auto"/>
        </w:rPr>
        <w:t>We have entered into installment payment arrangements with certain equipment and software vendors, along with sale-leaseback arrangements for equipment and certain property leases that are considered financing obligations. We had $140 million outstanding with respect to these arrangements as of June 30, 2021. We may choose to utilize these various sources of funding in future periods.</w:t>
      </w:r>
    </w:p>
    <w:p>
      <w:pPr>
        <w:spacing w:after="0" w:line="198"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We also lease certain equipment and real estate under operating and finance lease agreements. We had $584 million outstanding with respect to operating and finance lease agreements as of June 30, 2021. We may choose to utilize such leasing arrangements in future periods.</w:t>
      </w:r>
    </w:p>
    <w:p>
      <w:pPr>
        <w:spacing w:after="0" w:line="184" w:lineRule="exact"/>
        <w:rPr>
          <w:sz w:val="20"/>
          <w:szCs w:val="20"/>
          <w:color w:val="auto"/>
        </w:rPr>
      </w:pPr>
    </w:p>
    <w:p>
      <w:pPr>
        <w:ind w:right="420" w:firstLine="470"/>
        <w:spacing w:after="0" w:line="272" w:lineRule="auto"/>
        <w:rPr>
          <w:sz w:val="20"/>
          <w:szCs w:val="20"/>
          <w:color w:val="auto"/>
        </w:rPr>
      </w:pPr>
      <w:r>
        <w:rPr>
          <w:rFonts w:ascii="Arial" w:cs="Arial" w:eastAsia="Arial" w:hAnsi="Arial"/>
          <w:sz w:val="17"/>
          <w:szCs w:val="17"/>
          <w:color w:val="auto"/>
        </w:rPr>
        <w:t>As of June 30, 2021, we had $3,394 million aggregate principal amount outstanding under our Term Loan Facility, 5.375% Senior Notes, and 3.50% Senior Secured Notes, with $375 million of borrowing capacity available under the Revolving Credit Facility. Our liquidity requirements are significant, primarily due to debt service requirements.</w:t>
      </w:r>
    </w:p>
    <w:p>
      <w:pPr>
        <w:spacing w:after="0" w:line="198" w:lineRule="exact"/>
        <w:rPr>
          <w:sz w:val="20"/>
          <w:szCs w:val="20"/>
          <w:color w:val="auto"/>
        </w:rPr>
      </w:pPr>
    </w:p>
    <w:p>
      <w:pPr>
        <w:ind w:right="100" w:firstLine="470"/>
        <w:spacing w:after="0" w:line="284"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Parent, Inc. We will be required to issue additional shares of our common stock to DPH 123, LLC based on the MOIC exceeding certain thresholds as defined in the Datapipe Merger Agreement. If the MOIC exceeds 3.0x, which is indicated by a volume weighted average trading price ("VWAP") of our common stock over 30 consecutive trading days of more than $25.00, we will be required to issue an additional 2,665,935 shares.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Facilitie</w:t>
      </w:r>
      <w:r>
        <w:rPr>
          <w:rFonts w:ascii="Arial" w:cs="Arial" w:eastAsia="Arial" w:hAnsi="Arial"/>
          <w:sz w:val="17"/>
          <w:szCs w:val="17"/>
          <w:b w:val="1"/>
          <w:bCs w:val="1"/>
          <w:i w:val="1"/>
          <w:iCs w:val="1"/>
          <w:color w:val="auto"/>
        </w:rPr>
        <w:t>s</w:t>
      </w:r>
    </w:p>
    <w:p>
      <w:pPr>
        <w:spacing w:after="0" w:line="249" w:lineRule="exact"/>
        <w:rPr>
          <w:sz w:val="20"/>
          <w:szCs w:val="20"/>
          <w:color w:val="auto"/>
        </w:rPr>
      </w:pPr>
    </w:p>
    <w:p>
      <w:pPr>
        <w:ind w:right="40" w:firstLine="470"/>
        <w:spacing w:after="0" w:line="260" w:lineRule="auto"/>
        <w:rPr>
          <w:sz w:val="20"/>
          <w:szCs w:val="20"/>
          <w:color w:val="auto"/>
        </w:rPr>
      </w:pPr>
      <w:r>
        <w:rPr>
          <w:rFonts w:ascii="Arial" w:cs="Arial" w:eastAsia="Arial" w:hAnsi="Arial"/>
          <w:sz w:val="17"/>
          <w:szCs w:val="17"/>
          <w:color w:val="auto"/>
        </w:rPr>
        <w:t>On February 9, 2021, we amended and restated the credit agreement (the "First Lien Credit Agreement") governing our senior secured credit facilities, which included a new seven-year $2,300 million senior secured first lien term loan facility (the "Term Loan Facility") and the Revolving Credit Facility (together, the "Senior Facilities"). We used the borrowings under the Term Loan Facility, together with the proceeds from the issuance of the 3.50% Senior Secured Notes described below (together, the "February 2021 Refinancing Transaction"), to repay all borrowings under the prior term loan facility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11"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Interest on the Term Loan Facility is due at the end of each interest period elected, not exceeding 90 days, for LIBOR loans and at the end of every calendar quarter for base rate loans. As of June 30, 2021, the interest rate on the Term Loan Facility was 3.50%. Beginning June 30, 2021, we are required to make quarterly amortization payments on the Term Loan Facility in an annual amount equal to 1.0% of the original principal amount of the Term Loan Facility, with the balance due at maturity. The Revolving Credit Facility includes a commitment fee equal to 0.50% per annum in respect of the unused commitments that is due quarterly. This fee is subject to one step-down based on the net first lien leverage ratio. The Senior Facilities require us to make certain mandatory prepayments under certain conditions defined in the credit agreement.</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Rackspace Technology Global, our wholly-owned subsidiary, is the borrower under the Senior Facilities, and all obligations under the Senior Facilities are</w:t>
      </w:r>
    </w:p>
    <w:p>
      <w:pPr>
        <w:spacing w:after="0" w:line="49" w:lineRule="exact"/>
        <w:rPr>
          <w:sz w:val="20"/>
          <w:szCs w:val="20"/>
          <w:color w:val="auto"/>
        </w:rPr>
      </w:pPr>
    </w:p>
    <w:p>
      <w:pPr>
        <w:ind w:right="20" w:firstLine="5"/>
        <w:spacing w:after="0" w:line="262" w:lineRule="auto"/>
        <w:tabs>
          <w:tab w:leader="none" w:pos="2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06" w:lineRule="exact"/>
        <w:rPr>
          <w:sz w:val="20"/>
          <w:szCs w:val="20"/>
          <w:color w:val="auto"/>
        </w:rPr>
      </w:pPr>
    </w:p>
    <w:p>
      <w:pPr>
        <w:ind w:right="740" w:firstLine="470"/>
        <w:spacing w:after="0" w:line="288" w:lineRule="auto"/>
        <w:rPr>
          <w:sz w:val="20"/>
          <w:szCs w:val="20"/>
          <w:color w:val="auto"/>
        </w:rPr>
      </w:pPr>
      <w:r>
        <w:rPr>
          <w:rFonts w:ascii="Arial" w:cs="Arial" w:eastAsia="Arial" w:hAnsi="Arial"/>
          <w:sz w:val="17"/>
          <w:szCs w:val="17"/>
          <w:color w:val="auto"/>
        </w:rPr>
        <w:t>As of June 30, 2021, $2,294 million aggregate principal amount of the Term Loan Facility remained outstanding. See Item 1 of Part I, Financial Statements - Note 6, "Debt" for more information regarding our Senior Facilities and the February 2021 Refinancing Transaction.</w:t>
      </w:r>
    </w:p>
    <w:p>
      <w:pPr>
        <w:spacing w:after="0" w:line="184"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We have entered into interest rate swap agreements to manage the interest rate risk associated with interest payments on the Term Loan Facility that result from fluctuations in the LIBOR rate. See Item 1 of Part I, Financial Statements - Note 10, "Derivatives" for more information on the interest rate swap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5.375% Senior Notes due 2028</w:t>
      </w:r>
    </w:p>
    <w:p>
      <w:pPr>
        <w:spacing w:after="0" w:line="249"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through maturity. The 5.375% Senior Notes are guaranteed on a senior unsecured basis by all of Rackspace Technology Global’s wholly-owned domestic restricted subsidiaries that guarantee the Senior Facilities.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2021, $550 million aggregate principal amount of the 5.375% Senior Notes remained outstanding.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3.50% Senior Secured Notes due 2028</w:t>
      </w:r>
    </w:p>
    <w:p>
      <w:pPr>
        <w:spacing w:after="0" w:line="249"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We may redeem some or all of the 3.50% Senior Secured Notes at our option prior to February 15, 2024 subject to certain limitations and conditions outlined in the 3.50% Notes Indenture.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60" w:firstLine="427"/>
        <w:spacing w:after="0" w:line="321" w:lineRule="auto"/>
        <w:rPr>
          <w:sz w:val="20"/>
          <w:szCs w:val="20"/>
          <w:color w:val="auto"/>
        </w:rPr>
      </w:pPr>
      <w:r>
        <w:rPr>
          <w:rFonts w:ascii="Arial" w:cs="Arial" w:eastAsia="Arial" w:hAnsi="Arial"/>
          <w:sz w:val="16"/>
          <w:szCs w:val="16"/>
          <w:color w:val="auto"/>
        </w:rPr>
        <w:t>The 3.50% Senior Secured Notes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2021, $550 million aggregate principal amount of the 3.50% Senior Secured Notes remained outstanding.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covenants</w:t>
      </w:r>
    </w:p>
    <w:p>
      <w:pPr>
        <w:spacing w:after="0" w:line="249"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Our Term Loan Facility is not subject to a financial maintenance covenant. As of June 30, 2021, our Revolving Credit Facility included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9"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respectively, at a price in cash equal to 101% of the aggregate principal amount, plus accrued and unpaid interest, if any, to, but not including the purchase date.</w:t>
      </w:r>
    </w:p>
    <w:p>
      <w:pPr>
        <w:spacing w:after="0" w:line="205" w:lineRule="exact"/>
        <w:rPr>
          <w:sz w:val="20"/>
          <w:szCs w:val="20"/>
          <w:color w:val="auto"/>
        </w:rPr>
      </w:pPr>
    </w:p>
    <w:p>
      <w:pPr>
        <w:ind w:right="140" w:firstLine="470"/>
        <w:spacing w:after="0" w:line="307" w:lineRule="auto"/>
        <w:rPr>
          <w:sz w:val="20"/>
          <w:szCs w:val="20"/>
          <w:color w:val="auto"/>
        </w:rPr>
      </w:pPr>
      <w:r>
        <w:rPr>
          <w:rFonts w:ascii="Arial" w:cs="Arial" w:eastAsia="Arial" w:hAnsi="Arial"/>
          <w:sz w:val="15"/>
          <w:szCs w:val="15"/>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2021, we were in compliance with all covenants under the Senior Facilities and the Indentures.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a summary of our capital expenditures for the periods indicated:</w:t>
      </w:r>
    </w:p>
    <w:p>
      <w:pPr>
        <w:spacing w:after="0" w:line="14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2021</w:t>
            </w:r>
          </w:p>
        </w:tc>
      </w:tr>
      <w:tr>
        <w:trPr>
          <w:trHeight w:val="205"/>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gear</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r>
      <w:tr>
        <w:trPr>
          <w:trHeight w:val="206"/>
        </w:trPr>
        <w:tc>
          <w:tcPr>
            <w:tcW w:w="7540" w:type="dxa"/>
            <w:vAlign w:val="bottom"/>
          </w:tcPr>
          <w:p>
            <w:pPr>
              <w:ind w:left="140"/>
              <w:spacing w:after="0"/>
              <w:rPr>
                <w:sz w:val="20"/>
                <w:szCs w:val="20"/>
                <w:color w:val="auto"/>
              </w:rPr>
            </w:pPr>
            <w:r>
              <w:rPr>
                <w:rFonts w:ascii="Arial" w:cs="Arial" w:eastAsia="Arial" w:hAnsi="Arial"/>
                <w:sz w:val="16"/>
                <w:szCs w:val="16"/>
                <w:color w:val="auto"/>
              </w:rPr>
              <w:t>Data center build outs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build outs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6"/>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Capitalized software and other projects</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r>
      <w:tr>
        <w:trPr>
          <w:trHeight w:val="23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40" w:firstLine="470"/>
        <w:spacing w:after="0" w:line="256" w:lineRule="auto"/>
        <w:rPr>
          <w:sz w:val="20"/>
          <w:szCs w:val="20"/>
          <w:color w:val="auto"/>
        </w:rPr>
      </w:pPr>
      <w:r>
        <w:rPr>
          <w:rFonts w:ascii="Arial" w:cs="Arial" w:eastAsia="Arial" w:hAnsi="Arial"/>
          <w:sz w:val="17"/>
          <w:szCs w:val="17"/>
          <w:color w:val="auto"/>
        </w:rPr>
        <w:t>Capital expenditures were $141 million in the six months ended June 30, 2021, compared to $126 million in the six months ended June 30, 2020, an increase of $15 million. Capital expenditures were higher during the six months ended June 30, 2021, mainly due to the renewal of multi-year, enterprise storage and software license agreements.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a summary of certain cash flow information for the periods indicated:</w:t>
      </w:r>
    </w:p>
    <w:p>
      <w:pPr>
        <w:spacing w:after="0" w:line="143"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2021</w:t>
            </w:r>
          </w:p>
        </w:tc>
      </w:tr>
      <w:tr>
        <w:trPr>
          <w:trHeight w:val="205"/>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220" w:type="dxa"/>
            <w:vAlign w:val="bottom"/>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102"/>
              <w:spacing w:after="0"/>
              <w:rPr>
                <w:sz w:val="20"/>
                <w:szCs w:val="20"/>
                <w:color w:val="auto"/>
              </w:rPr>
            </w:pPr>
            <w:r>
              <w:rPr>
                <w:rFonts w:ascii="Arial" w:cs="Arial" w:eastAsia="Arial" w:hAnsi="Arial"/>
                <w:sz w:val="16"/>
                <w:szCs w:val="16"/>
                <w:color w:val="auto"/>
                <w:w w:val="89"/>
              </w:rPr>
              <w:t>98.8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960"/>
              <w:spacing w:after="0"/>
              <w:rPr>
                <w:sz w:val="20"/>
                <w:szCs w:val="20"/>
                <w:color w:val="auto"/>
              </w:rPr>
            </w:pPr>
            <w:r>
              <w:rPr>
                <w:rFonts w:ascii="Arial" w:cs="Arial" w:eastAsia="Arial" w:hAnsi="Arial"/>
                <w:sz w:val="16"/>
                <w:szCs w:val="16"/>
                <w:color w:val="auto"/>
                <w:w w:val="99"/>
              </w:rPr>
              <w:t>208.9</w:t>
            </w:r>
          </w:p>
        </w:tc>
      </w:tr>
      <w:tr>
        <w:trPr>
          <w:trHeight w:val="206"/>
        </w:trPr>
        <w:tc>
          <w:tcPr>
            <w:tcW w:w="75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62"/>
              <w:spacing w:after="0"/>
              <w:rPr>
                <w:sz w:val="20"/>
                <w:szCs w:val="20"/>
                <w:color w:val="auto"/>
              </w:rPr>
            </w:pPr>
            <w:r>
              <w:rPr>
                <w:rFonts w:ascii="Arial" w:cs="Arial" w:eastAsia="Arial" w:hAnsi="Arial"/>
                <w:sz w:val="16"/>
                <w:szCs w:val="16"/>
                <w:color w:val="auto"/>
                <w:w w:val="86"/>
              </w:rPr>
              <w:t>(62.8)</w:t>
            </w:r>
          </w:p>
        </w:tc>
        <w:tc>
          <w:tcPr>
            <w:tcW w:w="1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Pr>
          <w:p>
            <w:pPr>
              <w:ind w:left="980"/>
              <w:spacing w:after="0"/>
              <w:rPr>
                <w:sz w:val="20"/>
                <w:szCs w:val="20"/>
                <w:color w:val="auto"/>
              </w:rPr>
            </w:pPr>
            <w:r>
              <w:rPr>
                <w:rFonts w:ascii="Arial" w:cs="Arial" w:eastAsia="Arial" w:hAnsi="Arial"/>
                <w:sz w:val="16"/>
                <w:szCs w:val="16"/>
                <w:color w:val="auto"/>
                <w:w w:val="90"/>
              </w:rPr>
              <w:t>(31.7)</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1220" w:type="dxa"/>
            <w:vAlign w:val="bottom"/>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102"/>
              <w:spacing w:after="0"/>
              <w:rPr>
                <w:sz w:val="20"/>
                <w:szCs w:val="20"/>
                <w:color w:val="auto"/>
              </w:rPr>
            </w:pPr>
            <w:r>
              <w:rPr>
                <w:rFonts w:ascii="Arial" w:cs="Arial" w:eastAsia="Arial" w:hAnsi="Arial"/>
                <w:sz w:val="16"/>
                <w:szCs w:val="16"/>
                <w:color w:val="auto"/>
                <w:w w:val="89"/>
              </w:rPr>
              <w:t>43.3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0"/>
              </w:rPr>
              <w:t>(66.8)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Operating Activities</w:t>
      </w:r>
    </w:p>
    <w:p>
      <w:pPr>
        <w:spacing w:after="0" w:line="249"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8" w:lineRule="exact"/>
        <w:rPr>
          <w:sz w:val="20"/>
          <w:szCs w:val="20"/>
          <w:color w:val="auto"/>
        </w:rPr>
      </w:pPr>
    </w:p>
    <w:p>
      <w:pPr>
        <w:ind w:right="140" w:firstLine="470"/>
        <w:spacing w:after="0" w:line="282" w:lineRule="auto"/>
        <w:rPr>
          <w:sz w:val="20"/>
          <w:szCs w:val="20"/>
          <w:color w:val="auto"/>
        </w:rPr>
      </w:pPr>
      <w:r>
        <w:rPr>
          <w:rFonts w:ascii="Arial" w:cs="Arial" w:eastAsia="Arial" w:hAnsi="Arial"/>
          <w:sz w:val="16"/>
          <w:szCs w:val="16"/>
          <w:color w:val="auto"/>
        </w:rPr>
        <w:t>Net cash provided by operating activities increased $110 million, or 111%, in the six months ended June 30, 2021 compared to the six months ended June 30, 2020. This increase was primarily driven by a $225 million increase in cash collections, primarily reflecting higher revenue levels and an increased focus on collection efforts with customers, and to a lesser extent, timing of collections. In addition, there was a $46 million decrease in debt interest payments due to lower interest rates on our long-term debt following various debt repurchase and refinancing transactions during the second half of 2020 and early 2021, and a $21 million decrease in employee-related payments due to the timing of payroll cycles in certain geographies. These operating cash flow increases were partially offset by a $169 million increase in operating expense payments, largely for third-party infrastructure costs.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Investing Activities</w:t>
      </w:r>
    </w:p>
    <w:p>
      <w:pPr>
        <w:spacing w:after="0" w:line="249"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spacing w:after="0" w:line="198"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Net cash used in investing activities decreased $31 million, or 50%, in the six months ended June 30, 2021 compared to the six months ended June 30, 2020. This decrease was mainly due to net proceeds of $31 million from the January 2021 sale of a parcel of undeveloped land in the United Kingdom adjacent to one of our existing data centers.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or Used in Financing Activities</w:t>
      </w:r>
    </w:p>
    <w:p>
      <w:pPr>
        <w:spacing w:after="0" w:line="249" w:lineRule="exact"/>
        <w:rPr>
          <w:sz w:val="20"/>
          <w:szCs w:val="20"/>
          <w:color w:val="auto"/>
        </w:rPr>
      </w:pPr>
    </w:p>
    <w:p>
      <w:pPr>
        <w:ind w:right="40" w:firstLine="470"/>
        <w:spacing w:after="0" w:line="321" w:lineRule="auto"/>
        <w:rPr>
          <w:sz w:val="20"/>
          <w:szCs w:val="20"/>
          <w:color w:val="auto"/>
        </w:rPr>
      </w:pPr>
      <w:r>
        <w:rPr>
          <w:rFonts w:ascii="Arial" w:cs="Arial" w:eastAsia="Arial" w:hAnsi="Arial"/>
          <w:sz w:val="16"/>
          <w:szCs w:val="16"/>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161" w:lineRule="exact"/>
        <w:rPr>
          <w:sz w:val="20"/>
          <w:szCs w:val="20"/>
          <w:color w:val="auto"/>
        </w:rPr>
      </w:pPr>
    </w:p>
    <w:p>
      <w:pPr>
        <w:ind w:right="60" w:firstLine="470"/>
        <w:spacing w:after="0" w:line="261" w:lineRule="auto"/>
        <w:rPr>
          <w:sz w:val="20"/>
          <w:szCs w:val="20"/>
          <w:color w:val="auto"/>
        </w:rPr>
      </w:pPr>
      <w:r>
        <w:rPr>
          <w:rFonts w:ascii="Arial" w:cs="Arial" w:eastAsia="Arial" w:hAnsi="Arial"/>
          <w:sz w:val="17"/>
          <w:szCs w:val="17"/>
          <w:color w:val="auto"/>
        </w:rPr>
        <w:t>Net cash used in financing activities was $67 million for the six months ended June 30, 2021 and net cash provided by financing activities was $43 million for the six months ended June 30, 2020. The change was primarily driven by net long-term debt activity of $50 million during the six months ended June 30, 2020, which included borrowings of $65 million under the Receivables Financing Facility that remained outstanding at quarter-end, offset by a $15 million Prior Term Loan Facility repayment and $1 million in debt issuance costs paid. Net payments for long-term debt activity were $62 million during the six months ended June 30, 2021, reflecting the refinancing of our Prior Term Loan Facility, a $65 million repayment on our Receivables Financing Facility, which was terminated, and $34 million in debt issuance costs paid. In addition, there were $44 million in proceeds from employee stock plans during the six months ended June 30, 2020, a $14 million increase in payments for finance leases and the first payment for the financing component of our interest rate swaps of $4 million.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9"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Our critical accounting policies and estimates have not changed from those described in our Annual Report on Form 10-K under "Management's Discussion and Analysis of Financial Condition and Results of Operations - Critical Accounting Policies and Estimates." For a description of accounting pronouncements recently adopted and issued, see Item 1 of Part I, Financial Statements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3 – QUANTITATIVE AND QUALITATIVE DISCLOSURES ABOUT MARKET RISK</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Rates</w:t>
      </w:r>
    </w:p>
    <w:p>
      <w:pPr>
        <w:spacing w:after="0" w:line="249"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We are exposed to interest rate risk associated with fluctuations in interest rates on our floating-rate debt under our Senior Facilities, which includes our $375 million Revolving Credit Facility and $2,294 million outstanding under the Term Loan Facility. As of June 30, 2021, there were no outstanding borrowings under the Revolving Credit Facility and therefore our only variable-rate debt outstanding was the $2,294 million outstanding under the Term Loan Facility. As of June 30, 2021, assuming the Revolving Credit Facility was fully drawn, each 0.125% change in assumed blended interest rates would result in a $3 million change in annual interest expense on indebtedness under the Senior Facilities.</w:t>
      </w:r>
    </w:p>
    <w:p>
      <w:pPr>
        <w:spacing w:after="0" w:line="20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Our Term Loan Facility bears interest at an annual rate equal to an applicable margin plus three-month LIBOR, subject to a 0.75% floor. We have entered into interest rate swap agreements indexed to three-month LIBOR in order to manage our risk from fluctuations in three-month LIBOR above the 0.75% floor. The fixed rates for each swap agreement are presented in the table below. As of June 30, 2021, the interest rate on the Term Loan Facility was 3.50%, equal to an applicable margin of 2.75% plus the 0.75% three-month LIBOR floor.</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key terms of the swaps outstanding as of June 30, 2021 are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Transaction Date</w:t>
            </w:r>
          </w:p>
        </w:tc>
        <w:tc>
          <w:tcPr>
            <w:tcW w:w="100" w:type="dxa"/>
            <w:vAlign w:val="bottom"/>
            <w:vMerge w:val="restart"/>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Effective Date</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b w:val="1"/>
                <w:bCs w:val="1"/>
                <w:color w:val="auto"/>
                <w:w w:val="90"/>
              </w:rPr>
              <w:t>Notional Amount (in</w:t>
            </w:r>
          </w:p>
        </w:tc>
        <w:tc>
          <w:tcPr>
            <w:tcW w:w="100" w:type="dxa"/>
            <w:vAlign w:val="bottom"/>
          </w:tcPr>
          <w:p>
            <w:pPr>
              <w:spacing w:after="0"/>
              <w:rPr>
                <w:sz w:val="16"/>
                <w:szCs w:val="16"/>
                <w:color w:val="auto"/>
              </w:rPr>
            </w:pPr>
          </w:p>
        </w:tc>
        <w:tc>
          <w:tcPr>
            <w:tcW w:w="1820" w:type="dxa"/>
            <w:vAlign w:val="bottom"/>
            <w:gridSpan w:val="2"/>
          </w:tcPr>
          <w:p>
            <w:pPr>
              <w:ind w:left="320"/>
              <w:spacing w:after="0"/>
              <w:rPr>
                <w:sz w:val="20"/>
                <w:szCs w:val="20"/>
                <w:color w:val="auto"/>
              </w:rPr>
            </w:pPr>
            <w:r>
              <w:rPr>
                <w:rFonts w:ascii="Arial" w:cs="Arial" w:eastAsia="Arial" w:hAnsi="Arial"/>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Maturity Date</w:t>
            </w:r>
          </w:p>
        </w:tc>
        <w:tc>
          <w:tcPr>
            <w:tcW w:w="0" w:type="dxa"/>
            <w:vAlign w:val="bottom"/>
          </w:tcPr>
          <w:p>
            <w:pPr>
              <w:spacing w:after="0"/>
              <w:rPr>
                <w:sz w:val="1"/>
                <w:szCs w:val="1"/>
                <w:color w:val="auto"/>
              </w:rPr>
            </w:pPr>
          </w:p>
        </w:tc>
      </w:tr>
      <w:tr>
        <w:trPr>
          <w:trHeight w:val="206"/>
        </w:trPr>
        <w:tc>
          <w:tcPr>
            <w:tcW w:w="2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(Received)</w:t>
            </w:r>
          </w:p>
        </w:tc>
        <w:tc>
          <w:tcPr>
            <w:tcW w:w="100" w:type="dxa"/>
            <w:vAlign w:val="bottom"/>
            <w:tcBorders>
              <w:bottom w:val="single" w:sz="8" w:color="CCEEFF"/>
            </w:tcBorders>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December 2016</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February 3,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450.0</w:t>
            </w:r>
          </w:p>
        </w:tc>
        <w:tc>
          <w:tcPr>
            <w:tcW w:w="1820" w:type="dxa"/>
            <w:vAlign w:val="bottom"/>
            <w:gridSpan w:val="2"/>
            <w:shd w:val="clear" w:color="auto" w:fill="CCEEFF"/>
          </w:tcPr>
          <w:p>
            <w:pPr>
              <w:jc w:val="right"/>
              <w:ind w:right="502"/>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06"/>
        </w:trPr>
        <w:tc>
          <w:tcPr>
            <w:tcW w:w="258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December 2016</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February 3, 2017</w:t>
            </w:r>
          </w:p>
        </w:tc>
        <w:tc>
          <w:tcPr>
            <w:tcW w:w="14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450.0</w:t>
            </w:r>
          </w:p>
        </w:tc>
        <w:tc>
          <w:tcPr>
            <w:tcW w:w="1820" w:type="dxa"/>
            <w:vAlign w:val="bottom"/>
            <w:gridSpan w:val="2"/>
          </w:tcPr>
          <w:p>
            <w:pPr>
              <w:jc w:val="right"/>
              <w:ind w:right="502"/>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2021</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February 3, 2021</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82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06"/>
        </w:trPr>
        <w:tc>
          <w:tcPr>
            <w:tcW w:w="25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8"/>
              </w:rPr>
              <w:t>February 2021</w:t>
            </w:r>
          </w:p>
        </w:tc>
        <w:tc>
          <w:tcPr>
            <w:tcW w:w="2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8"/>
              </w:rPr>
              <w:t>February 9, 2021</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1,350.0</w:t>
            </w:r>
          </w:p>
        </w:tc>
        <w:tc>
          <w:tcPr>
            <w:tcW w:w="1820" w:type="dxa"/>
            <w:vAlign w:val="bottom"/>
            <w:tcBorders>
              <w:bottom w:val="single" w:sz="8" w:color="CCEEFF"/>
            </w:tcBorders>
            <w:gridSpan w:val="2"/>
          </w:tcPr>
          <w:p>
            <w:pPr>
              <w:jc w:val="right"/>
              <w:ind w:right="502"/>
              <w:spacing w:after="0"/>
              <w:rPr>
                <w:sz w:val="20"/>
                <w:szCs w:val="20"/>
                <w:color w:val="auto"/>
              </w:rPr>
            </w:pPr>
            <w:r>
              <w:rPr>
                <w:rFonts w:ascii="Arial" w:cs="Arial" w:eastAsia="Arial" w:hAnsi="Arial"/>
                <w:sz w:val="16"/>
                <w:szCs w:val="16"/>
                <w:color w:val="auto"/>
              </w:rPr>
              <w:t>2.3820%</w:t>
            </w:r>
          </w:p>
        </w:tc>
        <w:tc>
          <w:tcPr>
            <w:tcW w:w="10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8"/>
              </w:rPr>
              <w:t>February 9, 2026</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Item 1 of Part I, Financial Statements - Note 10, "Derivatives," for more information on interest rate swaps.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Currencies</w:t>
      </w:r>
    </w:p>
    <w:p>
      <w:pPr>
        <w:spacing w:after="0" w:line="249"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7"/>
          <w:szCs w:val="17"/>
          <w:i w:val="1"/>
          <w:iCs w:val="1"/>
          <w:color w:val="auto"/>
        </w:rPr>
        <w:t>Constant Currency Revenue</w:t>
      </w:r>
      <w:r>
        <w:rPr>
          <w:rFonts w:ascii="Arial" w:cs="Arial" w:eastAsia="Arial" w:hAnsi="Arial"/>
          <w:sz w:val="17"/>
          <w:szCs w:val="17"/>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six months ended June 30, 2021, we recognized foreign currency transaction gains of $1 million within “Other income (expense), net” in our Consolidated Statements of Comprehensive Loss. As we grow our international operations, our exposure to foreign currency translation and transaction risk could become more significant.</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in the past and may in the future enter into foreign currency hedging instruments to limit our exposure to foreign currency risk.</w:t>
      </w:r>
    </w:p>
    <w:p>
      <w:pPr>
        <w:spacing w:after="0" w:line="249"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settlement dates throughout the year. The June 30, 2020 settlement date resulted in us making a final net payment of $1.7 million. As of December 31, 2020, there was no notional amount outstanding related to these contracts.</w:t>
      </w:r>
    </w:p>
    <w:p>
      <w:pPr>
        <w:spacing w:after="0" w:line="198"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During the fourth quarter of 2020, we entered into two foreign currency forward contracts. Under the terms of these contracts, on November 30, 2021, we will sell a total of £80 million at an average rate of 1.3388 British pound sterling to U.S. dollar and receive $107.1 million.</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Item 1 of Part I, Financial Statements - Note 10, "Derivatives," for more information on foreign currency hedging contracts.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Power Prices</w:t>
      </w:r>
    </w:p>
    <w:p>
      <w:pPr>
        <w:spacing w:after="0" w:line="236" w:lineRule="exact"/>
        <w:rPr>
          <w:sz w:val="20"/>
          <w:szCs w:val="20"/>
          <w:color w:val="auto"/>
        </w:rPr>
      </w:pPr>
    </w:p>
    <w:p>
      <w:pPr>
        <w:ind w:right="200" w:firstLine="470"/>
        <w:spacing w:after="0" w:line="313" w:lineRule="auto"/>
        <w:rPr>
          <w:sz w:val="20"/>
          <w:szCs w:val="20"/>
          <w:color w:val="auto"/>
        </w:rPr>
      </w:pPr>
      <w:r>
        <w:rPr>
          <w:rFonts w:ascii="Arial" w:cs="Arial" w:eastAsia="Arial" w:hAnsi="Arial"/>
          <w:sz w:val="15"/>
          <w:szCs w:val="15"/>
          <w:color w:val="auto"/>
        </w:rPr>
        <w:t>We are a large consumer of power. In the six months ended June 30, 2021, we expensed approximately $22 million for utility companies to power our data centers, representing approximately 2%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Somerset, New Jersey and London areas that allow us to procure power either on a fixed price or on a variable price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4 – CONTROLS AND PROCEDURES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49" w:lineRule="exact"/>
        <w:rPr>
          <w:sz w:val="20"/>
          <w:szCs w:val="20"/>
          <w:color w:val="auto"/>
        </w:rPr>
      </w:pPr>
    </w:p>
    <w:p>
      <w:pPr>
        <w:ind w:right="40" w:firstLine="470"/>
        <w:spacing w:after="0" w:line="294" w:lineRule="auto"/>
        <w:rPr>
          <w:sz w:val="20"/>
          <w:szCs w:val="20"/>
          <w:color w:val="auto"/>
        </w:rPr>
      </w:pPr>
      <w:r>
        <w:rPr>
          <w:rFonts w:ascii="Arial" w:cs="Arial" w:eastAsia="Arial" w:hAnsi="Arial"/>
          <w:sz w:val="15"/>
          <w:szCs w:val="15"/>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w:t>
      </w:r>
    </w:p>
    <w:p>
      <w:pPr>
        <w:spacing w:after="0" w:line="1" w:lineRule="exact"/>
        <w:rPr>
          <w:sz w:val="20"/>
          <w:szCs w:val="20"/>
          <w:color w:val="auto"/>
        </w:rPr>
      </w:pPr>
    </w:p>
    <w:p>
      <w:pPr>
        <w:ind w:right="120" w:firstLine="5"/>
        <w:spacing w:after="0" w:line="305" w:lineRule="auto"/>
        <w:tabs>
          <w:tab w:leader="none" w:pos="2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w:t>
      </w:r>
    </w:p>
    <w:p>
      <w:pPr>
        <w:spacing w:after="0" w:line="249"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of Internal Controls</w:t>
      </w:r>
    </w:p>
    <w:p>
      <w:pPr>
        <w:spacing w:after="0" w:line="249"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 – OTHER INFORMATION</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1 – LEGAL PROCEEDINGS</w:t>
      </w:r>
    </w:p>
    <w:p>
      <w:pPr>
        <w:spacing w:after="0" w:line="255"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198" w:lineRule="exact"/>
        <w:rPr>
          <w:sz w:val="20"/>
          <w:szCs w:val="20"/>
          <w:color w:val="auto"/>
        </w:rPr>
      </w:pPr>
    </w:p>
    <w:p>
      <w:pPr>
        <w:jc w:val="both"/>
        <w:ind w:right="120" w:firstLine="470"/>
        <w:spacing w:after="0" w:line="272" w:lineRule="auto"/>
        <w:rPr>
          <w:sz w:val="20"/>
          <w:szCs w:val="20"/>
          <w:color w:val="auto"/>
        </w:rPr>
      </w:pPr>
      <w:r>
        <w:rPr>
          <w:rFonts w:ascii="Arial" w:cs="Arial" w:eastAsia="Arial" w:hAnsi="Arial"/>
          <w:sz w:val="17"/>
          <w:szCs w:val="17"/>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198"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1A – RISK FACTORS</w:t>
      </w:r>
    </w:p>
    <w:p>
      <w:pPr>
        <w:spacing w:after="0" w:line="255"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We have disclosed under the heading “Risk Factors” in our Annual Report on Form 10-K the risk factors which materially affect our business, financial condition or results of operations. There have been no material changes from the risk factors previously disclosed. You should carefully consider the risk factors set forth in our Annual Report on Form 10-K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86" w:lineRule="exact"/>
        <w:rPr>
          <w:sz w:val="20"/>
          <w:szCs w:val="20"/>
          <w:color w:val="auto"/>
        </w:rPr>
      </w:pPr>
    </w:p>
    <w:p>
      <w:pPr>
        <w:ind w:right="2080" w:firstLine="2142"/>
        <w:spacing w:after="0" w:line="549" w:lineRule="auto"/>
        <w:rPr>
          <w:sz w:val="20"/>
          <w:szCs w:val="20"/>
          <w:color w:val="auto"/>
        </w:rPr>
      </w:pPr>
      <w:r>
        <w:rPr>
          <w:rFonts w:ascii="Arial" w:cs="Arial" w:eastAsia="Arial" w:hAnsi="Arial"/>
          <w:sz w:val="17"/>
          <w:szCs w:val="17"/>
          <w:b w:val="1"/>
          <w:bCs w:val="1"/>
          <w:color w:val="auto"/>
        </w:rPr>
        <w:t>ITEM 2 – UNREGISTERED SALES OF EQUITY SECURITIES AND USE OF PROCEEDS Unregistered Sales of Equity Securities</w:t>
      </w:r>
    </w:p>
    <w:p>
      <w:pPr>
        <w:ind w:left="480"/>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3 – DEFAULTS UPON SENIOR SECURITIES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4 – MINE SAFETY DISCLOSURES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5 – OTHER INFORMATION</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95"/>
        </w:trPr>
        <w:tc>
          <w:tcPr>
            <w:tcW w:w="1280" w:type="dxa"/>
            <w:vAlign w:val="bottom"/>
            <w:gridSpan w:val="3"/>
          </w:tcPr>
          <w:p>
            <w:pPr>
              <w:spacing w:after="0"/>
              <w:rPr>
                <w:rFonts w:ascii="Arial" w:cs="Arial" w:eastAsia="Arial" w:hAnsi="Arial"/>
                <w:sz w:val="17"/>
                <w:szCs w:val="17"/>
                <w:color w:val="0000FF"/>
                <w:w w:val="93"/>
              </w:rPr>
            </w:pPr>
            <w:hyperlink w:anchor="page2">
              <w:r>
                <w:rPr>
                  <w:rFonts w:ascii="Arial" w:cs="Arial" w:eastAsia="Arial" w:hAnsi="Arial"/>
                  <w:sz w:val="17"/>
                  <w:szCs w:val="17"/>
                  <w:color w:val="0000FF"/>
                  <w:w w:val="93"/>
                </w:rPr>
                <w:t>Table of Contents</w:t>
              </w:r>
            </w:hyperlink>
          </w:p>
        </w:tc>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3"/>
        </w:trPr>
        <w:tc>
          <w:tcPr>
            <w:tcW w:w="1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3"/>
          </w:tcPr>
          <w:p>
            <w:pPr>
              <w:ind w:left="3520"/>
              <w:spacing w:after="0"/>
              <w:rPr>
                <w:sz w:val="20"/>
                <w:szCs w:val="20"/>
                <w:color w:val="auto"/>
              </w:rPr>
            </w:pPr>
            <w:r>
              <w:rPr>
                <w:rFonts w:ascii="Arial" w:cs="Arial" w:eastAsia="Arial" w:hAnsi="Arial"/>
                <w:sz w:val="17"/>
                <w:szCs w:val="17"/>
                <w:b w:val="1"/>
                <w:bCs w:val="1"/>
                <w:color w:val="auto"/>
              </w:rPr>
              <w:t>ITEM 6 – EXHIBITS</w:t>
            </w:r>
          </w:p>
        </w:tc>
        <w:tc>
          <w:tcPr>
            <w:tcW w:w="0" w:type="dxa"/>
            <w:vAlign w:val="bottom"/>
          </w:tcPr>
          <w:p>
            <w:pPr>
              <w:spacing w:after="0"/>
              <w:rPr>
                <w:sz w:val="1"/>
                <w:szCs w:val="1"/>
                <w:color w:val="auto"/>
              </w:rPr>
            </w:pPr>
          </w:p>
        </w:tc>
      </w:tr>
      <w:tr>
        <w:trPr>
          <w:trHeight w:val="432"/>
        </w:trPr>
        <w:tc>
          <w:tcPr>
            <w:tcW w:w="12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5"/>
              </w:rPr>
              <w:t>Exhibit</w:t>
            </w:r>
          </w:p>
        </w:tc>
        <w:tc>
          <w:tcPr>
            <w:tcW w:w="20" w:type="dxa"/>
            <w:vAlign w:val="bottom"/>
          </w:tcPr>
          <w:p>
            <w:pPr>
              <w:spacing w:after="0"/>
              <w:rPr>
                <w:sz w:val="24"/>
                <w:szCs w:val="24"/>
                <w:color w:val="auto"/>
              </w:rPr>
            </w:pPr>
          </w:p>
        </w:tc>
        <w:tc>
          <w:tcPr>
            <w:tcW w:w="9940" w:type="dxa"/>
            <w:vAlign w:val="bottom"/>
            <w:gridSpan w:val="3"/>
            <w:vMerge w:val="restart"/>
          </w:tcPr>
          <w:p>
            <w:pPr>
              <w:ind w:left="4240"/>
              <w:spacing w:after="0"/>
              <w:rPr>
                <w:sz w:val="20"/>
                <w:szCs w:val="20"/>
                <w:color w:val="auto"/>
              </w:rPr>
            </w:pPr>
            <w:r>
              <w:rPr>
                <w:rFonts w:ascii="Arial" w:cs="Arial" w:eastAsia="Arial" w:hAnsi="Arial"/>
                <w:sz w:val="17"/>
                <w:szCs w:val="17"/>
                <w:b w:val="1"/>
                <w:bCs w:val="1"/>
                <w:color w:val="auto"/>
              </w:rPr>
              <w:t>Exhibit Description</w:t>
            </w:r>
          </w:p>
        </w:tc>
        <w:tc>
          <w:tcPr>
            <w:tcW w:w="0" w:type="dxa"/>
            <w:vAlign w:val="bottom"/>
          </w:tcPr>
          <w:p>
            <w:pPr>
              <w:spacing w:after="0"/>
              <w:rPr>
                <w:sz w:val="1"/>
                <w:szCs w:val="1"/>
                <w:color w:val="auto"/>
              </w:rPr>
            </w:pPr>
          </w:p>
        </w:tc>
      </w:tr>
      <w:tr>
        <w:trPr>
          <w:trHeight w:val="222"/>
        </w:trPr>
        <w:tc>
          <w:tcPr>
            <w:tcW w:w="12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9"/>
                <w:szCs w:val="19"/>
                <w:color w:val="auto"/>
              </w:rPr>
            </w:pPr>
          </w:p>
        </w:tc>
        <w:tc>
          <w:tcPr>
            <w:tcW w:w="9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color w:val="auto"/>
                <w:w w:val="95"/>
              </w:rPr>
              <w:t>31.1*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220" w:type="dxa"/>
            <w:vAlign w:val="bottom"/>
            <w:tcBorders>
              <w:top w:val="single" w:sz="8" w:color="auto"/>
              <w:bottom w:val="single" w:sz="8" w:color="0000FF"/>
            </w:tcBorders>
            <w:gridSpan w:val="2"/>
          </w:tcPr>
          <w:p>
            <w:pPr>
              <w:spacing w:after="0" w:line="189" w:lineRule="exact"/>
              <w:rPr>
                <w:rFonts w:ascii="Arial" w:cs="Arial" w:eastAsia="Arial" w:hAnsi="Arial"/>
                <w:sz w:val="17"/>
                <w:szCs w:val="17"/>
                <w:color w:val="0000FF"/>
                <w:w w:val="94"/>
              </w:rPr>
            </w:pPr>
            <w:hyperlink w:anchor="page55">
              <w:r>
                <w:rPr>
                  <w:rFonts w:ascii="Arial" w:cs="Arial" w:eastAsia="Arial" w:hAnsi="Arial"/>
                  <w:sz w:val="17"/>
                  <w:szCs w:val="17"/>
                  <w:color w:val="0000FF"/>
                  <w:w w:val="94"/>
                </w:rPr>
                <w:t>Certification of the Chief Executive Officer pursuant to Section 302 of the Sarbanes-Oxley Act of 2002</w:t>
              </w:r>
            </w:hyperlink>
          </w:p>
        </w:tc>
        <w:tc>
          <w:tcPr>
            <w:tcW w:w="2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80" w:type="dxa"/>
            <w:vAlign w:val="bottom"/>
          </w:tcPr>
          <w:p>
            <w:pPr>
              <w:jc w:val="center"/>
              <w:spacing w:after="0"/>
              <w:rPr>
                <w:sz w:val="20"/>
                <w:szCs w:val="20"/>
                <w:color w:val="auto"/>
              </w:rPr>
            </w:pPr>
            <w:r>
              <w:rPr>
                <w:rFonts w:ascii="Arial" w:cs="Arial" w:eastAsia="Arial" w:hAnsi="Arial"/>
                <w:sz w:val="17"/>
                <w:szCs w:val="17"/>
                <w:color w:val="auto"/>
                <w:w w:val="95"/>
              </w:rPr>
              <w:t>31.2*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
          </w:tcPr>
          <w:p>
            <w:pPr>
              <w:spacing w:after="0"/>
              <w:rPr>
                <w:rFonts w:ascii="Arial" w:cs="Arial" w:eastAsia="Arial" w:hAnsi="Arial"/>
                <w:sz w:val="17"/>
                <w:szCs w:val="17"/>
                <w:color w:val="0000FF"/>
              </w:rPr>
            </w:pPr>
            <w:hyperlink w:anchor="page56">
              <w:r>
                <w:rPr>
                  <w:rFonts w:ascii="Arial" w:cs="Arial" w:eastAsia="Arial" w:hAnsi="Arial"/>
                  <w:sz w:val="17"/>
                  <w:szCs w:val="17"/>
                  <w:color w:val="0000FF"/>
                </w:rPr>
                <w:t>Certification of the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80" w:type="dxa"/>
            <w:vAlign w:val="bottom"/>
          </w:tcPr>
          <w:p>
            <w:pPr>
              <w:jc w:val="center"/>
              <w:spacing w:after="0"/>
              <w:rPr>
                <w:sz w:val="20"/>
                <w:szCs w:val="20"/>
                <w:color w:val="auto"/>
              </w:rPr>
            </w:pPr>
            <w:r>
              <w:rPr>
                <w:rFonts w:ascii="Arial" w:cs="Arial" w:eastAsia="Arial" w:hAnsi="Arial"/>
                <w:sz w:val="17"/>
                <w:szCs w:val="17"/>
                <w:color w:val="auto"/>
              </w:rPr>
              <w:t>32.1**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20" w:type="dxa"/>
            <w:vAlign w:val="bottom"/>
            <w:tcBorders>
              <w:bottom w:val="single" w:sz="8" w:color="0000FF"/>
            </w:tcBorders>
            <w:gridSpan w:val="2"/>
          </w:tcPr>
          <w:p>
            <w:pPr>
              <w:spacing w:after="0"/>
              <w:rPr>
                <w:rFonts w:ascii="Arial" w:cs="Arial" w:eastAsia="Arial" w:hAnsi="Arial"/>
                <w:sz w:val="17"/>
                <w:szCs w:val="17"/>
                <w:color w:val="0000FF"/>
                <w:w w:val="94"/>
              </w:rPr>
            </w:pPr>
            <w:hyperlink w:anchor="page57">
              <w:r>
                <w:rPr>
                  <w:rFonts w:ascii="Arial" w:cs="Arial" w:eastAsia="Arial" w:hAnsi="Arial"/>
                  <w:sz w:val="17"/>
                  <w:szCs w:val="17"/>
                  <w:color w:val="0000FF"/>
                  <w:w w:val="94"/>
                </w:rPr>
                <w:t>Certification of the Chief Executive Officer pursuant to Section 906 of the Sarbanes-Oxley Act of 2002</w:t>
              </w:r>
            </w:hyperlink>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80" w:type="dxa"/>
            <w:vAlign w:val="bottom"/>
          </w:tcPr>
          <w:p>
            <w:pPr>
              <w:jc w:val="center"/>
              <w:spacing w:after="0"/>
              <w:rPr>
                <w:sz w:val="20"/>
                <w:szCs w:val="20"/>
                <w:color w:val="auto"/>
              </w:rPr>
            </w:pPr>
            <w:r>
              <w:rPr>
                <w:rFonts w:ascii="Arial" w:cs="Arial" w:eastAsia="Arial" w:hAnsi="Arial"/>
                <w:sz w:val="17"/>
                <w:szCs w:val="17"/>
                <w:color w:val="auto"/>
              </w:rPr>
              <w:t>32.2**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Certification of the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280" w:type="dxa"/>
            <w:vAlign w:val="bottom"/>
            <w:gridSpan w:val="3"/>
          </w:tcPr>
          <w:p>
            <w:pPr>
              <w:jc w:val="center"/>
              <w:ind w:right="100"/>
              <w:spacing w:after="0"/>
              <w:rPr>
                <w:sz w:val="20"/>
                <w:szCs w:val="20"/>
                <w:color w:val="auto"/>
              </w:rPr>
            </w:pPr>
            <w:r>
              <w:rPr>
                <w:rFonts w:ascii="Arial" w:cs="Arial" w:eastAsia="Arial" w:hAnsi="Arial"/>
                <w:sz w:val="17"/>
                <w:szCs w:val="17"/>
                <w:color w:val="auto"/>
                <w:w w:val="96"/>
              </w:rPr>
              <w:t>101.INS*</w:t>
            </w:r>
          </w:p>
        </w:tc>
        <w:tc>
          <w:tcPr>
            <w:tcW w:w="2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w w:val="95"/>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248"/>
        </w:trPr>
        <w:tc>
          <w:tcPr>
            <w:tcW w:w="1280" w:type="dxa"/>
            <w:vAlign w:val="bottom"/>
            <w:gridSpan w:val="3"/>
          </w:tcPr>
          <w:p>
            <w:pPr>
              <w:jc w:val="center"/>
              <w:ind w:right="100"/>
              <w:spacing w:after="0"/>
              <w:rPr>
                <w:sz w:val="20"/>
                <w:szCs w:val="20"/>
                <w:color w:val="auto"/>
              </w:rPr>
            </w:pPr>
            <w:r>
              <w:rPr>
                <w:rFonts w:ascii="Arial" w:cs="Arial" w:eastAsia="Arial" w:hAnsi="Arial"/>
                <w:sz w:val="17"/>
                <w:szCs w:val="17"/>
                <w:color w:val="auto"/>
                <w:w w:val="97"/>
              </w:rPr>
              <w:t>101.SCH*</w:t>
            </w:r>
          </w:p>
        </w:tc>
        <w:tc>
          <w:tcPr>
            <w:tcW w:w="2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48"/>
        </w:trPr>
        <w:tc>
          <w:tcPr>
            <w:tcW w:w="1280" w:type="dxa"/>
            <w:vAlign w:val="bottom"/>
            <w:gridSpan w:val="3"/>
          </w:tcPr>
          <w:p>
            <w:pPr>
              <w:jc w:val="center"/>
              <w:ind w:right="10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48"/>
        </w:trPr>
        <w:tc>
          <w:tcPr>
            <w:tcW w:w="1280" w:type="dxa"/>
            <w:vAlign w:val="bottom"/>
            <w:gridSpan w:val="3"/>
          </w:tcPr>
          <w:p>
            <w:pPr>
              <w:jc w:val="center"/>
              <w:ind w:right="80"/>
              <w:spacing w:after="0"/>
              <w:rPr>
                <w:sz w:val="20"/>
                <w:szCs w:val="20"/>
                <w:color w:val="auto"/>
              </w:rPr>
            </w:pPr>
            <w:r>
              <w:rPr>
                <w:rFonts w:ascii="Arial" w:cs="Arial" w:eastAsia="Arial" w:hAnsi="Arial"/>
                <w:sz w:val="17"/>
                <w:szCs w:val="17"/>
                <w:color w:val="auto"/>
                <w:w w:val="97"/>
              </w:rPr>
              <w:t>101.DEF*</w:t>
            </w:r>
          </w:p>
        </w:tc>
        <w:tc>
          <w:tcPr>
            <w:tcW w:w="2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48"/>
        </w:trPr>
        <w:tc>
          <w:tcPr>
            <w:tcW w:w="1280" w:type="dxa"/>
            <w:vAlign w:val="bottom"/>
            <w:gridSpan w:val="3"/>
          </w:tcPr>
          <w:p>
            <w:pPr>
              <w:jc w:val="center"/>
              <w:ind w:right="10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48"/>
        </w:trPr>
        <w:tc>
          <w:tcPr>
            <w:tcW w:w="1280" w:type="dxa"/>
            <w:vAlign w:val="bottom"/>
            <w:gridSpan w:val="3"/>
          </w:tcPr>
          <w:p>
            <w:pPr>
              <w:jc w:val="center"/>
              <w:ind w:right="100"/>
              <w:spacing w:after="0"/>
              <w:rPr>
                <w:sz w:val="20"/>
                <w:szCs w:val="20"/>
                <w:color w:val="auto"/>
              </w:rPr>
            </w:pPr>
            <w:r>
              <w:rPr>
                <w:rFonts w:ascii="Arial" w:cs="Arial" w:eastAsia="Arial" w:hAnsi="Arial"/>
                <w:sz w:val="17"/>
                <w:szCs w:val="17"/>
                <w:color w:val="auto"/>
                <w:w w:val="93"/>
              </w:rPr>
              <w:t>101.PRE*</w:t>
            </w:r>
          </w:p>
        </w:tc>
        <w:tc>
          <w:tcPr>
            <w:tcW w:w="2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48"/>
        </w:trPr>
        <w:tc>
          <w:tcPr>
            <w:tcW w:w="1180" w:type="dxa"/>
            <w:vAlign w:val="bottom"/>
          </w:tcPr>
          <w:p>
            <w:pPr>
              <w:jc w:val="center"/>
              <w:spacing w:after="0"/>
              <w:rPr>
                <w:sz w:val="20"/>
                <w:szCs w:val="20"/>
                <w:color w:val="auto"/>
              </w:rPr>
            </w:pPr>
            <w:r>
              <w:rPr>
                <w:rFonts w:ascii="Arial" w:cs="Arial" w:eastAsia="Arial" w:hAnsi="Arial"/>
                <w:sz w:val="17"/>
                <w:szCs w:val="17"/>
                <w:color w:val="auto"/>
                <w:w w:val="97"/>
              </w:rPr>
              <w:t>104*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00" w:hanging="239"/>
        <w:spacing w:after="0"/>
        <w:tabs>
          <w:tab w:leader="none" w:pos="40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spacing w:after="0" w:line="13"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Furnished herewith.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64" w:lineRule="exact"/>
        <w:rPr>
          <w:sz w:val="20"/>
          <w:szCs w:val="20"/>
          <w:color w:val="auto"/>
        </w:rPr>
      </w:pPr>
    </w:p>
    <w:p>
      <w:pPr>
        <w:ind w:right="820"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100" w:type="dxa"/>
            <w:vAlign w:val="bottom"/>
            <w:gridSpan w:val="2"/>
          </w:tcPr>
          <w:p>
            <w:pPr>
              <w:ind w:left="2260"/>
              <w:spacing w:after="0"/>
              <w:rPr>
                <w:sz w:val="20"/>
                <w:szCs w:val="20"/>
                <w:color w:val="auto"/>
              </w:rPr>
            </w:pPr>
            <w:r>
              <w:rPr>
                <w:rFonts w:ascii="Arial" w:cs="Arial" w:eastAsia="Arial" w:hAnsi="Arial"/>
                <w:sz w:val="17"/>
                <w:szCs w:val="17"/>
                <w:color w:val="auto"/>
              </w:rPr>
              <w:t>RACKSPACE TECHNOLOGY, INC.</w:t>
            </w:r>
          </w:p>
        </w:tc>
      </w:tr>
      <w:tr>
        <w:trPr>
          <w:trHeight w:val="745"/>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August 11, 2021</w:t>
            </w:r>
          </w:p>
        </w:tc>
        <w:tc>
          <w:tcPr>
            <w:tcW w:w="2800" w:type="dxa"/>
            <w:vAlign w:val="bottom"/>
          </w:tcPr>
          <w:p>
            <w:pPr>
              <w:ind w:left="2260"/>
              <w:spacing w:after="0"/>
              <w:rPr>
                <w:sz w:val="20"/>
                <w:szCs w:val="20"/>
                <w:color w:val="auto"/>
              </w:rPr>
            </w:pPr>
            <w:r>
              <w:rPr>
                <w:rFonts w:ascii="Arial" w:cs="Arial" w:eastAsia="Arial" w:hAnsi="Arial"/>
                <w:sz w:val="17"/>
                <w:szCs w:val="17"/>
                <w:color w:val="auto"/>
              </w:rPr>
              <w:t>By:</w:t>
            </w:r>
          </w:p>
        </w:tc>
        <w:tc>
          <w:tcPr>
            <w:tcW w:w="4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Amar Maletira</w:t>
            </w:r>
          </w:p>
        </w:tc>
      </w:tr>
      <w:tr>
        <w:trPr>
          <w:trHeight w:val="215"/>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Arial" w:cs="Arial" w:eastAsia="Arial" w:hAnsi="Arial"/>
                <w:sz w:val="17"/>
                <w:szCs w:val="17"/>
                <w:color w:val="auto"/>
              </w:rPr>
              <w:t>Amar Maletira</w:t>
            </w:r>
          </w:p>
        </w:tc>
      </w:tr>
      <w:tr>
        <w:trPr>
          <w:trHeight w:val="222"/>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7"/>
                <w:szCs w:val="17"/>
                <w:color w:val="auto"/>
              </w:rPr>
              <w:t>President and Chief Financial Officer</w:t>
            </w:r>
          </w:p>
        </w:tc>
      </w:tr>
      <w:tr>
        <w:trPr>
          <w:trHeight w:val="222"/>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7"/>
                <w:szCs w:val="17"/>
                <w:i w:val="1"/>
                <w:iCs w:val="1"/>
                <w:color w:val="auto"/>
              </w:rPr>
              <w:t>(Principal Financial and Accounting Officer)</w:t>
            </w:r>
          </w:p>
        </w:tc>
      </w:tr>
      <w:tr>
        <w:trPr>
          <w:trHeight w:val="876"/>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0" w:type="dxa"/>
            <w:vAlign w:val="bottom"/>
          </w:tcPr>
          <w:p>
            <w:pPr>
              <w:jc w:val="right"/>
              <w:ind w:right="1033"/>
              <w:spacing w:after="0"/>
              <w:rPr>
                <w:sz w:val="20"/>
                <w:szCs w:val="20"/>
                <w:color w:val="auto"/>
              </w:rPr>
            </w:pPr>
            <w:r>
              <w:rPr>
                <w:rFonts w:ascii="Arial" w:cs="Arial" w:eastAsia="Arial" w:hAnsi="Arial"/>
                <w:sz w:val="17"/>
                <w:szCs w:val="17"/>
                <w:color w:val="auto"/>
              </w:rPr>
              <w:t>- 52 -</w:t>
            </w:r>
          </w:p>
        </w:tc>
        <w:tc>
          <w:tcPr>
            <w:tcW w:w="430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Kevin Jones, certify that:</w:t>
      </w:r>
    </w:p>
    <w:p>
      <w:pPr>
        <w:spacing w:after="0" w:line="249" w:lineRule="exact"/>
        <w:rPr>
          <w:sz w:val="20"/>
          <w:szCs w:val="20"/>
          <w:color w:val="auto"/>
        </w:rPr>
      </w:pPr>
    </w:p>
    <w:p>
      <w:pPr>
        <w:ind w:left="860" w:hanging="385"/>
        <w:spacing w:after="0"/>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Rackspace Technology, Inc.;</w:t>
      </w:r>
    </w:p>
    <w:p>
      <w:pPr>
        <w:spacing w:after="0" w:line="118" w:lineRule="exact"/>
        <w:rPr>
          <w:rFonts w:ascii="Arial" w:cs="Arial" w:eastAsia="Arial" w:hAnsi="Arial"/>
          <w:sz w:val="17"/>
          <w:szCs w:val="17"/>
          <w:color w:val="auto"/>
        </w:rPr>
      </w:pPr>
    </w:p>
    <w:p>
      <w:pPr>
        <w:jc w:val="both"/>
        <w:ind w:left="860" w:right="240" w:hanging="385"/>
        <w:spacing w:after="0" w:line="272"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860" w:right="200" w:hanging="385"/>
        <w:spacing w:after="0" w:line="288"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860" w:right="440" w:hanging="385"/>
        <w:spacing w:after="0" w:line="288"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Arial" w:cs="Arial" w:eastAsia="Arial" w:hAnsi="Arial"/>
          <w:sz w:val="17"/>
          <w:szCs w:val="17"/>
          <w:color w:val="auto"/>
        </w:rPr>
      </w:pPr>
    </w:p>
    <w:p>
      <w:pPr>
        <w:ind w:left="1500" w:right="60" w:hanging="398"/>
        <w:spacing w:after="0" w:line="272" w:lineRule="auto"/>
        <w:tabs>
          <w:tab w:leader="none" w:pos="14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500" w:right="340" w:hanging="398"/>
        <w:spacing w:after="0" w:line="358" w:lineRule="auto"/>
        <w:tabs>
          <w:tab w:leader="none" w:pos="15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500" w:right="80" w:hanging="398"/>
        <w:spacing w:after="0" w:line="272" w:lineRule="auto"/>
        <w:tabs>
          <w:tab w:leader="none" w:pos="14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860" w:right="140" w:hanging="385"/>
        <w:spacing w:after="0" w:line="321"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500" w:right="580" w:hanging="398"/>
        <w:spacing w:after="0" w:line="321" w:lineRule="auto"/>
        <w:tabs>
          <w:tab w:leader="none" w:pos="14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500" w:right="280" w:hanging="398"/>
        <w:spacing w:after="0" w:line="288" w:lineRule="auto"/>
        <w:tabs>
          <w:tab w:leader="none" w:pos="15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August 11, 2021</w:t>
            </w:r>
          </w:p>
        </w:tc>
        <w:tc>
          <w:tcPr>
            <w:tcW w:w="2160" w:type="dxa"/>
            <w:vAlign w:val="bottom"/>
          </w:tcPr>
          <w:p>
            <w:pPr>
              <w:ind w:left="1560"/>
              <w:spacing w:after="0"/>
              <w:rPr>
                <w:sz w:val="20"/>
                <w:szCs w:val="20"/>
                <w:color w:val="auto"/>
              </w:rPr>
            </w:pPr>
            <w:r>
              <w:rPr>
                <w:rFonts w:ascii="Arial" w:cs="Arial" w:eastAsia="Arial" w:hAnsi="Arial"/>
                <w:sz w:val="17"/>
                <w:szCs w:val="17"/>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Kevin Jones</w:t>
            </w:r>
          </w:p>
        </w:tc>
      </w:tr>
      <w:tr>
        <w:trPr>
          <w:trHeight w:val="215"/>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Chief Executive Officer; Director</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r>
    </w:tbl>
    <w:p>
      <w:pPr>
        <w:sectPr>
          <w:pgSz w:w="11900" w:h="16838" w:orient="portrait"/>
          <w:cols w:equalWidth="0" w:num="1">
            <w:col w:w="11240"/>
          </w:cols>
          <w:pgMar w:left="320" w:top="356"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Amar Maletira, certify that:</w:t>
      </w:r>
    </w:p>
    <w:p>
      <w:pPr>
        <w:spacing w:after="0" w:line="249" w:lineRule="exact"/>
        <w:rPr>
          <w:sz w:val="20"/>
          <w:szCs w:val="20"/>
          <w:color w:val="auto"/>
        </w:rPr>
      </w:pPr>
    </w:p>
    <w:p>
      <w:pPr>
        <w:ind w:left="860" w:hanging="385"/>
        <w:spacing w:after="0"/>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Rackspace Technology, Inc.;</w:t>
      </w:r>
    </w:p>
    <w:p>
      <w:pPr>
        <w:spacing w:after="0" w:line="118" w:lineRule="exact"/>
        <w:rPr>
          <w:rFonts w:ascii="Arial" w:cs="Arial" w:eastAsia="Arial" w:hAnsi="Arial"/>
          <w:sz w:val="17"/>
          <w:szCs w:val="17"/>
          <w:color w:val="auto"/>
        </w:rPr>
      </w:pPr>
    </w:p>
    <w:p>
      <w:pPr>
        <w:jc w:val="both"/>
        <w:ind w:left="860" w:right="240" w:hanging="385"/>
        <w:spacing w:after="0" w:line="272"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860" w:right="200" w:hanging="385"/>
        <w:spacing w:after="0" w:line="28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860" w:right="440" w:hanging="385"/>
        <w:spacing w:after="0" w:line="28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Arial" w:cs="Arial" w:eastAsia="Arial" w:hAnsi="Arial"/>
          <w:sz w:val="17"/>
          <w:szCs w:val="17"/>
          <w:color w:val="auto"/>
        </w:rPr>
      </w:pPr>
    </w:p>
    <w:p>
      <w:pPr>
        <w:ind w:left="1500" w:right="60" w:hanging="398"/>
        <w:spacing w:after="0" w:line="272" w:lineRule="auto"/>
        <w:tabs>
          <w:tab w:leader="none" w:pos="14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500" w:right="340" w:hanging="398"/>
        <w:spacing w:after="0" w:line="358" w:lineRule="auto"/>
        <w:tabs>
          <w:tab w:leader="none" w:pos="15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500" w:right="80" w:hanging="398"/>
        <w:spacing w:after="0" w:line="272" w:lineRule="auto"/>
        <w:tabs>
          <w:tab w:leader="none" w:pos="14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860" w:right="140" w:hanging="385"/>
        <w:spacing w:after="0" w:line="321"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500" w:right="580" w:hanging="398"/>
        <w:spacing w:after="0" w:line="321" w:lineRule="auto"/>
        <w:tabs>
          <w:tab w:leader="none" w:pos="14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500" w:right="280" w:hanging="398"/>
        <w:spacing w:after="0" w:line="288" w:lineRule="auto"/>
        <w:tabs>
          <w:tab w:leader="none" w:pos="15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780" w:type="dxa"/>
            <w:vAlign w:val="bottom"/>
          </w:tcPr>
          <w:p>
            <w:pPr>
              <w:spacing w:after="0"/>
              <w:rPr>
                <w:sz w:val="20"/>
                <w:szCs w:val="20"/>
                <w:color w:val="auto"/>
              </w:rPr>
            </w:pPr>
            <w:r>
              <w:rPr>
                <w:rFonts w:ascii="Arial" w:cs="Arial" w:eastAsia="Arial" w:hAnsi="Arial"/>
                <w:sz w:val="17"/>
                <w:szCs w:val="17"/>
                <w:color w:val="auto"/>
              </w:rPr>
              <w:t>Date:</w:t>
            </w:r>
          </w:p>
        </w:tc>
        <w:tc>
          <w:tcPr>
            <w:tcW w:w="3640" w:type="dxa"/>
            <w:vAlign w:val="bottom"/>
            <w:gridSpan w:val="2"/>
          </w:tcPr>
          <w:p>
            <w:pPr>
              <w:ind w:left="400"/>
              <w:spacing w:after="0"/>
              <w:rPr>
                <w:sz w:val="20"/>
                <w:szCs w:val="20"/>
                <w:color w:val="auto"/>
              </w:rPr>
            </w:pPr>
            <w:r>
              <w:rPr>
                <w:rFonts w:ascii="Arial" w:cs="Arial" w:eastAsia="Arial" w:hAnsi="Arial"/>
                <w:sz w:val="17"/>
                <w:szCs w:val="17"/>
                <w:color w:val="auto"/>
              </w:rPr>
              <w:t>August 11, 2021</w:t>
            </w:r>
          </w:p>
        </w:tc>
        <w:tc>
          <w:tcPr>
            <w:tcW w:w="2100" w:type="dxa"/>
            <w:vAlign w:val="bottom"/>
          </w:tcPr>
          <w:p>
            <w:pPr>
              <w:ind w:left="1440"/>
              <w:spacing w:after="0"/>
              <w:rPr>
                <w:sz w:val="20"/>
                <w:szCs w:val="20"/>
                <w:color w:val="auto"/>
              </w:rPr>
            </w:pPr>
            <w:r>
              <w:rPr>
                <w:rFonts w:ascii="Arial" w:cs="Arial" w:eastAsia="Arial" w:hAnsi="Arial"/>
                <w:sz w:val="17"/>
                <w:szCs w:val="17"/>
                <w:color w:val="auto"/>
              </w:rPr>
              <w:t>By:</w:t>
            </w:r>
          </w:p>
        </w:tc>
        <w:tc>
          <w:tcPr>
            <w:tcW w:w="4540" w:type="dxa"/>
            <w:vAlign w:val="bottom"/>
          </w:tcPr>
          <w:p>
            <w:pPr>
              <w:ind w:left="40"/>
              <w:spacing w:after="0"/>
              <w:rPr>
                <w:sz w:val="20"/>
                <w:szCs w:val="20"/>
                <w:color w:val="auto"/>
              </w:rPr>
            </w:pPr>
            <w:r>
              <w:rPr>
                <w:rFonts w:ascii="Arial" w:cs="Arial" w:eastAsia="Arial" w:hAnsi="Arial"/>
                <w:sz w:val="17"/>
                <w:szCs w:val="17"/>
                <w:color w:val="auto"/>
              </w:rPr>
              <w:t>/s/ Amar Maletira</w:t>
            </w:r>
          </w:p>
        </w:tc>
      </w:tr>
      <w:tr>
        <w:trPr>
          <w:trHeight w:val="215"/>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100" w:type="dxa"/>
            <w:vAlign w:val="bottom"/>
          </w:tcPr>
          <w:p>
            <w:pPr>
              <w:spacing w:after="0"/>
              <w:rPr>
                <w:sz w:val="18"/>
                <w:szCs w:val="18"/>
                <w:color w:val="auto"/>
              </w:rPr>
            </w:pPr>
          </w:p>
        </w:tc>
        <w:tc>
          <w:tcPr>
            <w:tcW w:w="45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Amar Maletira</w:t>
            </w:r>
          </w:p>
        </w:tc>
      </w:tr>
      <w:tr>
        <w:trPr>
          <w:trHeight w:val="222"/>
        </w:trPr>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540" w:type="dxa"/>
            <w:vAlign w:val="bottom"/>
          </w:tcPr>
          <w:p>
            <w:pPr>
              <w:ind w:left="40"/>
              <w:spacing w:after="0"/>
              <w:rPr>
                <w:sz w:val="20"/>
                <w:szCs w:val="20"/>
                <w:color w:val="auto"/>
              </w:rPr>
            </w:pPr>
            <w:r>
              <w:rPr>
                <w:rFonts w:ascii="Arial" w:cs="Arial" w:eastAsia="Arial" w:hAnsi="Arial"/>
                <w:sz w:val="17"/>
                <w:szCs w:val="17"/>
                <w:color w:val="auto"/>
              </w:rPr>
              <w:t>President and Chief Financial Officer</w:t>
            </w:r>
          </w:p>
        </w:tc>
      </w:tr>
      <w:tr>
        <w:trPr>
          <w:trHeight w:val="222"/>
        </w:trPr>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540" w:type="dxa"/>
            <w:vAlign w:val="bottom"/>
          </w:tcPr>
          <w:p>
            <w:pPr>
              <w:ind w:left="40"/>
              <w:spacing w:after="0"/>
              <w:rPr>
                <w:sz w:val="20"/>
                <w:szCs w:val="20"/>
                <w:color w:val="auto"/>
              </w:rPr>
            </w:pPr>
            <w:r>
              <w:rPr>
                <w:rFonts w:ascii="Arial" w:cs="Arial" w:eastAsia="Arial" w:hAnsi="Arial"/>
                <w:sz w:val="17"/>
                <w:szCs w:val="17"/>
                <w:i w:val="1"/>
                <w:iCs w:val="1"/>
                <w:color w:val="auto"/>
              </w:rPr>
              <w:t>(Principal Financial and Accounting Officer)</w:t>
            </w:r>
          </w:p>
        </w:tc>
      </w:tr>
    </w:tbl>
    <w:p>
      <w:pPr>
        <w:sectPr>
          <w:pgSz w:w="11900" w:h="16838" w:orient="portrait"/>
          <w:cols w:equalWidth="0" w:num="1">
            <w:col w:w="11240"/>
          </w:cols>
          <w:pgMar w:left="320" w:top="35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 Kevin Jones, Chief Executive Officer of Rackspace Technology, Inc. (the “Company”), certify pursuant to Section 906 of the Sarbanes-Oxley Act of 2002, 18</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U.S.C. Section 1350, that:</w:t>
      </w:r>
    </w:p>
    <w:p>
      <w:pPr>
        <w:spacing w:after="0" w:line="237" w:lineRule="exact"/>
        <w:rPr>
          <w:sz w:val="20"/>
          <w:szCs w:val="20"/>
          <w:color w:val="auto"/>
        </w:rPr>
      </w:pPr>
    </w:p>
    <w:p>
      <w:pPr>
        <w:ind w:left="640" w:right="540" w:hanging="322"/>
        <w:spacing w:after="0" w:line="28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2021 (the “Report”) fully complies with the requirements of Section 13(a) or 15(d) of the Securities Exchange Act of 1934; and</w:t>
      </w:r>
    </w:p>
    <w:p>
      <w:pPr>
        <w:spacing w:after="0" w:line="184" w:lineRule="exact"/>
        <w:rPr>
          <w:rFonts w:ascii="Arial" w:cs="Arial" w:eastAsia="Arial" w:hAnsi="Arial"/>
          <w:sz w:val="17"/>
          <w:szCs w:val="17"/>
          <w:color w:val="auto"/>
        </w:rPr>
      </w:pPr>
    </w:p>
    <w:p>
      <w:pPr>
        <w:ind w:left="640" w:right="720" w:hanging="322"/>
        <w:spacing w:after="0" w:line="28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August 11, 2021</w:t>
            </w:r>
          </w:p>
        </w:tc>
        <w:tc>
          <w:tcPr>
            <w:tcW w:w="2160" w:type="dxa"/>
            <w:vAlign w:val="bottom"/>
          </w:tcPr>
          <w:p>
            <w:pPr>
              <w:ind w:left="1560"/>
              <w:spacing w:after="0"/>
              <w:rPr>
                <w:sz w:val="20"/>
                <w:szCs w:val="20"/>
                <w:color w:val="auto"/>
              </w:rPr>
            </w:pPr>
            <w:r>
              <w:rPr>
                <w:rFonts w:ascii="Arial" w:cs="Arial" w:eastAsia="Arial" w:hAnsi="Arial"/>
                <w:sz w:val="17"/>
                <w:szCs w:val="17"/>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Kevin Jones</w:t>
            </w:r>
          </w:p>
        </w:tc>
      </w:tr>
      <w:tr>
        <w:trPr>
          <w:trHeight w:val="215"/>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Chief Executive Officer; Director</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r>
    </w:tbl>
    <w:p>
      <w:pPr>
        <w:sectPr>
          <w:pgSz w:w="11900" w:h="16838" w:orient="portrait"/>
          <w:cols w:equalWidth="0" w:num="1">
            <w:col w:w="11240"/>
          </w:cols>
          <w:pgMar w:left="320" w:top="35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I, Amar Maletira, President and Chief Financial Officer of Rackspace Technology, Inc. (the “Company”), certify pursuant to Section 906 of the Sarbanes-Oxley Act of 2002, 18 U.S.C. Section 1350, that:</w:t>
      </w:r>
    </w:p>
    <w:p>
      <w:pPr>
        <w:spacing w:after="0" w:line="184" w:lineRule="exact"/>
        <w:rPr>
          <w:sz w:val="20"/>
          <w:szCs w:val="20"/>
          <w:color w:val="auto"/>
        </w:rPr>
      </w:pPr>
    </w:p>
    <w:p>
      <w:pPr>
        <w:ind w:left="640" w:right="540" w:hanging="322"/>
        <w:spacing w:after="0" w:line="288"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2021 (the “Report”) fully complies with the requirements of Section 13(a) or 15(d) of the Securities Exchange Act of 1934; and</w:t>
      </w:r>
    </w:p>
    <w:p>
      <w:pPr>
        <w:spacing w:after="0" w:line="184" w:lineRule="exact"/>
        <w:rPr>
          <w:rFonts w:ascii="Arial" w:cs="Arial" w:eastAsia="Arial" w:hAnsi="Arial"/>
          <w:sz w:val="17"/>
          <w:szCs w:val="17"/>
          <w:color w:val="auto"/>
        </w:rPr>
      </w:pPr>
    </w:p>
    <w:p>
      <w:pPr>
        <w:ind w:left="640" w:right="720" w:hanging="322"/>
        <w:spacing w:after="0" w:line="288"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August 11, 2021</w:t>
            </w:r>
          </w:p>
        </w:tc>
        <w:tc>
          <w:tcPr>
            <w:tcW w:w="2160" w:type="dxa"/>
            <w:vAlign w:val="bottom"/>
          </w:tcPr>
          <w:p>
            <w:pPr>
              <w:ind w:left="1560"/>
              <w:spacing w:after="0"/>
              <w:rPr>
                <w:sz w:val="20"/>
                <w:szCs w:val="20"/>
                <w:color w:val="auto"/>
              </w:rPr>
            </w:pPr>
            <w:r>
              <w:rPr>
                <w:rFonts w:ascii="Arial" w:cs="Arial" w:eastAsia="Arial" w:hAnsi="Arial"/>
                <w:sz w:val="17"/>
                <w:szCs w:val="17"/>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Amar Maletira</w:t>
            </w:r>
          </w:p>
        </w:tc>
      </w:tr>
      <w:tr>
        <w:trPr>
          <w:trHeight w:val="215"/>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President and Chief Financial Officer</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i w:val="1"/>
                <w:iCs w:val="1"/>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lvl w:ilvl="1">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lvl w:ilvl="1">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lvl w:ilvl="1">
      <w:lvlJc w:val="left"/>
      <w:lvlText w:val="-"/>
      <w:numFmt w:val="bullet"/>
      <w:start w:val="1"/>
    </w:lvl>
  </w:abstractNum>
  <w:abstractNum w:abstractNumId="8">
    <w:nsid w:val="41A7C4C9"/>
    <w:multiLevelType w:val="hybridMultilevel"/>
    <w:lvl w:ilvl="0">
      <w:lvlJc w:val="left"/>
      <w:lvlText w:val="(%1)"/>
      <w:numFmt w:val="decimal"/>
      <w:start w:val="1"/>
    </w:lvl>
    <w:lvl w:ilvl="1">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9"/>
    </w:lvl>
    <w:lvl w:ilvl="1">
      <w:lvlJc w:val="left"/>
      <w:lvlText w:val="-"/>
      <w:numFmt w:val="bullet"/>
      <w:start w:val="1"/>
    </w:lvl>
  </w:abstractNum>
  <w:abstractNum w:abstractNumId="14">
    <w:nsid w:val="3F2DBA31"/>
    <w:multiLevelType w:val="hybridMultilevel"/>
    <w:lvl w:ilvl="0">
      <w:lvlJc w:val="left"/>
      <w:lvlText w:val="(%1)"/>
      <w:numFmt w:val="lowerLetter"/>
      <w:start w:val="1"/>
    </w:lvl>
    <w:lvl w:ilvl="1">
      <w:lvlJc w:val="left"/>
      <w:lvlText w:val="-"/>
      <w:numFmt w:val="bullet"/>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2021-08-11T16:53:23Z</dcterms:created>
  <dcterms:modified xsi:type="dcterms:W3CDTF">2021-08-11T16:53:23Z</dcterms:modified>
</cp:coreProperties>
</file>