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righ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pursuant to Rule 424(b)(5) under the Securities Act of 1933, as amended, solely to include the accompanying base prospectus, which was not included in the prospectus supplement previously filed by the registrant on July 9, 2026. No additional securities are being offered or registered pursuant to this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As Filed Pursuant to Rule 424(b)(5)</w:t>
        <w:br/>
        <w:t>Registration No. 333-297332</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0.0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PROSPECTUS SUPPLEMENT</w:t>
        <w:br/>
        <w:t>(To Prospectus Dated July 9, 2026)</w:t>
      </w:r>
    </w:p>
    <w:p>
      <w:pPr>
        <w:pStyle w:val="TextBody"/>
        <w:bidi w:val="0"/>
        <w:spacing w:before="0" w:after="240"/>
        <w:jc w:val="center"/>
        <w:rPr/>
      </w:pPr>
      <w:r>
        <w:rPr/>
        <w:drawing>
          <wp:inline distT="0" distB="0" distL="0" distR="0">
            <wp:extent cx="1781175" cy="5429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781175" cy="542925"/>
                    </a:xfrm>
                    <a:prstGeom prst="rect">
                      <a:avLst/>
                    </a:prstGeom>
                  </pic:spPr>
                </pic:pic>
              </a:graphicData>
            </a:graphic>
          </wp:inline>
        </w:drawing>
      </w:r>
    </w:p>
    <w:p>
      <w:pPr>
        <w:pStyle w:val="TextBody"/>
        <w:bidi w:val="0"/>
        <w:spacing w:lineRule="auto" w:line="288" w:before="0" w:after="240"/>
        <w:jc w:val="center"/>
        <w:rPr/>
      </w:pPr>
      <w:r>
        <w:rPr>
          <w:rFonts w:ascii="Times New Roman;serif" w:hAnsi="Times New Roman;serif"/>
          <w:b/>
          <w:color w:val="000000"/>
          <w:sz w:val="32"/>
        </w:rPr>
        <w:t>Rackspace Technology, Inc.</w:t>
        <w:br/>
      </w:r>
      <w:r>
        <w:rPr>
          <w:rFonts w:ascii="Times New Roman;serif" w:hAnsi="Times New Roman;serif"/>
          <w:b w:val="false"/>
          <w:color w:val="000000"/>
          <w:sz w:val="20"/>
        </w:rPr>
        <w:t>Up to $250,000,000</w:t>
        <w:br/>
        <w:t>Common Stock</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have entered into an equity distribution agreement, dated July 9, 2026 (the “Equity Distribution Agreement”), </w:t>
      </w:r>
      <w:r>
        <w:rPr>
          <w:rFonts w:ascii="Times New Roman;serif" w:hAnsi="Times New Roman;serif"/>
          <w:b w:val="false"/>
          <w:color w:val="000000"/>
          <w:sz w:val="20"/>
          <w:shd w:fill="FFFFFF" w:val="clear"/>
        </w:rPr>
        <w:t xml:space="preserve">with Goldman Sachs &amp; Co. LLC (the “Sales Agent”), under which we may offer and sell up to </w:t>
      </w:r>
      <w:r>
        <w:rPr>
          <w:rFonts w:ascii="Times New Roman;serif" w:hAnsi="Times New Roman;serif"/>
          <w:b w:val="false"/>
          <w:color w:val="000000"/>
          <w:sz w:val="20"/>
        </w:rPr>
        <w:t>$250,000,000</w:t>
      </w:r>
      <w:r>
        <w:rPr>
          <w:color w:val="000000"/>
          <w:shd w:fill="FFFFFF" w:val="clear"/>
        </w:rPr>
        <w:t xml:space="preserve"> </w:t>
      </w:r>
      <w:r>
        <w:rPr>
          <w:rFonts w:ascii="Times New Roman;serif" w:hAnsi="Times New Roman;serif"/>
          <w:b w:val="false"/>
          <w:color w:val="000000"/>
          <w:sz w:val="20"/>
          <w:shd w:fill="FFFFFF" w:val="clear"/>
        </w:rPr>
        <w:t>of shares of our common stock, par value $0.01 per share (“common stock”), offered by this prospectus supplement and the accompanying base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the terms of the Equity Distribution Agreement, we may offer and sell shares of our common stock from time to time having an aggregate offering price of up to $250,000,000 through the Sales Agent acting as our sales agent or principal. Sales of our common stock, if any, will be made at market prices by any method that is deemed to be an “at the market offering” as defined in Rule 415(a)(4) under the Securities Act of 1933, as amended (the “Securities Act”), including sales made directly on or through the Nasdaq Global Select Market (“Nasdaq”), the existing trading market for our common stock, sales made to or through a market maker other than on an exchange or otherwise, directly to the Sales Agent as principal, in negotiated transactions (including block transactions) at market prices prevailing at the time of sale or at prices related to such prevailing market prices, and/or in any other method permitted by law. The Sales Agent is not required to sell any specific number or dollar amount of shares but will act as sales agent on a commercially reasonable efforts basis consistent with their normal trading and sales practices. There is no arrangement for funds to be received in any escrow, trust or similar arrangement.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Sales Agent will be entitled to compensation at a commission rate of 1.5% of the gross proceeds per share sold under the Equity Distribution Agreement. In connection with the sale of the common stock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liabilities under the Securities Act or the Securities Exchange Act of 1934, as amended (the “Exchange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Nasdaq under the symbol “RXT.” On July 6, 2026, the closing price of our common stock on Nasdaq was $6.43 per share. </w:t>
      </w:r>
    </w:p>
    <w:p>
      <w:pPr>
        <w:pStyle w:val="TextBody"/>
        <w:bidi w:val="0"/>
        <w:spacing w:lineRule="auto" w:line="288" w:before="0" w:after="240"/>
        <w:ind w:left="0" w:right="0" w:firstLine="720"/>
        <w:jc w:val="left"/>
        <w:rPr/>
      </w:pPr>
      <w:r>
        <w:rPr>
          <w:rFonts w:ascii="Times New Roman;serif" w:hAnsi="Times New Roman;serif"/>
          <w:b/>
          <w:color w:val="000000"/>
          <w:sz w:val="20"/>
        </w:rPr>
        <w:t>INVESTING IN OUR SECURITIES INVOLVES A HIGH DEGREE OF RISK. YOU SHOULD REVIEW CAREFULLY THE RISKS AND UNCERTAINTIES DESCRIBED UNDER THE HEADING “</w:t>
      </w:r>
      <w:r>
        <w:rPr>
          <w:rFonts w:ascii="Times New Roman;serif" w:hAnsi="Times New Roman;serif"/>
          <w:b/>
          <w:i/>
          <w:color w:val="000000"/>
          <w:sz w:val="20"/>
        </w:rPr>
        <w:t>RISK FACTORS</w:t>
      </w:r>
      <w:r>
        <w:rPr>
          <w:color w:val="000000"/>
        </w:rPr>
        <w:t xml:space="preserve">” </w:t>
      </w:r>
      <w:r>
        <w:rPr>
          <w:rFonts w:ascii="Times New Roman;serif" w:hAnsi="Times New Roman;serif"/>
          <w:b/>
          <w:color w:val="000000"/>
          <w:sz w:val="20"/>
        </w:rPr>
        <w:t xml:space="preserve">ON PAGE 6 OF THE BASE PROSPECTUS AND PAGE </w:t>
      </w:r>
      <w:hyperlink w:anchor="i8319140ebb0f44e1b30209f900bcf310_13">
        <w:r>
          <w:rPr>
            <w:rStyle w:val="InternetLink"/>
            <w:rFonts w:ascii="Times New Roman;serif" w:hAnsi="Times New Roman;serif"/>
            <w:b/>
            <w:strike w:val="false"/>
            <w:dstrike w:val="false"/>
            <w:color w:val="000000"/>
            <w:sz w:val="20"/>
            <w:u w:val="none"/>
            <w:effect w:val="none"/>
          </w:rPr>
          <w:t>S-4</w:t>
        </w:r>
      </w:hyperlink>
      <w:r>
        <w:rPr>
          <w:rFonts w:ascii="Times New Roman;serif" w:hAnsi="Times New Roman;serif"/>
          <w:b/>
          <w:color w:val="000000"/>
          <w:sz w:val="20"/>
        </w:rPr>
        <w:t xml:space="preserve"> OF THIS PROSPECTUS SUPPLEMENT, AND IN ANY APPLICABLE FREE WRITING PROSPECTUS, AS WELL AS UNDER SIMILAR HEADINGS IN THE DOCUMENTS INCORPORATED BY REFERENCE INTO THIS PROSPECTUS SUPPLEMENT AND THE ACCOMPANYING BASE PROSPECTUS.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supplement and the accompanying base prospectus is truthful or complete. Any representation to the contrary is a criminal offense.</w:t>
      </w:r>
    </w:p>
    <w:tbl>
      <w:tblPr>
        <w:tblW w:w="49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84"/>
        <w:gridCol w:w="1184"/>
        <w:gridCol w:w="11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br/>
        <w:t>The date of this prospectus supplement is July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Prospectus Supplement</w:t>
      </w:r>
    </w:p>
    <w:tbl>
      <w:tblPr>
        <w:tblW w:w="6854" w:type="dxa"/>
        <w:jc w:val="left"/>
        <w:tblInd w:w="0" w:type="dxa"/>
        <w:tblLayout w:type="fixed"/>
        <w:tblCellMar>
          <w:top w:w="28" w:type="dxa"/>
          <w:left w:w="28" w:type="dxa"/>
          <w:bottom w:w="28" w:type="dxa"/>
          <w:right w:w="28" w:type="dxa"/>
        </w:tblCellMar>
      </w:tblPr>
      <w:tblGrid>
        <w:gridCol w:w="2294"/>
        <w:gridCol w:w="2016"/>
        <w:gridCol w:w="2019"/>
        <w:gridCol w:w="154"/>
        <w:gridCol w:w="154"/>
        <w:gridCol w:w="217"/>
      </w:tblGrid>
      <w:tr>
        <w:trPr/>
        <w:tc>
          <w:tcPr>
            <w:tcW w:w="229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d2c0003084904a124b6765c8faf4d">
              <w:r>
                <w:rPr>
                  <w:rStyle w:val="InternetLink"/>
                  <w:rFonts w:ascii="Times New Roman;serif" w:hAnsi="Times New Roman;serif"/>
                  <w:b w:val="false"/>
                  <w:strike w:val="false"/>
                  <w:dstrike w:val="false"/>
                  <w:color w:val="000000"/>
                  <w:sz w:val="20"/>
                  <w:u w:val="none"/>
                  <w:effect w:val="none"/>
                </w:rPr>
                <w:t>ABOUT THIS PROSPECTUS SUPPLEMENT</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4d2c0003084904a124b6765c8faf4d">
              <w:r>
                <w:rPr>
                  <w:rStyle w:val="InternetLink"/>
                  <w:rFonts w:ascii="Times New Roman;serif" w:hAnsi="Times New Roman;serif"/>
                  <w:b w:val="false"/>
                  <w:strike w:val="false"/>
                  <w:dstrike w:val="false"/>
                  <w:color w:val="000000"/>
                  <w:sz w:val="20"/>
                  <w:u w:val="none"/>
                  <w:effect w:val="none"/>
                </w:rPr>
                <w:t>S-1</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55c8929cc5c4302b814e05ccc4e8f78">
              <w:r>
                <w:rPr>
                  <w:rStyle w:val="InternetLink"/>
                  <w:rFonts w:ascii="Times New Roman;serif" w:hAnsi="Times New Roman;serif"/>
                  <w:b w:val="false"/>
                  <w:strike w:val="false"/>
                  <w:dstrike w:val="false"/>
                  <w:color w:val="000000"/>
                  <w:sz w:val="20"/>
                  <w:u w:val="none"/>
                  <w:effect w:val="none"/>
                </w:rPr>
                <w:t>PROSPECTUS SUPPLEMENT SUMMARY</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5c8929cc5c4302b814e05ccc4e8f78">
              <w:r>
                <w:rPr>
                  <w:rStyle w:val="InternetLink"/>
                  <w:rFonts w:ascii="Times New Roman;serif" w:hAnsi="Times New Roman;serif"/>
                  <w:b w:val="false"/>
                  <w:strike w:val="false"/>
                  <w:dstrike w:val="false"/>
                  <w:color w:val="000000"/>
                  <w:sz w:val="20"/>
                  <w:u w:val="none"/>
                  <w:effect w:val="none"/>
                </w:rPr>
                <w:t>S-2</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0bd77d4a564d5b8539962088af7213">
              <w:r>
                <w:rPr>
                  <w:rStyle w:val="InternetLink"/>
                  <w:rFonts w:ascii="Times New Roman;serif" w:hAnsi="Times New Roman;serif"/>
                  <w:b w:val="false"/>
                  <w:strike w:val="false"/>
                  <w:dstrike w:val="false"/>
                  <w:color w:val="000000"/>
                  <w:sz w:val="20"/>
                  <w:u w:val="none"/>
                  <w:effect w:val="none"/>
                </w:rPr>
                <w:t>RISK FACTORS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e0bd77d4a564d5b8539962088af7213">
              <w:r>
                <w:rPr>
                  <w:rStyle w:val="InternetLink"/>
                  <w:rFonts w:ascii="Times New Roman;serif" w:hAnsi="Times New Roman;serif"/>
                  <w:b w:val="false"/>
                  <w:strike w:val="false"/>
                  <w:dstrike w:val="false"/>
                  <w:color w:val="000000"/>
                  <w:sz w:val="20"/>
                  <w:u w:val="none"/>
                  <w:effect w:val="none"/>
                </w:rPr>
                <w:t>S-4</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ce23451a6941dc83fa27e4c6eb3486">
              <w:r>
                <w:rPr>
                  <w:rStyle w:val="InternetLink"/>
                  <w:rFonts w:ascii="Times New Roman;serif" w:hAnsi="Times New Roman;serif"/>
                  <w:b w:val="false"/>
                  <w:strike w:val="false"/>
                  <w:dstrike w:val="false"/>
                  <w:color w:val="000000"/>
                  <w:sz w:val="20"/>
                  <w:u w:val="none"/>
                  <w:effect w:val="none"/>
                </w:rPr>
                <w:t>CAUTIONARY NOTE REGARDING FORWARD-LOOKING STATEMENTS</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ce23451a6941dc83fa27e4c6eb3486">
              <w:r>
                <w:rPr>
                  <w:rStyle w:val="InternetLink"/>
                  <w:rFonts w:ascii="Times New Roman;serif" w:hAnsi="Times New Roman;serif"/>
                  <w:b w:val="false"/>
                  <w:strike w:val="false"/>
                  <w:dstrike w:val="false"/>
                  <w:color w:val="000000"/>
                  <w:sz w:val="20"/>
                  <w:u w:val="none"/>
                  <w:effect w:val="none"/>
                </w:rPr>
                <w:t>S-7</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1b98c219304bbebd9f3a8a949119e1">
              <w:r>
                <w:rPr>
                  <w:rStyle w:val="InternetLink"/>
                  <w:rFonts w:ascii="Times New Roman;serif" w:hAnsi="Times New Roman;serif"/>
                  <w:b w:val="false"/>
                  <w:strike w:val="false"/>
                  <w:dstrike w:val="false"/>
                  <w:color w:val="000000"/>
                  <w:sz w:val="20"/>
                  <w:u w:val="none"/>
                  <w:effect w:val="none"/>
                </w:rPr>
                <w:t>USE OF PROCEEDS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1b98c219304bbebd9f3a8a949119e1">
              <w:r>
                <w:rPr>
                  <w:rStyle w:val="InternetLink"/>
                  <w:rFonts w:ascii="Times New Roman;serif" w:hAnsi="Times New Roman;serif"/>
                  <w:b w:val="false"/>
                  <w:strike w:val="false"/>
                  <w:dstrike w:val="false"/>
                  <w:color w:val="000000"/>
                  <w:sz w:val="20"/>
                  <w:u w:val="none"/>
                  <w:effect w:val="none"/>
                </w:rPr>
                <w:t>S-8</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cbe6a1d0a00484086d6b2bec7b49ee1">
              <w:r>
                <w:rPr>
                  <w:rStyle w:val="InternetLink"/>
                  <w:rFonts w:ascii="Times New Roman;serif" w:hAnsi="Times New Roman;serif"/>
                  <w:b w:val="false"/>
                  <w:strike w:val="false"/>
                  <w:dstrike w:val="false"/>
                  <w:color w:val="000000"/>
                  <w:sz w:val="20"/>
                  <w:u w:val="none"/>
                  <w:effect w:val="none"/>
                </w:rPr>
                <w:t>DILUTION</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be6a1d0a00484086d6b2bec7b49ee1">
              <w:r>
                <w:rPr>
                  <w:rStyle w:val="InternetLink"/>
                  <w:rFonts w:ascii="Times New Roman;serif" w:hAnsi="Times New Roman;serif"/>
                  <w:b w:val="false"/>
                  <w:strike w:val="false"/>
                  <w:dstrike w:val="false"/>
                  <w:color w:val="000000"/>
                  <w:sz w:val="20"/>
                  <w:u w:val="none"/>
                  <w:effect w:val="none"/>
                </w:rPr>
                <w:t>S-9</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c999171eee488a8cae881a448c7170">
              <w:r>
                <w:rPr>
                  <w:rStyle w:val="InternetLink"/>
                  <w:rFonts w:ascii="Times New Roman;serif" w:hAnsi="Times New Roman;serif"/>
                  <w:b w:val="false"/>
                  <w:strike w:val="false"/>
                  <w:dstrike w:val="false"/>
                  <w:color w:val="000000"/>
                  <w:sz w:val="20"/>
                  <w:u w:val="none"/>
                  <w:effect w:val="none"/>
                </w:rPr>
                <w:t>PLAN OF DISTRIBUTION</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ac999171eee488a8cae881a448c7170">
              <w:r>
                <w:rPr>
                  <w:rStyle w:val="InternetLink"/>
                  <w:rFonts w:ascii="Times New Roman;serif" w:hAnsi="Times New Roman;serif"/>
                  <w:b w:val="false"/>
                  <w:strike w:val="false"/>
                  <w:dstrike w:val="false"/>
                  <w:color w:val="000000"/>
                  <w:sz w:val="20"/>
                  <w:u w:val="none"/>
                  <w:effect w:val="none"/>
                </w:rPr>
                <w:t>S-11</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7c1275a5724174b71d7176cc996c7c">
              <w:r>
                <w:rPr>
                  <w:rStyle w:val="InternetLink"/>
                  <w:rFonts w:ascii="Times New Roman;serif" w:hAnsi="Times New Roman;serif"/>
                  <w:b w:val="false"/>
                  <w:strike w:val="false"/>
                  <w:dstrike w:val="false"/>
                  <w:color w:val="000000"/>
                  <w:sz w:val="20"/>
                  <w:u w:val="none"/>
                  <w:effect w:val="none"/>
                </w:rPr>
                <w:t>LEGAL MATTERS</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07c1275a5724174b71d7176cc996c7c">
              <w:r>
                <w:rPr>
                  <w:rStyle w:val="InternetLink"/>
                  <w:rFonts w:ascii="Times New Roman;serif" w:hAnsi="Times New Roman;serif"/>
                  <w:b w:val="false"/>
                  <w:strike w:val="false"/>
                  <w:dstrike w:val="false"/>
                  <w:color w:val="000000"/>
                  <w:sz w:val="20"/>
                  <w:u w:val="none"/>
                  <w:effect w:val="none"/>
                </w:rPr>
                <w:t>S-13</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9dbdf035edd4403888063ce0815fb1c">
              <w:r>
                <w:rPr>
                  <w:rStyle w:val="InternetLink"/>
                  <w:rFonts w:ascii="Times New Roman;serif" w:hAnsi="Times New Roman;serif"/>
                  <w:b w:val="false"/>
                  <w:strike w:val="false"/>
                  <w:dstrike w:val="false"/>
                  <w:color w:val="000000"/>
                  <w:sz w:val="20"/>
                  <w:u w:val="none"/>
                  <w:effect w:val="none"/>
                </w:rPr>
                <w:t>EXPERTS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dbdf035edd4403888063ce0815fb1c">
              <w:r>
                <w:rPr>
                  <w:rStyle w:val="InternetLink"/>
                  <w:rFonts w:ascii="Times New Roman;serif" w:hAnsi="Times New Roman;serif"/>
                  <w:b w:val="false"/>
                  <w:strike w:val="false"/>
                  <w:dstrike w:val="false"/>
                  <w:color w:val="000000"/>
                  <w:sz w:val="20"/>
                  <w:u w:val="none"/>
                  <w:effect w:val="none"/>
                </w:rPr>
                <w:t>S-14</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6a992869ef46b8921c658d9d78f9af">
              <w:r>
                <w:rPr>
                  <w:rStyle w:val="InternetLink"/>
                  <w:rFonts w:ascii="Times New Roman;serif" w:hAnsi="Times New Roman;serif"/>
                  <w:b w:val="false"/>
                  <w:strike w:val="false"/>
                  <w:dstrike w:val="false"/>
                  <w:color w:val="000000"/>
                  <w:sz w:val="20"/>
                  <w:u w:val="none"/>
                  <w:effect w:val="none"/>
                </w:rPr>
                <w:t>WHERE YOU CAN FIND MORE INFORMATION</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6a992869ef46b8921c658d9d78f9af">
              <w:r>
                <w:rPr>
                  <w:rStyle w:val="InternetLink"/>
                  <w:rFonts w:ascii="Times New Roman;serif" w:hAnsi="Times New Roman;serif"/>
                  <w:b w:val="false"/>
                  <w:strike w:val="false"/>
                  <w:dstrike w:val="false"/>
                  <w:color w:val="000000"/>
                  <w:sz w:val="20"/>
                  <w:u w:val="none"/>
                  <w:effect w:val="none"/>
                </w:rPr>
                <w:t>S-15</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fd7d13fbfc48adbf2c2704ed25c78e">
              <w:r>
                <w:rPr>
                  <w:rStyle w:val="InternetLink"/>
                  <w:rFonts w:ascii="Times New Roman;serif" w:hAnsi="Times New Roman;serif"/>
                  <w:b w:val="false"/>
                  <w:strike w:val="false"/>
                  <w:dstrike w:val="false"/>
                  <w:color w:val="000000"/>
                  <w:sz w:val="20"/>
                  <w:u w:val="none"/>
                  <w:effect w:val="none"/>
                </w:rPr>
                <w:t>INFORMATION INCORPORATED BY REFERENCE</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7fd7d13fbfc48adbf2c2704ed25c78e">
              <w:r>
                <w:rPr>
                  <w:rStyle w:val="InternetLink"/>
                  <w:rFonts w:ascii="Times New Roman;serif" w:hAnsi="Times New Roman;serif"/>
                  <w:b w:val="false"/>
                  <w:strike w:val="false"/>
                  <w:dstrike w:val="false"/>
                  <w:color w:val="000000"/>
                  <w:sz w:val="20"/>
                  <w:u w:val="none"/>
                  <w:effect w:val="none"/>
                </w:rPr>
                <w:t>S-16</w:t>
              </w:r>
            </w:hyperlink>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Base Prospectus</w:t>
      </w:r>
    </w:p>
    <w:tbl>
      <w:tblPr>
        <w:tblW w:w="4692" w:type="dxa"/>
        <w:jc w:val="left"/>
        <w:tblInd w:w="0" w:type="dxa"/>
        <w:tblLayout w:type="fixed"/>
        <w:tblCellMar>
          <w:top w:w="28" w:type="dxa"/>
          <w:left w:w="28" w:type="dxa"/>
          <w:bottom w:w="28" w:type="dxa"/>
          <w:right w:w="28" w:type="dxa"/>
        </w:tblCellMar>
      </w:tblPr>
      <w:tblGrid>
        <w:gridCol w:w="1564"/>
        <w:gridCol w:w="1376"/>
        <w:gridCol w:w="1380"/>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ABOUT THIS PROSPECTUS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WHERE YOU CAN FIND MORE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BY REFERENCE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CAPITAL STOCK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DEBT SECURITIES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DEPOSITARY SHARES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WARRANTS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RIGHTS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PURCHASE CONTRACTS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UNITS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STOCKHOLDERS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4"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0" w:name="ib24d2c0003084904a124b6765c8faf4d"/>
      <w:bookmarkEnd w:id="0"/>
      <w:r>
        <w:rPr>
          <w:rFonts w:ascii="Times New Roman;serif" w:hAnsi="Times New Roman;serif"/>
          <w:b/>
          <w:color w:val="000000"/>
          <w:sz w:val="20"/>
        </w:rPr>
        <w:t>ABOUT THIS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base prospectus are part of a “shelf” registration statement on Form S-3 that we filed with the Securities and Exchange Commission (the “SEC”). This document is in two parts. The first part is this prospectus supplement, which describes the specific terms of this offering and also supplements and updates information contained or incorporated by reference in the accompanying prospectus. The second part is the accompanying base prospectus, which provides you with a general description of the securities we may offer from time to time, some of which does not apply to this offering. Generally, when we refer only to the prospectus, we are referring to the combined document consisting of this prospectus supplement and the accompanying base prospectus, and, when we refer to the accompanying prospectus, we are referring to the base prospectus. To the extent there is an inconsistency or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relates to an offering of up to $250,000,000 of shares of our common stock through Goldman Sachs &amp; Co. LLC as Sales Agent. These sales, if any, will be made pursuant to the terms of the Equity Distribution Agreement entered into between us and the Sales Agent on July 9, 2026.</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have not, and the Sales Agent has not, authorized anyone to provide any information or to make any representations other than those contained or incorporated by reference in this prospectus supplement and the accompanying prospectus or in any free writing prospectus prepared by or on behalf of us or to which we have referred you. We and the Sales Agent take no responsibility for, and provide no assurance as to the reliability of, any other information that others may give you. This prospectus supplement is an offer to sell only the shares of common stock offered hereby, but only under circumstances and in jurisdictions where it is lawful to do so. The information contained, or incorporated by reference, in this prospectus supplement and the accompanying prospectus, or in any free writing prospectus that we may authorize for use in connection with this offering, is accurate only as of the respective dates thereof, regardless of its time of delivery or any sale of shares of our common stock. Our business, financial condition, results of operations and prospects may have changed since those dates. You should read both this prospectus supplement and the accompanying prospectus (and any applicable free writing prospectuses that we may authorize for use in connection with this offering), together with any documents incorporated by reference herein and therein and the additional information described below under the headings “</w:t>
      </w:r>
      <w:r>
        <w:rPr>
          <w:rFonts w:ascii="Times New Roman;serif" w:hAnsi="Times New Roman;serif"/>
          <w:b w:val="false"/>
          <w:i/>
          <w:color w:val="000000"/>
          <w:sz w:val="20"/>
        </w:rPr>
        <w:t>Information Incorporated by Reference</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in their entirety, before making an investment decision.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base prospectus do not constitute an offer to sell, or a solicitation of an offer to purchase, the securities offered by this prospectus supplement and the accompanying base prospectus in any jurisdiction to or from any person to whom or from whom it is unlawful to make such offer or solicitation of an offer in such jurisdiction. We are offering to sell, and seeking offers to buy, shares of our common stock only in jurisdictions where offers and sales are permitted. The distribution of this prospectus supplement and the accompanying base prospectus and the offering of the common stock in certain jurisdictions may be restricted by law. No action is being taken in any jurisdiction outside the United States to permit a public offering of the securities or possession or distribution of this prospectus supplement and the accompanying prospectus in that jurisdiction.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applicable to that jurisdiction.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“Rackspace,” “Rackspace Technology,” the “Company,” “we,” “us” and “our” in this prospectus supplement and the accompanying prospectus are to Rackspace Technology, Inc. and its consolidated subsidiaries, unless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5"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bdr w:val="single" w:sz="4" w:space="10" w:color="000000"/>
        </w:rPr>
      </w:pPr>
      <w:bookmarkStart w:id="1" w:name="i955c8929cc5c4302b814e05ccc4e8f78"/>
      <w:bookmarkEnd w:id="1"/>
      <w:r>
        <w:rPr>
          <w:rFonts w:ascii="Times New Roman;serif" w:hAnsi="Times New Roman;serif"/>
          <w:b/>
          <w:color w:val="000000"/>
          <w:sz w:val="20"/>
          <w:bdr w:val="single" w:sz="4" w:space="10" w:color="000000"/>
        </w:rPr>
        <w:t>PROSPECTUS SUPPLEMENT SUMMARY</w:t>
      </w:r>
    </w:p>
    <w:p>
      <w:pPr>
        <w:pStyle w:val="TextBody"/>
        <w:bidi w:val="0"/>
        <w:spacing w:lineRule="auto" w:line="288" w:before="0" w:after="240"/>
        <w:ind w:left="0" w:right="0" w:firstLine="720"/>
        <w:jc w:val="left"/>
        <w:rPr>
          <w:rFonts w:ascii="Times New Roman;serif" w:hAnsi="Times New Roman;serif"/>
          <w:b w:val="false"/>
          <w:i/>
          <w:color w:val="000000"/>
          <w:sz w:val="20"/>
          <w:bdr w:val="single" w:sz="4" w:space="10" w:color="000000"/>
        </w:rPr>
      </w:pPr>
      <w:r>
        <w:rPr>
          <w:rFonts w:ascii="Times New Roman;serif" w:hAnsi="Times New Roman;serif"/>
          <w:b w:val="false"/>
          <w:i/>
          <w:color w:val="000000"/>
          <w:sz w:val="20"/>
          <w:bdr w:val="single" w:sz="4" w:space="10" w:color="000000"/>
        </w:rPr>
        <w:t>This summary contains basic information about us and this offering. This summary highlights selected information contained elsewhere in, or incorporated by reference into, this prospectus supplement or the accompanying base prospectus. This summary is not complete and may not contain all of the information that may be important to you and that you should consider before deciding whether or not to invest in our securities. For a more complete understanding of Rackspace Technology and this offering, you should carefully read this prospectus supplement and the accompanying base prospectus, including the information incorporated by reference herein and therein, in their entirety. Investing in our securities involves risks that are described in the sections of this prospectus supplement and the accompanying base prospectus entitled “Risk Factors,” under the heading “Item 1A. Risk Factors” in our Annual Report on Form 10-K for the year ended December 31, 2025 filed with the SEC on March 6, 2026 (the “2025 Annual Report”), as updated by our subsequent annual, quarterly and other reports and documents that are incorporated by reference into this prospectus supplement and the accompanying base prospectus, and in our other filings with the SEC.</w:t>
      </w:r>
    </w:p>
    <w:p>
      <w:pPr>
        <w:pStyle w:val="TextBody"/>
        <w:bidi w:val="0"/>
        <w:spacing w:lineRule="auto" w:line="288" w:before="0" w:after="240"/>
        <w:jc w:val="left"/>
        <w:rPr>
          <w:rFonts w:ascii="Times New Roman;serif" w:hAnsi="Times New Roman;serif"/>
          <w:b/>
          <w:color w:val="000000"/>
          <w:sz w:val="20"/>
          <w:bdr w:val="single" w:sz="4" w:space="10" w:color="000000"/>
        </w:rPr>
      </w:pPr>
      <w:bookmarkStart w:id="2" w:name="i3a5375781ce241ff8f81ad70d976b422"/>
      <w:bookmarkEnd w:id="2"/>
      <w:r>
        <w:rPr>
          <w:rFonts w:ascii="Times New Roman;serif" w:hAnsi="Times New Roman;serif"/>
          <w:b/>
          <w:color w:val="000000"/>
          <w:sz w:val="20"/>
          <w:bdr w:val="single" w:sz="4" w:space="10" w:color="000000"/>
        </w:rPr>
        <w:t>Corporate Overview</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We are a leading end-to-end hybrid cloud and AI solutions company headquartered in San Antonio, Texas. We serve as a trusted operator of the full technology stack, from governed private cloud infrastructure to AI deployed in production environments. From edge to core to cloud, we design, integrate and operate the infrastructure, data foundations and software platforms required to deliver business outcomes with predictable cost, resilience, security and compliance. Our solutions are purpose-built for regulated and mission-critical environments where uptime, data sovereignty and operational accountability are essential.</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 xml:space="preserve">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 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by Broadcom; enhancing the company’s service offerings, including professional services, managed security and data services; building an enterprise sales force and professional services-driven sales approach to penetrate a broader market opportunity; and expanding the company’s geographic presence. </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 xml:space="preserve">Today, we are a trusted partner to the global cloud ecosystem. We maintain close relationships with major cloud infrastructure and application vendors, enabling us to provide our customers with complete, unbiased hybrid cloud services, all through our single customer interface. </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For more information about Rackspace, see our most recent Annual Report on Form 10-K and any subsequent Quarterly Reports on Form 10-Q, which are incorporated by reference into this prospectus supplement. For instructions on how to find copies of these documents, see “Where You Can Find More Information.”</w:t>
      </w:r>
    </w:p>
    <w:p>
      <w:pPr>
        <w:pStyle w:val="TextBody"/>
        <w:bidi w:val="0"/>
        <w:spacing w:lineRule="auto" w:line="288" w:before="0" w:after="240"/>
        <w:jc w:val="left"/>
        <w:rPr>
          <w:rFonts w:ascii="Times New Roman;serif" w:hAnsi="Times New Roman;serif"/>
          <w:b/>
          <w:color w:val="000000"/>
          <w:sz w:val="20"/>
          <w:bdr w:val="single" w:sz="4" w:space="10" w:color="000000"/>
        </w:rPr>
      </w:pPr>
      <w:bookmarkStart w:id="3" w:name="icd0845c16f574517a2a63c905fd26a7a"/>
      <w:bookmarkEnd w:id="3"/>
      <w:r>
        <w:rPr>
          <w:rFonts w:ascii="Times New Roman;serif" w:hAnsi="Times New Roman;serif"/>
          <w:b/>
          <w:color w:val="000000"/>
          <w:sz w:val="20"/>
          <w:bdr w:val="single" w:sz="4" w:space="10" w:color="000000"/>
        </w:rPr>
        <w:t>Corporate Information</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Our principal executive office is located at 19122 US Highway 281 N., Suite 127, San Antonio, Texas 78258. Our telephone number is 1-800-961-4454. Additional information about our Company is included in documents incorporated by reference in this prospectus supplement. See “Where You Can Find More Information.”</w:t>
      </w:r>
    </w:p>
    <w:p>
      <w:pPr>
        <w:pStyle w:val="TextBody"/>
        <w:bidi w:val="0"/>
        <w:spacing w:lineRule="auto" w:line="288"/>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We also maintain a website at www.rackspace.com. None of the information contained on our website or on websites linked to our website is part of this prospectus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bdr w:val="single" w:sz="4" w:space="10" w:color="000000"/>
        </w:rPr>
      </w:pPr>
      <w:bookmarkStart w:id="4" w:name="iae22869c509641c984c17e842957b525"/>
      <w:bookmarkEnd w:id="4"/>
      <w:r>
        <w:rPr>
          <w:rFonts w:ascii="Times New Roman;serif" w:hAnsi="Times New Roman;serif"/>
          <w:b/>
          <w:color w:val="000000"/>
          <w:sz w:val="20"/>
          <w:bdr w:val="single" w:sz="4" w:space="10" w:color="000000"/>
        </w:rPr>
        <w:t>The Offering</w:t>
      </w:r>
    </w:p>
    <w:tbl>
      <w:tblPr>
        <w:tblW w:w="10205" w:type="dxa"/>
        <w:jc w:val="left"/>
        <w:tblInd w:w="0" w:type="dxa"/>
        <w:tblLayout w:type="fixed"/>
        <w:tblCellMar>
          <w:top w:w="28" w:type="dxa"/>
          <w:left w:w="28" w:type="dxa"/>
          <w:bottom w:w="28" w:type="dxa"/>
          <w:right w:w="28" w:type="dxa"/>
        </w:tblCellMar>
      </w:tblPr>
      <w:tblGrid>
        <w:gridCol w:w="420"/>
        <w:gridCol w:w="370"/>
        <w:gridCol w:w="371"/>
        <w:gridCol w:w="2771"/>
        <w:gridCol w:w="2595"/>
        <w:gridCol w:w="3678"/>
      </w:tblGrid>
      <w:tr>
        <w:trPr/>
        <w:tc>
          <w:tcPr>
            <w:tcW w:w="4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 offered by us</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Up to an aggregate of $250,000,000 of shares of our common stock pursuant to the Equity Distribution Agreement through or to the Sales Agent as sales agent or principal. See “</w:t>
            </w:r>
            <w:r>
              <w:rPr>
                <w:rFonts w:ascii="Times New Roman;serif" w:hAnsi="Times New Roman;serif"/>
                <w:b w:val="false"/>
                <w:i/>
                <w:color w:val="000000"/>
                <w:sz w:val="20"/>
              </w:rPr>
              <w:t>Plan of Distribution</w:t>
            </w:r>
            <w:r>
              <w:rPr>
                <w:color w:val="000000"/>
              </w:rPr>
              <w:t xml:space="preserve">” </w:t>
            </w:r>
            <w:r>
              <w:rPr>
                <w:rFonts w:ascii="Times New Roman;serif" w:hAnsi="Times New Roman;serif"/>
                <w:b w:val="false"/>
                <w:color w:val="000000"/>
                <w:sz w:val="20"/>
              </w:rPr>
              <w:t xml:space="preserve">beginning on page </w:t>
            </w:r>
            <w:hyperlink w:anchor="i8319140ebb0f44e1b30209f900bcf310_321">
              <w:r>
                <w:rPr>
                  <w:rStyle w:val="InternetLink"/>
                  <w:rFonts w:ascii="Times New Roman;serif" w:hAnsi="Times New Roman;serif"/>
                  <w:b w:val="false"/>
                  <w:strike w:val="false"/>
                  <w:dstrike w:val="false"/>
                  <w:color w:val="000000"/>
                  <w:sz w:val="20"/>
                  <w:u w:val="none"/>
                  <w:effect w:val="none"/>
                </w:rPr>
                <w:t>S-11</w:t>
              </w:r>
            </w:hyperlink>
            <w:r>
              <w:rPr>
                <w:rFonts w:ascii="Times New Roman;serif" w:hAnsi="Times New Roman;serif"/>
                <w:b w:val="false"/>
                <w:color w:val="000000"/>
                <w:sz w:val="20"/>
              </w:rPr>
              <w:t xml:space="preserve"> of this prospectus supplement.</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Manner of offering</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Sales, if any, of common stock under the Equity Distribution Agreement may be made in ordinary brokers’ transactions, to or through a market maker, on or through the Nasdaq or any other market venue where the securities may be traded, in the over-the-counter market, in privately negotiated transactions, in block trades or through a combination of any such methods of sale. The Sales Agent may also sell our common stock by any other method permitted by law. See the section of this prospectus supplement entitled “</w:t>
            </w:r>
            <w:r>
              <w:rPr>
                <w:rFonts w:ascii="Times New Roman;serif" w:hAnsi="Times New Roman;serif"/>
                <w:b w:val="false"/>
                <w:i/>
                <w:color w:val="000000"/>
                <w:sz w:val="20"/>
              </w:rPr>
              <w:t>Plan of Distribution</w:t>
            </w:r>
            <w:r>
              <w:rPr>
                <w:color w:val="000000"/>
              </w:rPr>
              <w:t xml:space="preserve">” </w:t>
            </w:r>
            <w:r>
              <w:rPr>
                <w:rFonts w:ascii="Times New Roman;serif" w:hAnsi="Times New Roman;serif"/>
                <w:b w:val="false"/>
                <w:color w:val="000000"/>
                <w:sz w:val="20"/>
              </w:rPr>
              <w:t xml:space="preserve">beginning on page </w:t>
            </w:r>
            <w:hyperlink w:anchor="i8319140ebb0f44e1b30209f900bcf310_321">
              <w:r>
                <w:rPr>
                  <w:rStyle w:val="InternetLink"/>
                  <w:rFonts w:ascii="Times New Roman;serif" w:hAnsi="Times New Roman;serif"/>
                  <w:b w:val="false"/>
                  <w:strike w:val="false"/>
                  <w:dstrike w:val="false"/>
                  <w:color w:val="000000"/>
                  <w:sz w:val="20"/>
                  <w:u w:val="none"/>
                  <w:effect w:val="none"/>
                </w:rPr>
                <w:t>S-11</w:t>
              </w:r>
            </w:hyperlink>
            <w:r>
              <w:rPr>
                <w:rFonts w:ascii="Times New Roman;serif" w:hAnsi="Times New Roman;serif"/>
                <w:b w:val="false"/>
                <w:color w:val="000000"/>
                <w:sz w:val="20"/>
              </w:rPr>
              <w:t xml:space="preserve"> for additional detail.</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Use of proceeds</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We currently intend to use the net proceeds from this offering for general corporate purposes, including for working capital, capital expenditures and growth capital (including GPU-related costs). See the section of this prospectus supplement entitled “</w:t>
            </w:r>
            <w:r>
              <w:rPr>
                <w:rFonts w:ascii="Times New Roman;serif" w:hAnsi="Times New Roman;serif"/>
                <w:b w:val="false"/>
                <w:i/>
                <w:color w:val="000000"/>
                <w:sz w:val="20"/>
              </w:rPr>
              <w:t>Use of Proceeds</w:t>
            </w:r>
            <w:r>
              <w:rPr>
                <w:color w:val="000000"/>
              </w:rPr>
              <w:t xml:space="preserve">” </w:t>
            </w:r>
            <w:r>
              <w:rPr>
                <w:rFonts w:ascii="Times New Roman;serif" w:hAnsi="Times New Roman;serif"/>
                <w:b w:val="false"/>
                <w:color w:val="000000"/>
                <w:sz w:val="20"/>
              </w:rPr>
              <w:t xml:space="preserve">beginning on page </w:t>
            </w:r>
            <w:hyperlink w:anchor="i8319140ebb0f44e1b30209f900bcf310_286">
              <w:r>
                <w:rPr>
                  <w:rStyle w:val="InternetLink"/>
                  <w:rFonts w:ascii="Times New Roman;serif" w:hAnsi="Times New Roman;serif"/>
                  <w:b w:val="false"/>
                  <w:strike w:val="false"/>
                  <w:dstrike w:val="false"/>
                  <w:color w:val="000000"/>
                  <w:sz w:val="20"/>
                  <w:u w:val="none"/>
                  <w:effect w:val="none"/>
                </w:rPr>
                <w:t>S-8</w:t>
              </w:r>
            </w:hyperlink>
            <w:r>
              <w:rPr>
                <w:rFonts w:ascii="Times New Roman;serif" w:hAnsi="Times New Roman;serif"/>
                <w:b w:val="false"/>
                <w:color w:val="000000"/>
                <w:sz w:val="20"/>
              </w:rPr>
              <w:t xml:space="preserve"> for additional detail.</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Trading symbol</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symbol “RXT.”</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factors</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Investing in our securities involves a high degree of risk. See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beginning on page </w:t>
            </w:r>
            <w:hyperlink w:anchor="i8319140ebb0f44e1b30209f900bcf310_13">
              <w:r>
                <w:rPr>
                  <w:rStyle w:val="InternetLink"/>
                  <w:rFonts w:ascii="Times New Roman;serif" w:hAnsi="Times New Roman;serif"/>
                  <w:b w:val="false"/>
                  <w:strike w:val="false"/>
                  <w:dstrike w:val="false"/>
                  <w:color w:val="000000"/>
                  <w:sz w:val="20"/>
                  <w:u w:val="none"/>
                  <w:effect w:val="none"/>
                </w:rPr>
                <w:t>S-4</w:t>
              </w:r>
            </w:hyperlink>
            <w:r>
              <w:rPr>
                <w:rFonts w:ascii="Times New Roman;serif" w:hAnsi="Times New Roman;serif"/>
                <w:b w:val="false"/>
                <w:color w:val="000000"/>
                <w:sz w:val="20"/>
              </w:rPr>
              <w:t xml:space="preserve"> and other information included or incorporated by reference in this prospectus supplement and the accompanying base prospectus for a discussion of factors you should carefully consider before investing in our securities.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5" w:name="i3e0bd77d4a564d5b8539962088af7213"/>
      <w:bookmarkEnd w:id="5"/>
      <w:r>
        <w:rPr>
          <w:rFonts w:ascii="Times New Roman;serif" w:hAnsi="Times New Roman;serif"/>
          <w:b/>
          <w:color w:val="000000"/>
          <w:sz w:val="20"/>
        </w:rPr>
        <w:t>RISK FACTORS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common stock involves a high degree of risk. Our 2025 Annual Report,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and you may lose all or part of your investment. You should carefully consider the risks and uncertainties described below and those risks and uncertainties incorporated by reference into this prospectus supplement and the accompanying base prospectus, as well as the other information included in this prospectus supplement and the accompanying base prospectus, before making an investment decision with respect to our common stock. Please also read carefully the section titled “Cautionary Note Regarding Forward-Looking Statements.”</w:t>
      </w:r>
    </w:p>
    <w:p>
      <w:pPr>
        <w:pStyle w:val="TextBody"/>
        <w:bidi w:val="0"/>
        <w:spacing w:lineRule="auto" w:line="288" w:before="0" w:after="240"/>
        <w:jc w:val="left"/>
        <w:rPr>
          <w:rFonts w:ascii="Times New Roman;serif" w:hAnsi="Times New Roman;serif"/>
          <w:b/>
          <w:color w:val="000000"/>
          <w:sz w:val="20"/>
        </w:rPr>
      </w:pPr>
      <w:bookmarkStart w:id="6" w:name="i4c51ac8deb324c1b8e95e58241543788"/>
      <w:bookmarkEnd w:id="6"/>
      <w:r>
        <w:rPr>
          <w:rFonts w:ascii="Times New Roman;serif" w:hAnsi="Times New Roman;serif"/>
          <w:b/>
          <w:color w:val="000000"/>
          <w:sz w:val="20"/>
        </w:rPr>
        <w:t>Risks Related to this Offering</w:t>
      </w:r>
    </w:p>
    <w:p>
      <w:pPr>
        <w:pStyle w:val="TextBody"/>
        <w:bidi w:val="0"/>
        <w:spacing w:lineRule="auto" w:line="288" w:before="0" w:after="240"/>
        <w:jc w:val="left"/>
        <w:rPr>
          <w:rFonts w:ascii="Times New Roman;serif" w:hAnsi="Times New Roman;serif"/>
          <w:b/>
          <w:i/>
          <w:color w:val="000000"/>
          <w:sz w:val="20"/>
        </w:rPr>
      </w:pPr>
      <w:bookmarkStart w:id="7" w:name="i0cb6f7a8bdd54f4faf2acffa74a2b046"/>
      <w:bookmarkEnd w:id="7"/>
      <w:r>
        <w:rPr>
          <w:rFonts w:ascii="Times New Roman;serif" w:hAnsi="Times New Roman;serif"/>
          <w:b/>
          <w:i/>
          <w:color w:val="000000"/>
          <w:sz w:val="20"/>
        </w:rPr>
        <w:t>We will have broad discretion in the use of the net proceeds from this offering and may not use them effectively.</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currently intend to use the net proceeds from this offering, if any, for general corporate purposes, including for working capital, capital expenditures and growth capital (including GPU-related costs). See the section of this prospectus supplement entitled “</w:t>
      </w:r>
      <w:r>
        <w:rPr>
          <w:rFonts w:ascii="Times New Roman;serif" w:hAnsi="Times New Roman;serif"/>
          <w:b w:val="false"/>
          <w:i/>
          <w:color w:val="000000"/>
          <w:sz w:val="20"/>
        </w:rPr>
        <w:t>Use of Proceeds</w:t>
      </w:r>
      <w:r>
        <w:rPr>
          <w:rFonts w:ascii="Times New Roman;serif" w:hAnsi="Times New Roman;serif"/>
          <w:b w:val="false"/>
          <w:color w:val="000000"/>
          <w:sz w:val="20"/>
        </w:rPr>
        <w:t>.” We will have broad discretion in the application of the net proceeds in the category of other working capital and general corporate purposes, and investors will be relying on the judgment of our management regarding the application of the proceeds of this offering.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precise amount and timing of the application of these proceeds will depend upon a number of factors, such as our funding requirements and the availability and costs of other funds. As of the date of this prospectus supplement, we cannot specify with certainty all of the particular uses for the net proceeds to us from this offering. Depending on the outcome of our efforts and other unforeseen events, our plans and priorities may change, and we may apply the net proceeds of this offering in different manners than we currently anticipate.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failure by our management to apply these funds effectively could harm our business, financial condition and results of operations. Pending their use, we may invest the net proceeds from this offering in short-term, interest-bearing instruments. These investments may not yield a favorable return to our stockholders.</w:t>
      </w:r>
    </w:p>
    <w:p>
      <w:pPr>
        <w:pStyle w:val="TextBody"/>
        <w:bidi w:val="0"/>
        <w:spacing w:lineRule="auto" w:line="288" w:before="0" w:after="240"/>
        <w:jc w:val="left"/>
        <w:rPr>
          <w:rFonts w:ascii="Times New Roman;serif" w:hAnsi="Times New Roman;serif"/>
          <w:b/>
          <w:i/>
          <w:color w:val="000000"/>
          <w:sz w:val="20"/>
        </w:rPr>
      </w:pPr>
      <w:bookmarkStart w:id="8" w:name="i3baf432d8eb14434a26327d29c29cfda"/>
      <w:bookmarkEnd w:id="8"/>
      <w:r>
        <w:rPr>
          <w:rFonts w:ascii="Times New Roman;serif" w:hAnsi="Times New Roman;serif"/>
          <w:b/>
          <w:i/>
          <w:color w:val="000000"/>
          <w:sz w:val="20"/>
        </w:rPr>
        <w:t>The shares of common stock will be sold in “at-the-market” offerings, and investors who buy shares at different times will likely pay different prices.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subject to the final determination by our board of directors or any restrictions we may place in any applicable sale order, there is no minimum or maximum sales price. Investors may experience a decline in the value of their shares as a result of share sales made at prices lower than the prices they paid.</w:t>
      </w:r>
    </w:p>
    <w:p>
      <w:pPr>
        <w:pStyle w:val="TextBody"/>
        <w:bidi w:val="0"/>
        <w:spacing w:lineRule="auto" w:line="288" w:before="0" w:after="240"/>
        <w:jc w:val="left"/>
        <w:rPr>
          <w:rFonts w:ascii="Times New Roman;serif" w:hAnsi="Times New Roman;serif"/>
          <w:b/>
          <w:i/>
          <w:color w:val="000000"/>
          <w:sz w:val="20"/>
        </w:rPr>
      </w:pPr>
      <w:bookmarkStart w:id="9" w:name="i4f83e5f789614e3f9125c83de4c7ce07"/>
      <w:bookmarkEnd w:id="9"/>
      <w:r>
        <w:rPr>
          <w:rFonts w:ascii="Times New Roman;serif" w:hAnsi="Times New Roman;serif"/>
          <w:b/>
          <w:i/>
          <w:color w:val="000000"/>
          <w:sz w:val="20"/>
        </w:rPr>
        <w:t>The actual number of shares we will issue under the Equity Distribution Agreement, at any one time or in total, is uncertain.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in the Equity Distribution Agreement and compliance with applicable law, we have the discretion to deliver a sales notice to the Sales Agent at any time throughout the term of the Equity Distribution Agreement. The number of shares that are sold by the Sales Agent after delivering a sales notice will fluctuate based on the market price of our common stock during the sales period and limits we set with the Sales Agent. Because the price per share of each share sold in this offering will fluctuate based on the market price of our common stock during the sales period, it is not possible at this stage to predict the number of shares that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ultimately issued. Depending on the number of shares actually issued and sold under this offering, we may cease to be a "controlled company" under Nasdaq Listing Rule 5615(c)(1) and be required to comply with additional corporate governance requirements, including certain modifications to our board and committee structures (subject to applicable transition periods).</w:t>
      </w:r>
    </w:p>
    <w:p>
      <w:pPr>
        <w:pStyle w:val="TextBody"/>
        <w:bidi w:val="0"/>
        <w:spacing w:lineRule="auto" w:line="288" w:before="0" w:after="240"/>
        <w:jc w:val="left"/>
        <w:rPr>
          <w:rFonts w:ascii="Times New Roman;serif" w:hAnsi="Times New Roman;serif"/>
          <w:b/>
          <w:i/>
          <w:color w:val="000000"/>
          <w:sz w:val="20"/>
        </w:rPr>
      </w:pPr>
      <w:bookmarkStart w:id="10" w:name="id413852d90784bd6875aa5605179ca37"/>
      <w:bookmarkEnd w:id="10"/>
      <w:r>
        <w:rPr>
          <w:rFonts w:ascii="Times New Roman;serif" w:hAnsi="Times New Roman;serif"/>
          <w:b/>
          <w:i/>
          <w:color w:val="000000"/>
          <w:sz w:val="20"/>
        </w:rPr>
        <w:t>You may experience future dilution as a result of future equity offerings.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lineRule="auto" w:line="288" w:before="0" w:after="240"/>
        <w:jc w:val="left"/>
        <w:rPr>
          <w:rFonts w:ascii="Times New Roman;serif" w:hAnsi="Times New Roman;serif"/>
          <w:b/>
          <w:i/>
          <w:color w:val="000000"/>
          <w:sz w:val="20"/>
        </w:rPr>
      </w:pPr>
      <w:bookmarkStart w:id="11" w:name="ie0b7e6e51973435c92f828ef21e0244d"/>
      <w:bookmarkEnd w:id="11"/>
      <w:r>
        <w:rPr>
          <w:rFonts w:ascii="Times New Roman;serif" w:hAnsi="Times New Roman;serif"/>
          <w:b/>
          <w:i/>
          <w:color w:val="000000"/>
          <w:sz w:val="20"/>
        </w:rPr>
        <w:t>Future sales of our common stock in the public market, or the perception in the public market that such sales may occur, could reduce our stock price.</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As of March 31, 2026, we had approximately 249.1 million shares of common stock issued and outstanding and approximately 12.2 million shares of common stock underlying outstanding options and restricted stock under the 2017 Incentive Plan and the 2020 Incentive Plan, and we had reserved an additional approximately 37.8 million shares of common stock for issuance under the 2020 Incentive Plan and approximately 7.9 million shares of common stock for issuance under the ESPP and we may be required to issue additional shares of common stock to an affiliate of ABRY Partners, LLC and ABRY Partners II, LLC (collectively, “ABRY”) under the merger agreement related to the acquisition of Datapipe. Also, during the year ended December 31, 2025, we registered 10.0 million shares of common stock for 4.0 million and 6.0 million RSUs and stock options, respectively, granted to our new chief executive officer outside of the 2020 Incentive Plan. In addition, certain of our existing stockholders, including funds managed by affiliates of Apollo Global Management, Inc. and its subsidiaries, have certain rights to require us to register the sale of common stock held by them</w:t>
      </w:r>
      <w:r>
        <w:rPr>
          <w:rFonts w:ascii="Times New Roman;serif" w:hAnsi="Times New Roman;serif"/>
          <w:b/>
          <w:color w:val="000000"/>
          <w:sz w:val="20"/>
          <w:u w:val="single"/>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including in connection with underwritten offerings, and are permitted to be selling stockholders under the “shelf” registration statement on Form S-3 of which this prospectus supplement and the accompanying base prospectus are part of. Additionally, we filed a registration statement in respect of all shares of common stock that we may issue under the 2017 Incentive Plan, the 2020 Incentive Plan and the ESPP. After registration, all of these shares can be freely sold in the public market upon issuance.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sales of substantial amounts of our common stock (including in this offering), or securities convertible or exchangeable into shares of our common stock, into the public market, including shares of our common stock issued upon exercise of options, or the perception that those sales could occur, could adversely affect the prevailing market price of our common stock and our ability to raise capital in the future. Additionally, the market price of our common stock could decline as a result of sales by, or the perceived possibility of sales by, our existing stockholders of shares of our common stock in the market. These sales might also make it more difficult for us to sell equity securities at a time and price that we deem appropriate.</w:t>
      </w:r>
    </w:p>
    <w:p>
      <w:pPr>
        <w:pStyle w:val="TextBody"/>
        <w:bidi w:val="0"/>
        <w:spacing w:lineRule="auto" w:line="288" w:before="0" w:after="240"/>
        <w:jc w:val="both"/>
        <w:rPr/>
      </w:pPr>
      <w:bookmarkStart w:id="12" w:name="i81260cba09404fdeaef1db778989cf65"/>
      <w:bookmarkEnd w:id="12"/>
      <w:r>
        <w:rPr>
          <w:rFonts w:ascii="Times New Roman;serif" w:hAnsi="Times New Roman;serif"/>
          <w:b/>
          <w:i/>
          <w:color w:val="000000"/>
          <w:sz w:val="20"/>
        </w:rPr>
        <w:t>We do not anticipate paying dividends on our common stock in the foreseeable future.</w:t>
      </w:r>
      <w:r>
        <w:rPr>
          <w:color w:val="008000"/>
        </w:rPr>
        <w:t xml:space="preserve"> </w:t>
      </w:r>
      <w:r>
        <w:rPr>
          <w:rFonts w:ascii="Times New Roman;serif" w:hAnsi="Times New Roman;serif"/>
          <w:b/>
          <w:i/>
          <w:color w:val="000000"/>
          <w:sz w:val="20"/>
        </w:rPr>
        <w:t>As a result, you must rely on stock appreciation for any return on your investment.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anticipate paying any dividends in the foreseeable future on our common stock. Accordingly, you will have to rely on capital appreciation, if any, to earn a return on your investment in our common stock. We intend to retain all future earnings for the operation and expansion of our business and the repayment of outstanding debt. Our New Senior Facilities, Senior Facilities and the Indentures (each as defined in the 2025 Annual Report) contain, and any future indebtedness likely will contain, restrictive covenants that impose significant operating and financial restrictions on us, including restrictions on our ability to pay dividends and make other restricted payments.</w:t>
      </w:r>
    </w:p>
    <w:p>
      <w:pPr>
        <w:pStyle w:val="TextBody"/>
        <w:bidi w:val="0"/>
        <w:spacing w:lineRule="auto" w:line="288" w:before="0" w:after="240"/>
        <w:jc w:val="left"/>
        <w:rPr>
          <w:rFonts w:ascii="Times New Roman;serif" w:hAnsi="Times New Roman;serif"/>
          <w:b/>
          <w:i/>
          <w:color w:val="000000"/>
          <w:sz w:val="20"/>
        </w:rPr>
      </w:pPr>
      <w:bookmarkStart w:id="13" w:name="i69777a6b785a4eb2848eb4e6dd4cb333"/>
      <w:bookmarkEnd w:id="13"/>
      <w:r>
        <w:rPr>
          <w:rFonts w:ascii="Times New Roman;serif" w:hAnsi="Times New Roman;serif"/>
          <w:b/>
          <w:i/>
          <w:color w:val="000000"/>
          <w:sz w:val="20"/>
        </w:rPr>
        <w:t>Our stock price is volatile and may fluctuate significantly.</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9"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may continue to be, highly volatile and could vary significantly as a result of a number of factors, some of which are beyond our control. The following is a non-exhaustive list of additional factors that could affect our stock price:</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our operating and financial performance and prospects;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quarterly variations in the rate of growth (if any) of our financial or operational indicators, such as EPS, net income, revenues, Non-GAAP Net Income, Non-GAAP Operating Profit, and Adjusted EBITDA;</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the public reaction to our press releases, our other public announcements and our filings with the SEC;</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strategic actions by our competitors;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changes in operating performance and the stock market valuations of other companies;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announcements related to litigation;</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our failure to meet revenue or earnings estimates made by research analysts or other investors;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changes in revenue or earnings estimates, or changes in recommendations or withdrawal of research coverage, by equity research analysts;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speculation in the press or investment community;</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sales of our common stock by us or our stockholders, or the perception that such sales may occur;</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changes in accounting principles, policies, guidance, interpretations or standards;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additions or departures of key management personnel;</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actions by our stockholders;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general market conditions;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domestic and international economic, legal and regulatory factors unrelated to our performance;</w:t>
      </w:r>
      <w:r>
        <w:rPr>
          <w:color w:val="000000"/>
        </w:rPr>
        <w:t xml:space="preserve"> </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material weakness in our internal control over financial reporting; and</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the realization of any risks described under the “Risk Factors” section of our 2025 Annual Report</w:t>
      </w:r>
      <w:r>
        <w:rPr>
          <w:color w:val="000000"/>
        </w:rPr>
        <w:t xml:space="preserve"> </w:t>
      </w:r>
      <w:r>
        <w:rPr>
          <w:rFonts w:ascii="Times New Roman;serif" w:hAnsi="Times New Roman;serif"/>
          <w:b w:val="false"/>
          <w:color w:val="000000"/>
          <w:sz w:val="20"/>
        </w:rPr>
        <w:t>and in our subsequent annual reports, quarterly reports, and other documents that we file with the SEC that are incorporated by reference in this prospectus supplement, or other risks that may materialize in the future.</w:t>
      </w:r>
    </w:p>
    <w:p>
      <w:pPr>
        <w:pStyle w:val="TextBody"/>
        <w:bidi w:val="0"/>
        <w:spacing w:lineRule="auto" w:line="288" w:before="0" w:after="0"/>
        <w:ind w:left="0" w:right="0" w:firstLine="720"/>
        <w:jc w:val="left"/>
        <w:rPr/>
      </w:pPr>
      <w:r>
        <w:rPr>
          <w:rFonts w:ascii="Times New Roman;serif" w:hAnsi="Times New Roman;serif"/>
          <w:b w:val="false"/>
          <w:color w:val="000000"/>
          <w:sz w:val="20"/>
        </w:rPr>
        <w:t>The stock mar</w:t>
      </w:r>
      <w:r>
        <w:rPr>
          <w:rFonts w:ascii="Times New Roman;serif" w:hAnsi="Times New Roman;serif"/>
          <w:b w:val="false"/>
          <w:color w:val="000000"/>
          <w:sz w:val="20"/>
          <w:shd w:fill="FFFFFF" w:val="clear"/>
        </w:rPr>
        <w:t>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0"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4" w:name="ib8ce23451a6941dc83fa27e4c6eb3486"/>
      <w:bookmarkEnd w:id="14"/>
      <w:r>
        <w:rPr>
          <w:rFonts w:ascii="Times New Roman;serif" w:hAnsi="Times New Roman;serif"/>
          <w:b/>
          <w:color w:val="000000"/>
          <w:sz w:val="20"/>
        </w:rPr>
        <w:t>CAUTIONARY NOTE REGARDING FORWARD-LOOKING STATEMENTS</w:t>
      </w:r>
    </w:p>
    <w:p>
      <w:pPr>
        <w:pStyle w:val="TextBody"/>
        <w:bidi w:val="0"/>
        <w:spacing w:lineRule="auto" w:line="288" w:before="0" w:after="24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documents incorporated by reference herein contain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prospectus supplement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prospectus supplement and our 2025 Annual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pStyle w:val="TextBody"/>
        <w:bidi w:val="0"/>
        <w:spacing w:lineRule="auto" w:line="288" w:before="0" w:after="240"/>
        <w:ind w:left="0" w:right="0" w:firstLine="547"/>
        <w:jc w:val="left"/>
        <w:rPr/>
      </w:pPr>
      <w:r>
        <w:rPr>
          <w:rFonts w:ascii="Times New Roman;serif" w:hAnsi="Times New Roman;serif"/>
          <w:b w:val="false"/>
          <w:color w:val="000000"/>
          <w:sz w:val="20"/>
        </w:rPr>
        <w:t>Forward-looking information involves risks, uncertainties, and other factors that could cause actual results to differ materially from those expressed or implied in, or reasonably inferred from, such statements, and the risks and uncertainties disclose</w:t>
      </w:r>
      <w:r>
        <w:rPr>
          <w:rFonts w:ascii="Times New Roman;serif" w:hAnsi="Times New Roman;serif"/>
          <w:b w:val="false"/>
          <w:color w:val="000000"/>
          <w:sz w:val="20"/>
          <w:shd w:fill="FFFFFF" w:val="clear"/>
        </w:rPr>
        <w:t xml:space="preserve">d or referenced in this prospectus supplement, </w:t>
      </w:r>
      <w:r>
        <w:rPr>
          <w:rFonts w:ascii="Times New Roman;serif" w:hAnsi="Times New Roman;serif"/>
          <w:b w:val="false"/>
          <w:color w:val="000000"/>
          <w:sz w:val="20"/>
        </w:rPr>
        <w:t>our 2025 Annual Report and in our subsequent annual reports, quarterly reports, and other documents that we file with the SEC under the heading “Risk Factors.” Therefore, caution should be taken not to place undue reliance on any such forward-looking statements. Much of the information in this prospectus supplement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prospectus supplement and the documents incorporated by reference herein. We assume no obligation (and specifically disclaim any such obligation) to publicly update or revise any forward-looking statements, whether as a result of new information, future events, or otherwise, except as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risk factors identified herein, the risk factors set forth in our 2025 Annual Report</w:t>
      </w:r>
      <w:r>
        <w:rPr>
          <w:color w:val="000000"/>
        </w:rPr>
        <w:t xml:space="preserve"> </w:t>
      </w:r>
      <w:r>
        <w:rPr>
          <w:rFonts w:ascii="Times New Roman;serif" w:hAnsi="Times New Roman;serif"/>
          <w:b w:val="false"/>
          <w:color w:val="000000"/>
          <w:sz w:val="20"/>
        </w:rPr>
        <w:t>and in our subsequent annual reports, quarterly reports, and other documents that we file with the SEC, should not be construed as an exhaustive list of factors that could affect our future results and should be read in conjunction with the other cautionary statements that are included or incorporated by reference in this prospectus supplement and the accompanying base prospectus. The forward-looking statements made in this prospectus supplement are made only as of the date of this prospectus supplement. We do not undertake any obligation to publicly update or review any forward-looking statement except as required by law, whether as a result of new information, future developments or otherwise.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these or other risks or uncertainties materialize, or if our underlying assumptions prove to be incorrect, our actual results may vary materially from what we may have expressed or implied by these forward-looking statements. You should specifically consider the factors identified in this prospectus supplement, the accompanying base prospectus and the documents incorporated by reference herein and therein that could cause actual results to differ before making an investment decision to purchase our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new risks and uncertainties arise from time to time, and it is impossible for us to predict those events or how they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1"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5" w:name="i311b98c219304bbebd9f3a8a949119e1"/>
      <w:bookmarkEnd w:id="15"/>
      <w:r>
        <w:rPr>
          <w:rFonts w:ascii="Times New Roman;serif" w:hAnsi="Times New Roman;serif"/>
          <w:b/>
          <w:color w:val="000000"/>
          <w:sz w:val="20"/>
        </w:rPr>
        <w:t>USE OF PROCEEDS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and sell shares of our common stock having aggregate sales proceeds of up to $250,000,000 from time to time. Because there is no minimum offering amount required as a condition of this offering, the actual total public offering amount, commissions and proceeds to us, if any, are not determinable at this time. There can be no assurance that we will sell any shares under or fully utilize the Equity Distribution Agreement as a source of financing.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for general corporate purposes, including for working capital, capital expenditures and growth capital (including GPU-related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6" w:name="iecbe6a1d0a00484086d6b2bec7b49ee1"/>
      <w:bookmarkEnd w:id="16"/>
      <w:r>
        <w:rPr>
          <w:rFonts w:ascii="Times New Roman;serif" w:hAnsi="Times New Roman;serif"/>
          <w:b/>
          <w:color w:val="000000"/>
          <w:sz w:val="20"/>
        </w:rPr>
        <w:t>DILUTION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March 31, 2026 was approximately $(2.623) million, or $(10.53) per share. Net tangible book value is total assets minus the sum of liabilities and intangible assets. Net tangible book value per share is net tangible book value divided by the total number of shares of our common stock outstanding as of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$250,000,000 of shares of our common stock in this offering at an assumed public offering price of $6.43 per share, the last reported sale price of our common stock on Nasdaq on July 6, 2026, and after deducting estimated commissions and offering expenses payable by us, our as adjusted net tangible book value as of March 31, 2026 would have been approximately $(2.378) million, or $(8.26) per share. This represents an immediate increase in net tangible book value of $2.27 per share to existing stockholders and immediate dilution of $14.69 per share to investors purchasing our common stock in this offering at the assumed public offering price.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this dilution on a per share basis. The as adjusted information is illustrative only and will change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$250,000,000 is sold at the assumed public offering price of $6.43 per share, the last reported sale price of our common stock on Nasdaq on July 6, 2026. The shares sold in this offering, if any, will be sold from time to time at various prices.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7"/>
        <w:gridCol w:w="2607"/>
        <w:gridCol w:w="2628"/>
        <w:gridCol w:w="211"/>
        <w:gridCol w:w="689"/>
        <w:gridCol w:w="109"/>
        <w:gridCol w:w="211"/>
        <w:gridCol w:w="616"/>
        <w:gridCol w:w="157"/>
      </w:tblGrid>
      <w:tr>
        <w:trPr/>
        <w:tc>
          <w:tcPr>
            <w:tcW w:w="297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10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as of March 31, 2026</w:t>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32"/>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March 31, 2026, after giving effect to this offering</w:t>
            </w:r>
          </w:p>
        </w:tc>
        <w:tc>
          <w:tcPr>
            <w:tcW w:w="10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5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purchasing our common stock in this offering</w:t>
            </w:r>
          </w:p>
        </w:tc>
        <w:tc>
          <w:tcPr>
            <w:tcW w:w="10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57"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increase of $1.00 per share in the price at which the shares are sold from the assumed public offering price of $6.43 per share shown in the table above, assuming all of our common stock in the aggregate amount of $250,000,000 during the term of the Equity Distribution Agreement with the Sales Agent is sold at that price, would increase our as adjusted net tangible book value per share to $(8.41) per share and would increase the dilution in net tangible book value per share to new investors in this offering to $15.84 per share, after deducting estimated commissions and offering expenses payable by us. A decrease of $1.00 per share in the price at which the shares are sold from the assumed public offering price of $6.43 per share shown in the table above, assuming all of our common stock in the aggregate amount of $250,000,000 during the term of the Equity Distribution Agreement with the Sales Agent is sold at that price, would decrease our as adjusted net tangible book value per share to $(8.06) per share and would decrease the dilution in net tangible book value per share to new investors in this offering to $13.49 per share, after deducting estimated commissions and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above discussion and table are based on 249.1 million shares of our common stock outstanding as of March 31, 2026, and exclude: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8.1 million shares of our common stock issuable upon the exercise of options outstanding as of March 31, 2026, at a weighted-average exercise price of $4.31 per share;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13.7 million shares of our common stock issuable upon the vesting of restricted stock units outstanding as of March 31,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0.5 million shares of our common stock issuable upon the vesting of performance-based restricted stock units outstanding (at the target performance level) as of March 31,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8.0 million shares of our common stock issuable to an affiliate of ABRY Partners, LLC associated with our acquisition of Datapipe Parent, Inc.;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37.8 million shares of our common stock reserved for issuance pursuant to future awards under our 2020 Equity Incentive Plan and 7.9 million shares reserved for issuance under our employee stock purchase plan, each as of March 31, 2026.</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above discussion and table also exclude the following shares issued or reserved for issuance after March 31,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20.0 million shares of our common stock reserved for issuance pursuant to future awards under our 2020 Equity Incentive Plan, approved by our stockholders at the annual meeting on June 18, 2026;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2.2 million shares of common stock issued in a private placement completed on July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that options outstanding as of March 31, 2026 have been or may be exercised or restricted stock units vest,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investors in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7" w:name="i7ac999171eee488a8cae881a448c7170"/>
      <w:bookmarkEnd w:id="17"/>
      <w:r>
        <w:rPr>
          <w:rFonts w:ascii="Times New Roman;serif" w:hAnsi="Times New Roman;serif"/>
          <w:b/>
          <w:color w:val="000000"/>
          <w:sz w:val="20"/>
        </w:rPr>
        <w:t>PLAN OF DISTRIBUTION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the Equity Distribution Agreement with Goldman Sachs &amp; Co. LLC as our sales agent, under which we may offer and sell from time to time our common stock having an aggregate offering price of up to $250,000,000. The Sales Agent may act as agent on our behalf or purchase shares of our common stock as principal.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if any, of common stock under the Equity Distribution Agreement may be made in ordinary brokers’ transactions, to or through a market maker, on or through the Nasdaq or any other market venue where the securities may be traded, in the over-the-counter market, in privately negotiated transactions, in block trades or through a combination of any such methods of sale. The Sales Agent may also sell our common stock by any other method permitted by law.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securities may be sold at market prices prevailing at the time of sale, at prices related to such prevailing market prices or at negotiated prices.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designate the maximum amount of common stock to be sold through the Sales Agent on a daily basis or otherwise as we and the Sales Agent agree and the minimum price per share at which such common stock may be sold. Subject to the terms and conditions of the Equity Distribution Agreement, the Sales Agent will use their commercially reasonable efforts consistent with their normal sales and trading practices to sell on our behalf all of the designated shares of common stock. We may instruct the Sales Agent not to sell any common stock if the sales cannot be effected at or above the price designated by us in any such instruction. We or the Sales Agent may suspend the offering of our common stock by notifying the other party.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Sales Agent will provide to us written confirmation following the close of trading on the Nasdaq each day on which shares of common stock are sold under the Equity Distribution Agreement. Each confirmation will include the number of shares of common stock sold on such day, the gross sales proceeds and the compensation payable by us to the Sales Agent. We will report at least quarterly the number of shares of common stock sold through the Sales Agent under the Equity Distribution Agreement, the net proceeds to us (before expenses) and the compensation paid by us to the Sales Agent in connection with the sales of the shares of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pay the Sales Agent a commission of 1.5% of the gross sales price per share of common stock sold through the Sales Agent under the Equity Distribution Agreement. We have also agreed to reimburse the Sales Agent for certain of their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Settlement of any sales of common stock will occur on the business day following the date on which such sales were made. There is no arrangement for funds to be received in an escrow, trust or similar arrangement. Sales of our common stock as contemplated in this prospectus supplement will be settled through the facilities of The Depository Trust Company or by such other means as we and the Sales Agent may agree.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offering of our common stock pursuant to the Equity Distribution Agreement will terminate upon the earlier of (i) the sale of all of our shares of common stock subject to the Equity Distribution Agreement, or (ii) termination of the Equity Distribution Agreement by us or by the Sales Agent as provided therein.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shares of common stock on our behalf, the Sales Agent may be deemed to be an “underwriter” within the meaning of the Securities Act, and the compensation paid to the Sales Agent may be deemed to be underwriting commissions or discounts.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agreed to provide indemnification and contribution to the Sales Agent against certain liabilities, including civil liabilities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Agent and its affiliates are full-service financial institutions engaged in various activities, which may include sales and trading, commercial and investment banking, advisory, investment management, investment research, principal investment, hedging, market making, brokerage, vehicle financing programs and other financial and non-financial activities and services. The Sales Agent and its affiliates have provided, and may in the future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 a variety of these services to the Company and to persons and entities with relationships with the Company, for which they received or will receive customary fees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8" w:name="i607c1275a5724174b71d7176cc996c7c"/>
      <w:bookmarkEnd w:id="18"/>
      <w:r>
        <w:rPr>
          <w:rFonts w:ascii="Times New Roman;serif" w:hAnsi="Times New Roman;serif"/>
          <w:b/>
          <w:color w:val="000000"/>
          <w:sz w:val="20"/>
        </w:rPr>
        <w:t>LEGAL MATTERS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Paul, Weiss, Rifkind, Wharton &amp; Garrison LLP has acted as special counsel to Rackspace Technology, Inc. in connection with this offering. Davis Polk &amp; Wardwell LLP is acting as counsel for the Sales Agent in connection with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9" w:name="i69dbdf035edd4403888063ce0815fb1c"/>
      <w:bookmarkEnd w:id="19"/>
      <w:r>
        <w:rPr>
          <w:rFonts w:ascii="Times New Roman;serif" w:hAnsi="Times New Roman;serif"/>
          <w:b/>
          <w:color w:val="000000"/>
          <w:sz w:val="20"/>
        </w:rPr>
        <w:t>EXPERTS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Rackspace Technology, Inc. and subsidiaries as of December 31, 2025 and for the year then ended,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as of December 31, 2024 and for each of the two years in the period ended December 31, 2024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8"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20" w:name="i796a992869ef46b8921c658d9d78f9af"/>
      <w:bookmarkEnd w:id="20"/>
      <w:r>
        <w:rPr>
          <w:rFonts w:ascii="Times New Roman;serif" w:hAnsi="Times New Roman;serif"/>
          <w:b/>
          <w:color w:val="000000"/>
          <w:sz w:val="20"/>
        </w:rPr>
        <w:t>WHERE YOU CAN FIND MORE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Securities Exchange Act of 1934, as amended (the “Exchange Act”), and are required to file with the SEC annual, quarterly and current reports, proxy statements and other information. Such reports include our audited financial statements. Our publicly available filings can be found free of charge on the SEC’s website at www.sec.gov. Our filings, including the audited financial and additional information that we have made public to investors, may also be found on our website at www.rackspace.com. Information on or accessible through our website does not constitute part of this prospectus supplement (except for SEC reports expressly incorporated by reference herein).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permitted by SEC rules, this prospectus supplement and the accompanying prospectus do not contain all of the information we have included in the registration statement and the accompanying exhibits and schedules. You may refer to the registration statement, exhibits and schedules for more information about us and the securities. The full registration statement, exhibits and schedules are available through the SEC’s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85445"/>
                <wp:effectExtent l="0" t="0" r="0" b="0"/>
                <wp:wrapNone/>
                <wp:docPr id="19"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21" w:name="i97fd7d13fbfc48adbf2c2704ed25c78e"/>
      <w:bookmarkEnd w:id="21"/>
      <w:r>
        <w:rPr>
          <w:rFonts w:ascii="Times New Roman;serif" w:hAnsi="Times New Roman;serif"/>
          <w:b/>
          <w:color w:val="000000"/>
          <w:sz w:val="20"/>
        </w:rPr>
        <w:t>INFORMATION INCORPORATED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the SEC, which means that we can disclose important information to you by referring you to those documents. The information incorporated by reference is considered to be part of this prospectus supplement. Information that we file later with the SEC will automatically update and supersede information in this prospectus supplement. In all cases, you should rely on the later information over different information included in this prospectus supplement. The following documents have been filed by us with the SEC and are incorporated by reference into this prospectus supplement:</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our Annual Report on Form 10-K for the fiscal year ended December 31, 2025 (filed on </w:t>
      </w:r>
      <w:hyperlink r:id="rId3">
        <w:r>
          <w:rPr>
            <w:rStyle w:val="InternetLink"/>
            <w:rFonts w:ascii="Times New Roman;serif" w:hAnsi="Times New Roman;serif"/>
            <w:b w:val="false"/>
            <w:color w:val="0000FF"/>
            <w:sz w:val="20"/>
            <w:u w:val="single"/>
          </w:rPr>
          <w:t>March 6, 2026</w:t>
        </w:r>
      </w:hyperlink>
      <w:r>
        <w:rPr>
          <w:rFonts w:ascii="Times New Roman;serif" w:hAnsi="Times New Roman;serif"/>
          <w:b w:val="false"/>
          <w:color w:val="000000"/>
          <w:sz w:val="20"/>
        </w:rPr>
        <w:t>) (the “2025 Annual Report”), including portions of our Proxy Statement for the 2026 annual meeting of stockholders (filed on </w:t>
      </w:r>
      <w:hyperlink r:id="rId4">
        <w:r>
          <w:rPr>
            <w:rStyle w:val="InternetLink"/>
            <w:rFonts w:ascii="Times New Roman;serif" w:hAnsi="Times New Roman;serif"/>
            <w:b w:val="false"/>
            <w:color w:val="0000FF"/>
            <w:sz w:val="20"/>
            <w:u w:val="single"/>
          </w:rPr>
          <w:t>April 30, 2026</w:t>
        </w:r>
      </w:hyperlink>
      <w:r>
        <w:rPr>
          <w:rFonts w:ascii="Times New Roman;serif" w:hAnsi="Times New Roman;serif"/>
          <w:b w:val="false"/>
          <w:color w:val="000000"/>
          <w:sz w:val="20"/>
        </w:rPr>
        <w:t xml:space="preserve">) to the extent specifically incorporated by reference therein (the “2025 Proxy Statement”);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Quarterly Report on Form 10-Q for the three months ended March 31, 2026 (filed on </w:t>
      </w:r>
      <w:hyperlink r:id="rId5">
        <w:r>
          <w:rPr>
            <w:rStyle w:val="InternetLink"/>
            <w:rFonts w:ascii="Times New Roman;serif" w:hAnsi="Times New Roman;serif"/>
            <w:b w:val="false"/>
            <w:color w:val="0000FF"/>
            <w:sz w:val="20"/>
            <w:u w:val="single"/>
          </w:rPr>
          <w:t>May 8, 2026</w:t>
        </w:r>
      </w:hyperlink>
      <w:r>
        <w:rPr>
          <w:rFonts w:ascii="Times New Roman;serif" w:hAnsi="Times New Roman;serif"/>
          <w:b w:val="false"/>
          <w:color w:val="000000"/>
          <w:sz w:val="20"/>
        </w:rPr>
        <w:t xml:space="preserve">);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our Current Reports on Form 8-K filed with the SEC on </w:t>
      </w:r>
      <w:hyperlink r:id="rId6">
        <w:r>
          <w:rPr>
            <w:rStyle w:val="InternetLink"/>
            <w:rFonts w:ascii="Times New Roman;serif" w:hAnsi="Times New Roman;serif"/>
            <w:b w:val="false"/>
            <w:color w:val="0000FF"/>
            <w:sz w:val="20"/>
            <w:u w:val="single"/>
          </w:rPr>
          <w:t>April 3,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(Film Number: 261092857), </w:t>
      </w:r>
      <w:hyperlink r:id="rId8">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(excluding the information disclosed pursuant to Item 7.01 and Exhibit 99.1 thereto) (Film Number: 261092858), </w:t>
      </w:r>
      <w:hyperlink r:id="rId9">
        <w:r>
          <w:rPr>
            <w:rStyle w:val="InternetLink"/>
            <w:rFonts w:ascii="Times New Roman;serif" w:hAnsi="Times New Roman;serif"/>
            <w:b w:val="false"/>
            <w:color w:val="0000FF"/>
            <w:sz w:val="20"/>
            <w:u w:val="single"/>
          </w:rPr>
          <w:t>June 18, 2026</w:t>
        </w:r>
      </w:hyperlink>
      <w:r>
        <w:rPr>
          <w:color w:val="000000"/>
        </w:rPr>
        <w:t xml:space="preserve"> </w:t>
      </w:r>
      <w:r>
        <w:rPr>
          <w:rFonts w:ascii="Times New Roman;serif" w:hAnsi="Times New Roman;serif"/>
          <w:b w:val="false"/>
          <w:color w:val="000000"/>
          <w:sz w:val="20"/>
        </w:rPr>
        <w:t>and July 9, 2026 (excluding the information disclosed pursuant to Item 2.02 and Exhibit 99.1 thereto);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the description of our securities contained in </w:t>
      </w:r>
      <w:hyperlink r:id="rId10">
        <w:r>
          <w:rPr>
            <w:rStyle w:val="InternetLink"/>
          </w:rPr>
          <w:t>Exhibit</w:t>
        </w:r>
      </w:hyperlink>
      <w:hyperlink r:id="rId11">
        <w:r>
          <w:rPr>
            <w:rStyle w:val="InternetLink"/>
          </w:rPr>
          <w:t xml:space="preserve"> 4.2</w:t>
        </w:r>
      </w:hyperlink>
      <w:r>
        <w:rPr>
          <w:color w:val="000000"/>
        </w:rPr>
        <w:t xml:space="preserve"> </w:t>
      </w:r>
      <w:r>
        <w:rPr>
          <w:rFonts w:ascii="Times New Roman;serif" w:hAnsi="Times New Roman;serif"/>
          <w:b w:val="false"/>
          <w:color w:val="000000"/>
          <w:sz w:val="20"/>
        </w:rPr>
        <w:t>to our Annual Report on Form 10-K for the fiscal year ended December 31, 2025 (filed on March 6, 2026), and any amendment or report filed with the SEC for the purpose of updating that description.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that we subsequently file with the SEC (other than any portion of such filings that are furnished under applicable SEC rules rather than filed) pursuant to Section 13(a), 13(c), 14 or 15(d) of the Exchange Act after the date of this prospectus supplement and before the later of (1) the completion of the offering of the securities described in this prospectus supplement and (2) the date securities are no longer offered pursuant to this prospectus supplement, will be deemed to be incorporated by reference into this prospectus supplement and to be part of this prospectus supplement from the date of filing of such reports and documents.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in this prospectus supplement, the accompanying prospectus, any applicable pricing supplement or any document incorporated by reference is accurate as of any date other than the date of the applicable document. 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may request a copy of any or all documents referred to above that have been or may be incorporated by reference into this prospectus (excluding certain exhibits to the documents) at no cost, by writing or calling us at the following address or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Rackspace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19122 US Highway 281 N., Suite 127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San Antonio, Texas 78258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1-800-961-4454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85445"/>
                <wp:effectExtent l="0" t="0" r="0" b="0"/>
                <wp:wrapNone/>
                <wp:docPr id="20" name="Frame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left"/>
        <w:rPr/>
      </w:pPr>
      <w:r>
        <w:rPr/>
      </w:r>
    </w:p>
    <w:p>
      <w:pPr>
        <w:pStyle w:val="TextBody"/>
        <w:bidi w:val="0"/>
        <w:spacing w:before="0" w:after="120"/>
        <w:jc w:val="center"/>
        <w:rPr/>
      </w:pPr>
      <w:r>
        <w:rPr/>
        <w:drawing>
          <wp:inline distT="0" distB="0" distL="0" distR="0">
            <wp:extent cx="1781175" cy="54292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12"/>
                    <a:stretch>
                      <a:fillRect/>
                    </a:stretch>
                  </pic:blipFill>
                  <pic:spPr bwMode="auto">
                    <a:xfrm>
                      <a:off x="0" y="0"/>
                      <a:ext cx="1781175" cy="542925"/>
                    </a:xfrm>
                    <a:prstGeom prst="rect">
                      <a:avLst/>
                    </a:prstGeom>
                  </pic:spPr>
                </pic:pic>
              </a:graphicData>
            </a:graphic>
          </wp:inline>
        </w:drawing>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Rackspace Technology, Inc.</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Depositary Shares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Rights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Purchase Contracts</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Units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offer and sell from time to time shares of our common stock, shares of our preferred stock, debt securities, depositary shares, warrants, rights, purchase contracts or units, or any combination thereof, in one or more offerings in amounts, at prices and on terms that we determine at the time of the offering.</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time we offer securities pursuant to this prospectus, we will provide a prospectus supplement containing more information about the particular offering together with this prospectus. The prospectus supplement also may add, update or change information contained in this prospectus. This prospectus may not be used to offer and sell securities without a prospectus supplement. In addition, selling stockholders named in a prospectus supplement may offer, from time to time and in one or more offerings, shares of our common stock.</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securities may be sold on a continuous or delayed basis directly to or through agents, dealers or underwriters as designated from time to time, or through a combination of these methods.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par value $0.01 per share, is traded on the Nasdaq Stock Market LLC under the symbol “RXT.” If we decide to list or seek a quotation for any other securities, the prospectus supplement relating to those securities will disclose the exchange or market on which those securities will be listed or quoted.</w:t>
      </w:r>
    </w:p>
    <w:p>
      <w:pPr>
        <w:pStyle w:val="TextBody"/>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Investing in these securities involves significant risks. We strongly recommend that you read carefully the risks we describe in this prospectus as well as in any accompanying prospectus supplement and the risk factors that are incorporated by reference into this prospectus from our filings made with the Securities and Exchange Commission. See “Risk Factors” beginning on page 6 of this prospectus.</w:t>
      </w:r>
    </w:p>
    <w:p>
      <w:pPr>
        <w:pStyle w:val="TextBody"/>
        <w:bidi w:val="0"/>
        <w:spacing w:lineRule="auto" w:line="240"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July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5780"/>
                <wp:effectExtent l="0" t="0" r="0" b="0"/>
                <wp:wrapNone/>
                <wp:docPr id="22" name="Frame2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4692" w:type="dxa"/>
        <w:jc w:val="left"/>
        <w:tblInd w:w="0" w:type="dxa"/>
        <w:tblLayout w:type="fixed"/>
        <w:tblCellMar>
          <w:top w:w="28" w:type="dxa"/>
          <w:left w:w="28" w:type="dxa"/>
          <w:bottom w:w="28" w:type="dxa"/>
          <w:right w:w="28" w:type="dxa"/>
        </w:tblCellMar>
      </w:tblPr>
      <w:tblGrid>
        <w:gridCol w:w="1564"/>
        <w:gridCol w:w="1376"/>
        <w:gridCol w:w="1380"/>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ABOUT THIS PROSPECTUS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WHERE YOU CAN FIND MORE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BY REFERENCE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CAPITAL STOCK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DEBT SECURITIES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DEPOSITARY SHARES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WARRANTS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RIGHTS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PURCHASE CONTRACTS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UNITS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STOCKHOLDERS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3"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an “automatic shelf” registration statement that we filed with the Securities and Exchange Commission (the “SEC”), as a “well-known seasoned issuer” as defined in Rule 405 under the Securities Act of 1933, as amended (the “Securities Act”). Under this shelf registration process, we may offer and sell from time to time shares of our common stock, shares of our preferred stock, debt securities, depositary shares, warrants, rights, purchase contracts or units, or any combination thereof, in one or more offerings in amounts, at prices and on terms that we determine at the time of the offering.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selling stockholders may offer and sell, from time to time in one or more offerings, shares of our common stock. Information about selling stockholders, where applicable, will be set forth in a prospectus supplement, in a post-effective amendment or in filings we will make with the SEC which will be incorporated into this prospectus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our securities. Each time we or selling stockholders offer securities, we will provide a prospectus supplement that describes the terms of the offering. The prospectus supplement also may add, update or change information contained in this prospectus. Before making an investment decision, you should read carefully both this prospectus and any prospectus supplement together with the documents incorporated by reference into this prospectus as described below under the heading “Incorporation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registration statement that contains this prospectus, including the exhibits to the registration statement and the information incorporated by reference, provides additional information about us and our securities. That registration statement can be found on the SEC’s website at www.sec.gov.</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authorized anyone to provide any information or to make any representations other than those contained in this prospectus, in the documents incorporated by reference into this prospectus as described under “Where You Can Find More Information,” in any accompanying prospectus supplement and in any free writing prospectus we may authorize to be delivered to you. We will not take any responsibility for, and can provide no assurance as to the reliability of any other information that others may give you. You should not assume that the information in this prospectus or any supplement to this prospectus is accurate as of any date other than the date indicated on the cover page of this prospectus or any prospectus supplement, as applicable. We are not making an offer to sell the securities in any jurisdiction where the offer or sale is not permitted.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selling stockholders may sell the securities to or through underwriters, dealers or agents or directly to purchasers. The securities may be sold for U.S. dollars, foreign-denominated currency, currency units or composite currencies. Amounts payable with respect to any securities may be payable in U.S. dollars or foreign-denominated currency, currency units or composite currencies as specified in the applicable prospectus supplement. We, selling stockholders and our and their agents reserve the sole right to accept or reject in whole or in part any proposed purchase of the securities. The prospectus supplement, which we will provide each time we or selling stockholders offer the securities, will set forth the names of any underwriters, dealers or agents involved in the sale of the securities, and any related fee, commission or discount arrangements. See “Plan of 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may also contain information about any material U.S. federal income tax considerations relating to the securities covered by the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this prospectus, the terms “Rackspace,” “Rackspace Technology,” the “Company,” “we,” “us” and “our” refer to Rackspace Technology,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34030"/>
                <wp:effectExtent l="0" t="0" r="0" b="0"/>
                <wp:wrapNone/>
                <wp:docPr id="24" name="Frame22"/>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Securities Exchange Act of 1934, as amended (the “Exchange Act”), and are required to file with the SEC annual, quarterly and current reports, proxy statements and other information. Such reports include our audited financial statements. Our publicly available filings can be found free of charge on the SEC’s website at www.sec.gov. Our filings, including the audited financial and additional information that we have made public to investors, may also be found on our website at www.rackspace.com. Information on or accessible through our website does not constitute part of this prospectus (except for SEC reports expressly incorporated by reference herein).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permitted by SEC rules, this prospectus and any prospectus supplement are part of a registration statement that we filed with the SEC and do not contain all of the information we have included in the registration statement and the accompanying exhibits and schedules. You may refer to the registration statement, exhibits and schedules for more information about us and the securities. The registration statement, exhibits and schedules are available through the SEC’s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34030"/>
                <wp:effectExtent l="0" t="0" r="0" b="0"/>
                <wp:wrapNone/>
                <wp:docPr id="25" name="Frame23"/>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the SEC, which means that we can disclose important information to you by referring you to those documents. The information incorporated by reference is considered to be part of this prospectus. Information that we file later with the SEC will automatically update and supersede information in this prospectus. In all cases, you should rely on the later information over different information included in this prospectus or the prospectus supplement. The following documents have been filed by us with the SEC and are incorporated by reference into this prospectus:</w:t>
      </w:r>
    </w:p>
    <w:p>
      <w:pPr>
        <w:pStyle w:val="TextBody"/>
        <w:bidi w:val="0"/>
        <w:spacing w:lineRule="auto" w:line="333" w:before="0" w:after="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31, 2025 (filed on </w:t>
      </w:r>
      <w:hyperlink r:id="rId13">
        <w:r>
          <w:rPr>
            <w:rStyle w:val="InternetLink"/>
            <w:rFonts w:ascii="Times New Roman;serif" w:hAnsi="Times New Roman;serif"/>
            <w:b w:val="false"/>
            <w:color w:val="0000FF"/>
            <w:sz w:val="20"/>
            <w:u w:val="single"/>
          </w:rPr>
          <w:t>March 6, 2026</w:t>
        </w:r>
      </w:hyperlink>
      <w:r>
        <w:rPr>
          <w:rFonts w:ascii="Times New Roman;serif" w:hAnsi="Times New Roman;serif"/>
          <w:b w:val="false"/>
          <w:color w:val="000000"/>
          <w:sz w:val="20"/>
        </w:rPr>
        <w:t>) (the “2025 Annual Report”), including portions of our Proxy Statement for the 2026 annual meeting of stockholders (filed on </w:t>
      </w:r>
      <w:hyperlink r:id="rId14">
        <w:r>
          <w:rPr>
            <w:rStyle w:val="InternetLink"/>
            <w:rFonts w:ascii="Times New Roman;serif" w:hAnsi="Times New Roman;serif"/>
            <w:b w:val="false"/>
            <w:color w:val="0000FF"/>
            <w:sz w:val="20"/>
            <w:u w:val="single"/>
          </w:rPr>
          <w:t>April 30, 2026</w:t>
        </w:r>
      </w:hyperlink>
      <w:r>
        <w:rPr>
          <w:rFonts w:ascii="Times New Roman;serif" w:hAnsi="Times New Roman;serif"/>
          <w:b w:val="false"/>
          <w:color w:val="000000"/>
          <w:sz w:val="20"/>
        </w:rPr>
        <w:t xml:space="preserve">) to the extent specifically incorporated by reference therein (the “2025 Proxy Statement”); </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erif" w:hAnsi="Times New Roman;serif"/>
          <w:b w:val="false"/>
          <w:color w:val="000000"/>
          <w:sz w:val="20"/>
        </w:rPr>
        <w:t>our Quarterly Report on Form 10-Q for the three months ended March 31, 2026 (filed on </w:t>
      </w:r>
      <w:hyperlink r:id="rId15">
        <w:r>
          <w:rPr>
            <w:rStyle w:val="InternetLink"/>
            <w:rFonts w:ascii="Times New Roman;serif" w:hAnsi="Times New Roman;serif"/>
            <w:b w:val="false"/>
            <w:color w:val="0000FF"/>
            <w:sz w:val="20"/>
            <w:u w:val="single"/>
          </w:rPr>
          <w:t>May 8, 2026</w:t>
        </w:r>
      </w:hyperlink>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16">
        <w:r>
          <w:rPr>
            <w:rStyle w:val="InternetLink"/>
            <w:rFonts w:ascii="Times New Roman;serif" w:hAnsi="Times New Roman;serif"/>
            <w:b w:val="false"/>
            <w:color w:val="0000FF"/>
            <w:sz w:val="20"/>
            <w:u w:val="single"/>
          </w:rPr>
          <w:t>April 3, 2026</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(Film Number: 261092857), </w:t>
      </w:r>
      <w:hyperlink r:id="rId18">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(excluding the information disclosed pursuant to Item 7.01 and Exhibit 99.1 thereto) (Film Number: 261092858) and </w:t>
      </w:r>
      <w:hyperlink r:id="rId19">
        <w:r>
          <w:rPr>
            <w:rStyle w:val="InternetLink"/>
            <w:rFonts w:ascii="Times New Roman;serif" w:hAnsi="Times New Roman;serif"/>
            <w:b w:val="false"/>
            <w:color w:val="0000FF"/>
            <w:sz w:val="20"/>
            <w:u w:val="single"/>
          </w:rPr>
          <w:t>June 18, 2026</w:t>
        </w:r>
      </w:hyperlink>
      <w:r>
        <w:rPr>
          <w:rFonts w:ascii="Times New Roman;serif" w:hAnsi="Times New Roman;serif"/>
          <w:b w:val="false"/>
          <w:color w:val="000000"/>
          <w:sz w:val="20"/>
        </w:rPr>
        <w:t>; and</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color w:val="000000"/>
        </w:rPr>
        <w:t>•</w:t>
      </w:r>
      <w:r>
        <w:rPr>
          <w:rFonts w:ascii="Times New Roman;serif" w:hAnsi="Times New Roman;serif"/>
          <w:b w:val="false"/>
          <w:color w:val="000000"/>
          <w:sz w:val="20"/>
        </w:rPr>
        <w:t xml:space="preserve">the description of our securities contained in </w:t>
      </w:r>
      <w:hyperlink r:id="rId20">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Annual Report on Form 10-K for the fiscal year ended December 31, 2025 (filed on March 6, 2026), and any amendment or report filed with the SEC for the purpose of updating that description.</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that we subsequently file with the SEC (other than any portion of such filings that are furnished under applicable SEC rules rather than filed) pursuant to Section 13(a), 13(c), 14 or 15(d) of the Exchange Act after the date of this prospectus and before the later of (1) the completion of the offering of the securities described in this prospectus and any prospectus supplement and (2) the date securities are no longer offered pursuant to this prospectus and any prospectus supplement, will be deemed to be incorporated by reference into this prospectus and to be part of this prospectus from the date of filing of such reports and documents.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in this prospectus, the prospectus supplement, any applicable pricing supplement or any document incorporated by reference is accurate as of any date other than the date of the applicable document. 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may request a copy of any or all documents referred to above that have been or may be incorporated by reference into this prospectus (excluding certain exhibits to the documents) at no cost, by writing or calling us at the following address or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Rackspace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19122 US Highway 281 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Suite 127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San Antonio, Texas 78258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1-800-961-4454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34030"/>
                <wp:effectExtent l="0" t="0" r="0" b="0"/>
                <wp:wrapNone/>
                <wp:docPr id="26" name="Frame24"/>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333" w:before="0" w:after="24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herein contain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prospectus and our Annual Report on Form 10-K for the fiscal year ended December 31, 2025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pStyle w:val="TextBody"/>
        <w:bidi w:val="0"/>
        <w:spacing w:lineRule="auto" w:line="333" w:before="0" w:after="240"/>
        <w:ind w:left="0" w:right="0" w:firstLine="547"/>
        <w:jc w:val="left"/>
        <w:rPr/>
      </w:pPr>
      <w:r>
        <w:rPr>
          <w:rFonts w:ascii="Times New Roman;serif" w:hAnsi="Times New Roman;serif"/>
          <w:b w:val="false"/>
          <w:color w:val="000000"/>
          <w:sz w:val="20"/>
        </w:rPr>
        <w:t>Forward-looking information involves risks, uncertainties, and other factors, some of which cannot be predicted or quantified, that could cause actual results to differ materially from those expressed or implied in, or reasonably inferred from, such statements, and the risks and uncertainties disclose</w:t>
      </w:r>
      <w:r>
        <w:rPr>
          <w:rFonts w:ascii="Times New Roman;serif" w:hAnsi="Times New Roman;serif"/>
          <w:b w:val="false"/>
          <w:color w:val="000000"/>
          <w:sz w:val="20"/>
          <w:shd w:fill="FFFFFF" w:val="clear"/>
        </w:rPr>
        <w:t xml:space="preserve">d or referenced in this prospectus and </w:t>
      </w:r>
      <w:r>
        <w:rPr>
          <w:rFonts w:ascii="Times New Roman;serif" w:hAnsi="Times New Roman;serif"/>
          <w:b w:val="false"/>
          <w:color w:val="000000"/>
          <w:sz w:val="20"/>
        </w:rPr>
        <w:t>our Annual Report on Form 10-K for the fiscal year ended December 31, 2025 and any subsequent Quarterly Reports on Form 10-Q under the heading “Risk Factors.”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prospectus and the documents incorporated by reference herein. We assume no obligation (and specifically disclaim any such obligation) to publicly update or revise any forward-looking statements, whether as a result of new information, future events, or otherwise, except as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34030"/>
                <wp:effectExtent l="0" t="0" r="0" b="0"/>
                <wp:wrapNone/>
                <wp:docPr id="27" name="Frame25"/>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COMPANY</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Our Company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leading end-to-end hybrid cloud and AI solutions company headquartered in San Antonio, Texas. We serve as a trusted operator of the full technology stack, from governed private cloud infrastructure to AI deployed in production environments. From edge to core to cloud, we design, integrate and operate the infrastructure, data foundations and software platforms required to deliver business outcomes with predictable cost, resilience, security and compliance. Our solutions are purpose-built for regulated and mission-critical environments where uptime, data sovereignty and operational accountability are essential.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 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by Broadcom; enhancing the company’s service offerings, including professional services, managed security and data services; building an enterprise sales force and professional services-driven sales approach to penetrate a broader market opportunity; and expanding the company’s geographic presence.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Today, we are a trusted partner to the global cloud ecosystem. We maintain close relationships with major cloud infrastructure and application vendors, enabling us to provide our customers with complete, unbiased hybrid cloud services, all through our single customer interface.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Rackspace, see our most recent Annual Report on Form 10-K and any subsequent Quarterly Reports on Form 10-Q, which are incorporated by reference into this prospectus. For instructions on how to find copies of these documents, see “Where You Can Find More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 is located at 19122 US Highway 281 N., Suite 127, San Antonio, Texas 78258. Our telephone number is 1-800-961-4454. Additional information about Rackspace and its subsidiaries is included in documents incorporated by reference in this prospectus. See “Where You Can Find More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Rackspace also maintains a website at www.rackspace.com. None of the information contained on our website or on websites linked to our website is part of this prospectus.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34030"/>
                <wp:effectExtent l="0" t="0" r="0" b="0"/>
                <wp:wrapNone/>
                <wp:docPr id="28" name="Frame26"/>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333"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risk. Before you decide whether to purchase any of our securities, you should carefully consider the specific risks discussed in, or incorporated by reference into, the applicable prospectus supplement, together with all the other information contained in the prospectus supplement or incorporated by reference into this prospectus and the applicable prospectus supplement. You should also consider the risks, uncertainties and assumptions discussed under the caption “Risk Factors” included in our most recent Annual Report on Form 10-K and any subsequent Quarterly Reports on Form 10-Q, which are incorporated by reference into this prospectus. These risk factors may be amended, supplemented or superseded from time to time by other reports we file with the SEC in the future. For more information, please see “Where You Can Find More Information” and “Incorporation by Reference.” These risks could materially and adversely affect our business, results of operations and financial condition and could result in a partial or complete loss of your investment.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34030"/>
                <wp:effectExtent l="0" t="0" r="0" b="0"/>
                <wp:wrapNone/>
                <wp:docPr id="29" name="Frame27"/>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we specify another use in the applicable prospectus supplement, we will use the net proceeds from the sale of the securities offered by us for general corporate purposes, which may include,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debt repayment;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working capital;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capital expenditures; and/or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repurchases of shares of our common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also use such proceeds to fund acquisitions of businesses, technologies or product lines that complement our current business. We may set forth additional information on the use of net proceeds from the sale of the securities we offer under this prospectus in a prospectus supplement related to a specific offering.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not receive any proceeds from the sale of shares of our common stock by selling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34030"/>
                <wp:effectExtent l="0" t="0" r="0" b="0"/>
                <wp:wrapNone/>
                <wp:docPr id="30" name="Frame28"/>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summary description sets forth some of the general terms and provisions of our capital stock. Because this is a summary description, it does not contain all of the information that may be important to you. The following summary description of our capital stock is qualified by reference to the provisions of our certificate of incorporation and bylaws.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certificate of incorporation, our capital stock consists of 1,500,000,000 authorized shares, of which 1,495,000,000 shares, par value $0.01 per share, are designated as “common stock” and 5,000,000 shares, par value $0.01 per share, are designated as “preferred stock.” As of July 6, 2026, there were 253,908,600 shares of common stock outstanding and no shares of preferred stock outstanding.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Voting Rights</w:t>
      </w:r>
      <w:r>
        <w:rPr>
          <w:rFonts w:ascii="Times New Roman;serif" w:hAnsi="Times New Roman;serif"/>
          <w:b w:val="false"/>
          <w:color w:val="000000"/>
          <w:sz w:val="20"/>
        </w:rPr>
        <w:t>. The holders of our common stock are entitled to one vote per share on all matters submitted for action by the stockholders generally.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Dividend Rights</w:t>
      </w:r>
      <w:r>
        <w:rPr>
          <w:rFonts w:ascii="Times New Roman;serif" w:hAnsi="Times New Roman;serif"/>
          <w:b w:val="false"/>
          <w:color w:val="000000"/>
          <w:sz w:val="20"/>
        </w:rPr>
        <w:t>. Subject to any preferential rights of any then outstanding preferred stock, all shares of our common stock are entitled to share equally in any dividends our board of directors may declare from legally available sources.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Liquidation Rights</w:t>
      </w:r>
      <w:r>
        <w:rPr>
          <w:rFonts w:ascii="Times New Roman;serif" w:hAnsi="Times New Roman;serif"/>
          <w:b w:val="false"/>
          <w:color w:val="000000"/>
          <w:sz w:val="20"/>
        </w:rPr>
        <w:t>. Upon our liquidation, dissolution or winding up, whether voluntary or involuntary, after payment in full of the amounts required to be paid to holders of any outstanding preferred stock, all shares of our common stock are entitled to share equally in the assets available for distribution to stockholders after payment of all of our prior obligations.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Other Matters</w:t>
      </w:r>
      <w:r>
        <w:rPr>
          <w:rFonts w:ascii="Times New Roman;serif" w:hAnsi="Times New Roman;serif"/>
          <w:b w:val="false"/>
          <w:color w:val="000000"/>
          <w:sz w:val="20"/>
        </w:rPr>
        <w:t>. Holders of our common stock have no preemptive or conversion rights and our common stock is not subject to further calls or assessments by us. There are no redemption or sinking fund provisions applicable to our common stock. The rights, powers, preferences and privileges of holders of our common stock will be subject to those of the holders of any shares of our preferred stock that we may designate and issue in the future.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certificate of incorporation, shares of preferred stock are issuable from time to time, in one or more series, with the designations, voting rights (full, limited or no voting rights), powers, preferences, participating, optional or other special rights (if any) and any qualifications, limitations or restrictions thereof, of each series as our board of directors from time to time may adopt by resolution (and without further stockholder approval). Each series of preferred stock will consist of an authorized number of shares as will be stated and expressed in the certificate of designations providing for the creation of the series.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Composition of Board of Directors; Election and Removal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our certificate of incorporation and our bylaws, the number of directors comprising our board of directors is determined from time to time exclusively by our board of directors; provided that the number of directors shall not be less than three and shall not exceed 15. Our certificate of incorporation provides for a board of directors divided into three classes (each as nearly as equal as possible and with directors in each class serving staggered three-year terms), initially consisting of three directors in Class I, three directors in Class II and four directors in Class III. See “—Certain Corporate Anti-takeover Provisions—Classified Board of Directors.”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investor rights agreement we entered into on November 3, 2016 in connection with the Inception Parent, Inc.’s acquisition of Rackspace Hosting, Inc. (the “Rackspace Acquisition”) with one of the investment funds (the “Apollo Funds”) managed by affiliates of Apollo Global Management, Inc. (together with its subsidiaries,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034030"/>
                <wp:effectExtent l="0" t="0" r="0" b="0"/>
                <wp:wrapNone/>
                <wp:docPr id="31" name="Frame29"/>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Apollo”) (as amended and restated, the “Initial Investor Rights Agreement”), Apollo and its affiliates have the right, but not the obligation, at any time until Apollo and its affiliates, including the Apollo Funds, no longer beneficially own at least 5% of our issued and outstanding common stock, to nominate a number of directors comprising a percentage of our board of directors in accordance with their beneficial ownership of our outstanding common stock (rounded up to the nearest whole number). We refer to the directors nominated by Apollo and its affiliates based on such percentage ownership as the “Apollo Board Nominees.”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director is to hold office for a three year term and until the annual meeting of stockholders for the election of the class of directors to which such director has been elected and until his or her successor is duly elected and qualified or until his or her earlier death, resignation or removal. Any vacancy on our board of directors (other than in respect of an Apollo Board Nominee) will be filled only by the affirmative vote of a majority of the remaining directors, even if less than a quorum. Any vacancy on our board of directors in respect of an Apollo Board Nominee will be filled only by individuals designated by Apollo and its affiliates, including the Apollo Funds, for so long as they beneficially own at least 5% of our issued and outstanding common stock.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any meeting of our board of directors, except as otherwise required by law, a majority of the total number of directors then in office will constitute a quorum for all purposes, except that if Apollo and its affiliates, including the Apollo Funds, beneficially own at least 5% of our issued and outstanding common stock and there is at least one member of our board of directors who is an Apollo Board Nominee, then at least one director that is an Apollo Board Nominee must be present for there to be a quorum unless each Apollo Board Nominee waives his or her right to be included in the quorum at such meeting.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Certain Corporate Anti-takeover Provisions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provisions in our certificate of incorporation, our bylaws and the Investor Rights Agreements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contains provisions that permit our board of directors to issue, without any further vote or action by stockholders, shares of preferred stock in one or more series and, with respect to each such series, to fix the number of shares constituting the series and the designation of the series, the voting rights (if any) of the shares of the series, the powers, preference, participating, optional or other special rights, if any, and any qualifications, limitations or restrictions, of the shares of such series.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Classified Board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our board of directors will be divided into three classes of directors, with the classes to be as nearly equal in number as possible, and with the directors in each class serving staggered three-year terms. As a result, approximately one-third of our board of directors will be elected each year. The classification of directors will have the effect of making it more difficult for stockholders to change the composition of our board of directors. Our certificate of incorporation provides that, subject to any rights of holders of preferred stock to elect additional directors under specified circumstances, the number of directors will be fixed from time to time exclusively pursuant to a resolution adopted by our board of directors, as described above in “—Composition of Board of Directors; Election and Removal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Removal of Directors; Vacancies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DGCL, unless otherwise provided in our certificate of incorporation, directors serving on a classified board may be removed by the stockholders only for cause. Our certificate of incorporation provides that directors may be removed with or without cause upon the affirmative vote of a majority in voting power of all outstanding shares of stock entitled to vote thereon, voting together as a single class; provided, however, that from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034030"/>
                <wp:effectExtent l="0" t="0" r="0" b="0"/>
                <wp:wrapNone/>
                <wp:docPr id="32" name="Frame30"/>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after the time Apollo and its affiliates, including the Apollo Funds, cease to beneficially own, in the aggregate, at least 50.1% of the voting power of our outstanding common stock, directors may only be removed for cause, and only by the affirmative vote of holders of at least 66 2/3% in voting power of all the then-outstanding shares of stock of the Company entitled to vote thereon, voting together as a single class. For so long as at least 5% of the voting power of our outstanding common stock is beneficially owned by Apollo and its affiliates, including the Apollo Funds, any vacancy on our board of directors in respect of an Apollo Board Nominee will only be filled by individuals designated by Apollo and its affiliates, including the Apollo Funds. Any other vacancy on our board of directors will be filled only by the affirmative vote of a majority of the remaining directors, even if less than a quorum, as described above in “—Composition of Board of Directors; Election and Removal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No Cumulative Voting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our certificate of incorporation, stockholders do not have the right to cumulative votes in the election of directors.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Special Meetings of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certificate of incorporation provides that if less than 50.1% of the voting power of our outstanding common stock is beneficially owned by Apollo and its affiliates, including the Apollo Funds, special meetings of the stockholders may be called only by the chairman of the board of directors or by the secretary at the direction of a majority of the directors then in office. For so long as at least 50.1% of the voting power of our outstanding common stock is beneficially owned by Apollo and its affiliates, including the Apollo Funds, special meetings may also be called by the secretary at the written request of the holders of a majority of the voting power of the then outstanding common stock. The business transacted at any special meeting will be limited to the proposal or proposals included in the notice of the meeting.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Stockholder Action by Written Consent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rights of the holders of one or more series of our preferred stock then outstanding, any action required or permitted to be taken by stockholders must be effected at a duly called annual or special meeting of our stockholders; provided, that prior to the time at which Apollo and its affiliates, including the Apollo Funds, cease to beneficially own at least 50.1% of the voting power of our outstanding common stock, any action required or permitted to be taken at any annual or special meeting of our stockholders may be taken without a meeting, without prior notice and without a vote, if a consent or consents in writing, setting forth the action so taken, is signed by or on behalf of the holders of outstanding stock having not less than the minimum number of votes that would be necessary to authorize or take such action at a meeting at which all shares entitled to vote thereon were present and voted and are delivered in accordance with applicable Delaware law.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Advance Notice Requirements for Stockholder Proposals and Director Nominations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stockholders who are seeking to bring business before an annual meeting of stockholders and stockholders (other than Apollo and its affiliates, including the Apollo Funds) who are seeking to nominate candidates for election as directors at an annual meeting of stockholders, must provide timely notice thereof in writing. To be timely, a stockholder’s notice generally must be delivered to and received at our principal executive offices not earlier than the close of business on the 120th day and not later than the close of business of the 90th day prior to the first anniversary of the preceding year’s annual meeting of our stockholders; provided, that in the event that the date of such meeting is advanced by more than 30 days prior to, or delayed by more than 60 days after, the anniversary of the preceding year’s annual meeting of our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Our bylaws specify certain requirements as to the form and content of a stockholder’s notice. These provisions may preclude stockholders from bringing matters before an annual meeting of stockholders or from making nominations for directors at an annual meeting of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034030"/>
                <wp:effectExtent l="0" t="0" r="0" b="0"/>
                <wp:wrapNone/>
                <wp:docPr id="33" name="Frame31"/>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of the foregoing provisions of our certificate of incorporation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in control. These same provisions may delay, deter or prevent a tender offer or takeover attempt that a stockholder might consider to be in its best interest. In addition,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Delaware Takeover Statute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provides that we are not governed by Section 203 of the DGCL which, in the absence of such provisions, would have imposed additional requirements regarding mergers and other business combinations.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our certificate of incorporation includes provision that restricts us from engaging in any business combination with an interested stockholder for three years following the date that person becomes an interested stockholder. Such restrictions will not apply to any business combination between Apollo and any affiliate thereof, including the Apollo Funds, or their direct and indirect transferees, on the one hand, and us, on the other. In addition, such restrictions will not apply if:</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stockholder becomes an interested stockholder inadvertently and (i) as soon as practicable divests itself of ownership of sufficient shares so that it ceases to be an interested stockholder and (ii) within the three-year period immediately prior to the business combination between the Company and such stockholder, would not have been an interested stockholder but for the inadvertent acquisition of ownership;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business combination is proposed prior to the consummation or abandonment of, and subsequent to the earlier of the public announcement or the notice required under the certificate of incorporation of, a proposed transaction that (i) constitutes one of the transactions described in the proviso of this sentence, (ii) is with or by a person who either was not an interested stockholder during the previous three years or who became an interested stockholder with the approval of our board of directors and (iii)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provided that the proposed transactions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wholly owned subsidiary or to the Company) having an aggregate market value equal to 50% or more of either that aggregate market value of all the assets of the Company determined on a consolidated basis or the aggregate market value of all the outstanding stock of the Company or (z) a proposed tender or exchange offer for 50% or more of the outstanding voting stock of the Company; provided further that the Company will give not less than 20 days’ notice to all interested stockholders prior to the consummation of any of the transactions described in clause (x) or (y) above.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we would be able to enter into a business combination with an interested stockholder if: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before that person became an interested stockholder, our board of directors approved the transaction in which the interested stockholder became an interested stockholder or approved the business combination;</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 xml:space="preserve">upon consummation of the transaction that resulted in the interested stockholder becoming an interested stockholder, the interested stockholder owned at least 85% of our voting stock outstanding at the time the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034030"/>
                <wp:effectExtent l="0" t="0" r="0" b="0"/>
                <wp:wrapNone/>
                <wp:docPr id="34" name="Frame32"/>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commenced, excluding for purposes of determining the voting stock outstanding (but not the outstanding voting stock owned by the interested stockholder) stock held by directors who are also officers of our Company and by employee stock plans that do not provide employees with the right to determine confidentially whether shares held under the plan will be tendered in a tender or exchange offer;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following the transaction in which that person became an interested stockholder, the business combination is approved by our board of directors and authorized at a meeting of stockholders by the affirmative vote of the holders of at least 66 2/3% of the voting power of our outstanding voting stock not owned by the interested stockholder.</w:t>
      </w:r>
    </w:p>
    <w:p>
      <w:pPr>
        <w:pStyle w:val="TextBody"/>
        <w:bidi w:val="0"/>
        <w:spacing w:lineRule="auto" w:line="288" w:before="0" w:after="0"/>
        <w:ind w:left="0" w:right="0" w:hanging="360"/>
        <w:jc w:val="left"/>
        <w:rPr>
          <w:color w:val="000000"/>
        </w:rPr>
      </w:pPr>
      <w:r>
        <w:rPr>
          <w:color w:val="000000"/>
        </w:rPr>
        <w:t>•</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general, a “business combination” is defined to include mergers, asset sales and other transactions resulting in financial benefit to a stockholder and an “interested stockholder” is any person who, together with affiliates and associates, is the owner of 15% or more of our outstanding voting stock or is our affiliate or associate and was the owner of 15% or more of our outstanding voting stock at any time within the three-year period immediately before the date of determination. Under our certificate of incorporation, an “interested stockholder” generally does not include Apollo and any affiliate thereof or their direct and indirect transferees.</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provision of our certificate of incorporation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Amendment of Our Certificate of Incorporation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Delaware law, our certificate of incorporation may be amended only with the affirmative vote of holders of at least a majority of the outstanding stock entitled to vote thereon.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our certificate of incorporation provides that, from and after the time Apollo and its affiliates, including the Apollo Funds, cease to beneficially own at least 50.1% of the voting power of our outstanding common stock, in addition to any vote required by applicable law, our certificate of incorporation or bylaws, the affirmative vote of holders of at least 66 2/3% of the voting power of our outstanding shares of our capital stock entitled to vote thereon, voting together as a single class, is required to alter, amend or repeal the following provisions of our certificate of incorporation:</w:t>
      </w:r>
    </w:p>
    <w:p>
      <w:pPr>
        <w:pStyle w:val="TextBody"/>
        <w:bidi w:val="0"/>
        <w:spacing w:before="0" w:after="0"/>
        <w:ind w:left="0" w:right="0" w:firstLine="72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 authorizing the board of directors to designate one or more series of preferred stock and, by resolution, to provide the rights, powers and preferences, and the qualifications, limitations and restrictions thereof, of any series of preferred stock;</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provisions providing for a classified board of directors and the number of the directors, establishing the term of office of directors, setting forth the quorum of any meeting of the board of directors, relating to the removal of directors, specifying the manner in which vacancies on the board of directors and newly created directorships may be filled and relating to any voting rights of preferred stock;</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provisions authorizing our board of directors to make, alter, amend or repeal our bylaws;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provisions regarding the calling of special meetings and stockholder action by written consent in lieu of a meeting;</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provisions eliminating monetary damages for breaches of fiduciary duty by a director;</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provisions providing for indemnification and advance of expenses of our directors and officers;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provisions regarding competition and corporate opportunities;</w:t>
      </w:r>
    </w:p>
    <w:p>
      <w:pPr>
        <w:pStyle w:val="TextBody"/>
        <w:bidi w:val="0"/>
        <w:spacing w:before="0" w:after="0"/>
        <w:ind w:left="0" w:right="0" w:firstLine="90"/>
        <w:jc w:val="left"/>
        <w:rPr/>
      </w:pPr>
      <w:r>
        <w:rPr/>
      </w:r>
    </w:p>
    <w:p>
      <w:pPr>
        <w:pStyle w:val="TextBody"/>
        <w:bidi w:val="0"/>
        <w:spacing w:lineRule="auto" w:line="288"/>
        <w:ind w:left="0" w:right="0" w:hanging="270"/>
        <w:jc w:val="left"/>
        <w:rPr/>
      </w:pPr>
      <w:r>
        <w:rPr>
          <w:color w:val="000000"/>
        </w:rPr>
        <w:t>•</w:t>
      </w:r>
      <w:r>
        <w:rPr>
          <w:rFonts w:ascii="Times New Roman;serif" w:hAnsi="Times New Roman;serif"/>
          <w:b w:val="false"/>
          <w:color w:val="000000"/>
          <w:sz w:val="20"/>
        </w:rPr>
        <w:t xml:space="preserve">the provision specifying that, unless we consent in writing to the selection of an alternative forum, the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034030"/>
                <wp:effectExtent l="0" t="0" r="0" b="0"/>
                <wp:wrapNone/>
                <wp:docPr id="35" name="Frame33"/>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Chancery Court of the State of Delaware will be the sole and exclusive forum for intra-corporate disputes and the federal district courts of the United States will be the exclusive forum for causes of actions arising under the Securities Act of 1933, as amended (the “Securities Act”);</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provisions regarding entering into business combinations with interested stockholders;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 requiring that, from and after the time Apollo and its affiliates, including the Apollo Funds, cease to beneficially own at least 50.1% of the voting power of our outstanding common stock, amendments to specified provisions of our certificate of incorporation require the affirmative vote of 66 2/3% in voting power of our outstanding stock, voting as a single class; and</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the provision requiring that, from and after the time Apollo and its affiliates, including the Apollo Funds, cease to beneficially own at least 50.1% of the voting power of our outstanding common stock, amendments by the stockholders to our bylaws require the affirmative vote of 66 2/3% in voting power of our outstanding stock, voting as a single class.</w:t>
      </w:r>
    </w:p>
    <w:p>
      <w:pPr>
        <w:pStyle w:val="TextBody"/>
        <w:bidi w:val="0"/>
        <w:spacing w:before="0" w:after="0"/>
        <w:ind w:left="0" w:right="0" w:firstLine="9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Amendment of Our Bylaws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they can be amended by the vote of the holders of shares constituting a majority of the voting power or by the vote of a majority of the board of directors. However, our certificate of incorporation provides that, from and after the time Apollo and its affiliates, including the Apollo Funds, cease to beneficially own at least 50.1% of the voting power of our outstanding common stock, in addition to any vote required under our certificate of incorporation, the affirmative vote of the holders of at least 66 2/3% of the voting power of the outstanding shares of stock entitled to vote thereon, voting as a single class, is required for the stockholders to alter, amend or repeal any provision of our bylaws or to adopt any provision inconsistent therewith.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Certain Matters that Require Consent of Our Stockholders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Investor Rights Agreements provide that until Apollo and its affiliates, including the Apollo Funds, no longer beneficially own at least 33% of our issued and outstanding common stock, we will not take certain significant actions specified therein without the prior consent of Apollo and its affiliates, including, but not limited to:</w:t>
      </w:r>
    </w:p>
    <w:p>
      <w:pPr>
        <w:pStyle w:val="TextBody"/>
        <w:bidi w:val="0"/>
        <w:spacing w:before="0" w:after="0"/>
        <w:ind w:left="0" w:right="0" w:firstLine="72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other than in the ordinary course of business with vendors, customers and suppliers, acquisition of equity interests or assets of any other entity, or any business, properties, assets or entities, exceeding $50 million in any single transaction or $100 million in the aggregate in any series of transactions during a calendar year;</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other than in the ordinary course of business with vendors, customers and suppliers, disposition of any of our or our subsidiaries’ assets or equity interests, exceeding $50 million in any single transaction or $100 million in the aggregate in any series of transactions during a calendar year; and</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merging or consolidating with or into any other entity, or transferring all or substantially all of the Company’s or our subsidiaries’ assets, taken as a whole, to another entity, or undertaking any transaction that would constitute a “change of control” as defined in our or our subsidiaries’ credit facilities or note indentures (other than transactions among us and our wholly-owned subsidiaries).</w:t>
      </w:r>
    </w:p>
    <w:p>
      <w:pPr>
        <w:pStyle w:val="TextBody"/>
        <w:bidi w:val="0"/>
        <w:spacing w:before="0" w:after="0"/>
        <w:ind w:left="0" w:right="0" w:firstLine="9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provisions of the DGCL, our certificate of incorporation, our bylaws and our Investor Rights Agreements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pStyle w:val="TextBody"/>
        <w:bidi w:val="0"/>
        <w:spacing w:before="0" w:after="0"/>
        <w:ind w:left="0" w:right="0" w:firstLine="720"/>
        <w:jc w:val="left"/>
        <w:rPr/>
      </w:pPr>
      <w:r>
        <w:rPr/>
      </w:r>
    </w:p>
    <w:p>
      <w:pPr>
        <w:pStyle w:val="TextBody"/>
        <w:bidi w:val="0"/>
        <w:spacing w:lineRule="auto" w:line="288"/>
        <w:jc w:val="left"/>
        <w:rPr>
          <w:rFonts w:ascii="Times New Roman;serif" w:hAnsi="Times New Roman;serif"/>
          <w:b/>
          <w:color w:val="000000"/>
          <w:sz w:val="20"/>
        </w:rPr>
      </w:pPr>
      <w:r>
        <w:rPr>
          <w:rFonts w:ascii="Times New Roman;serif" w:hAnsi="Times New Roman;serif"/>
          <w:b/>
          <w:color w:val="000000"/>
          <w:sz w:val="20"/>
        </w:rPr>
        <w:t>Exclusive Forum Selection</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034030"/>
                <wp:effectExtent l="0" t="0" r="0" b="0"/>
                <wp:wrapNone/>
                <wp:docPr id="36" name="Frame34"/>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we consent in writing to the selection of an alternative forum, the Chancery Court of the State of Delaware will, to the fullest extent permitted by law, be the sole and exclusive forum for:</w:t>
      </w:r>
    </w:p>
    <w:p>
      <w:pPr>
        <w:pStyle w:val="TextBody"/>
        <w:bidi w:val="0"/>
        <w:spacing w:before="0" w:after="0"/>
        <w:ind w:left="0" w:right="0" w:firstLine="72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color w:val="000000"/>
          <w:sz w:val="20"/>
        </w:rPr>
        <w:t>any derivative action or proceeding brought on our behalf;</w:t>
      </w:r>
    </w:p>
    <w:p>
      <w:pPr>
        <w:pStyle w:val="TextBody"/>
        <w:bidi w:val="0"/>
        <w:spacing w:before="0" w:after="240"/>
        <w:ind w:left="0" w:right="0" w:firstLine="720"/>
        <w:jc w:val="left"/>
        <w:rPr/>
      </w:pPr>
      <w:r>
        <w:rPr/>
      </w:r>
    </w:p>
    <w:p>
      <w:pPr>
        <w:pStyle w:val="TextBody"/>
        <w:bidi w:val="0"/>
        <w:spacing w:lineRule="auto" w:line="240" w:before="0" w:after="240"/>
        <w:ind w:left="0" w:right="0" w:hanging="270"/>
        <w:jc w:val="left"/>
        <w:rPr/>
      </w:pPr>
      <w:r>
        <w:rPr>
          <w:color w:val="000000"/>
        </w:rPr>
        <w:t>▪</w:t>
      </w:r>
      <w:r>
        <w:rPr>
          <w:rFonts w:ascii="Times New Roman;serif" w:hAnsi="Times New Roman;serif"/>
          <w:b w:val="false"/>
          <w:color w:val="000000"/>
          <w:sz w:val="20"/>
        </w:rPr>
        <w:t xml:space="preserve">any action asserting a claim of breach of a fiduciary duty owed by any of our directors, officers, employees or agents to us or our stockholders; </w:t>
      </w:r>
    </w:p>
    <w:p>
      <w:pPr>
        <w:pStyle w:val="TextBody"/>
        <w:bidi w:val="0"/>
        <w:spacing w:before="0" w:after="240"/>
        <w:ind w:left="0" w:right="0" w:firstLine="720"/>
        <w:jc w:val="left"/>
        <w:rPr/>
      </w:pPr>
      <w:r>
        <w:rPr/>
      </w:r>
    </w:p>
    <w:p>
      <w:pPr>
        <w:pStyle w:val="TextBody"/>
        <w:bidi w:val="0"/>
        <w:spacing w:lineRule="auto" w:line="240" w:before="0" w:after="240"/>
        <w:ind w:left="0" w:right="0" w:hanging="270"/>
        <w:jc w:val="left"/>
        <w:rPr/>
      </w:pPr>
      <w:r>
        <w:rPr>
          <w:color w:val="000000"/>
        </w:rPr>
        <w:t>▪</w:t>
      </w:r>
      <w:r>
        <w:rPr>
          <w:rFonts w:ascii="Times New Roman;serif" w:hAnsi="Times New Roman;serif"/>
          <w:b w:val="false"/>
          <w:color w:val="000000"/>
          <w:sz w:val="20"/>
        </w:rPr>
        <w:t>any action asserting a claim arising pursuant to any provision of the DGCL or of our certificate of incorporation or our bylaws; or</w:t>
      </w:r>
    </w:p>
    <w:p>
      <w:pPr>
        <w:pStyle w:val="TextBody"/>
        <w:bidi w:val="0"/>
        <w:spacing w:before="0" w:after="240"/>
        <w:ind w:left="0" w:right="0" w:firstLine="720"/>
        <w:jc w:val="left"/>
        <w:rPr/>
      </w:pPr>
      <w:r>
        <w:rPr/>
      </w:r>
    </w:p>
    <w:p>
      <w:pPr>
        <w:pStyle w:val="TextBody"/>
        <w:bidi w:val="0"/>
        <w:spacing w:lineRule="auto" w:line="240" w:before="0" w:after="240"/>
        <w:ind w:left="0" w:right="0" w:hanging="270"/>
        <w:jc w:val="left"/>
        <w:rPr/>
      </w:pPr>
      <w:r>
        <w:rPr>
          <w:color w:val="000000"/>
        </w:rPr>
        <w:t>▪</w:t>
      </w:r>
      <w:r>
        <w:rPr>
          <w:rFonts w:ascii="Times New Roman;serif" w:hAnsi="Times New Roman;serif"/>
          <w:b w:val="false"/>
          <w:color w:val="000000"/>
          <w:sz w:val="20"/>
        </w:rPr>
        <w:t>any action asserting a claim against us or any of our directors or officers governed by the internal affairs doctrine,</w:t>
      </w:r>
    </w:p>
    <w:p>
      <w:pPr>
        <w:pStyle w:val="TextBody"/>
        <w:bidi w:val="0"/>
        <w:spacing w:before="0" w:after="0"/>
        <w:ind w:left="0" w:right="0" w:firstLine="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each such case subject to the Delaware Court of Chancery having personal jurisdiction over the indispensable parties named as defendants.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the provisions of the foregoing paragraph will not apply to suits brought to enforce any liability or duty created by the Securities Act, the Exchange Act or any other claim for which the federal district courts of the United States have exclusive jurisdiction. For instance, the provision would not apply to actions arising under federal securities laws, including suits brought to enforce any liability or duty created by the Securities Act, Exchange Act or the rules and regulations thereunder. Our certificate of incorporation further provides that the federal district courts of the United States shall, to the fullest extent permitted by law, be the sole and exclusive forum for the resolution of any action, suit or proceeding asserting a cause of action arising under the Securities Act. Any person or entity purchasing or otherwise acquiring any interest in any shares of our capital stock will be deemed to have notice of and, to the fullest extent permitted by law, to have consented to the foregoing forum selection provisions. However,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other courts would enforce the exclusive forum provisions in our certificate of incorporation. Additionally, our stockholders cannot waive compliance with the federal securities laws and the rules and regulations thereunder.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 that the forum selection clause in our certificate of incorporation may impose additional litigation costs on stockholders in pursuing any such claims, particularly if the stockholders do not reside in or near the State of Delaware. Additionally, the forum selection clause in our certificate of incorporation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Alternatively, if a court were to find the choice of forum provision contained in our certificate of incorporation to be inapplicable or unenforceable in an action, we may incur additional costs associated with resolving such action in other jurisdictions.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Registration Rights Agreement</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4, 2020, we entered into a registration rights agreement (the “Registration Rights Agreement”) with the Apollo Funds and affiliates of ABRY. Subject to several exceptions, including our right to defer a demand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034030"/>
                <wp:effectExtent l="0" t="0" r="0" b="0"/>
                <wp:wrapNone/>
                <wp:docPr id="37" name="Frame35"/>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registration, shelf registration or underwritten offering under certain circumstances, the Apollo Funds may require that we register for public resale under the Securities Act all shares of common stock that they request to be registered at any time following the Company’s initial public offering, subject to the restrictions in the lock-up agreements entered into by each of those parties, so long as the securities being registered in each registration statement or sold in any underwritten offering are reasonably expected to produce aggregate proceeds of at least $66.0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Apollo Funds have the right to require us to register the sale of the common stock held by them on Form S-3, subject to offering size and other restrictions. The Apollo Funds also have the right to request marketed and non-marketed underwritten offerings using a shelf registration statement.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propose to file certain types of registration statements under the Securities Act with respect to an offering of equity securities (including for sale by us or at the request of the Apollo Funds), we will be required to use our reasonable best efforts to offer the parties to the Registration Rights Agreement the opportunity to register the sale of all or part of their shares on the terms and conditions set forth in the Registration Rights Agreement (customarily known as “piggyback rights”).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expenses of registration under the Registration Rights Agreement, including the legal fees of counsel chosen by stockholders participating in a registration, will be paid by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registration rights granted in the Registration Rights Agreement are subject to customary restrictions including blackout periods and, if a registration is underwritten, any limitations on the number of shares to be included in the underwritten offering as reasonably advised by the managing underwriter or underwriters. The Registration Rights Agreement also contains customary indemnification and contribution provisions. The Registration Rights Agreement is governed by Delaware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Computershare Trust Company, N.A. is the transfer agent and registrar for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Listing of Common Stock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Stock Market LLC under the symbol “RXT.”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034030"/>
                <wp:effectExtent l="0" t="0" r="0" b="0"/>
                <wp:wrapNone/>
                <wp:docPr id="38" name="Frame36"/>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THE DEBT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the terms of the debt securities sets forth certain general terms and provisions of the debt securities to which any prospectus supplement may relate. The particular terms of the debt securities offered by any prospectus supplement and the extent, if any, to which these general provisions may apply to those debt securities will be described in the prospectus supplement relating to those debt securities. Accordingly, for a description of the terms of a particular issue of debt securities, reference must be made to both the prospectus supplement relating thereto and to the following description.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debt securities from time to time in one or more series. The debt securities will be general obligations of Rackspace Technology, Inc. The debt securities may be fully and unconditionally guaranteed on a secured or unsecured senior or subordinated basis, jointly and severally, by guarantors, if any. In the event that any series of debt securities will be subordinated to other indebtedness that we have outstanding or may incur, the terms of the subordination will be set forth in the prospectus supplement relating to the subordinated debt securities. Debt securities will be issued under one or more indentures between us and a trustee to be identified therein. A copy of the form of indenture has been filed as an exhibit to the registration statement filed with the SEC.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 You should refer to the indenture for the complete terms of the debt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debt securities will represent direct, general obligations of Rackspace Technology, Inc.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may rank equally with other unsubordinated debt or may be subordinated to other debt we have or may incur;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may be issued in one or more series with the same or various maturities;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may be issued at a price of 100% of their principal amount or at a premium or discount;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may be issued in registered form and certificated or uncertificated form;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may be represented by one or more global debt securities registered in the name of a designated depositary’s nominee, and if so, beneficial interests in the global note will be shown on and transfers will be made only through records maintained by the designated depositary and its participants.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aggregate principal amount of debt securities that we may authenticate and deliver is unlimited. Subject to limitations contained in the indenture, we may from time to time, without notice to or the consent of the holders of a series of debt securities, issue additional debt securities of any such series on the same terms and conditions as the debt securities of such series, except for any differences in the issue price and, if applicable, the initial interest accrual date and interest payment date;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additional debt securities are not fungible with the debt securities of such series for U.S. federal income tax purposes, such additional debt securities will have one or more separate CUSIP numbers. You should refer to the applicable prospectus supplement for the following terms of the debt securities of the series with respect to which that prospectus supplement is being delivered: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title of the debt securities of the series (which will distinguish the debt securities of that particular series from the debt securities of any other series) and ranking (including the terms of any subordination provisions);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price or prices of the debt securities of the series at which such debt securities will be issued;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whether the debt securities are entitled to the benefit of any guarantee by any guarantor;</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034030"/>
                <wp:effectExtent l="0" t="0" r="0" b="0"/>
                <wp:wrapNone/>
                <wp:docPr id="39" name="Frame37"/>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limit on the aggregate principal amount of the debt securities of the series that may be authenticated and delivered under the indenture (except for debt securities authenticated and delivered upon registration or transfer of, or in exchange for, or in lieu of, other debt securities of the series);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date or dates on which the principal and premium with respect to the debt securities of the series are payable;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person to whom any interest on a security of the series shall be payable if other than the person in whose name that security is registered at the close of business on the record date;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rate or rates (which may be fixed or variable) at which the debt securities of the series will bear interest (if any) or the method of determining such rate or rates (including, but not limited to, any commodity, commodity index, stock exchange index or financial index), the date or dates from which such interest, if any, will accrue, the interest payment dates on which such interest, if any, will be payable or the method by which such dates will be determined, the record dates for the determination of holders thereof to whom such interest is payable (in the case of securities in registered form), and the basis upon which interest will be calculated if other than that of a 360-day year of twelve 30-day months;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currency or currencies in which debt securities of the series will be denominated and/or in which payment of the principal, premium, if any, and interest of any of the securities shall be payable, if other than U.S. dollars, the place or places, if any, in addition to or instead of the corporate trust office of the trustee (in the case of securities in registered form) where the principal, premium and interest, if any, with respect to debt securities of the series will be payable, where notices and demands to or upon us in respect of the debt securities and the indenture may be delivered, and the method of such payment, if by wire transfer, mail or other means;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price or prices at which, the period or periods within which, and the terms and conditions upon which debt securities of the series may be redeemed, in whole or in part, at our option or otherwise;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obligation or right,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will be redeemed, purchased or repaid, in whole or in part, pursuant to such obligations;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terms, if any, upon which the debt securities of the series may be convertible into or exchanged for any issuer’s common stock, preferred stock, depositary shares, other debt securities or warrants for common stock, preferred stock, depositary shares, indebtedness or other securities of any kind and the terms and conditions upon which such conversion or exchange will be effected, including the initial conversion or exchange price or rate, the conversion or exchange period and any other additional provisions;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other than minimum denominations of $2,000 or any integral multiple of $1,000 in excess thereof, the denominations in which debt securities of the series will be issuable;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the amount of principal, premium or interest with respect to the debt securities of the series may be determined with reference to an index or pursuant to a formula, the manner in which such amounts will be determined;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be deemed to be outstanding as of any such date (or, in any such case, the manner in which such deemed principal amount is to be determined), and if necessary, the manner of determining the equivalent thereof in U.S. dollars;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034030"/>
                <wp:effectExtent l="0" t="0" r="0" b="0"/>
                <wp:wrapNone/>
                <wp:docPr id="40" name="Frame38"/>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changes or additions to the provisions of the indenture dealing with defeasance;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other than the principal amount thereof, the portion of the principal amount of debt securities of the series that will be payable upon declaration of acceleration of the maturity thereof or provable in bankruptcy;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terms, if any, of the transfer, mortgage, pledge or assignment as security for the debt securities of the series of any properties, assets, moneys, proceeds, securities or other collateral and any corresponding changes to provisions of the indenture as then in effect;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addition to or change in the events of default with respect to the debt securities of the series and any change in the right of the trustee or the holders to declare the principal, premium and interest, if any, with respect to such debt securities due and payable;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the debt securities of the series will be issued in whole or in part in the form of a global security, the terms and conditions, if any, upon which such global security may be exchanged in whole or in part for other individual debt securities in definitive registered form, the depositary (as defined in the applicable prospectus supplement) for such global security and the form of any legend or legends to be borne by any such global security in addition to or in lieu of the legend referred to in the indenture;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trustee, authenticating or paying agent, transfer agent or registrar or any other agent with respect to the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applicability of, and any addition to, deletion of or change in, the covenants and definitions then set forth in the indenture or in the terms then set forth in the indenture relating to permitted consolidations, mergers or sales of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terms, if any, of any guarantee of the payment of principal, premium and interest with respect to debt securities of the series and any corresponding changes to the provisions of the indenture as then in effect;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subordination, if any, of the debt securities of the series pursuant to the indenture and any changes or additions to the provisions of the indenture relating to subordination;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with regard to debt securities of the series that do not bear interest, the dates for certain required reports to the trustee;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provisions granting special rights to holders when a specified event occurs;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co-issuer;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place or places where the principal of and interest, if any, on the debt securities will be payable, where the debt securities may be surrendered for registration of transfer or exchange and where notices and demands to or upon us in respect of the debt securities and the indenture may be served, and the method of such payment, if by wire transfer, mail or other means;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other terms of the debt securities of the series (which terms will not be prohibited by the provisions of the indenture).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will also describe any material U.S. federal income tax consequences or other special considerations applicable to the series of debt securities to which such prospectus supplement relates, including those applicable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debt securities with respect to which payments of principal, premium or interest are determined with reference to an index or formula (including changes in prices of particular securities, currencies or commodities);</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034030"/>
                <wp:effectExtent l="0" t="0" r="0" b="0"/>
                <wp:wrapNone/>
                <wp:docPr id="41" name="Frame39"/>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debt securities with respect to which principal or interest is payable in a foreign or composite currency;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debt securities that are issued at a discount below their stated principal amount, bearing no interest or interest at a rate that at the time of issuance is below market rates or original issue discount debt securities;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variable rate debt securities that are exchangeable for fixed rate debt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provided in the applicable prospectus supplement, securities in registered form may be transferred or exchanged at the office of the trustee at which its corporate trust business is principally administered in the United States, subject to the limitations provided in the indenture, without the payment of any service charge, other than any tax or governmental charge payable in connection therewith.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funds that we pay to a paying agent for the payment of principal, premium or interest with respect to any debt securities that remain unclaimed at the end of two years after that principal, premium or interest will have become due and payable will be repaid to us, and the holders of those debt securities or any related coupons will thereafter look only to us for payment thereof.</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debt securities of a series may be issued in whole or in part in the form of one or more global 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 deposited with, or on behalf of, a depositary, which will be identified in the prospectus supplement relating to such debt securities. Global securities may be issued in registered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terms of the depositary arrangement with respect to a series of debt securities will be described in the prospectus supplement relating to such debt securities. We anticipate that the following provisions will generally apply to depositary arrangements, in all cases subject to any restrictions or limitations described in the prospectus supplement relating to such debt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Such accounts will be designated by the dealers or underwriters with respect to such debt securities or, if such debt securities are offered and sold directly by us or through one or more agents, by us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034030"/>
                <wp:effectExtent l="0" t="0" r="0" b="0"/>
                <wp:wrapNone/>
                <wp:docPr id="42" name="Frame40"/>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physical delivery of any of such debt securities in definitive form and will not be considered the owners or holders thereof under the indenture.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Payments of principal, premium and interest with respect to individual debt securities represented by a global security will be made to the depositary or its nominee, as the case may be, as the registered owner or holder of such global security. Neither we, the trustee, any paying agent or registrar for such debt securities nor any agent of ours or the trustee will have any responsibility or liability for: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aspect of the records relating to or payments made by the depositary, its nominee or any participants on account of beneficial interests in the global security or for maintaining, supervising or reviewing any records relating to such beneficial interests;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payment to the owners of beneficial interests in the global security of amounts paid to the depositary or its nominee;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other matter relating to the actions and practices of the depositary, its nominee or its participants.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we, the trustee, any paying agent or registrar for such debt securities nor any agent of ours or the trustee will be liable for any delay by the depositary, its nominee or any of its participants in identifying the owners of beneficial interests in the global security, and we and the trustee may conclusively rely on, and will be protected in relying on, instructions from the depositary or its nominee for all purposes.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that the depositary for a series of debt securities or its nominee, upon receipt of any payment of principal, premium or interest with respect to a definitive global security representing any of such debt securities, will immediately credit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depositary for a series of debt securities is at any time unwilling, unable or ineligible to continue as depositary, we will appoint a successor depositary. If a successor depositary is not appointed by us within 90 days, we will issue individual debt securities of such series in exchange for the global security representing such series of debt securities. In addition, we may at any time and in our sole discretion determine to no longer have debt securities of a series represented by a global security and, in such event, will issue individual debt securities of such series in exchange for the global security representing such series of debt securities. Furthermore, if we so specify with respect to the debt securities of a series, an owner of a beneficial interest in a global security representing debt securities of such series may, on terms acceptable to us, the trustee and the depositary for such global security, receive individual debt securities of such series in exchange for such beneficial interests. In any such instance, an owner of a beneficial interest in a global security will be entitled to physical delivery of individual debt securities of the series represented by such global security equal in principal amount to such beneficial interest and to have such debt securities registered in its name (if the debt securities are issuable as securities in registered form). Individual debt securities of such series so issued generally will be issued as securities in registered form in minimum denominations, unless otherwise specified by us, of $2,000 and any integral multiples of $1,000 in excess thereof if the debt securities are issuable as securities in registered form.</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Certain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034030"/>
                <wp:effectExtent l="0" t="0" r="0" b="0"/>
                <wp:wrapNone/>
                <wp:docPr id="43" name="Frame41"/>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Subordination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securities of a series and any guarantees, may be subordinated, which we refer to as subordinated debt securities, to senior indebtedness (as defined in the applicable prospectus supplement) to the extent set forth in the prospectus supplement relating thereto. To the extent we conduct operations through subsidiaries, the holders of debt securities (whether or not subordinated debt securities) will be structurally subordinated to the creditors of our subsidiaries, except to the extent such subsidiary is a guarantor of such series of debt securities.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following will constitute an event of default under the form of indenture with respect to any series of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default in payment of the principal amount of the debt securities of that series, when such amount becomes due and payable at maturity, upon acceleration, required redemption or otherwise;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pay interest on the debt securities of that series within 30 days of the due date;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comply with the obligations described under “—Mergers and Sales of Assets” below;</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comply for 90 days after notice with any of our other agreements in the debt securities of that series or the indenture or supplemental indenture related to that series of debt securities;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certain events of bankruptcy, insolvency or reorganization affecting 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prospectus supplement may omit, modify or add to the foregoing events of default.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event of default under one series of debt securities does not necessarily constitute an event of default under any other series of debt securities. A default under the fourth bullet above will not constitute an event of default until the trustee or the holders of 30% in principal amount of the outstanding debt securities of such series notify us of the default and we do not cure such default within the time specified after receipt of such notice.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event of default (other than an event of default relating to certain events of bankruptcy, insolvency or reorganization) occurs and is continuing with respect to a particular series of debt securities, either the trustee or the holders of not less than 30% in aggregate principal amount of the debt securities of that series then outstanding by written notice to us (and to the trustee if such notice is given by the holders), may declare the principal amount of (or in the case of original issue discount debt securities, the portion thereby specified in the terms thereof), and accrued interest on the debt securities of that series to be immediately due and payable. In the case of certain events of bankruptcy, insolvency or reorganization, the principal amount of, and accrued interest on the debt securities of that series will automatically become and be immediately due and payable without any declaration or other act on the part of the trustee or any holders. Upon a declaration by the trustee or the holders, we will be obligated to pay the principal amount plus accrued and unpaid interest of each affected series of debt securities so declared due and payable.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holders of a majority in aggregate principal amount of the debt securities of any series then outstanding by written notice to the trustee under the indenture may on behalf of the holders of all of such series of debt securities waive any existing default or event of default and its consequences under the applicable indenture except a continuing default or event of default in the payment of interest on, or the principal of, the debt securities of such series.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of the indenture relating to the duties of the trustee in case an event of default will occur and be continuing, the trustee is under no obligation to exercise any of its rights or powers under the indenture or debt securities at the request or direction of any of the holders of any series of debt securities, unless such holders have offered to the trustee indemnity or security satisfactory to the trustee against any cost, loss, liability or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034030"/>
                <wp:effectExtent l="0" t="0" r="0" b="0"/>
                <wp:wrapNone/>
                <wp:docPr id="44" name="Frame42"/>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Subject to such provisions for the indemnification of the trustee, the holders of at least a majority in aggregate principal amount of the outstanding debt securities of a series have the right to direct the time, method and place of conducting any proceeding for any remedy available to the trustee or exercising any trust or power conferred on the trustee with respect to such series of debt securities. The trustee, however, may refuse to follow any direction that conflicts with law or the indenture or that the trustee determines is unduly prejudicial to the rights of any other holder of such series of debt securities or that would involve the trustee in personal liability. Prior to taking any action under the indenture, the trustee is entitled to indemnification satisfactory to it in its sole discretion against all costs, losses, liabilities and expenses caused by taking or not taking such action.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to enforce the right to receive payment of principal, premium, if any, or interest when due, no holder of debt securities of a series has any right to institute, or to order or direct the trustee to institute, any proceeding, judicial or otherwise, with respect to the indenture or debt securities, or for the appointment of a receiver or a trustee, or for any other remedy thereunder, unless: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such holder has previously given to the trustee written notice of a continuing event of default with respect to such series of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holder or holders of at least 30% in aggregate principal amount of the outstanding debt securities of that series have made written request, and such holder or holders have offered security or indemnity satisfactory to the trustee against any loss, liability or expense, to the trustee to institute such proceeding as trustee;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trustee has failed to institute such proceeding, and has not received from the holders of a majority in aggregate principal amount of the outstanding debt securities of that series a direction inconsistent with such request, within 60 days after such notice, request and offer.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such limitations do not apply to a suit instituted by a holder of a debt security of such series for the enforcement of payment of the principal, premium, if any, or interest on such debt security on or after the applicable due date specified in such debt security.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if a default with respect to a series of debt securities occurs and is continuing and is known to the trustee, the trustee must send to each holder of such debt securities notice of the default within 90 days after it is known to the trustee. Except in the case of a default in the payment of the principal or premium, if any, upon acceleration, redemption or otherwise with respect to any debt security of a series when such amount becomes due and payable, the trustee may withhold notice if and so long as a committee of its trust officers in good faith determines that withholding notice is not opposed to the interests of the holders.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indenture requires us to furnish to the trustee, within 120 days after the end of each fiscal year, a statement by certain of our officers as to whether or not we, to their knowledge, are in default in the performance or observance of any of the terms, provisions and conditions of the indenture and, if so, specifying all such known defaults. We are also required to deliver to the trustee, within 30 days after the occurrence thereof, written notice of any event which would constitute a default;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failure to provide such written notice will not in and of itself result in a default under the indenture.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Street name and other indirect holders should consult their banks and brokers for information on their requirements for giving notice or taking other actions upon a default.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Modification and Waiver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exceptions, modifications and amendments of the indenture, any supplemental indenture and any series of debt securities may be made by us and the trustee with the consent of the holders of at least a majority in aggregate principal amount of the outstanding debt securities of any series affected by such modification or amendment.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such modification or amendment may, without the consent of each holder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034030"/>
                <wp:effectExtent l="0" t="0" r="0" b="0"/>
                <wp:wrapNone/>
                <wp:docPr id="45" name="Frame43"/>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 the percentage of principal amount of the outstanding debt securities, the consent of whose holders is required for any amendment;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 the principal amount of, or interest on, or extend the Stated Maturity or interest payment periods of, any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 the provisions applicable to the redemption of any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make any debt securities payable in money or securities other than those stated in the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impair the contractual right of any holder of the debt securities to receive payment of principal of and interest on such holder’s debt securities on or after the due dates therefor or to institute suit for the enforcement of any payment on or with respect to such holder’s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except as otherwise provided as described under “—Satisfaction and Discharge” and “—Defeasance” herein, release any security or guarantee that may have been granted with respect to any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the case of any subordinated securities, or coupons appertaining thereto, make any change in the provisions of the indenture relating to subordination that adversely affects the rights of any holder under such provisions (including any contractual subordination of senior unsubordinated debt securities);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make any change in the amendment provisions which require each holder’s consent or in the waiver provisions.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Without the consent of any holder, we and the trustee may amend the indenture for one or more of the following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cure any ambiguity, omission, defect or inconsistency;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to surrender any right or power conferred upon the Company by the indenture, to add to the covenants of the Company such further covenants, restrictions, conditions or provisions for the protection of the holders of all or any series of debt securities as the board of directors of the Company will consider to be for the protection of the holders of such debt securities, and to make the occurrence, or the occurrence and continuance, of a default in respect of any such additional covenants, restrictions, conditions or provisions a default or an event of default under the indenture;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with respect to any such additional covenant, restriction, condition or provision, such amendment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the debt securities of any series to waive such default;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provide for the assumption by a successor company of the obligations of the Company under the indenture;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add guarantees with respect to the debt securities or to secure the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make any change that does not adversely affect in any material respect the rights of any holder of the debt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to add to, change, or eliminate any of the provisions of the indenture with respect to one or more series of debt securities, so long as any such addition, change or elimination not otherwise permitted under the indenture will (a) neither apply to any debt securities of any series created prior to the execution of such supplemental indenture and entitled to the benefit of such provision nor modify the rights of the holders of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034030"/>
                <wp:effectExtent l="0" t="0" r="0" b="0"/>
                <wp:wrapNone/>
                <wp:docPr id="46" name="Frame44"/>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any such debt securities with respect to the benefit of such provision or (b) become effective only when there is no such debt securities outstanding;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 the case of subordinated debt securities, to make any change in the provisions of the indenture or any supplemental indenture relating to subordination that would limit or terminate the benefits available to any holder of senior Indebtedness under such provisions (but only if each such holder of senior Indebtedness consents to such change);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comply with any requirement of the SEC in connection with the qualification of the indenture or any supplemental indenture under the Trust Indenture Act;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conform any provision in the indenture or the debt securities to the description of any debt securities in an offering document;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approve a particular form of any proposed amendment;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provide for the issuance of additional debt securities of any series;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establish the form or terms of debt securities and coupons of any series pursuant to the indenture;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comply with the rules of any applicable depositary;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to make any amendment to the provisions of the indenture relating to the transfer and legending of debt securities;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(a) compliance with the indenture as so amended would not result in debt securities being transferred in violation of the Securities Act or any other applicable securities law and (b) such amendment does not materially and adversely affect the rights of holders of debt securities to transfer debt securities;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to convey, transfer, assign, mortgage or pledge any property to or with the trustee, or to make such other provisions in regard to matters or questions arising under the indenture as shall not adversely affect, in any material respect, the interests of any holders of debt securities of any series.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Mergers and Sales of Assets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we will not consolidate with or merge with or into, or convey, transfer or lease in one transaction or a series of related transactions, directly or indirectly, all or substantially all of our properties and assets to, another person, unless (i) the resulting, surviving or transferee person, if not Rackspace Technology, Inc., is a person organized and existing under the laws of the United States of America, any state thereof or the District of Columbia; (ii) immediately after giving effect to such transaction, no default or event of default has occurred and is continuing under the indenture; (iii) the resulting, surviving or transferee person, if not Rackspace Technology, Inc., expressly assumes by supplemental indenture in a form satisfactory to the trustee all of our obligations under the debt securities and the indenture; and (iv) we or the successor person has delivered to the trustee the certificates and opinions of counsel required under the indenture. Upon any such consolidation, merger or transfer, the resulting, surviving or transferee person shall succeed to, and may exercise every right and power of, Rackspace Technology, Inc. under the indenture.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Satisfaction and Discharge of the Indenture; Defeasance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provided for in the prospectus supplement, the indenture will generally cease to be of any further effect with respect to a series of debt securities if (a) we have delivered to the trustee for cancellation all debt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034030"/>
                <wp:effectExtent l="0" t="0" r="0" b="0"/>
                <wp:wrapNone/>
                <wp:docPr id="47" name="Frame45"/>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securities of such series (with certain limited exceptions) or (b) all debt securities and coupons of such series not theretofore delivered to the trustee for cancellation will have become due and payable, or are by their terms to become due and payable within one year or are to be called for redemption within one year, and we will have deposited with the trustee as trust funds the entire amount sufficient to pay at maturity or upon redemption all such debt securities and coupons (and if, in either case, we will also pay or cause to be paid all other sums payable under the indenture by 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will have a “legal defeasance option” (pursuant to which we may terminate, with respect to the debt securities of a particular series, all of our obligations under such debt securities and the indenture with respect to such debt securities) and a “covenant defeasance option” (pursuant to which we may terminate, with respect to the debt securities of a particular series, our obligations with respect to such debt securities under certain specified covenants contained in the indenture). If we exercise our legal defeasance option with respect to a series of debt securities, payment of such debt securities may not be accelerated because of an event of default. If we exercise our covenant defeasance option with respect to a series of debt securities, payment of such debt securities may not be accelerated because of an event of default related to the specified covenants.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will describe the procedures we must follow in order to exercise our defeasance options.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Regarding the Trustee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except during the continuance of an event of default, the trustee will perform only such duties as are specifically set forth in the indenture. During the existence of an event of default, the trustee may exercise such rights and powers vested in it under the indenture and use the same degree of care and skill in its exercise as a prudent person would exercise under the circumstances in the conduct of such person’s own affairs.</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The indenture and provisions of the Trust Indenture Act that are incorporated by reference therein contain limitations on the rights of the trustee, should it become one of our creditors, to obtain payment of claims in certain cases or to realize on certain property received by it in respect of any such claim as security or otherwise. The trustee will be permitted to engage in other transactions with us or any of our affiliates;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if it acquires any conflicting interest (as defined in the indenture or in the Trust Indenture Act), it must eliminate such conflict, apply to the SEC for permission to continue, or resign.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will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034030"/>
                <wp:effectExtent l="0" t="0" r="0" b="0"/>
                <wp:wrapNone/>
                <wp:docPr id="48" name="Frame46"/>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THE DEPOSITARY SHARES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at our option, elect to offer fractional shares rather than full shares of the preferred stock of a series. In the event that we determine to do so, we will issue receipts for depositary shares, each of which will represent a fraction (to be set forth in the prospectus supplement relating to a particular series of preferred stock) of a share of a particular series of preferred stock as more fully described below.</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shares of any series of preferred stock represented by depositary shares will be deposited under one or more deposit agreements among us, a depositary to be named in the applicable prospectus supplement, and the holders from time to time of depositary receipts issued thereunder. Subject to the terms of the applicable deposit agreement, each holder of a depositary share will be entitled, in proportion to the applicable fraction of a share of preferred stock represented by the depositary share, to all the rights and preferences of the preferred stock represented thereby (including, as applicable, dividend, voting, redemption, subscription and liquidation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shares will be evidenced by depositary receipts issued pursuant to the deposit agreement. Depositary receipts will be distributed to those persons purchasing the fractional shares of the related series of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sets forth certain general terms and provisions of the depositary shares to which any prospectus supplement may relate. The particular terms of the depositary shares to which any prospectus supplement may relate and the extent, if any, to which such general provisions may apply to the depositary shares so offered will be described in the applicable prospectus supplement. To the extent that any particular terms of the depositary shares or the deposit agreement described in a prospectus supplement differ from any of the terms described below, then the terms described below will be deemed to have been superseded by that prospectus supplement relating to such deposited shares. The forms of deposit agreement and depositary receipt will be filed as exhibits to the documents incorporated or deemed to be incorporated by reference into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summary of certain provisions of the depositary shares and deposit agreement does not purport to be complete and is subject to, and is qualified in its entirety by express reference to, all the provisions of the deposit agreement and the applicable prospectus supplement, including the definitions.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Immediately following our issuance of shares of a series of preferred stock that will be offered as fractional shares, we will deposit the shares with the depositary, which will then issue and deliver the depositary receipts to the purchasers thereof. Depositary receipts will only be issued evidencing whole depositary shares. A depositary receipt may evidence any number of whole depositary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Pending the preparation of definitive depositary receipts, the depositary may, upon our written order, issue temporary depositary receipts substantially identical to (and entitling the holders thereof to all the rights pertaining to) the definitive depositary receipts but not in definitive form. Definitive depositary receipts will be prepared thereafter without unreasonable delay, and such temporary depositary receipts will be exchangeable for definitive depositary receipts at our expense.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will distribute all cash dividends or other cash distributions received in respect of the related series of preferred stock to the record holders of depositary shares relating to the series of preferred stock in proportion to the number of the depositary shares owned by the 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a distribution other than in cash, the depositary will distribute property received by it to the record holders of depositary shares entitled thereto in proportion to the number of depositary shares owned by the holders, unless the depositary determines that the distribution cannot be made proportionately among the holders or that it is not feasible to make the distributions, in which case the depositary may, with our approval, adopt any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034030"/>
                <wp:effectExtent l="0" t="0" r="0" b="0"/>
                <wp:wrapNone/>
                <wp:docPr id="49" name="Frame47"/>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method as it deems equitable and practicable for the purpose of effecting the distribution, including the sale (at public or private sale) of the securities or property thus received, or any part thereof, at the place or places and upon those terms as it may deem proper.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amount distributed in any of the foregoing cases will be reduced by any amounts required to be withheld by us or the depositary on account of taxes or other governmental charges.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any series of the preferred stock underlying the depositary shares is subject to redemption, the depositary shares will be redeemed from the proceeds received by the depositary resulting from any redemption, in whole or in part, of the series of the preferred stock held by the depositary. The redemption price per depositary share will be equal to the applicable fraction of the redemption price per share payable with respect to the series of the preferred stock. If we redeem shares of a series of preferred stock held by the depositary, the depositary will redeem as of the same redemption date the number of depositary shares representing the shares of preferred stock so redeemed. If less than all the depositary shares are to be redeemed, the depositary shares to be redeemed will be selected by lot or substantially equivalent method determined by the depositary.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After the date fixed for redemption, the depositary shares so called for redemption will no longer be deemed to be outstanding and all rights of the holders of the depositary shares will cease, except the right to receive the monies payable upon redemption and any money or other property to which the holders of the depositary shares were entitled upon such redemption, upon surrender to the depositary of the depositary receipts evidencing the depositary shares. Any funds deposited by us with the depositary for any depositary shares that the holders thereof fail to redeem will be returned to us after a period of two years from the date the funds are so deposited.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Voting the Underlying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any series of the preferred stock are entitled to vote, the depositary will mail the information contained in the notice of meeting to the record holders of the depositary shares relating to the series of preferred stock. Each record holder of the depositary shares on the record date (which will be the same date as the record date for the related series of preferred stock) will be entitled to instruct the depositary as to the exercise of the voting rights pertaining to the number of shares of the series of preferred stock represented by that holder’s depositary shares. The depositary will endeavor, insofar as practicable, to vote or cause to be voted the number of shares of preferred stock represented by the depositary shares in accordance with the instructions, provided the depositary receives the instructions sufficiently in advance of the meeting to enable it to so vote or cause to be voted the shares of preferred stock, and we will agree to take all reasonable action that may be deemed necessary by the depositary in order to enable the depositary to do so. The depositary will abstain from voting shares of the preferred stock to the extent it does not receive specific instructions from the holders of depositary shares representing the preferred stock.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Withdrawal of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Upon surrender of the depositary receipts at the corporate trust office of the depositary and upon payment of the taxes, charges and fees provided for in the deposit agreement and subject to the terms thereof, the holder of the depositary shares evidenced thereby will be entitled to delivery at such office, to or upon his or her order, of the number of whole shares of the related series of preferred stock and any money or other property, if any, represented by the depositary shares. Holders of depositary shares will be entitled to receive whole shares of the related series of preferred stock, but holders of the whole shares of preferred stock will not thereafter be entitled to deposit the shares of preferred stock with the depositary or to receive depositary shares therefor. If the depositary receipts delivered by the holder evidence a number of depositary shares in excess of the number of depositary shares representing the number of whole shares of the related series of preferred stock to be withdrawn, the depositary will deliver to the holder or upon his or her order at the same time a new depositary receipt evidencing the excess number of depositary shares.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034030"/>
                <wp:effectExtent l="0" t="0" r="0" b="0"/>
                <wp:wrapNone/>
                <wp:docPr id="50" name="Frame48"/>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Amendment and Termination of a Deposit Agreement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of any series and any provision of the applicable deposit agreement may at any time and from time to time be amended by agreement between us and the depositary. However, any amendment that materially adversely alters the rights of the holders of depositary shares of any series will not be effective unless the amendment has been approved by the holders of at least a majority of the depositary shares of the series then outstanding. Every holder of a depositary receipt at the time the amendment becomes effective will be deemed, by continuing to hold the depositary receipt, to be bound by the deposit agreement as so amended. Notwithstanding the foregoing, in no event may any amendment impair the right of any holder of any depositary shares, upon surrender of the depositary receipts evidencing the depositary shares and subject to any conditions specified in the deposit agreement, to receive shares of the related series of preferred stock and any money or other property represented thereby, except in order to comply with mandatory provisions of applicable law. The deposit agreement may be terminated by us at any time upon not less than 60 days prior written notice to the depositary, in which case, on a date that is not later than 30 days after the date of the notice, the depositary shall deliver or make available for delivery to holders of depositary shares, upon surrender of the depositary receipts evidencing the depositary shares, the number of whole or fractional shares of the related series of preferred stock as are represented by the depositary shares. The deposit agreement shall automatically terminate after all outstanding depositary shares have been redeemed or there has been a final distribution in respect of the related series of preferred stock in connection with any liquidation, dissolution or winding up of us and the distribution has been distributed to the holders of depositary shares.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Charges of Depositary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all transfer and other taxes and the governmental charges arising solely from the existence of the depositary arrangements. We will pay the charges of the depositary, including charges in connection with the initial deposit of the related series of preferred stock and the initial issuance of the depositary shares and all withdrawals of shares of the related series of preferred stock, except that holders of depositary shares will pay transfer and other taxes and governmental charges and any other charges as are expressly provided in the deposit agreement to be for their accounts.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Resignation and Removal of Depositary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may resign at any time by delivering to us written notice of its election to do so, and we may at any time remove the depositary. Any resignation or removal will take effect upon the appointment of a successor depositary, which successor depositary must be appointed within 60 days after delivery of the notice of resignation or removal and must be a bank or trust company having its principal office in the United States and having a combined capital and surplus of at least $50,000,000.</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 will forward to the holders of depositary shares all reports and communications from us that are delivered to the depositary and which we are required to furnish to the holders of the related preferred stock.</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depositary’s corporate trust office will be identified in the applicable prospectus supplement. Unless otherwise set forth in the applicable prospectus supplement, the depositary will act as transfer agent and registrar for depositary receipts and if shares of a series of preferred stock are redeemable, the depositary will also act as redemption agent for the corresponding depositary receipts.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034030"/>
                <wp:effectExtent l="0" t="0" r="0" b="0"/>
                <wp:wrapNone/>
                <wp:docPr id="51" name="Frame49"/>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DESCRIPTION OF THE WARRANTS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the terms of the warrants sets forth certain general terms and provisions of the warrants to which any prospectus supplement may relate. We may issue warrants for the purchase of common stock, preferred stock, debt securities or depositary shares. Warrants may be issued independently or together with common stock, preferred stock, debt securities or depositary shares offered by any prospectus supplement and may be attached to or separate from any such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holders or beneficial owners of warrants. The following summary of certain provisions of the warrants does not purport to be complete and is subject to, and qualified in its entirety by reference to, the provisions of the warrant agreement that will be filed with the SEC in connection with the offering of such warrants.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Debt Warrants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 particular issue of debt warrants will describe the terms of such debt warrants, including the following:</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title of such debt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offering price for such debt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aggregate number of such debt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designation and terms of the debt securities purchasable upon exercise of such debt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designation and terms of the debt securities with which such debt warrants are issued and the number of such debt warrants issued with each such debt security;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date from and after which such debt warrants and any debt securities issued therewith will be separately transferable;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principal amount of debt securities purchasable upon exercise of a debt warrant and the price at which such principal amount of debt securities may be purchased upon exercise (which price may be payable in cash, securities or other property);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date on which the right to exercise such debt warrants shall commence and the date on which such right shall expire;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minimum or maximum amount of such debt warrants that may be exercised at any one time;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information with respect to book-entry procedures,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currency or currency units in which the offering price, if any, and the exercise price are payable;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a discussion of material United States federal income tax considerations;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antidilution or adjustment provisions of such debt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redemption or call provisions, if any, applicable to such debt warrants;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additional terms of such debt warrants, including terms, procedures, and limitations relating to the exchange and exercise of such debt warrants.</w:t>
      </w:r>
    </w:p>
    <w:p>
      <w:pPr>
        <w:pStyle w:val="TextBody"/>
        <w:bidi w:val="0"/>
        <w:spacing w:lineRule="auto" w:line="240" w:before="0" w:after="240"/>
        <w:jc w:val="left"/>
        <w:rPr>
          <w:rFonts w:ascii="Times New Roman;serif" w:hAnsi="Times New Roman;serif"/>
          <w:b/>
          <w:color w:val="000000"/>
          <w:sz w:val="20"/>
        </w:rPr>
      </w:pPr>
      <w:r>
        <w:rPr>
          <w:rFonts w:ascii="Times New Roman;serif" w:hAnsi="Times New Roman;serif"/>
          <w:b/>
          <w:color w:val="000000"/>
          <w:sz w:val="20"/>
        </w:rPr>
        <w:t>Stock Warrants</w:t>
      </w:r>
    </w:p>
    <w:p>
      <w:pPr>
        <w:pStyle w:val="TextBody"/>
        <w:bidi w:val="0"/>
        <w:spacing w:lineRule="auto" w:line="240"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particular issue of common stock warrants, preferred stock warrants or depositary share warrants will describe the terms of such warrants, including the following:</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034030"/>
                <wp:effectExtent l="0" t="0" r="0" b="0"/>
                <wp:wrapNone/>
                <wp:docPr id="52" name="Frame50"/>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title of such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offering price for such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aggregate number of such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designation and terms of the offered securities purchasable upon exercise of such warrants;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designation and terms of the offered securities with which such warrants are issued and the number of such warrants issued with each such offered security;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date from and after which such warrants and any offered securities issued therewith will be separately transferable;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number of shares of common stock, preferred stock or depositary shares purchasable upon exercise of a warrant and the price at which such shares may be purchased upon exercise;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date on which the right to exercise such warrants shall commence and the date on which such right shall expire;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the minimum or maximum amount of such warrants that may be exercised at any one time;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currency or currency units in which the offering price, if any, and the exercise price are payable;</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if applicable, a discussion of material United States federal income tax considerations;</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antidilution provisions of such warrants, if any;</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the redemption or call provisions, if any, applicable to such warrants; and</w:t>
      </w:r>
    </w:p>
    <w:p>
      <w:pPr>
        <w:pStyle w:val="TextBody"/>
        <w:bidi w:val="0"/>
        <w:spacing w:lineRule="auto" w:line="240" w:before="0" w:after="240"/>
        <w:ind w:left="0" w:right="0" w:hanging="360"/>
        <w:jc w:val="left"/>
        <w:rPr/>
      </w:pPr>
      <w:r>
        <w:rPr>
          <w:color w:val="000000"/>
        </w:rPr>
        <w:t>•</w:t>
      </w:r>
      <w:r>
        <w:rPr>
          <w:rFonts w:ascii="Times New Roman;serif" w:hAnsi="Times New Roman;serif"/>
          <w:b w:val="false"/>
          <w:color w:val="000000"/>
          <w:sz w:val="20"/>
        </w:rPr>
        <w:t>any additional terms of such warrants, including terms, procedures and limitations relating to the exchange and exercise of such warrants.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034030"/>
                <wp:effectExtent l="0" t="0" r="0" b="0"/>
                <wp:wrapNone/>
                <wp:docPr id="53" name="Frame51"/>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THE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rights that we offer will include specific terms relating to the offering, including, among other matters: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date of determining the security holders entitled to the rights distribution;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aggregate number of rights issued and the aggregate number of shares of common stock purchasable upon exercise of the rights;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exercise price;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conditions to completion of the rights offering;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date on which the right to exercise the rights will commence and the date on which the rights will expire;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applicable federal income tax considerations.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right would entitle the holder of the rights to purchase for cash the principal amount of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034030"/>
                <wp:effectExtent l="0" t="0" r="0" b="0"/>
                <wp:wrapNone/>
                <wp:docPr id="54" name="Frame52"/>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THE PURCHASE CONTRACTS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from time to time, purchase contracts, including contracts obligating holders to purchase from us and us to sell to the holders, a specified principal amount of debt securities, shares of common stock or preferred stock, depositary shares, government securities, or other securities that we may sell under this prospectus at a future date or dates. The consideration payable upon settlement of the purchase contracts may be fixed at the time the purchase contracts are issued or may be determined by a specific reference to a formula set forth in the purchase contracts. The purchase contracts may be issued separately or as part of units consisting of a purchase contract and other securities or obligations issued by us or third parties, including United States treasury securities, securing the holders’ obligations to purchase the relevant securities under the purchase contracts. The purchase contracts may require us to make periodic payments to the holders of the purchase contracts or units or vice versa, and the payments may be unsecured or prefunded on some basis. The purchase contracts may require holders to secure their obligations under the purchase contracts and, in certain circumstances, we may deliver a newly issued prepaid purchase contract, which is referred to as a “prepaid security,” upon release to a holder of any collateral securing such holder’s obligations under the original contract.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related to any particular purchase contracts and, if applicable, prepaid security, will describe, among other things, the material terms of the purchase contracts and of the securities being sold pursuant to such purchase contracts, and, if applicable, prepaid security, a discussion, if appropriate, of any special United States federal income tax considerations applicable to the purchase contracts and any material provisions governing the purchase contracts that differ from those described above. The description in the prospectus supplement will not necessarily be complete and will be qualified in its entirety by reference to the purchase contracts, and, if applicable, collateral arrangements and depositary arrangements, relating to the purchase contracts. Alternatively, purchase contracts may require holders to satisfy their obligations thereunder when the purchase contracts are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034030"/>
                <wp:effectExtent l="0" t="0" r="0" b="0"/>
                <wp:wrapNone/>
                <wp:docPr id="55" name="Frame53"/>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DESCRIPTION OF THE UNITS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from time to time, issue units comprised of one or more of certain other securities that may be offered under this prospectus, in any combination. Each unit may also include debt obligations of third parties, such as U.S. Treasury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prospectus supplement related to any particular units will describe,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material terms of the units and of the securities comprising the units, including whether and under what circumstances those securities may be held or transferred separately;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applicable, the prepaid securities and the documents pursuant to which such prepaid securities will be issued;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material provisions relating to the issuance, payment, settlement, transfer or exchange of the units or of the securities comprising the units;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if appropriate, any special United States federal income tax considerations applicable to the units;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material provisions of the governing unit agreement that differ from those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034030"/>
                <wp:effectExtent l="0" t="0" r="0" b="0"/>
                <wp:wrapNone/>
                <wp:docPr id="56" name="Frame54"/>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SELLING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selling stockholders may offer and sell shares of our common stock under this prospectus and any accompanying prospectus supplement from time to time in amounts, at prices and on terms that will be determined at the time of the offering:</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AP Inception Co-Invest ML Borrower, L.P.</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AP Inception ML Borrower, L.P.</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identify additional selling stockholders and the number of shares of common stock to be registered on their behalf. Such information may be set forth in a post-effective amendment to the registration statement of which this prospectus forms a part, in a prospectus supplement or in filings we will make with the SEC which will be incorporated into this prospectus by reference.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Material Relationships with Selling Stockholders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Apollo Funds are affiliates of Apollo. Apollo controls a majority of the voting power of our outstanding common stock. As long as funds affiliated with or managed by Apollo beneficially own a majority of our outstanding common stock, Apollo will be able to control the election of directors. As long as funds affiliated with or managed by Apollo beneficially own a majority of our outstanding common stock, Apollo will be able to control all matters requiring a vote of the holders of our common stock, including proposals to adopt amendments to our certificate of incorporation or to authorize certain corporate transactions. For more information, see “Description of Capital Stock” and refer to the 2025 Annual Report and the 2026 Proxy Statement, each of which is incorporated herein by reference.</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034030"/>
                <wp:effectExtent l="0" t="0" r="0" b="0"/>
                <wp:wrapNone/>
                <wp:docPr id="57" name="Frame55"/>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selling stockholders may offer and sell some or all of our securities in any one or more of the following ways: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to or through underwriters, brokers or dealers;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directly to one or more other purchasers;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through a block trade in which the broker or dealer engaged to handle the block trade will attempt to sell the securities as agent, but may position and resell a portion of the block as principal to facilitate the transaction;</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through agents on a best-efforts basis; or</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otherwise through a combination of any of the above methods of sale.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or any selling stockholder may enter into option, share lending or other types of transactions that require us or such selling stockholder, as the case may be, to deliver securities to an underwriter, broker or dealer, who will then resell or transfer the securities under this prospectus. We or any selling stockholder may also enter into hedging transactions with respect to our securities. For example, we or any selling stockholder may:</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enter into transactions involving short sales of the securities by underwriters, brokers or dealers;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sell securities short and deliver the securities to close out short positions;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enter into option or other types of transactions that require us or the selling stockholder, as applicable, to deliver securities to an underwriter, broker or dealer, who will then resell or transfer the securities under this prospectus; or</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loan or pledge the securities to an underwriter, broker or dealer, who may sell the loaned securities or, in the event of default, sell the pledged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selling stockholder will act independently of us in making decisions with respect to the timing, manner and size of each sale of shares of securities covered by this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or any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any selling stockholder, or borrowed from us or any selling stockholder or others, to settle those sales or to close out any related open borrowings of securities, and may use securities received from us or any selling stockholder in settlement of those derivatives to close out any related open borrowings of securities. The third party in such sale transactions will be an underwriter and, if not identified in this prospectus, will be identified in the applicable prospectus supplement (or a post-effective amendment). In addition, we or any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the securities of any selling stockholder or in connection with a concurrent offering of other securities.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time we or any selling stockholder sell securities, we or the selling stockholder will provide a prospectus supplement that will name any underwriter, dealer or agent involved in the offer and sale of the securities. The prospectus supplement will also set forth the terms of the offering, including:</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034030"/>
                <wp:effectExtent l="0" t="0" r="0" b="0"/>
                <wp:wrapNone/>
                <wp:docPr id="58" name="Frame56"/>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purchase price of the securities and the proceeds we or the selling stockholder, as the case may be, will receive from the sale of the securities;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underwriting discounts and other items constituting underwriters’ compensation;</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public offering or purchase price and any discounts or commissions allowed or re-allowed or paid to dealers;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commissions allowed or paid to agents;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other offering expenses;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securities exchanges on which the securities may be listed;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method of distribution of the securities;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the terms of any agreement, arrangement or understanding entered into with the underwriters, brokers or dealers;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any other information we think is important.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underwriters or dealers are used in the sale, the securities will be acquired by the underwriters or dealers for their own account. The securities may be sold from time to time by us or any selling stockholder in one or more transactions: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at a fixed price or prices that may be changed;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at prices related to such prevailing market prices;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at varying prices determined at the time of sale; or</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sales may be effected: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in transactions on any national securities exchange or quotation service on which the securities may be listed or quoted at the time of sale;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in transactions in the over-the-counter market;</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in block transactions in which the broker or dealer so engaged will attempt to sell the securities as agent but may position and resell a portion of the block as principal to facilitate the transaction, or in crosses, in which the same broker acts as an agent on both sides of the trade;</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through the writing of options; or</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through other types of transactions.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underwriters are used in the sale of any securities, the securities may be offered to the public either through underwriting syndicates represented by one or more managing underwriters or directly by one or more of such firms. Unless otherwise set forth in the prospectus supplement, the obligations of underwriters or dealers to purchase the securities offered will be subject to certain conditions precedent and the underwriters or dealers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034030"/>
                <wp:effectExtent l="0" t="0" r="0" b="0"/>
                <wp:wrapNone/>
                <wp:docPr id="59" name="Frame57"/>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obligated to purchase all the offered securities if any are purchased. Any public offering price and any discount or concession allowed or reallowed or paid by underwriters or dealers to other dealers may be changed from time to time.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offer our equity securities into an existing trading market on the terms described in the applicable prospectus supplement. Underwriters, dealers and agents who may participate in any at-the-market offerings will be described in the prospectus supplement relating thereto.</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stockholders might not sell any securities under this prospectus. In addition, any securities covered by this prospectus that qualify for sale pursuant to Rule 144 under the Securities Act may be sold under Rule 144 rather than pursuant to this prospectus. Any shares of common stock offered under this prospectus will be listed on Nasdaq Stock Market LLC (or other such exchange or automated quotation system on which the common stock is listed), subject to official notice of issuance.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securities may be sold directly by us or any selling stockholder or through agents designated by us or any selling stockholder from time to time. Any agent involved in the offer or sale of the securities in respect of which this prospectus is delivered will be named, and any commissions payable by us or any selling stockholder to such agent will be set forth in, the prospectus supplement. Unless otherwise indicated in the prospectus supplement, any such agent will be acting on a best efforts basis for the period of its appointment.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Offers to purchase the securities offered by this prospectus may be solicited, and sales of the securities may be made by us or any selling stockholder directly to institutional investors or others, who may be deemed to be underwriters within the meaning of the Securities Act with respect to any resale of the securities. The terms of any offer made in this manner will be included in the prospectus supplement relating to the offer.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indicated in the applicable prospectus supplement, underwriters, dealers or agents will be authorized to solicit offers by certain institutional investors to purchase securities from us or any selling stockholder pursuant to contracts providing for payment and delivery at a future date. Institutional investors with which these contracts may be made include, among others: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commercial and savings banks;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insurance companies;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pension funds;</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investment companies;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educational and charitable institutions.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cases, these purchasers must be approved by us or any selling stockholder, as applicable. Unless otherwise set forth in the applicable prospectus supplement, the obligations of any purchaser under any of these contracts will not be subject to any conditions except that (a) the purchase of the securities must not at the time of delivery be prohibited under the laws of any jurisdiction to which that purchaser is subject, and (b) if the securities are also being sold to underwriters, we or any selling stockholder must have sold to these underwriters the securities not subject to delayed delivery. Underwriters and other agents will not have any responsibility in respect of the validity or performance of these contracts.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 underwriters, dealers or agents used by us or any selling stockholder in any offering of securities under this prospectus may be customers of, engage in transactions with, and perform services for us or any selling stockholder or affiliates of ours or such selling stockholder in the ordinary course of business. Underwriters, dealers, agents and other persons may be entitled under agreements which may be entered into with us or any selling stockholder to indemnification against and contribution toward certain civil liabilities, including liabilities under the Securities Act, and to be reimbursed by us or such selling stockholder for certain expenses.</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034030"/>
                <wp:effectExtent l="0" t="0" r="0" b="0"/>
                <wp:wrapNone/>
                <wp:docPr id="60" name="Frame58"/>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securities initially sold outside the United States may be resold in the United States through underwriters, dealers or otherwise.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underwriters to which offered securities are sold by us or any selling stockholder for public offering and sale may make a market in such securities, but those underwriters will not be obligated to do so and may discontinue any market making at any time.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anticipated date of delivery of the securities offered by this prospectus will be described in the applicable prospectus supplement relating to the offering.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comply with the securities laws of some states, if applicable, the securities may be sold in these jurisdictions only through registered or licensed brokers or dealers. In addition, in some states the securities may not be sold unless they have been registered or qualified for sale or an exemption from registration or qualification requirements is available and is complied with.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034030"/>
                <wp:effectExtent l="0" t="0" r="0" b="0"/>
                <wp:wrapNone/>
                <wp:docPr id="61" name="Frame59"/>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certain legal matters will be passed upon for us by Paul, Weiss, Rifkind, Wharton &amp; Garrison LLP, New York, New York. If legal matters in connection with offerings made pursuant to this prospectus are passed upon by counsel for underwriters, dealers or agents, if any, such counsel will be named in the prospectus supplement relating to such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034030"/>
                <wp:effectExtent l="0" t="0" r="0" b="0"/>
                <wp:wrapNone/>
                <wp:docPr id="62" name="Frame60"/>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Rackspace Technology, Inc. and subsidiaries as of December 31, 2025 and for the year then ended,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as of December 31, 2024 and for each of the two years in the period ended December 31, 2024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034030"/>
                <wp:effectExtent l="0" t="0" r="0" b="0"/>
                <wp:wrapNone/>
                <wp:docPr id="63" name="Frame61"/>
                <a:graphic xmlns:a="http://schemas.openxmlformats.org/drawingml/2006/main">
                  <a:graphicData uri="http://schemas.microsoft.com/office/word/2010/wordprocessingShape">
                    <wps:wsp>
                      <wps:cNvSpPr txBox="1"/>
                      <wps:spPr>
                        <a:xfrm>
                          <a:off x="0" y="0"/>
                          <a:ext cx="6480175" cy="303403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p>
                      <w:pPr>
                        <w:pStyle w:val="TextBody"/>
                        <w:bidi w:val="0"/>
                        <w:spacing w:lineRule="auto" w:line="333" w:before="0" w:after="0"/>
                        <w:jc w:val="left"/>
                        <w:rPr>
                          <w:color w:val="000000"/>
                        </w:rPr>
                      </w:pPr>
                      <w:r>
                        <w:rPr>
                          <w:color w:val="000000"/>
                        </w:rPr>
                        <w:t>        </w:t>
                      </w:r>
                    </w:p>
                    <w:p>
                      <w:pPr>
                        <w:pStyle w:val="TextBody"/>
                        <w:bidi w:val="0"/>
                        <w:spacing w:lineRule="auto" w:line="333" w:before="0" w:after="0"/>
                        <w:jc w:val="left"/>
                        <w:rPr>
                          <w:color w:val="000000"/>
                        </w:rPr>
                      </w:pPr>
                      <w:r>
                        <w:rPr>
                          <w:color w:val="000000"/>
                        </w:rPr>
                        <w:t>    </w:t>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drawing>
          <wp:inline distT="0" distB="0" distL="0" distR="0">
            <wp:extent cx="1781175" cy="54292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21"/>
                    <a:stretch>
                      <a:fillRect/>
                    </a:stretch>
                  </pic:blipFill>
                  <pic:spPr bwMode="auto">
                    <a:xfrm>
                      <a:off x="0" y="0"/>
                      <a:ext cx="1781175" cy="542925"/>
                    </a:xfrm>
                    <a:prstGeom prst="rect">
                      <a:avLst/>
                    </a:prstGeom>
                  </pic:spPr>
                </pic:pic>
              </a:graphicData>
            </a:graphic>
          </wp:inline>
        </w:drawing>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PROSPECTUS SUPPLEMENT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Goldman Sachs &amp; Co. LLC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July 9, 2026</w:t>
      </w:r>
    </w:p>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810019/000181001926000015/rxt-20251231.htm" TargetMode="External"/><Relationship Id="rId4" Type="http://schemas.openxmlformats.org/officeDocument/2006/relationships/hyperlink" Target="https://www.sec.gov/Archives/edgar/data/0001810019/000181001926000032/rxt-20260430.htm" TargetMode="External"/><Relationship Id="rId5" Type="http://schemas.openxmlformats.org/officeDocument/2006/relationships/hyperlink" Target="https://www.sec.gov/Archives/edgar/data/1810019/000181001926000044/rxt-20260331.htm" TargetMode="External"/><Relationship Id="rId6" Type="http://schemas.openxmlformats.org/officeDocument/2006/relationships/hyperlink" Target="https://www.sec.gov/Archives/edgar/data/0001810019/000181001926000021/rxt-20260331.htm" TargetMode="External"/><Relationship Id="rId7" Type="http://schemas.openxmlformats.org/officeDocument/2006/relationships/hyperlink" Target="https://www.sec.gov/Archives/edgar/data/0001810019/000181001926000058/rxt-20260610.htm" TargetMode="External"/><Relationship Id="rId8" Type="http://schemas.openxmlformats.org/officeDocument/2006/relationships/hyperlink" Target="https://www.sec.gov/Archives/edgar/data/0001810019/000181001926000059/rxt-20260616.htm" TargetMode="External"/><Relationship Id="rId9" Type="http://schemas.openxmlformats.org/officeDocument/2006/relationships/hyperlink" Target="https://www.sec.gov/Archives/edgar/data/0001810019/000181001926000061/rxt-20260618.htm" TargetMode="External"/><Relationship Id="rId10" Type="http://schemas.openxmlformats.org/officeDocument/2006/relationships/hyperlink" Target="https://www.sec.gov/Archives/edgar/data/1810019/000181001921000038/rxt42q42020.htm" TargetMode="External"/><Relationship Id="rId11" Type="http://schemas.openxmlformats.org/officeDocument/2006/relationships/hyperlink" Target="https://www.sec.gov/Archives/edgar/data/1810019/000181001921000038/rxt42q42020.htm" TargetMode="External"/><Relationship Id="rId12" Type="http://schemas.openxmlformats.org/officeDocument/2006/relationships/image" Target="media/image1.png"/><Relationship Id="rId13" Type="http://schemas.openxmlformats.org/officeDocument/2006/relationships/hyperlink" Target="https://www.sec.gov/Archives/edgar/data/1810019/000181001926000015/rxt-20251231.htm" TargetMode="External"/><Relationship Id="rId14" Type="http://schemas.openxmlformats.org/officeDocument/2006/relationships/hyperlink" Target="https://www.sec.gov/Archives/edgar/data/0001810019/000181001926000032/rxt-20260430.htm" TargetMode="External"/><Relationship Id="rId15" Type="http://schemas.openxmlformats.org/officeDocument/2006/relationships/hyperlink" Target="https://www.sec.gov/Archives/edgar/data/1810019/000181001926000044/rxt-20260331.htm" TargetMode="External"/><Relationship Id="rId16" Type="http://schemas.openxmlformats.org/officeDocument/2006/relationships/hyperlink" Target="https://www.sec.gov/Archives/edgar/data/0001810019/000181001926000021/rxt-20260331.htm" TargetMode="External"/><Relationship Id="rId17" Type="http://schemas.openxmlformats.org/officeDocument/2006/relationships/hyperlink" Target="https://www.sec.gov/Archives/edgar/data/0001810019/000181001926000058/rxt-20260610.htm" TargetMode="External"/><Relationship Id="rId18" Type="http://schemas.openxmlformats.org/officeDocument/2006/relationships/hyperlink" Target="https://www.sec.gov/Archives/edgar/data/0001810019/000181001926000059/rxt-20260616.htm" TargetMode="External"/><Relationship Id="rId19" Type="http://schemas.openxmlformats.org/officeDocument/2006/relationships/hyperlink" Target="https://www.sec.gov/Archives/edgar/data/0001810019/000181001926000061/rxt-20260618.htm" TargetMode="External"/><Relationship Id="rId20" Type="http://schemas.openxmlformats.org/officeDocument/2006/relationships/hyperlink" Target="https://www.sec.gov/Archives/edgar/data/1810019/000181001921000038/rxt42q42020.htm" TargetMode="External"/><Relationship Id="rId21" Type="http://schemas.openxmlformats.org/officeDocument/2006/relationships/image" Target="media/image1.pn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27958</Words>
  <Characters>147437</Characters>
  <CharactersWithSpaces>175235</CharactersWithSpaces>
  <Paragraphs>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