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As filed with the Securities and Exchange Commission on July 9, 2026</w:t>
      </w:r>
    </w:p>
    <w:p>
      <w:pPr>
        <w:pStyle w:val="TextBody"/>
        <w:bidi w:val="0"/>
        <w:spacing w:lineRule="auto" w:line="240" w:before="0" w:after="0"/>
        <w:jc w:val="right"/>
        <w:rPr>
          <w:color w:val="000000"/>
        </w:rPr>
      </w:pPr>
      <w:r>
        <w:rPr>
          <w:color w:val="000000"/>
        </w:rPr>
        <w:t>    </w:t>
      </w:r>
      <w:r>
        <w:rPr>
          <w:rFonts w:ascii="Times New Roman;serif" w:hAnsi="Times New Roman;serif"/>
          <w:b w:val="false"/>
          <w:color w:val="000000"/>
          <w:sz w:val="18"/>
        </w:rPr>
        <w:t>Registration No. 333-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color w:val="000000"/>
              </w:rPr>
            </w:pPr>
            <w:r>
              <w:rPr>
                <w:color w:val="000000"/>
              </w:rPr>
              <w:t> </w:t>
            </w:r>
          </w:p>
          <w:p>
            <w:pPr>
              <w:pStyle w:val="TableContents"/>
              <w:bidi w:val="0"/>
              <w:spacing w:lineRule="auto" w:line="240" w:before="13" w:after="283"/>
              <w:jc w:val="left"/>
              <w:rPr>
                <w:color w:val="000000"/>
              </w:rPr>
            </w:pPr>
            <w:r>
              <w:rPr>
                <w:color w:val="000000"/>
              </w:rPr>
              <w:t> </w:t>
            </w:r>
          </w:p>
        </w:tc>
      </w:tr>
    </w:tbl>
    <w:p>
      <w:pPr>
        <w:pStyle w:val="TextBody"/>
        <w:bidi w:val="0"/>
        <w:spacing w:lineRule="auto" w:line="240" w:before="72"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40"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40"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p>
        </w:tc>
      </w:tr>
    </w:tbl>
    <w:p>
      <w:pPr>
        <w:pStyle w:val="TextBody"/>
        <w:bidi w:val="0"/>
        <w:spacing w:lineRule="auto" w:line="240" w:before="216" w:after="283"/>
        <w:jc w:val="center"/>
        <w:rPr>
          <w:rFonts w:ascii="Times New Roman;serif" w:hAnsi="Times New Roman;serif"/>
          <w:b/>
          <w:color w:val="000000"/>
          <w:sz w:val="29"/>
        </w:rPr>
      </w:pPr>
      <w:r>
        <w:rPr>
          <w:rFonts w:ascii="Times New Roman;serif" w:hAnsi="Times New Roman;serif"/>
          <w:b/>
          <w:color w:val="000000"/>
          <w:sz w:val="29"/>
        </w:rPr>
        <w:t>Form S-8</w:t>
      </w:r>
    </w:p>
    <w:p>
      <w:pPr>
        <w:pStyle w:val="TextBody"/>
        <w:bidi w:val="0"/>
        <w:spacing w:lineRule="auto" w:line="240" w:before="0" w:after="0"/>
        <w:jc w:val="center"/>
        <w:rPr>
          <w:rFonts w:ascii="Times New Roman;serif" w:hAnsi="Times New Roman;serif"/>
          <w:b/>
          <w:color w:val="000000"/>
          <w:sz w:val="32"/>
        </w:rPr>
      </w:pPr>
      <w:r>
        <w:rPr>
          <w:rFonts w:ascii="Times New Roman;serif" w:hAnsi="Times New Roman;serif"/>
          <w:b/>
          <w:color w:val="000000"/>
          <w:sz w:val="32"/>
        </w:rPr>
        <w:t>REGISTRATION STATEMENT</w:t>
      </w:r>
    </w:p>
    <w:p>
      <w:pPr>
        <w:pStyle w:val="TextBody"/>
        <w:bidi w:val="0"/>
        <w:spacing w:lineRule="auto" w:line="240" w:before="0" w:after="0"/>
        <w:jc w:val="center"/>
        <w:rPr>
          <w:rFonts w:ascii="Times New Roman;serif" w:hAnsi="Times New Roman;serif"/>
          <w:b/>
          <w:i/>
          <w:color w:val="000000"/>
          <w:sz w:val="22"/>
        </w:rPr>
      </w:pPr>
      <w:r>
        <w:rPr>
          <w:rFonts w:ascii="Times New Roman;serif" w:hAnsi="Times New Roman;serif"/>
          <w:b/>
          <w:i/>
          <w:color w:val="000000"/>
          <w:sz w:val="22"/>
        </w:rPr>
        <w:t>UNDER</w:t>
      </w:r>
    </w:p>
    <w:p>
      <w:pPr>
        <w:pStyle w:val="TextBody"/>
        <w:bidi w:val="0"/>
        <w:spacing w:lineRule="auto" w:line="240" w:before="0" w:after="0"/>
        <w:jc w:val="center"/>
        <w:rPr>
          <w:rFonts w:ascii="Times New Roman;serif" w:hAnsi="Times New Roman;serif"/>
          <w:b/>
          <w:i/>
          <w:color w:val="000000"/>
          <w:sz w:val="22"/>
        </w:rPr>
      </w:pPr>
      <w:r>
        <w:rPr>
          <w:rFonts w:ascii="Times New Roman;serif" w:hAnsi="Times New Roman;serif"/>
          <w:b/>
          <w:i/>
          <w:color w:val="000000"/>
          <w:sz w:val="22"/>
        </w:rPr>
        <w:t>THE SECURITIES ACT OF 1933</w:t>
      </w:r>
    </w:p>
    <w:p>
      <w:pPr>
        <w:pStyle w:val="TextBody"/>
        <w:bidi w:val="0"/>
        <w:spacing w:lineRule="auto" w:line="240"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p>
        </w:tc>
      </w:tr>
    </w:tbl>
    <w:p>
      <w:pPr>
        <w:pStyle w:val="TextBody"/>
        <w:bidi w:val="0"/>
        <w:spacing w:lineRule="auto" w:line="240" w:before="0" w:after="0"/>
        <w:jc w:val="center"/>
        <w:rPr>
          <w:rFonts w:ascii="Times New Roman;serif" w:hAnsi="Times New Roman;serif"/>
          <w:b/>
          <w:color w:val="000000"/>
          <w:sz w:val="43"/>
        </w:rPr>
      </w:pPr>
      <w:r>
        <w:rPr>
          <w:rFonts w:ascii="Times New Roman;serif" w:hAnsi="Times New Roman;serif"/>
          <w:b/>
          <w:color w:val="000000"/>
          <w:sz w:val="43"/>
        </w:rPr>
        <w:t>Rackspace Technology, Inc.</w:t>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p>
      <w:pPr>
        <w:pStyle w:val="TextBody"/>
        <w:bidi w:val="0"/>
        <w:spacing w:lineRule="auto" w:line="240" w:before="0" w:after="0"/>
        <w:jc w:val="left"/>
        <w:rPr>
          <w:color w:val="000000"/>
        </w:rPr>
      </w:pPr>
      <w:r>
        <w:rPr>
          <w:color w:val="000000"/>
        </w:rPr>
        <w:t> </w:t>
      </w:r>
    </w:p>
    <w:p>
      <w:pPr>
        <w:pStyle w:val="TextBody"/>
        <w:bidi w:val="0"/>
        <w:spacing w:before="0" w:after="160"/>
        <w:jc w:val="center"/>
        <w:rPr/>
      </w:pPr>
      <w:r>
        <w:rPr/>
      </w:r>
    </w:p>
    <w:p>
      <w:pPr>
        <w:pStyle w:val="TextBody"/>
        <w:bidi w:val="0"/>
        <w:spacing w:before="0" w:after="160"/>
        <w:jc w:val="left"/>
        <w:rPr/>
      </w:pPr>
      <w:r>
        <w:rPr/>
      </w:r>
    </w:p>
    <w:tbl>
      <w:tblPr>
        <w:tblW w:w="3416" w:type="dxa"/>
        <w:jc w:val="left"/>
        <w:tblInd w:w="0" w:type="dxa"/>
        <w:tblLayout w:type="fixed"/>
        <w:tblCellMar>
          <w:top w:w="28" w:type="dxa"/>
          <w:left w:w="28" w:type="dxa"/>
          <w:bottom w:w="28" w:type="dxa"/>
          <w:right w:w="28" w:type="dxa"/>
        </w:tblCellMar>
      </w:tblPr>
      <w:tblGrid>
        <w:gridCol w:w="627"/>
        <w:gridCol w:w="552"/>
        <w:gridCol w:w="560"/>
        <w:gridCol w:w="109"/>
        <w:gridCol w:w="109"/>
        <w:gridCol w:w="109"/>
        <w:gridCol w:w="395"/>
        <w:gridCol w:w="395"/>
        <w:gridCol w:w="560"/>
      </w:tblGrid>
      <w:tr>
        <w:trPr/>
        <w:tc>
          <w:tcPr>
            <w:tcW w:w="627"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12"/>
              </w:rPr>
            </w:pPr>
            <w:r>
              <w:rPr>
                <w:rFonts w:ascii="Times New Roman;serif" w:hAnsi="Times New Roman;serif"/>
                <w:b/>
                <w:color w:val="000000"/>
                <w:sz w:val="12"/>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12"/>
              </w:rPr>
            </w:pPr>
            <w:r>
              <w:rPr>
                <w:rFonts w:ascii="Times New Roman;serif" w:hAnsi="Times New Roman;serif"/>
                <w:b/>
                <w:color w:val="000000"/>
                <w:sz w:val="12"/>
              </w:rPr>
              <w:t>81-3369925</w:t>
            </w:r>
          </w:p>
        </w:tc>
      </w:tr>
      <w:tr>
        <w:trPr/>
        <w:tc>
          <w:tcPr>
            <w:tcW w:w="1739" w:type="dxa"/>
            <w:gridSpan w:val="3"/>
            <w:tcBorders/>
            <w:tcMar>
              <w:top w:w="0" w:type="dxa"/>
              <w:left w:w="0" w:type="dxa"/>
              <w:bottom w:w="0" w:type="dxa"/>
              <w:right w:w="0" w:type="dxa"/>
            </w:tcMar>
            <w:vAlign w:val="center"/>
          </w:tcPr>
          <w:p>
            <w:pPr>
              <w:pStyle w:val="TableContents"/>
              <w:bidi w:val="0"/>
              <w:spacing w:lineRule="auto" w:line="266" w:before="0" w:after="160"/>
              <w:jc w:val="center"/>
              <w:rPr>
                <w:rFonts w:ascii="Times New Roman;serif" w:hAnsi="Times New Roman;serif"/>
                <w:b/>
                <w:color w:val="000000"/>
                <w:sz w:val="12"/>
              </w:rPr>
            </w:pPr>
            <w:r>
              <w:rPr>
                <w:rFonts w:ascii="Times New Roman;serif" w:hAnsi="Times New Roman;serif"/>
                <w:b/>
                <w:color w:val="000000"/>
                <w:sz w:val="12"/>
              </w:rPr>
              <w:t>(State or Other Jurisdiction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66" w:before="0" w:after="160"/>
              <w:jc w:val="center"/>
              <w:rPr>
                <w:rFonts w:ascii="Times New Roman;serif" w:hAnsi="Times New Roman;serif"/>
                <w:b/>
                <w:color w:val="000000"/>
                <w:sz w:val="12"/>
              </w:rPr>
            </w:pPr>
            <w:r>
              <w:rPr>
                <w:rFonts w:ascii="Times New Roman;serif" w:hAnsi="Times New Roman;serif"/>
                <w:b/>
                <w:color w:val="000000"/>
                <w:sz w:val="12"/>
              </w:rPr>
              <w:t>(I.R.S. Employer</w:t>
            </w:r>
          </w:p>
        </w:tc>
      </w:tr>
      <w:tr>
        <w:trPr/>
        <w:tc>
          <w:tcPr>
            <w:tcW w:w="1739"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12"/>
              </w:rPr>
            </w:pPr>
            <w:r>
              <w:rPr>
                <w:rFonts w:ascii="Times New Roman;serif" w:hAnsi="Times New Roman;serif"/>
                <w:b/>
                <w:color w:val="000000"/>
                <w:sz w:val="12"/>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12"/>
              </w:rPr>
            </w:pPr>
            <w:r>
              <w:rPr>
                <w:rFonts w:ascii="Times New Roman;serif" w:hAnsi="Times New Roman;serif"/>
                <w:b/>
                <w:color w:val="000000"/>
                <w:sz w:val="12"/>
              </w:rPr>
              <w:t>Identification Number)</w:t>
            </w:r>
          </w:p>
        </w:tc>
      </w:tr>
    </w:tbl>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19122 US Highway 281N, Suite 127</w:t>
        <w:br/>
        <w:t>San Antonio, Texas 78258</w:t>
        <w:br/>
        <w:t>(Address, including zip code, of Registrant’s principal executive offices)</w:t>
      </w:r>
    </w:p>
    <w:p>
      <w:pPr>
        <w:pStyle w:val="TextBody"/>
        <w:bidi w:val="0"/>
        <w:spacing w:before="0" w:after="0"/>
        <w:jc w:val="center"/>
        <w:rPr/>
      </w:pPr>
      <w:r>
        <w:rPr/>
      </w:r>
    </w:p>
    <w:p>
      <w:pPr>
        <w:pStyle w:val="TextBody"/>
        <w:bidi w:val="0"/>
        <w:spacing w:lineRule="auto" w:line="300" w:before="0" w:after="0"/>
        <w:jc w:val="center"/>
        <w:rPr>
          <w:rFonts w:ascii="Times New Roman;serif" w:hAnsi="Times New Roman;serif"/>
          <w:b/>
          <w:color w:val="000000"/>
          <w:sz w:val="12"/>
        </w:rPr>
      </w:pPr>
      <w:r>
        <w:rPr>
          <w:rFonts w:ascii="Times New Roman;serif" w:hAnsi="Times New Roman;serif"/>
          <w:b/>
          <w:color w:val="000000"/>
          <w:sz w:val="12"/>
        </w:rPr>
        <w:t>Rackspace Technology, Inc. 2020 Equity Incentive Plan</w:t>
        <w:br/>
        <w:t>(Full title of the plan)</w:t>
      </w:r>
    </w:p>
    <w:p>
      <w:pPr>
        <w:pStyle w:val="TextBody"/>
        <w:bidi w:val="0"/>
        <w:spacing w:before="0" w:after="0"/>
        <w:jc w:val="center"/>
        <w:rPr/>
      </w:pPr>
      <w:r>
        <w:rPr/>
      </w:r>
    </w:p>
    <w:p>
      <w:pPr>
        <w:pStyle w:val="TextBody"/>
        <w:bidi w:val="0"/>
        <w:spacing w:lineRule="auto" w:line="300" w:before="0" w:after="0"/>
        <w:jc w:val="center"/>
        <w:rPr>
          <w:rFonts w:ascii="Times New Roman;serif" w:hAnsi="Times New Roman;serif"/>
          <w:b/>
          <w:color w:val="000000"/>
          <w:sz w:val="12"/>
        </w:rPr>
      </w:pPr>
      <w:r>
        <w:rPr>
          <w:rFonts w:ascii="Times New Roman;serif" w:hAnsi="Times New Roman;serif"/>
          <w:b/>
          <w:color w:val="000000"/>
          <w:sz w:val="12"/>
        </w:rPr>
        <w:t>Michael Bross, Esq.</w:t>
      </w:r>
    </w:p>
    <w:p>
      <w:pPr>
        <w:pStyle w:val="TextBody"/>
        <w:bidi w:val="0"/>
        <w:spacing w:lineRule="auto" w:line="300" w:before="0" w:after="0"/>
        <w:jc w:val="center"/>
        <w:rPr>
          <w:rFonts w:ascii="Times New Roman;serif" w:hAnsi="Times New Roman;serif"/>
          <w:b/>
          <w:color w:val="000000"/>
          <w:sz w:val="12"/>
        </w:rPr>
      </w:pPr>
      <w:r>
        <w:rPr>
          <w:rFonts w:ascii="Times New Roman;serif" w:hAnsi="Times New Roman;serif"/>
          <w:b/>
          <w:color w:val="000000"/>
          <w:sz w:val="12"/>
        </w:rPr>
        <w:t>Senior Vice President, Chief Legal Officer &amp; Corporate Secretary</w:t>
      </w:r>
    </w:p>
    <w:p>
      <w:pPr>
        <w:pStyle w:val="TextBody"/>
        <w:bidi w:val="0"/>
        <w:spacing w:lineRule="auto" w:line="300" w:before="0" w:after="0"/>
        <w:jc w:val="center"/>
        <w:rPr>
          <w:rFonts w:ascii="Times New Roman;serif" w:hAnsi="Times New Roman;serif"/>
          <w:b/>
          <w:color w:val="000000"/>
          <w:sz w:val="12"/>
        </w:rPr>
      </w:pPr>
      <w:r>
        <w:rPr>
          <w:rFonts w:ascii="Times New Roman;serif" w:hAnsi="Times New Roman;serif"/>
          <w:b/>
          <w:color w:val="000000"/>
          <w:sz w:val="12"/>
        </w:rPr>
        <w:t>19122 US Hwy 281 N, Suite 127</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San Antonio, Texas 78258-7667</w:t>
      </w:r>
    </w:p>
    <w:p>
      <w:pPr>
        <w:pStyle w:val="TextBody"/>
        <w:bidi w:val="0"/>
        <w:spacing w:lineRule="auto" w:line="300" w:before="0" w:after="0"/>
        <w:jc w:val="center"/>
        <w:rPr>
          <w:rFonts w:ascii="Times New Roman;serif" w:hAnsi="Times New Roman;serif"/>
          <w:b/>
          <w:color w:val="000000"/>
          <w:sz w:val="12"/>
        </w:rPr>
      </w:pPr>
      <w:r>
        <w:rPr>
          <w:rFonts w:ascii="Times New Roman;serif" w:hAnsi="Times New Roman;serif"/>
          <w:b/>
          <w:color w:val="000000"/>
          <w:sz w:val="12"/>
        </w:rPr>
        <w:t>1-800-961-4454</w:t>
      </w:r>
    </w:p>
    <w:p>
      <w:pPr>
        <w:pStyle w:val="TextBody"/>
        <w:bidi w:val="0"/>
        <w:spacing w:lineRule="auto" w:line="300" w:before="0" w:after="0"/>
        <w:jc w:val="center"/>
        <w:rPr>
          <w:rFonts w:ascii="Times New Roman;serif" w:hAnsi="Times New Roman;serif"/>
          <w:b/>
          <w:color w:val="000000"/>
          <w:sz w:val="12"/>
        </w:rPr>
      </w:pPr>
      <w:r>
        <w:rPr>
          <w:rFonts w:ascii="Times New Roman;serif" w:hAnsi="Times New Roman;serif"/>
          <w:b/>
          <w:color w:val="000000"/>
          <w:sz w:val="12"/>
        </w:rPr>
        <w:t>(Name, address, including zip code, and telephone number, including area code, of agent for service)</w:t>
      </w:r>
    </w:p>
    <w:p>
      <w:pPr>
        <w:pStyle w:val="TextBody"/>
        <w:bidi w:val="0"/>
        <w:spacing w:before="0" w:after="0"/>
        <w:jc w:val="center"/>
        <w:rPr/>
      </w:pPr>
      <w:r>
        <w:rPr/>
      </w:r>
    </w:p>
    <w:p>
      <w:pPr>
        <w:pStyle w:val="TextBody"/>
        <w:bidi w:val="0"/>
        <w:spacing w:lineRule="auto" w:line="300" w:before="0" w:after="0"/>
        <w:jc w:val="center"/>
        <w:rPr>
          <w:rFonts w:ascii="Times New Roman;serif" w:hAnsi="Times New Roman;serif"/>
          <w:b/>
          <w:color w:val="000000"/>
          <w:sz w:val="12"/>
        </w:rPr>
      </w:pPr>
      <w:r>
        <w:rPr>
          <w:rFonts w:ascii="Times New Roman;serif" w:hAnsi="Times New Roman;serif"/>
          <w:b/>
          <w:color w:val="000000"/>
          <w:sz w:val="12"/>
        </w:rPr>
        <w:t>COPIES TO:</w:t>
      </w:r>
    </w:p>
    <w:p>
      <w:pPr>
        <w:pStyle w:val="TextBody"/>
        <w:bidi w:val="0"/>
        <w:spacing w:lineRule="auto" w:line="300" w:before="0" w:after="0"/>
        <w:jc w:val="center"/>
        <w:rPr>
          <w:rFonts w:ascii="Times New Roman;serif" w:hAnsi="Times New Roman;serif"/>
          <w:b/>
          <w:color w:val="000000"/>
          <w:sz w:val="12"/>
        </w:rPr>
      </w:pPr>
      <w:r>
        <w:rPr>
          <w:rFonts w:ascii="Times New Roman;serif" w:hAnsi="Times New Roman;serif"/>
          <w:b/>
          <w:color w:val="000000"/>
          <w:sz w:val="12"/>
        </w:rPr>
        <w:t>Brian M. Janson, Esq.</w:t>
      </w:r>
    </w:p>
    <w:p>
      <w:pPr>
        <w:pStyle w:val="TextBody"/>
        <w:bidi w:val="0"/>
        <w:spacing w:lineRule="auto" w:line="300" w:before="0" w:after="0"/>
        <w:jc w:val="center"/>
        <w:rPr>
          <w:rFonts w:ascii="Times New Roman;serif" w:hAnsi="Times New Roman;serif"/>
          <w:b/>
          <w:color w:val="000000"/>
          <w:sz w:val="12"/>
        </w:rPr>
      </w:pPr>
      <w:r>
        <w:rPr>
          <w:rFonts w:ascii="Times New Roman;serif" w:hAnsi="Times New Roman;serif"/>
          <w:b/>
          <w:color w:val="000000"/>
          <w:sz w:val="12"/>
        </w:rPr>
        <w:t>Paul, Weiss, Rifkind, Wharton &amp; Garrison LLP</w:t>
      </w:r>
    </w:p>
    <w:p>
      <w:pPr>
        <w:pStyle w:val="TextBody"/>
        <w:bidi w:val="0"/>
        <w:spacing w:lineRule="auto" w:line="300" w:before="0" w:after="0"/>
        <w:jc w:val="center"/>
        <w:rPr>
          <w:rFonts w:ascii="Times New Roman;serif" w:hAnsi="Times New Roman;serif"/>
          <w:b/>
          <w:color w:val="000000"/>
          <w:sz w:val="12"/>
        </w:rPr>
      </w:pPr>
      <w:r>
        <w:rPr>
          <w:rFonts w:ascii="Times New Roman;serif" w:hAnsi="Times New Roman;serif"/>
          <w:b/>
          <w:color w:val="000000"/>
          <w:sz w:val="12"/>
        </w:rPr>
        <w:t>1285 Avenue of the Americas</w:t>
      </w:r>
    </w:p>
    <w:p>
      <w:pPr>
        <w:pStyle w:val="TextBody"/>
        <w:bidi w:val="0"/>
        <w:spacing w:lineRule="auto" w:line="300" w:before="0" w:after="0"/>
        <w:jc w:val="center"/>
        <w:rPr>
          <w:rFonts w:ascii="Times New Roman;serif" w:hAnsi="Times New Roman;serif"/>
          <w:b/>
          <w:color w:val="000000"/>
          <w:sz w:val="12"/>
        </w:rPr>
      </w:pPr>
      <w:r>
        <w:rPr>
          <w:rFonts w:ascii="Times New Roman;serif" w:hAnsi="Times New Roman;serif"/>
          <w:b/>
          <w:color w:val="000000"/>
          <w:sz w:val="12"/>
        </w:rPr>
        <w:t>New York, New York 10019–6064</w:t>
      </w:r>
    </w:p>
    <w:p>
      <w:pPr>
        <w:pStyle w:val="TextBody"/>
        <w:bidi w:val="0"/>
        <w:spacing w:lineRule="auto" w:line="300" w:before="0" w:after="0"/>
        <w:jc w:val="center"/>
        <w:rPr>
          <w:rFonts w:ascii="Times New Roman;serif" w:hAnsi="Times New Roman;serif"/>
          <w:b/>
          <w:color w:val="000000"/>
          <w:sz w:val="12"/>
        </w:rPr>
      </w:pPr>
      <w:r>
        <w:rPr>
          <w:rFonts w:ascii="Times New Roman;serif" w:hAnsi="Times New Roman;serif"/>
          <w:b/>
          <w:color w:val="000000"/>
          <w:sz w:val="12"/>
        </w:rPr>
        <w:t>(212) 373-3000</w:t>
      </w:r>
    </w:p>
    <w:p>
      <w:pPr>
        <w:pStyle w:val="TextBody"/>
        <w:bidi w:val="0"/>
        <w:spacing w:before="0" w:after="160"/>
        <w:jc w:val="center"/>
        <w:rPr/>
      </w:pPr>
      <w:r>
        <w:rPr/>
      </w:r>
    </w:p>
    <w:p>
      <w:pPr>
        <w:pStyle w:val="TextBody"/>
        <w:bidi w:val="0"/>
        <w:spacing w:before="54" w:after="283"/>
        <w:jc w:val="left"/>
        <w:rPr/>
      </w:pPr>
      <w:r>
        <w:rPr/>
      </w:r>
    </w:p>
    <w:p>
      <w:pPr>
        <w:pStyle w:val="TextBody"/>
        <w:bidi w:val="0"/>
        <w:spacing w:lineRule="auto" w:line="240" w:before="216"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40" w:before="0" w:after="0"/>
        <w:jc w:val="left"/>
        <w:rPr>
          <w:color w:val="000000"/>
        </w:rPr>
      </w:pPr>
      <w:r>
        <w:rPr>
          <w:color w:val="000000"/>
        </w:rPr>
        <w:t> </w:t>
      </w:r>
    </w:p>
    <w:tbl>
      <w:tblPr>
        <w:tblW w:w="5387" w:type="dxa"/>
        <w:jc w:val="left"/>
        <w:tblInd w:w="0" w:type="dxa"/>
        <w:tblLayout w:type="fixed"/>
        <w:tblCellMar>
          <w:top w:w="28" w:type="dxa"/>
          <w:left w:w="28" w:type="dxa"/>
          <w:bottom w:w="28" w:type="dxa"/>
          <w:right w:w="28" w:type="dxa"/>
        </w:tblCellMar>
      </w:tblPr>
      <w:tblGrid>
        <w:gridCol w:w="604"/>
        <w:gridCol w:w="530"/>
        <w:gridCol w:w="532"/>
        <w:gridCol w:w="109"/>
        <w:gridCol w:w="109"/>
        <w:gridCol w:w="109"/>
        <w:gridCol w:w="109"/>
        <w:gridCol w:w="109"/>
        <w:gridCol w:w="109"/>
        <w:gridCol w:w="109"/>
        <w:gridCol w:w="109"/>
        <w:gridCol w:w="109"/>
        <w:gridCol w:w="678"/>
        <w:gridCol w:w="678"/>
        <w:gridCol w:w="685"/>
        <w:gridCol w:w="109"/>
        <w:gridCol w:w="109"/>
        <w:gridCol w:w="109"/>
        <w:gridCol w:w="109"/>
        <w:gridCol w:w="109"/>
        <w:gridCol w:w="154"/>
      </w:tblGrid>
      <w:tr>
        <w:trPr/>
        <w:tc>
          <w:tcPr>
            <w:tcW w:w="60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204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204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204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r>
    </w:tbl>
    <w:p>
      <w:pPr>
        <w:pStyle w:val="TextBody"/>
        <w:bidi w:val="0"/>
        <w:spacing w:lineRule="auto" w:line="240" w:before="216" w:after="283"/>
        <w:ind w:left="0" w:right="0" w:firstLine="440"/>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lineRule="auto" w:line="240"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color w:val="000000"/>
              </w:rPr>
            </w:pPr>
            <w:r>
              <w:rPr>
                <w:color w:val="000000"/>
              </w:rPr>
              <w:t> </w:t>
            </w:r>
          </w:p>
          <w:p>
            <w:pPr>
              <w:pStyle w:val="TableContents"/>
              <w:bidi w:val="0"/>
              <w:spacing w:lineRule="auto" w:line="240" w:before="13" w:after="283"/>
              <w:jc w:val="left"/>
              <w:rPr>
                <w:color w:val="000000"/>
              </w:rPr>
            </w:pPr>
            <w:r>
              <w:rPr>
                <w:color w:val="000000"/>
              </w:rPr>
              <w:t> </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216" w:after="283"/>
        <w:jc w:val="center"/>
        <w:rPr>
          <w:rFonts w:ascii="Times New Roman;serif" w:hAnsi="Times New Roman;serif"/>
          <w:b/>
          <w:color w:val="000000"/>
          <w:sz w:val="18"/>
        </w:rPr>
      </w:pPr>
      <w:r>
        <w:rPr>
          <w:rFonts w:ascii="Times New Roman;serif" w:hAnsi="Times New Roman;serif"/>
          <w:b/>
          <w:color w:val="000000"/>
          <w:sz w:val="18"/>
        </w:rPr>
        <w:t>EXPLANATORY NOTE</w:t>
      </w:r>
    </w:p>
    <w:p>
      <w:pPr>
        <w:pStyle w:val="TextBody"/>
        <w:bidi w:val="0"/>
        <w:spacing w:lineRule="auto" w:line="240" w:before="216" w:after="283"/>
        <w:ind w:left="0" w:right="0" w:firstLine="440"/>
        <w:jc w:val="left"/>
        <w:rPr>
          <w:rFonts w:ascii="Times New Roman;serif" w:hAnsi="Times New Roman;serif"/>
          <w:b w:val="false"/>
          <w:color w:val="000000"/>
          <w:sz w:val="18"/>
        </w:rPr>
      </w:pPr>
      <w:r>
        <w:rPr>
          <w:rFonts w:ascii="Times New Roman;serif" w:hAnsi="Times New Roman;serif"/>
          <w:b w:val="false"/>
          <w:color w:val="000000"/>
          <w:sz w:val="18"/>
        </w:rPr>
        <w:t>Pursuant to General Instruction E of Form S-8, this Registration Statement on Form S-8 is filed by Rackspace Technology, Inc. (the “Registrant”) to register an additional 20,000,000 shares of the Registrant’s common stock under the Rackspace Technology, Inc. 2020 Equity Incentive Plan, as amended (the “Plan”), which increase was approved by the Registrant’s stockholders at the Registrant’s 2026 annual meeting of stockholders held on June 18, 2026. The contents of the Registration Statement on Form S-8 (Registration No. 333-240498), filed with the Commission on August 5, 2020, the Registration Statement on Form S-8 (Registration No. 333-268641), filed with the Commission on December 2, 2022, the Registration Statement on Form S-8 (Registration No. 333-273850), filed with the Commission on August 9, 2023, the Registration Statement on Form S-8 (Registration No. 333-281440), filed with the Commission on August 9, 2024, are hereby incorporated by reference and made a part hereof.</w:t>
      </w:r>
    </w:p>
    <w:p>
      <w:pPr>
        <w:pStyle w:val="TextBody"/>
        <w:bidi w:val="0"/>
        <w:spacing w:lineRule="auto" w:line="240" w:before="180" w:after="283"/>
        <w:jc w:val="center"/>
        <w:rPr>
          <w:rFonts w:ascii="Times New Roman;serif" w:hAnsi="Times New Roman;serif"/>
          <w:b/>
          <w:color w:val="000000"/>
          <w:sz w:val="18"/>
        </w:rPr>
      </w:pPr>
      <w:r>
        <w:rPr>
          <w:rFonts w:ascii="Times New Roman;serif" w:hAnsi="Times New Roman;serif"/>
          <w:b/>
          <w:color w:val="000000"/>
          <w:sz w:val="18"/>
        </w:rPr>
        <w:t>PART I</w:t>
      </w:r>
    </w:p>
    <w:p>
      <w:pPr>
        <w:pStyle w:val="TextBody"/>
        <w:bidi w:val="0"/>
        <w:spacing w:lineRule="auto" w:line="240" w:before="216" w:after="283"/>
        <w:jc w:val="center"/>
        <w:rPr>
          <w:rFonts w:ascii="Times New Roman;serif" w:hAnsi="Times New Roman;serif"/>
          <w:b/>
          <w:color w:val="000000"/>
          <w:sz w:val="18"/>
        </w:rPr>
      </w:pPr>
      <w:r>
        <w:rPr>
          <w:rFonts w:ascii="Times New Roman;serif" w:hAnsi="Times New Roman;serif"/>
          <w:b/>
          <w:color w:val="000000"/>
          <w:sz w:val="18"/>
        </w:rPr>
        <w:t>INFORMATION REQUIRED IN THE SECTION 10(a) PROSPECTUS</w:t>
      </w:r>
    </w:p>
    <w:p>
      <w:pPr>
        <w:pStyle w:val="TextBody"/>
        <w:bidi w:val="0"/>
        <w:spacing w:lineRule="auto" w:line="240" w:before="216" w:after="283"/>
        <w:ind w:left="0" w:right="0" w:firstLine="440"/>
        <w:jc w:val="left"/>
        <w:rPr>
          <w:rFonts w:ascii="Times New Roman;serif" w:hAnsi="Times New Roman;serif"/>
          <w:b w:val="false"/>
          <w:color w:val="000000"/>
          <w:sz w:val="18"/>
        </w:rPr>
      </w:pPr>
      <w:r>
        <w:rPr>
          <w:rFonts w:ascii="Times New Roman;serif" w:hAnsi="Times New Roman;serif"/>
          <w:b w:val="false"/>
          <w:color w:val="000000"/>
          <w:sz w:val="18"/>
        </w:rPr>
        <w:t>All information required by Part I to be contained in the prospectus is omitted from this Registration Statement in accordance with the explanatory note to Part I of Form S-8 and Rule 428 under the Securities Act of 1933, as amended (the “Securities Act”). Documents containing the information required by Part I of the Registration Statement will be sent or given to Plan participants as specified by Rule 428(b)(1) under the Securities Act.</w:t>
      </w:r>
    </w:p>
    <w:p>
      <w:pPr>
        <w:pStyle w:val="TextBody"/>
        <w:bidi w:val="0"/>
        <w:spacing w:lineRule="auto" w:line="240" w:before="432" w:after="283"/>
        <w:jc w:val="center"/>
        <w:rPr>
          <w:rFonts w:ascii="Times New Roman;serif" w:hAnsi="Times New Roman;serif"/>
          <w:b/>
          <w:color w:val="000000"/>
          <w:sz w:val="18"/>
        </w:rPr>
      </w:pPr>
      <w:r>
        <w:rPr>
          <w:rFonts w:ascii="Times New Roman;serif" w:hAnsi="Times New Roman;serif"/>
          <w:b/>
          <w:color w:val="000000"/>
          <w:sz w:val="18"/>
        </w:rPr>
        <w:t>PART II</w:t>
      </w:r>
    </w:p>
    <w:p>
      <w:pPr>
        <w:pStyle w:val="TextBody"/>
        <w:bidi w:val="0"/>
        <w:spacing w:lineRule="auto" w:line="240" w:before="216" w:after="283"/>
        <w:jc w:val="center"/>
        <w:rPr>
          <w:rFonts w:ascii="Times New Roman;serif" w:hAnsi="Times New Roman;serif"/>
          <w:b/>
          <w:color w:val="000000"/>
          <w:sz w:val="18"/>
        </w:rPr>
      </w:pPr>
      <w:r>
        <w:rPr>
          <w:rFonts w:ascii="Times New Roman;serif" w:hAnsi="Times New Roman;serif"/>
          <w:b/>
          <w:color w:val="000000"/>
          <w:sz w:val="18"/>
        </w:rPr>
        <w:t>INFORMATION REQUIRED IN THE REGISTRATION STATEMENT</w:t>
      </w:r>
    </w:p>
    <w:p>
      <w:pPr>
        <w:pStyle w:val="TextBody"/>
        <w:bidi w:val="0"/>
        <w:spacing w:lineRule="auto" w:line="240" w:before="216" w:after="283"/>
        <w:jc w:val="left"/>
        <w:rPr>
          <w:rFonts w:ascii="Times New Roman;serif" w:hAnsi="Times New Roman;serif"/>
          <w:b/>
          <w:color w:val="000000"/>
          <w:sz w:val="18"/>
        </w:rPr>
      </w:pPr>
      <w:r>
        <w:rPr>
          <w:rFonts w:ascii="Times New Roman;serif" w:hAnsi="Times New Roman;serif"/>
          <w:b/>
          <w:color w:val="000000"/>
          <w:sz w:val="18"/>
        </w:rPr>
        <w:t>Item 3. Incorporation of Documents by Reference.</w:t>
      </w:r>
    </w:p>
    <w:p>
      <w:pPr>
        <w:pStyle w:val="TextBody"/>
        <w:bidi w:val="0"/>
        <w:spacing w:lineRule="auto" w:line="240" w:before="108" w:after="283"/>
        <w:ind w:left="0" w:right="0" w:firstLine="440"/>
        <w:jc w:val="left"/>
        <w:rPr>
          <w:rFonts w:ascii="Times New Roman;serif" w:hAnsi="Times New Roman;serif"/>
          <w:b w:val="false"/>
          <w:color w:val="000000"/>
          <w:sz w:val="18"/>
        </w:rPr>
      </w:pPr>
      <w:r>
        <w:rPr>
          <w:rFonts w:ascii="Times New Roman;serif" w:hAnsi="Times New Roman;serif"/>
          <w:b w:val="false"/>
          <w:color w:val="000000"/>
          <w:sz w:val="18"/>
        </w:rPr>
        <w:t>The following documents heretofore filed with the Securities and Exchange Commission (the “Commission”) by the Registrant are incorporated herein by reference into this Registration Statement:</w:t>
      </w:r>
    </w:p>
    <w:p>
      <w:pPr>
        <w:pStyle w:val="TextBody"/>
        <w:bidi w:val="0"/>
        <w:spacing w:lineRule="auto" w:line="240"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The Registrant’s Annual Report on </w:t>
            </w:r>
            <w:hyperlink r:id="rId2">
              <w:r>
                <w:rPr>
                  <w:rStyle w:val="InternetLink"/>
                  <w:rFonts w:ascii="Times New Roman;serif" w:hAnsi="Times New Roman;serif"/>
                  <w:b w:val="false"/>
                  <w:color w:val="0000FF"/>
                  <w:sz w:val="18"/>
                  <w:u w:val="single"/>
                </w:rPr>
                <w:t>Form 10-K</w:t>
              </w:r>
            </w:hyperlink>
            <w:r>
              <w:rPr>
                <w:color w:val="0000FF"/>
              </w:rPr>
              <w:t xml:space="preserve"> </w:t>
            </w:r>
            <w:r>
              <w:rPr>
                <w:rFonts w:ascii="Times New Roman;serif" w:hAnsi="Times New Roman;serif"/>
                <w:b w:val="false"/>
                <w:color w:val="000000"/>
                <w:sz w:val="18"/>
              </w:rPr>
              <w:t>for the fiscal year ended December 31, 2025, filed with the Commission on March 6, 2026 (the “2025 Annual Report”);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The portions of the Company’s </w:t>
            </w:r>
            <w:hyperlink r:id="rId3">
              <w:r>
                <w:rPr>
                  <w:rStyle w:val="InternetLink"/>
                  <w:rFonts w:ascii="Times New Roman;serif" w:hAnsi="Times New Roman;serif"/>
                  <w:b w:val="false"/>
                  <w:color w:val="000080"/>
                  <w:sz w:val="18"/>
                  <w:u w:val="single"/>
                </w:rPr>
                <w:t>Definitive</w:t>
              </w:r>
            </w:hyperlink>
            <w:hyperlink r:id="rId4">
              <w:r>
                <w:rPr>
                  <w:rStyle w:val="InternetLink"/>
                  <w:rFonts w:ascii="Times New Roman;serif" w:hAnsi="Times New Roman;serif"/>
                  <w:b w:val="false"/>
                  <w:color w:val="000080"/>
                  <w:sz w:val="18"/>
                  <w:u w:val="single"/>
                </w:rPr>
                <w:t xml:space="preserve"> Proxy Statement on Schedule 14A</w:t>
              </w:r>
            </w:hyperlink>
            <w:r>
              <w:rPr>
                <w:rFonts w:ascii="Times New Roman;serif" w:hAnsi="Times New Roman;serif"/>
                <w:b w:val="false"/>
                <w:color w:val="000000"/>
                <w:sz w:val="18"/>
              </w:rPr>
              <w:t>, filed with the Commission on April 30, 2026, that are incorporated by reference in Part III of the 2025 Annual Report;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The Registrant’s Quarterly Report on </w:t>
            </w:r>
            <w:hyperlink r:id="rId5">
              <w:r>
                <w:rPr>
                  <w:rStyle w:val="InternetLink"/>
                  <w:rFonts w:ascii="Times New Roman;serif" w:hAnsi="Times New Roman;serif"/>
                  <w:b w:val="false"/>
                  <w:color w:val="0000FF"/>
                  <w:sz w:val="18"/>
                  <w:u w:val="single"/>
                </w:rPr>
                <w:t>Form 10-Q</w:t>
              </w:r>
            </w:hyperlink>
            <w:r>
              <w:rPr>
                <w:color w:val="000000"/>
              </w:rPr>
              <w:t xml:space="preserve"> </w:t>
            </w:r>
            <w:r>
              <w:rPr>
                <w:rFonts w:ascii="Times New Roman;serif" w:hAnsi="Times New Roman;serif"/>
                <w:b w:val="false"/>
                <w:color w:val="000000"/>
                <w:sz w:val="18"/>
              </w:rPr>
              <w:t>for the quarterly period ended March 31, 2026, filed with the Commission on May 8,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The Registrant’s Current Reports on Form 8-K, filed with the Commission on </w:t>
            </w:r>
            <w:hyperlink r:id="rId6">
              <w:r>
                <w:rPr>
                  <w:rStyle w:val="InternetLink"/>
                  <w:rFonts w:ascii="Times New Roman;serif" w:hAnsi="Times New Roman;serif"/>
                  <w:b w:val="false"/>
                  <w:color w:val="0000FF"/>
                  <w:sz w:val="18"/>
                  <w:u w:val="single"/>
                </w:rPr>
                <w:t>April 3, 2026</w:t>
              </w:r>
            </w:hyperlink>
            <w:r>
              <w:rPr>
                <w:rFonts w:ascii="Times New Roman;serif" w:hAnsi="Times New Roman;serif"/>
                <w:b w:val="false"/>
                <w:color w:val="000000"/>
                <w:sz w:val="18"/>
              </w:rPr>
              <w:t xml:space="preserve">, </w:t>
            </w:r>
            <w:hyperlink r:id="rId7">
              <w:r>
                <w:rPr>
                  <w:rStyle w:val="InternetLink"/>
                  <w:rFonts w:ascii="Times New Roman;serif" w:hAnsi="Times New Roman;serif"/>
                  <w:b w:val="false"/>
                  <w:color w:val="0000FF"/>
                  <w:sz w:val="18"/>
                  <w:u w:val="single"/>
                </w:rPr>
                <w:t>June 16, 2026</w:t>
              </w:r>
            </w:hyperlink>
            <w:r>
              <w:rPr>
                <w:color w:val="000000"/>
              </w:rPr>
              <w:t xml:space="preserve"> </w:t>
            </w:r>
            <w:r>
              <w:rPr>
                <w:rFonts w:ascii="Times New Roman;serif" w:hAnsi="Times New Roman;serif"/>
                <w:b w:val="false"/>
                <w:color w:val="000000"/>
                <w:sz w:val="18"/>
              </w:rPr>
              <w:t xml:space="preserve">(Film Number: 261092857), </w:t>
            </w:r>
            <w:hyperlink r:id="rId8">
              <w:r>
                <w:rPr>
                  <w:rStyle w:val="InternetLink"/>
                  <w:rFonts w:ascii="Times New Roman;serif" w:hAnsi="Times New Roman;serif"/>
                  <w:b w:val="false"/>
                  <w:color w:val="0000FF"/>
                  <w:sz w:val="18"/>
                  <w:u w:val="single"/>
                </w:rPr>
                <w:t>June 16, 2026</w:t>
              </w:r>
            </w:hyperlink>
            <w:r>
              <w:rPr>
                <w:color w:val="000000"/>
              </w:rPr>
              <w:t xml:space="preserve"> </w:t>
            </w:r>
            <w:r>
              <w:rPr>
                <w:rFonts w:ascii="Times New Roman;serif" w:hAnsi="Times New Roman;serif"/>
                <w:b w:val="false"/>
                <w:color w:val="000000"/>
                <w:sz w:val="18"/>
              </w:rPr>
              <w:t xml:space="preserve">(Film Number: 261092858) (excluding the information disclosed pursuant to Item 7.01 and Exhibit 99.1 thereto), </w:t>
            </w:r>
            <w:hyperlink r:id="rId9">
              <w:r>
                <w:rPr>
                  <w:rStyle w:val="InternetLink"/>
                  <w:rFonts w:ascii="Times New Roman;serif" w:hAnsi="Times New Roman;serif"/>
                  <w:b w:val="false"/>
                  <w:color w:val="0000FF"/>
                  <w:sz w:val="18"/>
                  <w:u w:val="single"/>
                </w:rPr>
                <w:t>June 18, 2026</w:t>
              </w:r>
            </w:hyperlink>
            <w:r>
              <w:rPr>
                <w:rFonts w:ascii="Times New Roman;serif" w:hAnsi="Times New Roman;serif"/>
                <w:b w:val="false"/>
                <w:color w:val="000000"/>
                <w:sz w:val="18"/>
              </w:rPr>
              <w:t xml:space="preserve">, and </w:t>
            </w:r>
            <w:hyperlink r:id="rId10">
              <w:r>
                <w:rPr>
                  <w:rStyle w:val="InternetLink"/>
                  <w:rFonts w:ascii="Times New Roman;serif" w:hAnsi="Times New Roman;serif"/>
                  <w:b w:val="false"/>
                  <w:color w:val="000080"/>
                  <w:sz w:val="18"/>
                  <w:u w:val="single"/>
                </w:rPr>
                <w:t xml:space="preserve">July </w:t>
              </w:r>
            </w:hyperlink>
            <w:hyperlink r:id="rId11">
              <w:r>
                <w:rPr>
                  <w:rStyle w:val="InternetLink"/>
                  <w:rFonts w:ascii="Times New Roman;serif" w:hAnsi="Times New Roman;serif"/>
                  <w:b w:val="false"/>
                  <w:color w:val="000080"/>
                  <w:sz w:val="18"/>
                  <w:u w:val="single"/>
                </w:rPr>
                <w:t>9</w:t>
              </w:r>
            </w:hyperlink>
            <w:hyperlink r:id="rId12">
              <w:r>
                <w:rPr>
                  <w:rStyle w:val="InternetLink"/>
                  <w:rFonts w:ascii="Times New Roman;serif" w:hAnsi="Times New Roman;serif"/>
                  <w:b w:val="false"/>
                  <w:color w:val="000080"/>
                  <w:sz w:val="18"/>
                  <w:u w:val="single"/>
                </w:rPr>
                <w:t>, 2026</w:t>
              </w:r>
            </w:hyperlink>
            <w:r>
              <w:rPr>
                <w:color w:val="000000"/>
              </w:rPr>
              <w:t xml:space="preserve"> </w:t>
            </w:r>
            <w:r>
              <w:rPr>
                <w:rFonts w:ascii="Times New Roman;serif" w:hAnsi="Times New Roman;serif"/>
                <w:b w:val="false"/>
                <w:color w:val="000000"/>
                <w:sz w:val="18"/>
              </w:rPr>
              <w:t>(excluding the information disclosed pursuant to Item 2.02 and Exhibit 99.1 thereto), and all other reports filed pursuant to Section 13(a) or 15(d) of the Exchange Act since the end of the fiscal year covered by the 2025 Annual Report;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The description of the Registrant’s common stock contained in the Registrant’s Registration Statement on </w:t>
            </w:r>
            <w:hyperlink r:id="rId13">
              <w:r>
                <w:rPr>
                  <w:rStyle w:val="InternetLink"/>
                  <w:rFonts w:ascii="Times New Roman;serif" w:hAnsi="Times New Roman;serif"/>
                  <w:b w:val="false"/>
                  <w:color w:val="000000"/>
                  <w:sz w:val="18"/>
                  <w:u w:val="single"/>
                </w:rPr>
                <w:t>Form 8-A</w:t>
              </w:r>
            </w:hyperlink>
            <w:r>
              <w:rPr>
                <w:color w:val="000000"/>
              </w:rPr>
              <w:t xml:space="preserve"> </w:t>
            </w:r>
            <w:r>
              <w:rPr>
                <w:rFonts w:ascii="Times New Roman;serif" w:hAnsi="Times New Roman;serif"/>
                <w:b w:val="false"/>
                <w:color w:val="000000"/>
                <w:sz w:val="18"/>
              </w:rPr>
              <w:t>filed pursuant to Section 12 of the Exchange Act on August 3, 2020, including any subsequent amendments or reports filed for the purpose of updating such description.</w:t>
            </w:r>
          </w:p>
        </w:tc>
      </w:tr>
    </w:tbl>
    <w:p>
      <w:pPr>
        <w:pStyle w:val="TextBody"/>
        <w:bidi w:val="0"/>
        <w:spacing w:lineRule="auto" w:line="240" w:before="216" w:after="283"/>
        <w:ind w:left="0" w:right="0" w:firstLine="440"/>
        <w:jc w:val="left"/>
        <w:rPr>
          <w:rFonts w:ascii="Times New Roman;serif" w:hAnsi="Times New Roman;serif"/>
          <w:b w:val="false"/>
          <w:color w:val="000000"/>
          <w:sz w:val="18"/>
        </w:rPr>
      </w:pPr>
      <w:r>
        <w:rPr>
          <w:rFonts w:ascii="Times New Roman;serif" w:hAnsi="Times New Roman;serif"/>
          <w:b w:val="false"/>
          <w:color w:val="000000"/>
          <w:sz w:val="18"/>
        </w:rPr>
        <w:t>All documents filed by the Registrant pursuant to Section 13(a), 13(c), 14 or 15(d) of the Securities Exchange Act of 1934, as amended (the “Exchange Act”), after the date of this Registration Statement and prior to the filing of a post-effective amendment to this Registration Statement indicating that all securities offered have been sold or which deregisters all securities then remaining unsold, shall be deemed to be incorporated by reference into this Registration Statement and to be a part hereof from the date of filing of such documents. 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pStyle w:val="TextBody"/>
        <w:bidi w:val="0"/>
        <w:spacing w:lineRule="auto" w:line="240" w:before="216" w:after="283"/>
        <w:ind w:left="0" w:right="0" w:firstLine="440"/>
        <w:jc w:val="left"/>
        <w:rPr>
          <w:rFonts w:ascii="Times New Roman;serif" w:hAnsi="Times New Roman;serif"/>
          <w:b w:val="false"/>
          <w:color w:val="000000"/>
          <w:sz w:val="18"/>
        </w:rPr>
      </w:pPr>
      <w:r>
        <w:rPr>
          <w:rFonts w:ascii="Times New Roman;serif" w:hAnsi="Times New Roman;serif"/>
          <w:b w:val="false"/>
          <w:color w:val="000000"/>
          <w:sz w:val="18"/>
        </w:rPr>
        <w:t>Notwithstanding the foregoing, unless specifically stated to the contrary in the applicable Current Report on Form 8-K, none of the information disclosed by the Registrant under Items 2.02 or 7.01 of any Current Report on Form 8-K, including the related exhibits under Item 9.01, that the Registrant may from time to time furnish to the Commission will be incorporated by reference into, or otherwise included in, this Registration Statement.</w:t>
      </w: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Item 8. Exhibits.</w:t>
      </w:r>
    </w:p>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90"/>
        <w:gridCol w:w="344"/>
        <w:gridCol w:w="345"/>
        <w:gridCol w:w="109"/>
        <w:gridCol w:w="109"/>
        <w:gridCol w:w="109"/>
        <w:gridCol w:w="3128"/>
        <w:gridCol w:w="2697"/>
        <w:gridCol w:w="2707"/>
        <w:gridCol w:w="109"/>
        <w:gridCol w:w="158"/>
      </w:tblGrid>
      <w:tr>
        <w:trPr/>
        <w:tc>
          <w:tcPr>
            <w:tcW w:w="39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8"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2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 Description</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18"/>
                  <w:u w:val="single"/>
                </w:rPr>
                <w:t>Second Amended and Restated Certificate of Incorporation of Rackspace Technology, Inc. (incorporated by reference from Exhibit 3.1 to Rackspace Technology, Inc.’s Form S-8, filed on August 5, 2020)</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07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tcMar>
              <w:top w:w="0" w:type="dxa"/>
              <w:left w:w="0" w:type="dxa"/>
              <w:bottom w:w="0" w:type="dxa"/>
              <w:right w:w="0" w:type="dxa"/>
            </w:tcMar>
            <w:vAlign w:val="center"/>
          </w:tcPr>
          <w:p>
            <w:pPr>
              <w:pStyle w:val="TableContents"/>
              <w:bidi w:val="0"/>
              <w:spacing w:lineRule="auto" w:line="300" w:before="0" w:after="100"/>
              <w:jc w:val="left"/>
              <w:rPr/>
            </w:pPr>
            <w:hyperlink r:id="rId15">
              <w:r>
                <w:rPr>
                  <w:rStyle w:val="InternetLink"/>
                  <w:rFonts w:ascii="Times New Roman;serif" w:hAnsi="Times New Roman;serif"/>
                  <w:b w:val="false"/>
                  <w:color w:val="0000FF"/>
                  <w:sz w:val="18"/>
                  <w:u w:val="single"/>
                </w:rPr>
                <w:t>Second Amended and Restated Bylaws of Rackspace Technology, Inc. (incorporated by reference from Exhibit 3.2 to Rackspace Technology, Inc.’s Form S-8, filed on August 5, 2020)</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07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18"/>
                  <w:u w:val="single"/>
                  <w:shd w:fill="FFFFFF" w:val="clear"/>
                </w:rPr>
                <w:t>Rackspace Technology, Inc. 2020 Equity Incentive Plan (incorporated by reference from Exhibit 4.2 to Rackspace Technology Inc.’s Registration Statement on Form S-8 filed on August 5, 2020)</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07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7">
              <w:r>
                <w:rPr>
                  <w:rStyle w:val="InternetLink"/>
                  <w:rFonts w:ascii="Times New Roman;serif" w:hAnsi="Times New Roman;serif"/>
                  <w:b w:val="false"/>
                  <w:color w:val="0000FF"/>
                  <w:sz w:val="18"/>
                  <w:u w:val="single"/>
                  <w:shd w:fill="FFFFFF" w:val="clear"/>
                </w:rPr>
                <w:t>Rackspace Technology, Inc. Amendment No. 1 to 2020 Equity Incentive Plan (incorporated by reference from Appendix A to Rackspace Technology Inc.’s Definitive Proxy Statement filed on April 28, 2022)</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07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8">
              <w:r>
                <w:rPr>
                  <w:rStyle w:val="InternetLink"/>
                  <w:rFonts w:ascii="Times New Roman;serif" w:hAnsi="Times New Roman;serif"/>
                  <w:b w:val="false"/>
                  <w:color w:val="0000FF"/>
                  <w:sz w:val="18"/>
                  <w:u w:val="single"/>
                </w:rPr>
                <w:t>Rackspace Technology, Inc. Amendment No. 2 to 2020 Equity Incentive Plan (incorporated by reference from Appendix A to Rackspace Technology Inc.’s Definitive Proxy Statement filed on April 28, 2023)</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07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9">
              <w:r>
                <w:rPr>
                  <w:rStyle w:val="InternetLink"/>
                  <w:rFonts w:ascii="Times New Roman;serif" w:hAnsi="Times New Roman;serif"/>
                  <w:b w:val="false"/>
                  <w:color w:val="0000FF"/>
                  <w:sz w:val="18"/>
                  <w:u w:val="single"/>
                </w:rPr>
                <w:t>Rackspace Technology, Inc. Amendment No. 3 to 2020 Equity Incentive Plan (incorporated by reference from Appendix A to Rackspace Technology Inc.’s Definitive Proxy Statement filed on April 29, 2024)</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07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tcMar>
              <w:top w:w="0" w:type="dxa"/>
              <w:left w:w="0" w:type="dxa"/>
              <w:bottom w:w="0" w:type="dxa"/>
              <w:right w:w="0" w:type="dxa"/>
            </w:tcMar>
            <w:vAlign w:val="center"/>
          </w:tcPr>
          <w:p>
            <w:pPr>
              <w:pStyle w:val="TableContents"/>
              <w:bidi w:val="0"/>
              <w:spacing w:lineRule="auto" w:line="288" w:before="0" w:after="0"/>
              <w:jc w:val="left"/>
              <w:rPr/>
            </w:pPr>
            <w:r>
              <w:fldChar w:fldCharType="begin"/>
            </w:r>
            <w:r>
              <w:rPr>
                <w:rStyle w:val="InternetLink"/>
                <w:sz w:val="18"/>
                <w:u w:val="single"/>
                <w:b w:val="false"/>
                <w:rFonts w:ascii="Times New Roman;serif" w:hAnsi="Times New Roman;serif"/>
                <w:color w:val="0000FF"/>
              </w:rPr>
              <w:instrText xml:space="preserve"> HYPERLINK "https://www.sec.gov/ix?doc=/Archives/edgar/data/0001810019/000181001926000032/rxt-20260430.htm" \l "i5899cd3726c3452888a4457bd673cedc"</w:instrText>
            </w:r>
            <w:r>
              <w:rPr>
                <w:rStyle w:val="InternetLink"/>
                <w:sz w:val="18"/>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18"/>
                <w:u w:val="single"/>
              </w:rPr>
              <w:t>Rackspace Technology, Inc. Amendment No. 4 to 2020 Equity Incentive Plan (incorporated by reference from Appendix A to Rackspace Technology Inc.’s Definitive Proxy Statement filed on April 30, 2026)</w:t>
            </w:r>
            <w:r>
              <w:rPr>
                <w:rStyle w:val="InternetLink"/>
                <w:sz w:val="18"/>
                <w:u w:val="single"/>
                <w:b w:val="false"/>
                <w:rFonts w:ascii="Times New Roman;serif" w:hAnsi="Times New Roman;serif"/>
                <w:color w:val="0000FF"/>
              </w:rPr>
              <w:fldChar w:fldCharType="end"/>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07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rxts-8exhibit5120260709.htm">
              <w:r>
                <w:rPr>
                  <w:rStyle w:val="InternetLink"/>
                  <w:rFonts w:ascii="Times New Roman;serif" w:hAnsi="Times New Roman;serif"/>
                  <w:b w:val="false"/>
                  <w:color w:val="0000FF"/>
                  <w:sz w:val="18"/>
                  <w:u w:val="single"/>
                </w:rPr>
                <w:t>Opinion of Paul, Weiss, Rifkind, Wharton &amp; Garrison LLP</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07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rxts-8exhibit5120260709.htm">
              <w:r>
                <w:rPr>
                  <w:rStyle w:val="InternetLink"/>
                  <w:rFonts w:ascii="Times New Roman;serif" w:hAnsi="Times New Roman;serif"/>
                  <w:b w:val="false"/>
                  <w:color w:val="0000FF"/>
                  <w:sz w:val="18"/>
                  <w:u w:val="single"/>
                </w:rPr>
                <w:t>Consent of Paul, Weiss, Rifkind, Wharton &amp; Garrison LLP (included in Exhibit 5.1)</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07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rxts-8exhibit23220260709.htm">
              <w:r>
                <w:rPr>
                  <w:rStyle w:val="InternetLink"/>
                  <w:rFonts w:ascii="Times New Roman;serif" w:hAnsi="Times New Roman;serif"/>
                  <w:b w:val="false"/>
                  <w:color w:val="0000FF"/>
                  <w:sz w:val="18"/>
                  <w:u w:val="single"/>
                </w:rPr>
                <w:t>Consent of PricewaterhouseCoopers LLP, independent registered public accounting firm</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07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23.3*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rxts-8exhibit23320260709.htm">
              <w:r>
                <w:rPr>
                  <w:rStyle w:val="InternetLink"/>
                  <w:rFonts w:ascii="Times New Roman;serif" w:hAnsi="Times New Roman;serif"/>
                  <w:b w:val="false"/>
                  <w:color w:val="0000FF"/>
                  <w:sz w:val="18"/>
                  <w:u w:val="single"/>
                </w:rPr>
                <w:t>Consent of KPMG LLP, independent registered public accounting firm</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07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a90174a03fb4bedab3b389b7be368d9_7">
              <w:r>
                <w:rPr>
                  <w:rStyle w:val="InternetLink"/>
                  <w:rFonts w:ascii="Times New Roman;serif" w:hAnsi="Times New Roman;serif"/>
                  <w:b w:val="false"/>
                  <w:color w:val="0000FF"/>
                  <w:sz w:val="18"/>
                  <w:u w:val="single"/>
                </w:rPr>
                <w:t>Power of Attorney (set forth on the signature page of this Registration Statement)</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07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filingfees.htm">
              <w:r>
                <w:rPr>
                  <w:rStyle w:val="InternetLink"/>
                  <w:rFonts w:ascii="Times New Roman;serif" w:hAnsi="Times New Roman;serif"/>
                  <w:b w:val="false"/>
                  <w:color w:val="0000FF"/>
                  <w:sz w:val="18"/>
                  <w:u w:val="single"/>
                </w:rPr>
                <w:t>Filing Fee Table</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tbl>
      <w:tblPr>
        <w:tblW w:w="188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55"/>
        <w:gridCol w:w="355"/>
        <w:gridCol w:w="50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Filed herewith.</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180" w:after="283"/>
        <w:jc w:val="center"/>
        <w:rPr>
          <w:rFonts w:ascii="Times New Roman;serif" w:hAnsi="Times New Roman;serif"/>
          <w:b/>
          <w:color w:val="000000"/>
          <w:sz w:val="18"/>
        </w:rPr>
      </w:pPr>
      <w:r>
        <w:rPr>
          <w:rFonts w:ascii="Times New Roman;serif" w:hAnsi="Times New Roman;serif"/>
          <w:b/>
          <w:color w:val="000000"/>
          <w:sz w:val="18"/>
        </w:rPr>
        <w:t>SIGNATURES</w:t>
      </w:r>
    </w:p>
    <w:p>
      <w:pPr>
        <w:pStyle w:val="TextBody"/>
        <w:bidi w:val="0"/>
        <w:spacing w:before="0" w:after="0"/>
        <w:jc w:val="center"/>
        <w:rPr/>
      </w:pPr>
      <w:r>
        <w:rPr/>
      </w:r>
    </w:p>
    <w:p>
      <w:pPr>
        <w:pStyle w:val="TextBody"/>
        <w:bidi w:val="0"/>
        <w:spacing w:lineRule="auto" w:line="268" w:before="0" w:after="0"/>
        <w:ind w:left="0" w:right="0" w:firstLine="440"/>
        <w:jc w:val="left"/>
        <w:rPr>
          <w:rFonts w:ascii="Times New Roman;serif" w:hAnsi="Times New Roman;serif"/>
          <w:b w:val="false"/>
          <w:color w:val="000000"/>
          <w:sz w:val="18"/>
        </w:rPr>
      </w:pPr>
      <w:r>
        <w:rPr>
          <w:rFonts w:ascii="Times New Roman;serif" w:hAnsi="Times New Roman;serif"/>
          <w:b w:val="false"/>
          <w:color w:val="000000"/>
          <w:sz w:val="18"/>
        </w:rPr>
        <w:t>Pursuant to the requirements of the Securities Act, Rackspace Technology, Inc. certifies that it has reasonable grounds to believe that it meets all of the requirements for filing on Form S-8 and has duly caused this registration statement to be signed on its behalf by the undersigned, thereunto duly authorized, in the city of San Antonio, State of Texas, on July 9, 2026.</w:t>
      </w:r>
    </w:p>
    <w:p>
      <w:pPr>
        <w:pStyle w:val="TextBody"/>
        <w:bidi w:val="0"/>
        <w:spacing w:before="216" w:after="283"/>
        <w:ind w:left="0" w:right="0" w:firstLine="440"/>
        <w:jc w:val="left"/>
        <w:rPr/>
      </w:pPr>
      <w:r>
        <w:rPr/>
      </w:r>
    </w:p>
    <w:tbl>
      <w:tblPr>
        <w:tblW w:w="467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390"/>
        <w:gridCol w:w="390"/>
        <w:gridCol w:w="390"/>
        <w:gridCol w:w="731"/>
        <w:gridCol w:w="731"/>
        <w:gridCol w:w="104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Rackspace Technology,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Mark Marino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 Mark Marino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tc>
      </w:tr>
    </w:tbl>
    <w:p>
      <w:pPr>
        <w:pStyle w:val="TextBody"/>
        <w:bidi w:val="0"/>
        <w:spacing w:before="0" w:after="160"/>
        <w:ind w:left="0" w:right="0" w:firstLine="440"/>
        <w:jc w:val="left"/>
        <w:rPr/>
      </w:pPr>
      <w:r>
        <w:rPr/>
      </w:r>
    </w:p>
    <w:p>
      <w:pPr>
        <w:pStyle w:val="TextBody"/>
        <w:bidi w:val="0"/>
        <w:spacing w:before="0" w:after="160"/>
        <w:jc w:val="left"/>
        <w:rPr/>
      </w:pPr>
      <w:r>
        <w:rPr/>
      </w:r>
    </w:p>
    <w:p>
      <w:pPr>
        <w:pStyle w:val="TextBody"/>
        <w:bidi w:val="0"/>
        <w:spacing w:lineRule="auto" w:line="240" w:before="48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POWER OF ATTORNEY</w:t>
      </w:r>
    </w:p>
    <w:p>
      <w:pPr>
        <w:pStyle w:val="TextBody"/>
        <w:bidi w:val="0"/>
        <w:spacing w:lineRule="auto" w:line="240" w:before="24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KNOW ALL PERSONS BY THESE PRESENTS, that each individual whose signature appears below hereby constitutes and appoints each of Michael Bross and Mark Marino, acting singly, his or her true and lawful agent, proxy and attorney-in-fact, with full power of substitution and resubstitution, for him and her and in his or her name, place and stead, in any and all capacities, to (i)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of 1933, as amended, together with all schedules and exhibits thereto, (ii) act on, sign and file such certificates, instruments, agreements and other documents as may be necessary or appropriate in connection therewith, (iii) act on and file any supplement to any prospectus included in this registration statement or any such amendment or any subsequent registration statement filed pursuant to Rule 462(b) under the Securities Act of 1933, as amended, and (iv) take any and all actions which may be necessary or appropriate in connection therewith, granting unto such agents, proxies and attorneys-in-fact, and each of them, full power and authority to do and perform each and every act and thing necessary or appropriate to be done, as fully for all intents and purposes as he or she might or could do in person, hereby approving, ratifying and confirming all that such agents, proxies and attorneys-in-fact or any of their substitutes may lawfully do or cause to be done by virtue thereof.</w:t>
      </w:r>
    </w:p>
    <w:p>
      <w:pPr>
        <w:pStyle w:val="TextBody"/>
        <w:bidi w:val="0"/>
        <w:spacing w:lineRule="auto" w:line="240" w:before="240" w:after="283"/>
        <w:ind w:left="0" w:right="0" w:firstLine="490"/>
        <w:jc w:val="left"/>
        <w:rPr/>
      </w:pPr>
      <w:r>
        <w:rPr>
          <w:rFonts w:ascii="Times New Roman;serif" w:hAnsi="Times New Roman;serif"/>
          <w:b w:val="false"/>
          <w:color w:val="000000"/>
          <w:sz w:val="20"/>
          <w:shd w:fill="FFFFFF" w:val="clear"/>
        </w:rPr>
        <w:t xml:space="preserve">Pursuant to the requirements of the Securities Act, this registration statement and Power of Attorney have been signed on </w:t>
      </w:r>
      <w:r>
        <w:rPr>
          <w:rFonts w:ascii="Times New Roman;serif" w:hAnsi="Times New Roman;serif"/>
          <w:b w:val="false"/>
          <w:color w:val="000000"/>
          <w:sz w:val="20"/>
        </w:rPr>
        <w:t>July 9, 2026</w:t>
      </w:r>
      <w:r>
        <w:rPr>
          <w:rFonts w:ascii="Times New Roman;serif" w:hAnsi="Times New Roman;serif"/>
          <w:b w:val="false"/>
          <w:color w:val="000000"/>
          <w:sz w:val="20"/>
          <w:shd w:fill="FFFFFF" w:val="clear"/>
        </w:rPr>
        <w:t>, by the following persons in the capacities indicated.</w:t>
      </w:r>
    </w:p>
    <w:p>
      <w:pPr>
        <w:pStyle w:val="TextBody"/>
        <w:bidi w:val="0"/>
        <w:spacing w:before="0" w:after="1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7383" w:type="dxa"/>
        <w:jc w:val="left"/>
        <w:tblInd w:w="0" w:type="dxa"/>
        <w:tblLayout w:type="fixed"/>
        <w:tblCellMar>
          <w:top w:w="28" w:type="dxa"/>
          <w:left w:w="28" w:type="dxa"/>
          <w:bottom w:w="28" w:type="dxa"/>
          <w:right w:w="28" w:type="dxa"/>
        </w:tblCellMar>
      </w:tblPr>
      <w:tblGrid>
        <w:gridCol w:w="634"/>
        <w:gridCol w:w="559"/>
        <w:gridCol w:w="562"/>
        <w:gridCol w:w="109"/>
        <w:gridCol w:w="109"/>
        <w:gridCol w:w="109"/>
        <w:gridCol w:w="1269"/>
        <w:gridCol w:w="1269"/>
        <w:gridCol w:w="1286"/>
        <w:gridCol w:w="109"/>
        <w:gridCol w:w="109"/>
        <w:gridCol w:w="109"/>
        <w:gridCol w:w="122"/>
        <w:gridCol w:w="122"/>
        <w:gridCol w:w="122"/>
        <w:gridCol w:w="122"/>
        <w:gridCol w:w="122"/>
        <w:gridCol w:w="122"/>
        <w:gridCol w:w="122"/>
        <w:gridCol w:w="122"/>
        <w:gridCol w:w="174"/>
      </w:tblGrid>
      <w:tr>
        <w:trPr/>
        <w:tc>
          <w:tcPr>
            <w:tcW w:w="634"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Date</w:t>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Gajen Kandiah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Executive Officer;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July 9, 2026</w:t>
            </w:r>
          </w:p>
        </w:tc>
      </w:tr>
      <w:tr>
        <w:trPr/>
        <w:tc>
          <w:tcPr>
            <w:tcW w:w="1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Gajen Kandiah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Mark Marino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July 9, 2026</w:t>
            </w:r>
          </w:p>
        </w:tc>
      </w:tr>
      <w:tr>
        <w:trPr/>
        <w:tc>
          <w:tcPr>
            <w:tcW w:w="1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Mark Marino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Jeffrey Benjamin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July 9, 2026</w:t>
            </w:r>
          </w:p>
        </w:tc>
      </w:tr>
      <w:tr>
        <w:trPr/>
        <w:tc>
          <w:tcPr>
            <w:tcW w:w="1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Jeffrey Benjamin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Mitchell Garber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July 9, 2026</w:t>
            </w:r>
          </w:p>
        </w:tc>
      </w:tr>
      <w:tr>
        <w:trPr/>
        <w:tc>
          <w:tcPr>
            <w:tcW w:w="1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Mitchell Garber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Anthony Roberts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July 9, 2026</w:t>
            </w:r>
          </w:p>
        </w:tc>
      </w:tr>
      <w:tr>
        <w:trPr/>
        <w:tc>
          <w:tcPr>
            <w:tcW w:w="1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Anthony Roberts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Anthony Scott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July 9, 2026</w:t>
            </w:r>
          </w:p>
        </w:tc>
      </w:tr>
      <w:tr>
        <w:trPr/>
        <w:tc>
          <w:tcPr>
            <w:tcW w:w="1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Anthony Scott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Aaron Sobel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July 9, 2026</w:t>
            </w:r>
          </w:p>
        </w:tc>
      </w:tr>
      <w:tr>
        <w:trPr/>
        <w:tc>
          <w:tcPr>
            <w:tcW w:w="1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Aaron Sobel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Michael Weston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July 9, 2026</w:t>
            </w:r>
          </w:p>
        </w:tc>
      </w:tr>
      <w:tr>
        <w:trPr/>
        <w:tc>
          <w:tcPr>
            <w:tcW w:w="1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Michael Weston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lineRule="auto" w:line="300" w:before="0" w:after="160"/>
        <w:jc w:val="right"/>
        <w:rPr>
          <w:rFonts w:ascii="Times New Roman;serif" w:hAnsi="Times New Roman;serif"/>
          <w:b/>
          <w:color w:val="000000"/>
          <w:sz w:val="22"/>
        </w:rPr>
      </w:pPr>
      <w:r>
        <w:rPr>
          <w:rFonts w:ascii="Times New Roman;serif" w:hAnsi="Times New Roman;serif"/>
          <w:b/>
          <w:color w:val="000000"/>
          <w:sz w:val="22"/>
        </w:rPr>
        <w:t>Exhibit 107</w:t>
      </w:r>
    </w:p>
    <w:p>
      <w:pPr>
        <w:pStyle w:val="TextBody"/>
        <w:bidi w:val="0"/>
        <w:spacing w:lineRule="auto" w:line="300" w:before="0" w:after="200"/>
        <w:jc w:val="center"/>
        <w:rPr>
          <w:rFonts w:ascii="Times New Roman;serif" w:hAnsi="Times New Roman;serif"/>
          <w:b/>
          <w:color w:val="000000"/>
          <w:sz w:val="22"/>
        </w:rPr>
      </w:pPr>
      <w:r>
        <w:rPr>
          <w:rFonts w:ascii="Times New Roman;serif" w:hAnsi="Times New Roman;serif"/>
          <w:b/>
          <w:color w:val="000000"/>
          <w:sz w:val="22"/>
        </w:rPr>
        <w:t>Calculation of Filing Fee Table</w:t>
      </w:r>
    </w:p>
    <w:p>
      <w:pPr>
        <w:pStyle w:val="TextBody"/>
        <w:bidi w:val="0"/>
        <w:spacing w:lineRule="auto" w:line="300" w:before="0" w:after="160"/>
        <w:jc w:val="center"/>
        <w:rPr>
          <w:rFonts w:ascii="Times New Roman;serif" w:hAnsi="Times New Roman;serif"/>
          <w:b/>
          <w:color w:val="000000"/>
          <w:sz w:val="22"/>
        </w:rPr>
      </w:pPr>
      <w:r>
        <w:rPr>
          <w:rFonts w:ascii="Times New Roman;serif" w:hAnsi="Times New Roman;serif"/>
          <w:b/>
          <w:color w:val="000000"/>
          <w:sz w:val="22"/>
        </w:rPr>
        <w:t>S-8</w:t>
      </w:r>
    </w:p>
    <w:p>
      <w:pPr>
        <w:pStyle w:val="TextBody"/>
        <w:bidi w:val="0"/>
        <w:spacing w:lineRule="auto" w:line="300" w:before="0" w:after="200"/>
        <w:jc w:val="center"/>
        <w:rPr>
          <w:rFonts w:ascii="Times New Roman;serif" w:hAnsi="Times New Roman;serif"/>
          <w:b w:val="false"/>
          <w:color w:val="000000"/>
          <w:sz w:val="22"/>
        </w:rPr>
      </w:pPr>
      <w:r>
        <w:rPr>
          <w:rFonts w:ascii="Times New Roman;serif" w:hAnsi="Times New Roman;serif"/>
          <w:b w:val="false"/>
          <w:color w:val="000000"/>
          <w:sz w:val="22"/>
        </w:rPr>
        <w:t>(Form Type)</w:t>
      </w:r>
    </w:p>
    <w:p>
      <w:pPr>
        <w:pStyle w:val="TextBody"/>
        <w:bidi w:val="0"/>
        <w:spacing w:lineRule="auto" w:line="300" w:before="0" w:after="200"/>
        <w:jc w:val="center"/>
        <w:rPr>
          <w:rFonts w:ascii="Times New Roman;serif" w:hAnsi="Times New Roman;serif"/>
          <w:b/>
          <w:color w:val="000000"/>
          <w:sz w:val="22"/>
        </w:rPr>
      </w:pPr>
      <w:r>
        <w:rPr>
          <w:rFonts w:ascii="Times New Roman;serif" w:hAnsi="Times New Roman;serif"/>
          <w:b/>
          <w:color w:val="000000"/>
          <w:sz w:val="22"/>
        </w:rPr>
        <w:t xml:space="preserve">Rackspace Technology, Inc. </w:t>
      </w:r>
    </w:p>
    <w:p>
      <w:pPr>
        <w:pStyle w:val="TextBody"/>
        <w:bidi w:val="0"/>
        <w:spacing w:lineRule="auto" w:line="300" w:before="0" w:after="200"/>
        <w:jc w:val="center"/>
        <w:rPr>
          <w:rFonts w:ascii="Times New Roman;serif" w:hAnsi="Times New Roman;serif"/>
          <w:b w:val="false"/>
          <w:color w:val="000000"/>
          <w:sz w:val="22"/>
        </w:rPr>
      </w:pPr>
      <w:r>
        <w:rPr>
          <w:rFonts w:ascii="Times New Roman;serif" w:hAnsi="Times New Roman;serif"/>
          <w:b w:val="false"/>
          <w:color w:val="000000"/>
          <w:sz w:val="22"/>
        </w:rPr>
        <w:t>(Exact Name of Registrant as Specified in its Charter)</w:t>
      </w:r>
    </w:p>
    <w:p>
      <w:pPr>
        <w:pStyle w:val="TextBody"/>
        <w:bidi w:val="0"/>
        <w:spacing w:lineRule="auto" w:line="300" w:before="0" w:after="200"/>
        <w:jc w:val="center"/>
        <w:rPr/>
      </w:pPr>
      <w:r>
        <w:rPr>
          <w:rFonts w:ascii="Times New Roman;serif" w:hAnsi="Times New Roman;serif"/>
          <w:b/>
          <w:color w:val="000000"/>
          <w:sz w:val="22"/>
          <w:u w:val="single"/>
        </w:rPr>
        <w:t>Table 1: Newly Registered Securitie</w:t>
      </w:r>
      <w:r>
        <w:rPr>
          <w:rFonts w:ascii="Times New Roman;serif" w:hAnsi="Times New Roman;serif"/>
          <w:b/>
          <w:color w:val="000000"/>
          <w:sz w:val="22"/>
        </w:rPr>
        <w:t>s</w:t>
      </w:r>
    </w:p>
    <w:tbl>
      <w:tblPr>
        <w:tblW w:w="10205" w:type="dxa"/>
        <w:jc w:val="left"/>
        <w:tblInd w:w="0" w:type="dxa"/>
        <w:tblLayout w:type="fixed"/>
        <w:tblCellMar>
          <w:top w:w="28" w:type="dxa"/>
          <w:left w:w="28" w:type="dxa"/>
          <w:bottom w:w="28" w:type="dxa"/>
          <w:right w:w="28" w:type="dxa"/>
        </w:tblCellMar>
      </w:tblPr>
      <w:tblGrid>
        <w:gridCol w:w="291"/>
        <w:gridCol w:w="244"/>
        <w:gridCol w:w="246"/>
        <w:gridCol w:w="599"/>
        <w:gridCol w:w="372"/>
        <w:gridCol w:w="368"/>
        <w:gridCol w:w="388"/>
        <w:gridCol w:w="388"/>
        <w:gridCol w:w="389"/>
        <w:gridCol w:w="569"/>
        <w:gridCol w:w="346"/>
        <w:gridCol w:w="333"/>
        <w:gridCol w:w="382"/>
        <w:gridCol w:w="382"/>
        <w:gridCol w:w="384"/>
        <w:gridCol w:w="914"/>
        <w:gridCol w:w="567"/>
        <w:gridCol w:w="365"/>
        <w:gridCol w:w="441"/>
        <w:gridCol w:w="441"/>
        <w:gridCol w:w="445"/>
        <w:gridCol w:w="504"/>
        <w:gridCol w:w="345"/>
        <w:gridCol w:w="502"/>
      </w:tblGrid>
      <w:tr>
        <w:trPr/>
        <w:tc>
          <w:tcPr>
            <w:tcW w:w="29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Security Type</w:t>
            </w:r>
          </w:p>
        </w:tc>
        <w:tc>
          <w:tcPr>
            <w:tcW w:w="13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Security Class Title</w:t>
            </w:r>
          </w:p>
        </w:tc>
        <w:tc>
          <w:tcPr>
            <w:tcW w:w="11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Fee Calculation Rule</w:t>
            </w:r>
          </w:p>
        </w:tc>
        <w:tc>
          <w:tcPr>
            <w:tcW w:w="124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00" w:before="0" w:after="2"/>
              <w:jc w:val="center"/>
              <w:rPr/>
            </w:pPr>
            <w:r>
              <w:rPr>
                <w:rFonts w:ascii="Times New Roman;serif" w:hAnsi="Times New Roman;serif"/>
                <w:b/>
                <w:color w:val="000000"/>
                <w:sz w:val="16"/>
              </w:rPr>
              <w:t>Amount Registered</w:t>
            </w:r>
            <w:r>
              <w:rPr>
                <w:rFonts w:ascii="Times New Roman;serif" w:hAnsi="Times New Roman;serif"/>
                <w:b/>
                <w:color w:val="000000"/>
                <w:sz w:val="10"/>
              </w:rPr>
              <w:t>(1,2)</w:t>
            </w:r>
          </w:p>
        </w:tc>
        <w:tc>
          <w:tcPr>
            <w:tcW w:w="114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00" w:before="0" w:after="2"/>
              <w:jc w:val="center"/>
              <w:rPr/>
            </w:pPr>
            <w:r>
              <w:rPr>
                <w:rFonts w:ascii="Times New Roman;serif" w:hAnsi="Times New Roman;serif"/>
                <w:b/>
                <w:color w:val="000000"/>
                <w:sz w:val="16"/>
              </w:rPr>
              <w:t>Proposed Maximum Offering Price Per Unit</w:t>
            </w:r>
            <w:r>
              <w:rPr>
                <w:rFonts w:ascii="Times New Roman;serif" w:hAnsi="Times New Roman;serif"/>
                <w:b/>
                <w:color w:val="000000"/>
                <w:sz w:val="10"/>
              </w:rPr>
              <w:t>(3)</w:t>
            </w:r>
          </w:p>
        </w:tc>
        <w:tc>
          <w:tcPr>
            <w:tcW w:w="18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Maximum Aggregate Offering Price</w:t>
            </w:r>
          </w:p>
        </w:tc>
        <w:tc>
          <w:tcPr>
            <w:tcW w:w="13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Fee Rate</w:t>
            </w:r>
          </w:p>
        </w:tc>
        <w:tc>
          <w:tcPr>
            <w:tcW w:w="135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Amount of Registration Fee</w:t>
            </w:r>
          </w:p>
        </w:tc>
      </w:tr>
      <w:tr>
        <w:trPr/>
        <w:tc>
          <w:tcPr>
            <w:tcW w:w="78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2"/>
              </w:rPr>
            </w:pPr>
            <w:r>
              <w:rPr>
                <w:rFonts w:ascii="Times New Roman;serif" w:hAnsi="Times New Roman;serif"/>
                <w:b w:val="false"/>
                <w:color w:val="000000"/>
                <w:sz w:val="22"/>
              </w:rPr>
              <w:t>Equity</w:t>
            </w:r>
          </w:p>
        </w:tc>
        <w:tc>
          <w:tcPr>
            <w:tcW w:w="133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2"/>
              </w:rPr>
            </w:pPr>
            <w:r>
              <w:rPr>
                <w:rFonts w:ascii="Times New Roman;serif" w:hAnsi="Times New Roman;serif"/>
                <w:b w:val="false"/>
                <w:color w:val="000000"/>
                <w:sz w:val="22"/>
              </w:rPr>
              <w:t>Common stock, par value $0.01 per share</w:t>
            </w:r>
          </w:p>
        </w:tc>
        <w:tc>
          <w:tcPr>
            <w:tcW w:w="116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2"/>
              </w:rPr>
            </w:pPr>
            <w:r>
              <w:rPr>
                <w:rFonts w:ascii="Times New Roman;serif" w:hAnsi="Times New Roman;serif"/>
                <w:b w:val="false"/>
                <w:color w:val="000000"/>
                <w:sz w:val="22"/>
              </w:rPr>
              <w:t>Rule 457(c) and Rule 457(h)</w:t>
            </w:r>
          </w:p>
        </w:tc>
        <w:tc>
          <w:tcPr>
            <w:tcW w:w="124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2"/>
              </w:rPr>
            </w:pPr>
            <w:r>
              <w:rPr>
                <w:rFonts w:ascii="Times New Roman;serif" w:hAnsi="Times New Roman;serif"/>
                <w:b w:val="false"/>
                <w:color w:val="000000"/>
                <w:sz w:val="22"/>
              </w:rPr>
              <w:t>20,000,000</w:t>
            </w:r>
          </w:p>
        </w:tc>
        <w:tc>
          <w:tcPr>
            <w:tcW w:w="114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2"/>
              </w:rPr>
            </w:pPr>
            <w:r>
              <w:rPr>
                <w:rFonts w:ascii="Times New Roman;serif" w:hAnsi="Times New Roman;serif"/>
                <w:b w:val="false"/>
                <w:color w:val="000000"/>
                <w:sz w:val="22"/>
              </w:rPr>
              <w:t>$6.06</w:t>
            </w:r>
          </w:p>
        </w:tc>
        <w:tc>
          <w:tcPr>
            <w:tcW w:w="18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2"/>
              </w:rPr>
            </w:pPr>
            <w:r>
              <w:rPr>
                <w:rFonts w:ascii="Times New Roman;serif" w:hAnsi="Times New Roman;serif"/>
                <w:b w:val="false"/>
                <w:color w:val="000000"/>
                <w:sz w:val="22"/>
              </w:rPr>
              <w:t>$121,200,000.00</w:t>
            </w:r>
          </w:p>
        </w:tc>
        <w:tc>
          <w:tcPr>
            <w:tcW w:w="13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2"/>
              </w:rPr>
            </w:pPr>
            <w:r>
              <w:rPr>
                <w:rFonts w:ascii="Times New Roman;serif" w:hAnsi="Times New Roman;serif"/>
                <w:b w:val="false"/>
                <w:color w:val="000000"/>
                <w:sz w:val="22"/>
              </w:rPr>
              <w:t>$138.10 per $1,000,000</w:t>
            </w:r>
          </w:p>
        </w:tc>
        <w:tc>
          <w:tcPr>
            <w:tcW w:w="135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00" w:before="0" w:after="2"/>
              <w:jc w:val="center"/>
              <w:rPr>
                <w:rFonts w:ascii="Times New Roman;serif" w:hAnsi="Times New Roman;serif"/>
                <w:b w:val="false"/>
                <w:color w:val="000000"/>
                <w:sz w:val="22"/>
              </w:rPr>
            </w:pPr>
            <w:r>
              <w:rPr>
                <w:rFonts w:ascii="Times New Roman;serif" w:hAnsi="Times New Roman;serif"/>
                <w:b w:val="false"/>
                <w:color w:val="000000"/>
                <w:sz w:val="22"/>
              </w:rPr>
              <w:t>$16,737.72</w:t>
            </w:r>
          </w:p>
        </w:tc>
      </w:tr>
      <w:tr>
        <w:trPr/>
        <w:tc>
          <w:tcPr>
            <w:tcW w:w="4533" w:type="dxa"/>
            <w:gridSpan w:val="12"/>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22"/>
              </w:rPr>
            </w:pPr>
            <w:r>
              <w:rPr>
                <w:rFonts w:ascii="Times New Roman;serif" w:hAnsi="Times New Roman;serif"/>
                <w:b/>
                <w:color w:val="000000"/>
                <w:sz w:val="22"/>
              </w:rPr>
              <w:t>Total Offering Amounts</w:t>
            </w:r>
          </w:p>
        </w:tc>
        <w:tc>
          <w:tcPr>
            <w:tcW w:w="1148"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00" w:before="0" w:after="2"/>
              <w:jc w:val="center"/>
              <w:rPr>
                <w:rFonts w:ascii="Times New Roman;serif" w:hAnsi="Times New Roman;serif"/>
                <w:b w:val="false"/>
                <w:color w:val="000000"/>
                <w:sz w:val="22"/>
              </w:rPr>
            </w:pPr>
            <w:r>
              <w:rPr>
                <w:rFonts w:ascii="Times New Roman;serif" w:hAnsi="Times New Roman;serif"/>
                <w:b w:val="false"/>
                <w:color w:val="000000"/>
                <w:sz w:val="22"/>
              </w:rPr>
              <w:t>$16,737.72</w:t>
            </w:r>
          </w:p>
        </w:tc>
      </w:tr>
      <w:tr>
        <w:trPr/>
        <w:tc>
          <w:tcPr>
            <w:tcW w:w="4533" w:type="dxa"/>
            <w:gridSpan w:val="1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22"/>
              </w:rPr>
            </w:pPr>
            <w:r>
              <w:rPr>
                <w:rFonts w:ascii="Times New Roman;serif" w:hAnsi="Times New Roman;serif"/>
                <w:b/>
                <w:color w:val="000000"/>
                <w:sz w:val="22"/>
              </w:rPr>
              <w:t>Total Fee Offsets</w:t>
            </w:r>
          </w:p>
        </w:tc>
        <w:tc>
          <w:tcPr>
            <w:tcW w:w="1148"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00" w:before="0" w:after="2"/>
              <w:jc w:val="center"/>
              <w:rPr>
                <w:color w:val="000000"/>
              </w:rPr>
            </w:pPr>
            <w:r>
              <w:rPr>
                <w:color w:val="000000"/>
              </w:rPr>
              <w:t>—</w:t>
            </w:r>
          </w:p>
        </w:tc>
      </w:tr>
      <w:tr>
        <w:trPr/>
        <w:tc>
          <w:tcPr>
            <w:tcW w:w="4533" w:type="dxa"/>
            <w:gridSpan w:val="1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22"/>
              </w:rPr>
            </w:pPr>
            <w:r>
              <w:rPr>
                <w:rFonts w:ascii="Times New Roman;serif" w:hAnsi="Times New Roman;serif"/>
                <w:b/>
                <w:color w:val="000000"/>
                <w:sz w:val="22"/>
              </w:rPr>
              <w:t>Net Fee Due</w:t>
            </w:r>
          </w:p>
        </w:tc>
        <w:tc>
          <w:tcPr>
            <w:tcW w:w="1148"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300" w:before="0" w:after="2"/>
              <w:jc w:val="center"/>
              <w:rPr>
                <w:rFonts w:ascii="Times New Roman;serif" w:hAnsi="Times New Roman;serif"/>
                <w:b w:val="false"/>
                <w:color w:val="000000"/>
                <w:sz w:val="22"/>
              </w:rPr>
            </w:pPr>
            <w:r>
              <w:rPr>
                <w:rFonts w:ascii="Times New Roman;serif" w:hAnsi="Times New Roman;serif"/>
                <w:b w:val="false"/>
                <w:color w:val="000000"/>
                <w:sz w:val="22"/>
              </w:rPr>
              <w:t>$16,737.72</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13"/>
        <w:gridCol w:w="113"/>
        <w:gridCol w:w="113"/>
        <w:gridCol w:w="2796"/>
        <w:gridCol w:w="2786"/>
        <w:gridCol w:w="39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79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(1)</w:t>
            </w:r>
          </w:p>
        </w:tc>
        <w:tc>
          <w:tcPr>
            <w:tcW w:w="952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Pursuant to Rule 416 under the Securities Act of 1933, as amended (the “Securities Act”), this registration statement shall be deemed to cover any additional securities to be offered or issued from stock splits, stock dividends or similar transactions.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(2)</w:t>
            </w:r>
          </w:p>
        </w:tc>
        <w:tc>
          <w:tcPr>
            <w:tcW w:w="952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This Registration Statement on Form S-8 registers an additional 20,000,000 shares of Rackspace Technology, Inc.’s Common Stock issuable under the Rackspace Technology, Inc. 2020 Equity Incentive Plan.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(3)</w:t>
            </w:r>
          </w:p>
        </w:tc>
        <w:tc>
          <w:tcPr>
            <w:tcW w:w="952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Pursuant to Rule 457(c) and Rule 457(h) under the Securities Act, the proposed maximum offering price per share was determined based on the average of the high and low prices of Rackspace Technology, Inc.’s shares of Common Stock reported by Nasdaq Global Select Market on July 2, 2026.</w:t>
            </w:r>
          </w:p>
        </w:tc>
      </w:tr>
    </w:tbl>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firstLine="720"/>
        <w:jc w:val="left"/>
        <w:rPr>
          <w:rFonts w:ascii="Times New Roman;serif" w:hAnsi="Times New Roman;serif"/>
          <w:b/>
          <w:color w:val="000000"/>
          <w:sz w:val="24"/>
        </w:rPr>
      </w:pPr>
      <w:r>
        <w:rPr>
          <w:rFonts w:ascii="Times New Roman;serif" w:hAnsi="Times New Roman;serif"/>
          <w:b/>
          <w:color w:val="000000"/>
          <w:sz w:val="24"/>
        </w:rPr>
        <w:t>Exhibit 5.1</w:t>
      </w:r>
    </w:p>
    <w:p>
      <w:pPr>
        <w:pStyle w:val="TextBody"/>
        <w:bidi w:val="0"/>
        <w:spacing w:lineRule="auto" w:line="288" w:before="480" w:after="480"/>
        <w:jc w:val="center"/>
        <w:rPr>
          <w:rFonts w:ascii="Times New Roman;serif" w:hAnsi="Times New Roman;serif"/>
          <w:b w:val="false"/>
          <w:color w:val="000000"/>
          <w:sz w:val="24"/>
        </w:rPr>
      </w:pPr>
      <w:r>
        <w:rPr>
          <w:rFonts w:ascii="Times New Roman;serif" w:hAnsi="Times New Roman;serif"/>
          <w:b w:val="false"/>
          <w:color w:val="000000"/>
          <w:sz w:val="24"/>
        </w:rPr>
        <w:t>Paul, Weiss, Rifkind, Wharton &amp; Garrison LLP</w:t>
        <w:br/>
        <w:t>1285 Avenue of the Americas</w:t>
        <w:br/>
        <w:t>New York, New York 10019-6064</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July 9, 2026</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Georgia;serif" w:hAnsi="Georgia;serif"/>
          <w:b w:val="false"/>
          <w:color w:val="000000"/>
          <w:sz w:val="24"/>
        </w:rPr>
      </w:pPr>
      <w:r>
        <w:rPr>
          <w:rFonts w:ascii="Georgia;serif" w:hAnsi="Georgia;serif"/>
          <w:b w:val="false"/>
          <w:color w:val="000000"/>
          <w:sz w:val="24"/>
        </w:rPr>
        <w:t xml:space="preserve">Rackspace Technology, Inc. </w:t>
      </w:r>
    </w:p>
    <w:p>
      <w:pPr>
        <w:pStyle w:val="TextBody"/>
        <w:bidi w:val="0"/>
        <w:spacing w:lineRule="auto" w:line="276" w:before="0" w:after="0"/>
        <w:jc w:val="left"/>
        <w:rPr>
          <w:rFonts w:ascii="Georgia;serif" w:hAnsi="Georgia;serif"/>
          <w:b w:val="false"/>
          <w:color w:val="000000"/>
          <w:sz w:val="24"/>
        </w:rPr>
      </w:pPr>
      <w:r>
        <w:rPr>
          <w:rFonts w:ascii="Georgia;serif" w:hAnsi="Georgia;serif"/>
          <w:b w:val="false"/>
          <w:color w:val="000000"/>
          <w:sz w:val="24"/>
        </w:rPr>
        <w:t>19122 US Highway 281 N, Suite 127</w:t>
      </w:r>
    </w:p>
    <w:p>
      <w:pPr>
        <w:pStyle w:val="TextBody"/>
        <w:bidi w:val="0"/>
        <w:spacing w:lineRule="auto" w:line="276" w:before="0" w:after="0"/>
        <w:jc w:val="left"/>
        <w:rPr>
          <w:rFonts w:ascii="Georgia;serif" w:hAnsi="Georgia;serif"/>
          <w:b w:val="false"/>
          <w:color w:val="000000"/>
          <w:sz w:val="24"/>
        </w:rPr>
      </w:pPr>
      <w:r>
        <w:rPr>
          <w:rFonts w:ascii="Georgia;serif" w:hAnsi="Georgia;serif"/>
          <w:b w:val="false"/>
          <w:color w:val="000000"/>
          <w:sz w:val="24"/>
        </w:rPr>
        <w:t>San Antonio, Texas 78258</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Registration Statement on Form S-8</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Ladies and Gentlemen:</w:t>
      </w:r>
    </w:p>
    <w:p>
      <w:pPr>
        <w:pStyle w:val="TextBody"/>
        <w:bidi w:val="0"/>
        <w:spacing w:lineRule="auto" w:line="645" w:before="0" w:after="0"/>
        <w:ind w:left="0" w:right="0" w:firstLine="1440"/>
        <w:jc w:val="left"/>
        <w:rPr/>
      </w:pPr>
      <w:r>
        <w:rPr>
          <w:rFonts w:ascii="Times New Roman;serif" w:hAnsi="Times New Roman;serif"/>
          <w:b w:val="false"/>
          <w:color w:val="000000"/>
          <w:sz w:val="24"/>
        </w:rPr>
        <w:t>We have acted as special counsel to Rackspace Technology, Inc., a Delaware corporation (the “Company”), in connection with the Registration Statement on Form S-8 (the “Registration Statement”) of the Company, filed with the Securities and Exchange Commission pursuant to the Securities Act of 1933, as amended (the “Act”), and the rules and regulations thereunder (the “Rules”). You have asked us to furnish our opinion as to the legality of the securities being registered under the Registration Statement. The Registration Statement relates to the registration under the Act of an additional 20,000,000 shares of common stock, par value $0.01 per share, of the Company (collectively, the “</w:t>
      </w:r>
      <w:r>
        <w:rPr>
          <w:rFonts w:ascii="Times New Roman;serif" w:hAnsi="Times New Roman;serif"/>
          <w:b w:val="false"/>
          <w:color w:val="000000"/>
          <w:sz w:val="24"/>
          <w:u w:val="single"/>
        </w:rPr>
        <w:t>Shares</w:t>
      </w:r>
      <w:r>
        <w:rPr>
          <w:color w:val="000000"/>
        </w:rPr>
        <w:t>”</w:t>
      </w:r>
      <w:r>
        <w:rPr>
          <w:rFonts w:ascii="Times New Roman;serif" w:hAnsi="Times New Roman;serif"/>
          <w:b w:val="false"/>
          <w:color w:val="000000"/>
          <w:sz w:val="24"/>
        </w:rPr>
        <w:t>), that are reserved for issuance under the Rackspace Technology, Inc. 2020 Equity Incentive Plan (the “2020 Incentive Plan”).</w:t>
      </w:r>
    </w:p>
    <w:p>
      <w:pPr>
        <w:pStyle w:val="TextBody"/>
        <w:bidi w:val="0"/>
        <w:spacing w:lineRule="auto" w:line="645"/>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In connection with the furnishing of this opinion, we have examined originals, or copies certified or otherwise identified to our satisfaction, of the following documents (collectively, the “Documents”): </w:t>
      </w:r>
    </w:p>
    <w:p>
      <w:pPr>
        <w:pStyle w:val="TextBody"/>
        <w:bidi w:val="0"/>
        <w:spacing w:before="0" w:after="0"/>
        <w:ind w:left="0" w:right="0" w:firstLine="14"/>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14"/>
        <w:jc w:val="left"/>
        <w:rPr/>
      </w:pPr>
      <w:r>
        <w:rPr/>
      </w:r>
    </w:p>
    <w:p>
      <w:pPr>
        <w:pStyle w:val="TextBody"/>
        <w:bidi w:val="0"/>
        <w:spacing w:before="0" w:after="0"/>
        <w:jc w:val="left"/>
        <w:rPr/>
      </w:pPr>
      <w:r>
        <w:rPr/>
      </w:r>
    </w:p>
    <w:p>
      <w:pPr>
        <w:pStyle w:val="TextBody"/>
        <w:bidi w:val="0"/>
        <w:spacing w:lineRule="auto" w:line="240"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Rackspace Technology, Inc.            2</w:t>
      </w:r>
    </w:p>
    <w:p>
      <w:pPr>
        <w:pStyle w:val="TextBody"/>
        <w:bidi w:val="0"/>
        <w:spacing w:lineRule="auto" w:line="645"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1.    the Registration Statement;</w:t>
      </w:r>
    </w:p>
    <w:p>
      <w:pPr>
        <w:pStyle w:val="TextBody"/>
        <w:bidi w:val="0"/>
        <w:spacing w:lineRule="auto" w:line="645"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2.    the 2020 Incentive Plan and the forms of award agreements (the “Plan Agreements”) relating to awards under the 2020 Incentive Plan; </w:t>
      </w:r>
    </w:p>
    <w:p>
      <w:pPr>
        <w:pStyle w:val="TextBody"/>
        <w:bidi w:val="0"/>
        <w:spacing w:lineRule="auto" w:line="645"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3.    the Second Amended and Restated Certificate of Incorporation of the Company, included as Exhibit 3.1 to the Registration Statement; and</w:t>
      </w:r>
    </w:p>
    <w:p>
      <w:pPr>
        <w:pStyle w:val="TextBody"/>
        <w:bidi w:val="0"/>
        <w:spacing w:lineRule="auto" w:line="645"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4.    the Second Amended and Restated Bylaws of the Company, included as Exhibit 3.2 to the Registration Statement.</w:t>
      </w:r>
    </w:p>
    <w:p>
      <w:pPr>
        <w:pStyle w:val="TextBody"/>
        <w:bidi w:val="0"/>
        <w:spacing w:lineRule="auto" w:line="645" w:before="0" w:after="0"/>
        <w:jc w:val="left"/>
        <w:rPr>
          <w:color w:val="000000"/>
        </w:rPr>
      </w:pPr>
      <w:r>
        <w:rPr>
          <w:color w:val="000000"/>
        </w:rPr>
        <w:t>        </w:t>
      </w:r>
      <w:r>
        <w:rPr>
          <w:rFonts w:ascii="Times New Roman;serif" w:hAnsi="Times New Roman;serif"/>
          <w:b w:val="false"/>
          <w:color w:val="000000"/>
          <w:sz w:val="24"/>
        </w:rPr>
        <w:t>In addition, we have examined (i) such corporate records of the Company that we have considered appropriate, including copies of resolutions of the board of directors of the Company and resolutions of the compensation committee of the board of directors of the Company, each relating to the issuance of the Shares, certified by the Company and (ii) such other certificates, agreements and documents that we deemed relevant and necessary as a basis for the opinion expressed below. We have also relied upon certificates of public officials and the officers of the Company.</w:t>
      </w:r>
    </w:p>
    <w:p>
      <w:pPr>
        <w:pStyle w:val="TextBody"/>
        <w:bidi w:val="0"/>
        <w:spacing w:lineRule="auto" w:line="645"/>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In our examination of the documents referred to above, we have assumed, without independent investigation, the genuineness of all signatures, the legal capacity of all individuals who have executed any of the documents reviewed by us, the authenticity of all documents submitted to us as originals, the conformity to the originals of all documents submitted to us as certified, photostatic, reproduced or conformed copies of valid existing agreements or other documents, the authenticity of all the latter documents </w:t>
      </w:r>
    </w:p>
    <w:p>
      <w:pPr>
        <w:pStyle w:val="TextBody"/>
        <w:bidi w:val="0"/>
        <w:spacing w:before="0" w:after="0"/>
        <w:ind w:left="0" w:right="0" w:firstLine="14"/>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14"/>
        <w:jc w:val="left"/>
        <w:rPr/>
      </w:pPr>
      <w:r>
        <w:rPr/>
      </w:r>
    </w:p>
    <w:p>
      <w:pPr>
        <w:pStyle w:val="TextBody"/>
        <w:bidi w:val="0"/>
        <w:spacing w:before="0" w:after="0"/>
        <w:jc w:val="left"/>
        <w:rPr/>
      </w:pPr>
      <w:r>
        <w:rPr/>
      </w:r>
    </w:p>
    <w:p>
      <w:pPr>
        <w:pStyle w:val="TextBody"/>
        <w:bidi w:val="0"/>
        <w:spacing w:lineRule="auto" w:line="240"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Rackspace Technology, Inc.            3</w:t>
      </w:r>
    </w:p>
    <w:p>
      <w:pPr>
        <w:pStyle w:val="TextBody"/>
        <w:bidi w:val="0"/>
        <w:spacing w:lineRule="auto" w:line="645" w:before="0" w:after="0"/>
        <w:jc w:val="left"/>
        <w:rPr>
          <w:rFonts w:ascii="Times New Roman;serif" w:hAnsi="Times New Roman;serif"/>
          <w:b w:val="false"/>
          <w:color w:val="000000"/>
          <w:sz w:val="24"/>
        </w:rPr>
      </w:pPr>
      <w:r>
        <w:rPr>
          <w:rFonts w:ascii="Times New Roman;serif" w:hAnsi="Times New Roman;serif"/>
          <w:b w:val="false"/>
          <w:color w:val="000000"/>
          <w:sz w:val="24"/>
        </w:rPr>
        <w:t>and that the statements regarding matters of fact in the certificates, records, agreements, instruments and documents that we have examined are accurate and complete.</w:t>
      </w:r>
    </w:p>
    <w:p>
      <w:pPr>
        <w:pStyle w:val="TextBody"/>
        <w:bidi w:val="0"/>
        <w:spacing w:lineRule="auto" w:line="645"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Based upon the above, and subject to the stated assumptions, exceptions and qualifications, we are of the opinion that the Shares have been duly authorized by all necessary corporate action on the part of the Company and, when issued and delivered in accordance with the terms of the 2020 Incentive Plan and any applicable Plan Agreement under the 2020 Incentive Plan, the Shares will be validly issued, fully paid and non-assessable.</w:t>
      </w:r>
    </w:p>
    <w:p>
      <w:pPr>
        <w:pStyle w:val="TextBody"/>
        <w:bidi w:val="0"/>
        <w:spacing w:lineRule="auto" w:line="645"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The opinion expressed above is limited to the General Corporation Law of the State of Delaware. Our opinion is rendered only with respect to the laws, and the rules, regulations and orders under those laws, that are currently in effect.</w:t>
      </w:r>
    </w:p>
    <w:p>
      <w:pPr>
        <w:pStyle w:val="TextBody"/>
        <w:bidi w:val="0"/>
        <w:spacing w:lineRule="auto" w:line="645"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We hereby consent to use of this opinion as an exhibit to the Registration Statement. In giving this consent, we do not thereby admit that we come within the category of persons whose consent is required by the Act or the Rules.</w:t>
      </w:r>
    </w:p>
    <w:p>
      <w:pPr>
        <w:pStyle w:val="TextBody"/>
        <w:bidi w:val="0"/>
        <w:spacing w:before="0" w:after="480"/>
        <w:jc w:val="left"/>
        <w:rPr/>
      </w:pPr>
      <w:r>
        <w:rPr/>
      </w:r>
    </w:p>
    <w:p>
      <w:pPr>
        <w:pStyle w:val="TextBody"/>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Very truly yours,</w:t>
      </w:r>
    </w:p>
    <w:p>
      <w:pPr>
        <w:pStyle w:val="TextBody"/>
        <w:bidi w:val="0"/>
        <w:spacing w:lineRule="auto" w:line="288" w:before="0" w:after="480"/>
        <w:jc w:val="center"/>
        <w:rPr>
          <w:color w:val="000000"/>
        </w:rPr>
      </w:pPr>
      <w:r>
        <w:rPr>
          <w:color w:val="000000"/>
        </w:rPr>
        <w:t>        </w:t>
      </w:r>
      <w:r>
        <w:rPr>
          <w:rFonts w:ascii="Times New Roman;serif" w:hAnsi="Times New Roman;serif"/>
          <w:b w:val="false"/>
          <w:color w:val="000000"/>
          <w:sz w:val="24"/>
        </w:rPr>
        <w:t>/s/ Paul, Weiss, Rifkind, Wharton &amp; Garrison LLP</w:t>
      </w:r>
    </w:p>
    <w:p>
      <w:pPr>
        <w:pStyle w:val="TextBody"/>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PAUL, WEISS, RIFKIND, WHARTON &amp; GARRISON LLP</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19" w:before="0" w:after="0"/>
        <w:jc w:val="right"/>
        <w:rPr>
          <w:rFonts w:ascii="Times New Roman;serif" w:hAnsi="Times New Roman;serif"/>
          <w:b/>
          <w:color w:val="000000"/>
          <w:sz w:val="20"/>
        </w:rPr>
      </w:pPr>
      <w:r>
        <w:rPr>
          <w:rFonts w:ascii="Times New Roman;serif" w:hAnsi="Times New Roman;serif"/>
          <w:b/>
          <w:color w:val="000000"/>
          <w:sz w:val="20"/>
        </w:rPr>
        <w:t>Exhibit 23.2</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9" w:before="240" w:after="240"/>
        <w:jc w:val="center"/>
        <w:rPr>
          <w:rFonts w:ascii="Georgia;serif" w:hAnsi="Georgia;serif"/>
          <w:b w:val="false"/>
          <w:color w:val="000000"/>
          <w:sz w:val="22"/>
        </w:rPr>
      </w:pPr>
      <w:r>
        <w:rPr>
          <w:rFonts w:ascii="Georgia;serif" w:hAnsi="Georgia;serif"/>
          <w:b w:val="false"/>
          <w:color w:val="000000"/>
          <w:sz w:val="22"/>
        </w:rPr>
        <w:t>CONSENT OF INDEPENDENT REGISTERED PUBLIC ACCOUNTING FIRM</w:t>
      </w:r>
    </w:p>
    <w:p>
      <w:pPr>
        <w:pStyle w:val="TextBody"/>
        <w:bidi w:val="0"/>
        <w:spacing w:lineRule="auto" w:line="240" w:before="240" w:after="240"/>
        <w:jc w:val="left"/>
        <w:rPr>
          <w:rFonts w:ascii="Georgia;serif" w:hAnsi="Georgia;serif"/>
          <w:b w:val="false"/>
          <w:color w:val="000000"/>
          <w:sz w:val="22"/>
        </w:rPr>
      </w:pPr>
      <w:r>
        <w:rPr>
          <w:rFonts w:ascii="Georgia;serif" w:hAnsi="Georgia;serif"/>
          <w:b w:val="false"/>
          <w:color w:val="000000"/>
          <w:sz w:val="22"/>
        </w:rPr>
        <w:t xml:space="preserve">We hereby consent to the incorporation by reference in this Registration Statement on Form S-8 of Rackspace Technology, Inc. of our report dated March 20, 2025 relating to the financial statements, which appears in Rackspace Technology, Inc.'s Annual Report on Form 10-K for the year ended December 31, 2025. </w:t>
      </w:r>
    </w:p>
    <w:p>
      <w:pPr>
        <w:pStyle w:val="TextBody"/>
        <w:bidi w:val="0"/>
        <w:spacing w:lineRule="auto" w:line="240" w:before="0" w:after="0"/>
        <w:jc w:val="left"/>
        <w:rPr>
          <w:rFonts w:ascii="Georgia;serif" w:hAnsi="Georgia;serif"/>
          <w:b w:val="false"/>
          <w:color w:val="000000"/>
          <w:sz w:val="22"/>
        </w:rPr>
      </w:pPr>
      <w:r>
        <w:rPr>
          <w:rFonts w:ascii="Georgia;serif" w:hAnsi="Georgia;serif"/>
          <w:b w:val="false"/>
          <w:color w:val="000000"/>
          <w:sz w:val="22"/>
        </w:rPr>
        <w:t>/s/ PricewaterhouseCoopers LLP</w:t>
      </w:r>
    </w:p>
    <w:p>
      <w:pPr>
        <w:pStyle w:val="TextBody"/>
        <w:bidi w:val="0"/>
        <w:spacing w:lineRule="auto" w:line="240" w:before="0" w:after="0"/>
        <w:jc w:val="left"/>
        <w:rPr>
          <w:rFonts w:ascii="Georgia;serif" w:hAnsi="Georgia;serif"/>
          <w:b w:val="false"/>
          <w:color w:val="000000"/>
          <w:sz w:val="22"/>
        </w:rPr>
      </w:pPr>
      <w:r>
        <w:rPr>
          <w:rFonts w:ascii="Georgia;serif" w:hAnsi="Georgia;serif"/>
          <w:b w:val="false"/>
          <w:color w:val="000000"/>
          <w:sz w:val="22"/>
        </w:rPr>
        <w:t>Austin, Texas</w:t>
      </w:r>
    </w:p>
    <w:p>
      <w:pPr>
        <w:pStyle w:val="TextBody"/>
        <w:bidi w:val="0"/>
        <w:spacing w:lineRule="auto" w:line="240"/>
        <w:jc w:val="left"/>
        <w:rPr>
          <w:rFonts w:ascii="Georgia;serif" w:hAnsi="Georgia;serif"/>
          <w:b w:val="false"/>
          <w:color w:val="000000"/>
          <w:sz w:val="22"/>
        </w:rPr>
      </w:pPr>
      <w:r>
        <w:rPr>
          <w:rFonts w:ascii="Georgia;serif" w:hAnsi="Georgia;serif"/>
          <w:b w:val="false"/>
          <w:color w:val="000000"/>
          <w:sz w:val="22"/>
        </w:rPr>
        <w:t>July 9,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19" w:before="0" w:after="0"/>
        <w:jc w:val="right"/>
        <w:rPr>
          <w:rFonts w:ascii="Times New Roman;serif" w:hAnsi="Times New Roman;serif"/>
          <w:b/>
          <w:color w:val="000000"/>
          <w:sz w:val="20"/>
        </w:rPr>
      </w:pPr>
      <w:r>
        <w:rPr>
          <w:rFonts w:ascii="Times New Roman;serif" w:hAnsi="Times New Roman;serif"/>
          <w:b/>
          <w:color w:val="000000"/>
          <w:sz w:val="20"/>
        </w:rPr>
        <w:t>Exhibit 23.3</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9" w:before="0" w:after="0"/>
        <w:jc w:val="center"/>
        <w:rPr>
          <w:rFonts w:ascii="Lato;sans-serif" w:hAnsi="Lato;sans-serif"/>
          <w:b/>
          <w:color w:val="000000"/>
          <w:sz w:val="22"/>
        </w:rPr>
      </w:pPr>
      <w:r>
        <w:rPr>
          <w:rFonts w:ascii="Lato;sans-serif" w:hAnsi="Lato;sans-serif"/>
          <w:b/>
          <w:color w:val="000000"/>
          <w:sz w:val="22"/>
        </w:rPr>
        <w:t>Consent of Independent Registered Public Accounting Firm</w:t>
      </w:r>
    </w:p>
    <w:p>
      <w:pPr>
        <w:pStyle w:val="TextBody"/>
        <w:bidi w:val="0"/>
        <w:spacing w:before="0" w:after="0"/>
        <w:jc w:val="center"/>
        <w:rPr/>
      </w:pPr>
      <w:r>
        <w:rPr/>
      </w:r>
    </w:p>
    <w:p>
      <w:pPr>
        <w:pStyle w:val="TextBody"/>
        <w:bidi w:val="0"/>
        <w:spacing w:lineRule="auto" w:line="319" w:before="0" w:after="0"/>
        <w:jc w:val="left"/>
        <w:rPr>
          <w:rFonts w:ascii="Lato;sans-serif" w:hAnsi="Lato;sans-serif"/>
          <w:b w:val="false"/>
          <w:color w:val="000000"/>
          <w:sz w:val="22"/>
        </w:rPr>
      </w:pPr>
      <w:r>
        <w:rPr>
          <w:rFonts w:ascii="Lato;sans-serif" w:hAnsi="Lato;sans-serif"/>
          <w:b w:val="false"/>
          <w:color w:val="000000"/>
          <w:sz w:val="22"/>
        </w:rPr>
        <w:t>We consent to the use of our reports dated March 6, 2026, with respect to the consolidated financial statements of Rackspace Technology, Inc. and subsidiaries, and the effectiveness of internal control over financial reporting, incorporated herein by reference.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9" w:before="0" w:after="0"/>
        <w:ind w:left="0" w:right="0" w:firstLine="4320"/>
        <w:jc w:val="left"/>
        <w:rPr>
          <w:rFonts w:ascii="Lato;sans-serif" w:hAnsi="Lato;sans-serif"/>
          <w:b w:val="false"/>
          <w:color w:val="000000"/>
          <w:sz w:val="22"/>
        </w:rPr>
      </w:pPr>
      <w:r>
        <w:rPr>
          <w:rFonts w:ascii="Lato;sans-serif" w:hAnsi="Lato;sans-serif"/>
          <w:b w:val="false"/>
          <w:color w:val="000000"/>
          <w:sz w:val="22"/>
        </w:rPr>
        <w:t>/s/ KPMG LLP</w:t>
      </w:r>
    </w:p>
    <w:p>
      <w:pPr>
        <w:pStyle w:val="TextBody"/>
        <w:bidi w:val="0"/>
        <w:spacing w:before="0" w:after="0"/>
        <w:ind w:left="0" w:right="0" w:firstLine="4320"/>
        <w:jc w:val="left"/>
        <w:rPr/>
      </w:pPr>
      <w:r>
        <w:rPr/>
      </w:r>
    </w:p>
    <w:p>
      <w:pPr>
        <w:pStyle w:val="TextBody"/>
        <w:bidi w:val="0"/>
        <w:spacing w:lineRule="auto" w:line="319" w:before="0" w:after="0"/>
        <w:jc w:val="left"/>
        <w:rPr>
          <w:rFonts w:ascii="Lato;sans-serif" w:hAnsi="Lato;sans-serif"/>
          <w:b w:val="false"/>
          <w:color w:val="000000"/>
          <w:sz w:val="22"/>
        </w:rPr>
      </w:pPr>
      <w:r>
        <w:rPr>
          <w:rFonts w:ascii="Lato;sans-serif" w:hAnsi="Lato;sans-serif"/>
          <w:b w:val="false"/>
          <w:color w:val="000000"/>
          <w:sz w:val="22"/>
        </w:rPr>
        <w:t>San Antonio, Texas</w:t>
      </w:r>
    </w:p>
    <w:p>
      <w:pPr>
        <w:pStyle w:val="TextBody"/>
        <w:bidi w:val="0"/>
        <w:spacing w:lineRule="auto" w:line="319"/>
        <w:jc w:val="left"/>
        <w:rPr>
          <w:rFonts w:ascii="Lato;sans-serif" w:hAnsi="Lato;sans-serif"/>
          <w:b w:val="false"/>
          <w:color w:val="000000"/>
          <w:sz w:val="22"/>
        </w:rPr>
      </w:pPr>
      <w:r>
        <w:rPr>
          <w:rFonts w:ascii="Lato;sans-serif" w:hAnsi="Lato;sans-serif"/>
          <w:b w:val="false"/>
          <w:color w:val="000000"/>
          <w:sz w:val="22"/>
        </w:rPr>
        <w:t>July 9, 2026</w:t>
      </w:r>
    </w:p>
    <w:p>
      <w:pPr>
        <w:pStyle w:val="TextBody"/>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Georgia">
    <w:altName w:val="serif"/>
    <w:charset w:val="01"/>
    <w:family w:val="auto"/>
    <w:pitch w:val="default"/>
  </w:font>
  <w:font w:name="Lato">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10019/000181001926000015/rxt-20251231.htm" TargetMode="External"/><Relationship Id="rId3" Type="http://schemas.openxmlformats.org/officeDocument/2006/relationships/hyperlink" Target="https://www.sec.gov/Archives/edgar/data/0001810019/000181001926000032/rxt-20260430.htm" TargetMode="External"/><Relationship Id="rId4" Type="http://schemas.openxmlformats.org/officeDocument/2006/relationships/hyperlink" Target="https://www.sec.gov/Archives/edgar/data/0001810019/000181001926000032/rxt-20260430.htm" TargetMode="External"/><Relationship Id="rId5" Type="http://schemas.openxmlformats.org/officeDocument/2006/relationships/hyperlink" Target="https://www.sec.gov/Archives/edgar/data/1810019/000181001926000044/rxt-20260331.htm" TargetMode="External"/><Relationship Id="rId6" Type="http://schemas.openxmlformats.org/officeDocument/2006/relationships/hyperlink" Target="https://www.sec.gov/Archives/edgar/data/0001810019/000181001926000021/rxt-20260331.htm" TargetMode="External"/><Relationship Id="rId7" Type="http://schemas.openxmlformats.org/officeDocument/2006/relationships/hyperlink" Target="https://www.sec.gov/Archives/edgar/data/0001810019/000181001926000058/rxt-20260610.htm" TargetMode="External"/><Relationship Id="rId8" Type="http://schemas.openxmlformats.org/officeDocument/2006/relationships/hyperlink" Target="https://www.sec.gov/Archives/edgar/data/0001810019/000181001926000059/rxt-20260616.htm" TargetMode="External"/><Relationship Id="rId9" Type="http://schemas.openxmlformats.org/officeDocument/2006/relationships/hyperlink" Target="https://www.sec.gov/Archives/edgar/data/0001810019/000181001926000061/rxt-20260618.htm" TargetMode="External"/><Relationship Id="rId10" Type="http://schemas.openxmlformats.org/officeDocument/2006/relationships/hyperlink" Target="https://www.sec.gov/Archives/edgar/data/0001810019/000181001926000078/rxt-20260702.htm" TargetMode="External"/><Relationship Id="rId11" Type="http://schemas.openxmlformats.org/officeDocument/2006/relationships/hyperlink" Target="https://www.sec.gov/Archives/edgar/data/0001810019/000181001926000078/rxt-20260702.htm" TargetMode="External"/><Relationship Id="rId12" Type="http://schemas.openxmlformats.org/officeDocument/2006/relationships/hyperlink" Target="https://www.sec.gov/Archives/edgar/data/0001810019/000181001926000078/rxt-20260702.htm" TargetMode="External"/><Relationship Id="rId13" Type="http://schemas.openxmlformats.org/officeDocument/2006/relationships/hyperlink" Target="https://www.sec.gov/Archives/edgar/data/1810019/000119312520207569/d14198d8a12b.htm" TargetMode="External"/><Relationship Id="rId14" Type="http://schemas.openxmlformats.org/officeDocument/2006/relationships/hyperlink" Target="https://www.sec.gov/Archives/edgar/data/1810019/000119312520209647/d36076dex31.htm" TargetMode="External"/><Relationship Id="rId15" Type="http://schemas.openxmlformats.org/officeDocument/2006/relationships/hyperlink" Target="https://www.sec.gov/Archives/edgar/data/1810019/000119312520209647/d36076dex32.htm" TargetMode="External"/><Relationship Id="rId16" Type="http://schemas.openxmlformats.org/officeDocument/2006/relationships/hyperlink" Target="https://www.sec.gov/Archives/edgar/data/1810019/000119312520209647/d36076dex42.htm" TargetMode="External"/><Relationship Id="rId17" Type="http://schemas.openxmlformats.org/officeDocument/2006/relationships/hyperlink" Target="https://www.sec.gov/Archives/edgar/data/1810019/000181001922000088/rxt2021proxystatement.htm" TargetMode="External"/><Relationship Id="rId18" Type="http://schemas.openxmlformats.org/officeDocument/2006/relationships/hyperlink" Target="https://www.sec.gov/Archives/edgar/data/1810019/000181001923000073/rxt-20230427.htm" TargetMode="External"/><Relationship Id="rId19" Type="http://schemas.openxmlformats.org/officeDocument/2006/relationships/hyperlink" Target="https://www.sec.gov/ix?doc=/Archives/edgar/data/1810019/000181001924000075/rxt-20240429.htm"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2698</Words>
  <Characters>14793</Characters>
  <CharactersWithSpaces>17384</CharactersWithSpaces>
  <Paragraphs>242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