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July 9, 2026</w:t>
      </w:r>
    </w:p>
    <w:tbl>
      <w:tblPr>
        <w:tblW w:w="2505" w:type="dxa"/>
        <w:jc w:val="left"/>
        <w:tblInd w:w="0" w:type="dxa"/>
        <w:tblLayout w:type="fixed"/>
        <w:tblCellMar>
          <w:top w:w="28" w:type="dxa"/>
          <w:left w:w="28" w:type="dxa"/>
          <w:bottom w:w="28" w:type="dxa"/>
          <w:right w:w="28" w:type="dxa"/>
        </w:tblCellMar>
      </w:tblPr>
      <w:tblGrid>
        <w:gridCol w:w="801"/>
        <w:gridCol w:w="705"/>
        <w:gridCol w:w="999"/>
      </w:tblGrid>
      <w:tr>
        <w:trPr/>
        <w:tc>
          <w:tcPr>
            <w:tcW w:w="8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color w:val="000000"/>
                <w:sz w:val="16"/>
              </w:rPr>
            </w:pPr>
            <w:r>
              <w:rPr>
                <w:rFonts w:ascii="Times New Roman;serif" w:hAnsi="Times New Roman;serif"/>
                <w:b/>
                <w:color w:val="000000"/>
                <w:sz w:val="16"/>
              </w:rPr>
              <w:t>Registration No. 333-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RACKSPACE TECHNOLOGY,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674" w:type="dxa"/>
        <w:jc w:val="left"/>
        <w:tblInd w:w="0" w:type="dxa"/>
        <w:tblLayout w:type="fixed"/>
        <w:tblCellMar>
          <w:top w:w="28" w:type="dxa"/>
          <w:left w:w="28" w:type="dxa"/>
          <w:bottom w:w="28" w:type="dxa"/>
          <w:right w:w="28" w:type="dxa"/>
        </w:tblCellMar>
      </w:tblPr>
      <w:tblGrid>
        <w:gridCol w:w="809"/>
        <w:gridCol w:w="711"/>
        <w:gridCol w:w="715"/>
        <w:gridCol w:w="419"/>
        <w:gridCol w:w="419"/>
        <w:gridCol w:w="60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81-3369925</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19122 US Highway 281 N.</w:t>
        <w:br/>
        <w:t>Suite 127</w:t>
        <w:br/>
        <w:t xml:space="preserve">San Antonio, Texas 78258 </w:t>
        <w:br/>
        <w:t>1-800-961-4454</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including area code, of registrant’s principal executive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Marino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Financial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19122 US Highway 281 N.</w:t>
        <w:br/>
        <w:t>Suite 127</w:t>
        <w:br/>
        <w:t xml:space="preserve">San Antonio, Texas 78258 </w:t>
        <w:br/>
        <w:t>1-800-961-4454</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number, including area code, of agent for service)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Copies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Brian M. Janson, Esq.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Paul, Weiss, Rifkind, Wharton &amp; Garrison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1285 Avenue of the Americas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New York, New York 10019-6064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1-212-373-3588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color w:val="000000"/>
          <w:sz w:val="16"/>
        </w:rPr>
        <w:t>Approximate date of commencement of proposed sale to the public:</w:t>
      </w:r>
      <w:r>
        <w:rPr>
          <w:color w:val="000000"/>
        </w:rPr>
        <w:t xml:space="preserve"> </w:t>
      </w:r>
      <w:r>
        <w:rPr>
          <w:rFonts w:ascii="Times New Roman;serif" w:hAnsi="Times New Roman;serif"/>
          <w:b w:val="false"/>
          <w:color w:val="000000"/>
          <w:sz w:val="16"/>
        </w:rPr>
        <w:t>From time to time after the effective date of this Registration Statement.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1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927" w:type="dxa"/>
        <w:jc w:val="left"/>
        <w:tblInd w:w="0" w:type="dxa"/>
        <w:tblLayout w:type="fixed"/>
        <w:tblCellMar>
          <w:top w:w="28" w:type="dxa"/>
          <w:left w:w="28" w:type="dxa"/>
          <w:bottom w:w="28" w:type="dxa"/>
          <w:right w:w="28" w:type="dxa"/>
        </w:tblCellMar>
      </w:tblPr>
      <w:tblGrid>
        <w:gridCol w:w="603"/>
        <w:gridCol w:w="530"/>
        <w:gridCol w:w="532"/>
        <w:gridCol w:w="954"/>
        <w:gridCol w:w="954"/>
        <w:gridCol w:w="957"/>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erif" w:hAnsi="Times New Roman;serif"/>
                <w:b w:val="false"/>
                <w:color w:val="000000"/>
                <w:sz w:val="16"/>
              </w:rPr>
              <w:t>(Do not check if a smaller reporting</w:t>
              <w:br/>
              <w:t>company)</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20"/>
        <w:jc w:val="center"/>
        <w:rPr/>
      </w:pPr>
      <w:r>
        <w:rPr/>
        <w:drawing>
          <wp:inline distT="0" distB="0" distL="0" distR="0">
            <wp:extent cx="1781175"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81175" cy="542925"/>
                    </a:xfrm>
                    <a:prstGeom prst="rect">
                      <a:avLst/>
                    </a:prstGeom>
                  </pic:spPr>
                </pic:pic>
              </a:graphicData>
            </a:graphic>
          </wp:inline>
        </w:drawing>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Rackspace Technology, Inc.</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Depositary Shares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Rights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Purchase Contracts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time we offer securities pursuant to this prospectus,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 In addition, selling stockholders named in a prospectus supplement may offer, from time to time and in one or more offerings, shares of our common stock.</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securities may be sold on a continuous or delayed basis directly to or through agents, dealers or underwriters as designated from time to time, or through a combination of these methods.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par value $0.01 per share, is traded on the Nasdaq Stock Market LLC under the symbol “RXT.” If we decide to list or seek a quotation for any other securities, the prospectus supplement relating to those securities will disclose the exchange or market on which those securities will be listed or quoted.</w:t>
      </w:r>
    </w:p>
    <w:p>
      <w:pPr>
        <w:pStyle w:val="TextBody"/>
        <w:bidi w:val="0"/>
        <w:spacing w:lineRule="auto" w:line="288" w:before="0" w:after="120"/>
        <w:ind w:left="0" w:right="0" w:firstLine="720"/>
        <w:jc w:val="left"/>
        <w:rPr/>
      </w:pPr>
      <w:r>
        <w:rPr>
          <w:rFonts w:ascii="Times New Roman;serif" w:hAnsi="Times New Roman;serif"/>
          <w:b/>
          <w:color w:val="000000"/>
          <w:sz w:val="20"/>
        </w:rPr>
        <w:t xml:space="preserve">Investing in these securities involves significant risks. We strongly recommend that you read carefully the risks we describe in this prospectus as well as in any accompanying prospectus supplement and the risk factors that are incorporated by reference into this prospectus from our filings made with the Securities and Exchange Commission. See “Risk Factors” beginning on page </w:t>
      </w:r>
      <w:hyperlink w:anchor="id3a1d7f135454af99457939d3f2eceda_299">
        <w:r>
          <w:rPr>
            <w:rStyle w:val="InternetLink"/>
            <w:rFonts w:ascii="Times New Roman;serif" w:hAnsi="Times New Roman;serif"/>
            <w:b/>
            <w:color w:val="000000"/>
            <w:sz w:val="20"/>
            <w:u w:val="single"/>
          </w:rPr>
          <w:t>6</w:t>
        </w:r>
      </w:hyperlink>
      <w:r>
        <w:rPr>
          <w:color w:val="000000"/>
        </w:rPr>
        <w:t xml:space="preserve"> </w:t>
      </w:r>
      <w:r>
        <w:rPr>
          <w:rFonts w:ascii="Times New Roman;serif" w:hAnsi="Times New Roman;serif"/>
          <w:b/>
          <w:color w:val="000000"/>
          <w:sz w:val="20"/>
        </w:rPr>
        <w:t>of this prospectus.</w:t>
      </w:r>
    </w:p>
    <w:p>
      <w:pPr>
        <w:pStyle w:val="TextBody"/>
        <w:bidi w:val="0"/>
        <w:spacing w:lineRule="auto" w:line="288" w:before="0" w:after="4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July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0" w:name="iec34eee66b824616ad9c4a32d42430c1"/>
      <w:bookmarkEnd w:id="0"/>
      <w:r>
        <w:rPr>
          <w:rFonts w:ascii="Times New Roman;serif" w:hAnsi="Times New Roman;serif"/>
          <w:b/>
          <w:color w:val="000000"/>
          <w:sz w:val="20"/>
        </w:rPr>
        <w:t>TABLE OF CONTENTS</w:t>
      </w:r>
    </w:p>
    <w:tbl>
      <w:tblPr>
        <w:tblW w:w="4692" w:type="dxa"/>
        <w:jc w:val="left"/>
        <w:tblInd w:w="0" w:type="dxa"/>
        <w:tblLayout w:type="fixed"/>
        <w:tblCellMar>
          <w:top w:w="28" w:type="dxa"/>
          <w:left w:w="28" w:type="dxa"/>
          <w:bottom w:w="28" w:type="dxa"/>
          <w:right w:w="28" w:type="dxa"/>
        </w:tblCellMar>
      </w:tblPr>
      <w:tblGrid>
        <w:gridCol w:w="1564"/>
        <w:gridCol w:w="1376"/>
        <w:gridCol w:w="1380"/>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cdfdd432ec4609b6a0fa7c854b2982">
              <w:r>
                <w:rPr>
                  <w:rStyle w:val="InternetLink"/>
                  <w:rFonts w:ascii="Times New Roman;serif" w:hAnsi="Times New Roman;serif"/>
                  <w:b w:val="false"/>
                  <w:strike w:val="false"/>
                  <w:dstrike w:val="false"/>
                  <w:color w:val="000000"/>
                  <w:sz w:val="20"/>
                  <w:u w:val="none"/>
                  <w:effect w:val="none"/>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dcdfdd432ec4609b6a0fa7c854b2982">
              <w:r>
                <w:rPr>
                  <w:rStyle w:val="InternetLink"/>
                  <w:rFonts w:ascii="Times New Roman;serif" w:hAnsi="Times New Roman;serif"/>
                  <w:b w:val="false"/>
                  <w:strike w:val="false"/>
                  <w:dstrike w:val="false"/>
                  <w:color w:val="000000"/>
                  <w:sz w:val="20"/>
                  <w:u w:val="none"/>
                  <w:effect w:val="none"/>
                </w:rPr>
                <w:t>1</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d72296cea3465d9dbb86f0a45966c2">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dd72296cea3465d9dbb86f0a45966c2">
              <w:r>
                <w:rPr>
                  <w:rStyle w:val="InternetLink"/>
                  <w:rFonts w:ascii="Times New Roman;serif" w:hAnsi="Times New Roman;serif"/>
                  <w:b w:val="false"/>
                  <w:strike w:val="false"/>
                  <w:dstrike w:val="false"/>
                  <w:color w:val="000000"/>
                  <w:sz w:val="20"/>
                  <w:u w:val="none"/>
                  <w:effect w:val="none"/>
                </w:rPr>
                <w:t>2</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e1927be73843f8a914ad6f7048c55a">
              <w:r>
                <w:rPr>
                  <w:rStyle w:val="InternetLink"/>
                  <w:rFonts w:ascii="Times New Roman;serif" w:hAnsi="Times New Roman;serif"/>
                  <w:b w:val="false"/>
                  <w:strike w:val="false"/>
                  <w:dstrike w:val="false"/>
                  <w:color w:val="000000"/>
                  <w:sz w:val="20"/>
                  <w:u w:val="none"/>
                  <w:effect w:val="none"/>
                </w:rPr>
                <w:t>INCORPORATION BY REFERENCE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fe1927be73843f8a914ad6f7048c55a">
              <w:r>
                <w:rPr>
                  <w:rStyle w:val="InternetLink"/>
                  <w:rFonts w:ascii="Times New Roman;serif" w:hAnsi="Times New Roman;serif"/>
                  <w:b w:val="false"/>
                  <w:strike w:val="false"/>
                  <w:dstrike w:val="false"/>
                  <w:color w:val="000000"/>
                  <w:sz w:val="20"/>
                  <w:u w:val="none"/>
                  <w:effect w:val="none"/>
                </w:rPr>
                <w:t>3</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e4fe5e2d534706a4d95da25341bb96">
              <w:r>
                <w:rPr>
                  <w:rStyle w:val="InternetLink"/>
                  <w:rFonts w:ascii="Times New Roman;serif" w:hAnsi="Times New Roman;serif"/>
                  <w:b w:val="false"/>
                  <w:strike w:val="false"/>
                  <w:dstrike w:val="false"/>
                  <w:color w:val="000000"/>
                  <w:sz w:val="20"/>
                  <w:u w:val="none"/>
                  <w:effect w:val="none"/>
                </w:rPr>
                <w:t>FORWARD-LOOKING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be4fe5e2d534706a4d95da25341bb96">
              <w:r>
                <w:rPr>
                  <w:rStyle w:val="InternetLink"/>
                  <w:rFonts w:ascii="Times New Roman;serif" w:hAnsi="Times New Roman;serif"/>
                  <w:b w:val="false"/>
                  <w:strike w:val="false"/>
                  <w:dstrike w:val="false"/>
                  <w:color w:val="000000"/>
                  <w:sz w:val="20"/>
                  <w:u w:val="none"/>
                  <w:effect w:val="none"/>
                </w:rPr>
                <w:t>4</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bccdd437ca455b92d9b0bc25d9a7b0">
              <w:r>
                <w:rPr>
                  <w:rStyle w:val="InternetLink"/>
                  <w:rFonts w:ascii="Times New Roman;serif" w:hAnsi="Times New Roman;serif"/>
                  <w:b w:val="false"/>
                  <w:strike w:val="false"/>
                  <w:dstrike w:val="false"/>
                  <w:color w:val="000000"/>
                  <w:sz w:val="20"/>
                  <w:u w:val="none"/>
                  <w:effect w:val="none"/>
                </w:rPr>
                <w:t>THE COMPANY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4bccdd437ca455b92d9b0bc25d9a7b0">
              <w:r>
                <w:rPr>
                  <w:rStyle w:val="InternetLink"/>
                  <w:rFonts w:ascii="Times New Roman;serif" w:hAnsi="Times New Roman;serif"/>
                  <w:b w:val="false"/>
                  <w:strike w:val="false"/>
                  <w:dstrike w:val="false"/>
                  <w:color w:val="000000"/>
                  <w:sz w:val="20"/>
                  <w:u w:val="none"/>
                  <w:effect w:val="none"/>
                </w:rPr>
                <w:t>5</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ea66e6ee34700a8413a299303c06d">
              <w:r>
                <w:rPr>
                  <w:rStyle w:val="InternetLink"/>
                  <w:rFonts w:ascii="Times New Roman;serif" w:hAnsi="Times New Roman;serif"/>
                  <w:b w:val="false"/>
                  <w:strike w:val="false"/>
                  <w:dstrike w:val="false"/>
                  <w:color w:val="000000"/>
                  <w:sz w:val="20"/>
                  <w:u w:val="none"/>
                  <w:effect w:val="non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61ea66e6ee34700a8413a299303c06d">
              <w:r>
                <w:rPr>
                  <w:rStyle w:val="InternetLink"/>
                  <w:rFonts w:ascii="Times New Roman;serif" w:hAnsi="Times New Roman;serif"/>
                  <w:b w:val="false"/>
                  <w:strike w:val="false"/>
                  <w:dstrike w:val="false"/>
                  <w:color w:val="000000"/>
                  <w:sz w:val="20"/>
                  <w:u w:val="none"/>
                  <w:effect w:val="none"/>
                </w:rPr>
                <w:t>6</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df97ceea2147ecb016b6d9e311f6d7">
              <w:r>
                <w:rPr>
                  <w:rStyle w:val="InternetLink"/>
                  <w:rFonts w:ascii="Times New Roman;serif" w:hAnsi="Times New Roman;serif"/>
                  <w:b w:val="false"/>
                  <w:strike w:val="false"/>
                  <w:dstrike w:val="false"/>
                  <w:color w:val="000000"/>
                  <w:sz w:val="20"/>
                  <w:u w:val="none"/>
                  <w:effect w:val="none"/>
                </w:rPr>
                <w:t>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cdf97ceea2147ecb016b6d9e311f6d7">
              <w:r>
                <w:rPr>
                  <w:rStyle w:val="InternetLink"/>
                  <w:rFonts w:ascii="Times New Roman;serif" w:hAnsi="Times New Roman;serif"/>
                  <w:b w:val="false"/>
                  <w:strike w:val="false"/>
                  <w:dstrike w:val="false"/>
                  <w:color w:val="000000"/>
                  <w:sz w:val="20"/>
                  <w:u w:val="none"/>
                  <w:effect w:val="none"/>
                </w:rPr>
                <w:t>7</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c420d552f1749399d397c763650383e">
              <w:r>
                <w:rPr>
                  <w:rStyle w:val="InternetLink"/>
                  <w:rFonts w:ascii="Times New Roman;serif" w:hAnsi="Times New Roman;serif"/>
                  <w:b w:val="false"/>
                  <w:strike w:val="false"/>
                  <w:dstrike w:val="false"/>
                  <w:color w:val="000000"/>
                  <w:sz w:val="20"/>
                  <w:u w:val="none"/>
                  <w:effect w:val="none"/>
                </w:rPr>
                <w:t>DESCRIPTION OF CAPITAL STOCK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c420d552f1749399d397c763650383e">
              <w:r>
                <w:rPr>
                  <w:rStyle w:val="InternetLink"/>
                  <w:rFonts w:ascii="Times New Roman;serif" w:hAnsi="Times New Roman;serif"/>
                  <w:b w:val="false"/>
                  <w:strike w:val="false"/>
                  <w:dstrike w:val="false"/>
                  <w:color w:val="000000"/>
                  <w:sz w:val="20"/>
                  <w:u w:val="none"/>
                  <w:effect w:val="none"/>
                </w:rPr>
                <w:t>8</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d0c84e3aeb4d80b58b669035e69b66">
              <w:r>
                <w:rPr>
                  <w:rStyle w:val="InternetLink"/>
                  <w:rFonts w:ascii="Times New Roman;serif" w:hAnsi="Times New Roman;serif"/>
                  <w:b w:val="false"/>
                  <w:strike w:val="false"/>
                  <w:dstrike w:val="false"/>
                  <w:color w:val="000000"/>
                  <w:sz w:val="20"/>
                  <w:u w:val="none"/>
                  <w:effect w:val="none"/>
                </w:rPr>
                <w:t>DESCRIPTION OF THE DEBT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fd0c84e3aeb4d80b58b669035e69b66">
              <w:r>
                <w:rPr>
                  <w:rStyle w:val="InternetLink"/>
                  <w:rFonts w:ascii="Times New Roman;serif" w:hAnsi="Times New Roman;serif"/>
                  <w:b w:val="false"/>
                  <w:strike w:val="false"/>
                  <w:dstrike w:val="false"/>
                  <w:color w:val="000000"/>
                  <w:sz w:val="20"/>
                  <w:u w:val="none"/>
                  <w:effect w:val="none"/>
                </w:rPr>
                <w:t>16</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bc7c8262e74550a2a168e52a5448f5">
              <w:r>
                <w:rPr>
                  <w:rStyle w:val="InternetLink"/>
                  <w:rFonts w:ascii="Times New Roman;serif" w:hAnsi="Times New Roman;serif"/>
                  <w:b w:val="false"/>
                  <w:strike w:val="false"/>
                  <w:dstrike w:val="false"/>
                  <w:color w:val="000000"/>
                  <w:sz w:val="20"/>
                  <w:u w:val="none"/>
                  <w:effect w:val="none"/>
                </w:rPr>
                <w:t>DESCRIPTION OF THE DEPOSITARY SHARES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1bc7c8262e74550a2a168e52a5448f5">
              <w:r>
                <w:rPr>
                  <w:rStyle w:val="InternetLink"/>
                  <w:rFonts w:ascii="Times New Roman;serif" w:hAnsi="Times New Roman;serif"/>
                  <w:b w:val="false"/>
                  <w:strike w:val="false"/>
                  <w:dstrike w:val="false"/>
                  <w:color w:val="000000"/>
                  <w:sz w:val="20"/>
                  <w:u w:val="none"/>
                  <w:effect w:val="none"/>
                </w:rPr>
                <w:t>26</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129d521d8194e18a1e88369ec0c13dd">
              <w:r>
                <w:rPr>
                  <w:rStyle w:val="InternetLink"/>
                  <w:rFonts w:ascii="Times New Roman;serif" w:hAnsi="Times New Roman;serif"/>
                  <w:b w:val="false"/>
                  <w:strike w:val="false"/>
                  <w:dstrike w:val="false"/>
                  <w:color w:val="000000"/>
                  <w:sz w:val="20"/>
                  <w:u w:val="none"/>
                  <w:effect w:val="none"/>
                </w:rPr>
                <w:t>DESCRIPTION OF THE WARRANTS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129d521d8194e18a1e88369ec0c13dd">
              <w:r>
                <w:rPr>
                  <w:rStyle w:val="InternetLink"/>
                  <w:rFonts w:ascii="Times New Roman;serif" w:hAnsi="Times New Roman;serif"/>
                  <w:b w:val="false"/>
                  <w:strike w:val="false"/>
                  <w:dstrike w:val="false"/>
                  <w:color w:val="000000"/>
                  <w:sz w:val="20"/>
                  <w:u w:val="none"/>
                  <w:effect w:val="none"/>
                </w:rPr>
                <w:t>29</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c415e3ed1fe46bc8c5be8c0a57b200f">
              <w:r>
                <w:rPr>
                  <w:rStyle w:val="InternetLink"/>
                  <w:rFonts w:ascii="Times New Roman;serif" w:hAnsi="Times New Roman;serif"/>
                  <w:b w:val="false"/>
                  <w:strike w:val="false"/>
                  <w:dstrike w:val="false"/>
                  <w:color w:val="000000"/>
                  <w:sz w:val="20"/>
                  <w:u w:val="none"/>
                  <w:effect w:val="none"/>
                </w:rPr>
                <w:t>DESCRIPTION OF THE RIGHTS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c415e3ed1fe46bc8c5be8c0a57b200f">
              <w:r>
                <w:rPr>
                  <w:rStyle w:val="InternetLink"/>
                  <w:rFonts w:ascii="Times New Roman;serif" w:hAnsi="Times New Roman;serif"/>
                  <w:b w:val="false"/>
                  <w:strike w:val="false"/>
                  <w:dstrike w:val="false"/>
                  <w:color w:val="000000"/>
                  <w:sz w:val="20"/>
                  <w:u w:val="none"/>
                  <w:effect w:val="none"/>
                </w:rPr>
                <w:t>31</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160205b9e54be1a1aedc1aaee7607f">
              <w:r>
                <w:rPr>
                  <w:rStyle w:val="InternetLink"/>
                  <w:rFonts w:ascii="Times New Roman;serif" w:hAnsi="Times New Roman;serif"/>
                  <w:b w:val="false"/>
                  <w:strike w:val="false"/>
                  <w:dstrike w:val="false"/>
                  <w:color w:val="000000"/>
                  <w:sz w:val="20"/>
                  <w:u w:val="none"/>
                  <w:effect w:val="none"/>
                </w:rPr>
                <w:t>DESCRIPTION OF THE PURCHASE CONTRACTS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160205b9e54be1a1aedc1aaee7607f">
              <w:r>
                <w:rPr>
                  <w:rStyle w:val="InternetLink"/>
                  <w:rFonts w:ascii="Times New Roman;serif" w:hAnsi="Times New Roman;serif"/>
                  <w:b w:val="false"/>
                  <w:strike w:val="false"/>
                  <w:dstrike w:val="false"/>
                  <w:color w:val="000000"/>
                  <w:sz w:val="20"/>
                  <w:u w:val="none"/>
                  <w:effect w:val="none"/>
                </w:rPr>
                <w:t>32</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66bec60e0748539221dfdb84117466">
              <w:r>
                <w:rPr>
                  <w:rStyle w:val="InternetLink"/>
                  <w:rFonts w:ascii="Times New Roman;serif" w:hAnsi="Times New Roman;serif"/>
                  <w:b w:val="false"/>
                  <w:strike w:val="false"/>
                  <w:dstrike w:val="false"/>
                  <w:color w:val="000000"/>
                  <w:sz w:val="20"/>
                  <w:u w:val="none"/>
                  <w:effect w:val="none"/>
                </w:rPr>
                <w:t>DESCRIPTION OF THE UNITS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266bec60e0748539221dfdb84117466">
              <w:r>
                <w:rPr>
                  <w:rStyle w:val="InternetLink"/>
                  <w:rFonts w:ascii="Times New Roman;serif" w:hAnsi="Times New Roman;serif"/>
                  <w:b w:val="false"/>
                  <w:strike w:val="false"/>
                  <w:dstrike w:val="false"/>
                  <w:color w:val="000000"/>
                  <w:sz w:val="20"/>
                  <w:u w:val="none"/>
                  <w:effect w:val="none"/>
                </w:rPr>
                <w:t>33</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9055c49c144f48a3c489d8c54a8a90">
              <w:r>
                <w:rPr>
                  <w:rStyle w:val="InternetLink"/>
                  <w:rFonts w:ascii="Times New Roman;serif" w:hAnsi="Times New Roman;serif"/>
                  <w:b w:val="false"/>
                  <w:strike w:val="false"/>
                  <w:dstrike w:val="false"/>
                  <w:color w:val="000000"/>
                  <w:sz w:val="20"/>
                  <w:u w:val="none"/>
                  <w:effect w:val="none"/>
                </w:rPr>
                <w:t>SELLING STOCKHOLDERS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9055c49c144f48a3c489d8c54a8a90">
              <w:r>
                <w:rPr>
                  <w:rStyle w:val="InternetLink"/>
                  <w:rFonts w:ascii="Times New Roman;serif" w:hAnsi="Times New Roman;serif"/>
                  <w:b w:val="false"/>
                  <w:strike w:val="false"/>
                  <w:dstrike w:val="false"/>
                  <w:color w:val="000000"/>
                  <w:sz w:val="20"/>
                  <w:u w:val="none"/>
                  <w:effect w:val="none"/>
                </w:rPr>
                <w:t>34</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65ef86867634b90b9738521db9b0ac6">
              <w:r>
                <w:rPr>
                  <w:rStyle w:val="InternetLink"/>
                  <w:rFonts w:ascii="Times New Roman;serif" w:hAnsi="Times New Roman;serif"/>
                  <w:b w:val="false"/>
                  <w:strike w:val="false"/>
                  <w:dstrike w:val="false"/>
                  <w:color w:val="000000"/>
                  <w:sz w:val="20"/>
                  <w:u w:val="none"/>
                  <w:effect w:val="none"/>
                </w:rPr>
                <w:t>PLAN OF DISTRIBUTION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65ef86867634b90b9738521db9b0ac6">
              <w:r>
                <w:rPr>
                  <w:rStyle w:val="InternetLink"/>
                  <w:rFonts w:ascii="Times New Roman;serif" w:hAnsi="Times New Roman;serif"/>
                  <w:b w:val="false"/>
                  <w:strike w:val="false"/>
                  <w:dstrike w:val="false"/>
                  <w:color w:val="000000"/>
                  <w:sz w:val="20"/>
                  <w:u w:val="none"/>
                  <w:effect w:val="none"/>
                </w:rPr>
                <w:t>35</w:t>
              </w:r>
            </w:hyperlink>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f3b86f4d7a45acb59c1b29095e7f98">
              <w:r>
                <w:rPr>
                  <w:rStyle w:val="InternetLink"/>
                  <w:rFonts w:ascii="Times New Roman;serif" w:hAnsi="Times New Roman;serif"/>
                  <w:b w:val="false"/>
                  <w:strike w:val="false"/>
                  <w:dstrike w:val="false"/>
                  <w:color w:val="000000"/>
                  <w:sz w:val="20"/>
                  <w:u w:val="none"/>
                  <w:effect w:val="none"/>
                </w:rPr>
                <w:t>LEGAL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f3b86f4d7a45acb59c1b29095e7f98">
              <w:r>
                <w:rPr>
                  <w:rStyle w:val="InternetLink"/>
                  <w:rFonts w:ascii="Times New Roman;serif" w:hAnsi="Times New Roman;serif"/>
                  <w:b w:val="false"/>
                  <w:strike w:val="false"/>
                  <w:dstrike w:val="false"/>
                  <w:color w:val="000000"/>
                  <w:sz w:val="20"/>
                  <w:u w:val="none"/>
                  <w:effect w:val="none"/>
                </w:rPr>
                <w:t>39</w:t>
              </w:r>
            </w:hyperlink>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b0ea90b28a4a1ea253f6c16c9a89bb">
              <w:r>
                <w:rPr>
                  <w:rStyle w:val="InternetLink"/>
                  <w:rFonts w:ascii="Times New Roman;serif" w:hAnsi="Times New Roman;serif"/>
                  <w:b w:val="false"/>
                  <w:strike w:val="false"/>
                  <w:dstrike w:val="false"/>
                  <w:color w:val="000000"/>
                  <w:sz w:val="20"/>
                  <w:u w:val="none"/>
                  <w:effect w:val="none"/>
                </w:rPr>
                <w:t>EXPERTS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b0ea90b28a4a1ea253f6c16c9a89bb">
              <w:r>
                <w:rPr>
                  <w:rStyle w:val="InternetLink"/>
                  <w:rFonts w:ascii="Times New Roman;serif" w:hAnsi="Times New Roman;serif"/>
                  <w:b w:val="false"/>
                  <w:strike w:val="false"/>
                  <w:dstrike w:val="false"/>
                  <w:color w:val="000000"/>
                  <w:sz w:val="20"/>
                  <w:u w:val="none"/>
                  <w:effect w:val="none"/>
                </w:rPr>
                <w:t>40</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4" name="Frame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1" w:name="i1dcdfdd432ec4609b6a0fa7c854b2982"/>
      <w:bookmarkEnd w:id="1"/>
      <w:r>
        <w:rPr>
          <w:rFonts w:ascii="Times New Roman;serif" w:hAnsi="Times New Roman;serif"/>
          <w:b/>
          <w:color w:val="000000"/>
          <w:sz w:val="20"/>
        </w:rPr>
        <w:t>ABOUT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Under this shelf registration process, 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selling stockholders may offer and sell, from time to time in one or more offerings, shares of our common stock. Information about selling stockholders, where applicable, will be set forth in a prospectus supplement, in a post-effective amendment or in filings we will make with the SEC which will be incorporated into this prospectus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our securities. Each time we or selling stockholders offer securities, we will provide a prospectus supplement that describes the terms of the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registration statement that contains this prospectus, including the exhibits to the registration statement and the information incorporated by reference, provides additional information about us and our securities. That registration statement can be found on the SEC’s website at www.sec.gov.</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any information or to make any representations other than those contained in this prospectus, in the documents incorporated by reference into this prospectus as described under “Where You Can Find More Information,” in any accompanying prospectus supplement and in any free writing prospectus we may authorize to be delivered to you. We will not take any responsibility for, and can provide no assurance as to the reliability of any other information that others may give you. You should not assume that the information in this prospectus or any supplement to this prospectus is accurate as of any date other than the date indicated on the cover page of this prospectus or any prospectus supplement, as applicable. We are not making an offer to sell the securities in any jurisdiction where the offer or sale is not permitted.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selling stockholders may sell the securities to or through underwriters, dealers or agents or directly to purchasers. The securities may be sold for U.S. dollars, foreign-denominated currency, currency units or composite currencies. Amounts payable with respect to any securities may be payable in U.S. dollars or foreign-denominated currency, currency units or composite currencies as specified in the applicable prospectus supplement. We, selling stockholders and our and their agents reserve the sole right to accept or reject in whole or in part any proposed purchase of the securities. The prospectus supplement, which we will provide each time we or selling stockholders offer the securities, will set forth the names of any underwriters, dealers or agents involved in the sale of the securities, and any related fee, commission or discount arrangements. See “Plan of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may also contain information about any material U.S. federal income tax considerations relating to the securities covered by the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prospectus, the terms “Rackspace,” “Rackspace Technology,” the “Company,” “we,” “us” and “our” refer to Rackspace Technology,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 w:name="icdd72296cea3465d9dbb86f0a45966c2"/>
      <w:bookmarkEnd w:id="2"/>
      <w:r>
        <w:rPr>
          <w:rFonts w:ascii="Times New Roman;serif" w:hAnsi="Times New Roman;serif"/>
          <w:b/>
          <w:color w:val="000000"/>
          <w:sz w:val="20"/>
        </w:rPr>
        <w:t>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Securities Exchange Act of 1934, as amended (the “Exchange Act”), and are required to file with the SEC annual, quarterly and current reports, proxy statements and other information. Such reports include our audited financial statements. Our publicly available filings can be found free of charge on the SEC’s website at www.sec.gov. Our filings, including the audited financial and additional information that we have made public to investors, may also be found on our website at www.rackspace.com. Information on or accessible through our website does not constitute part of this prospectus (except for SEC reports expressly incorporated by reference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permitted by SEC rules, this prospectus and any prospectus supplement are part of a registration statement that we filed with the SEC and do not contain all of the information we have included in the registration statement and the accompanying exhibits and schedules. You may refer to the registration statement, exhibits and schedules for more information about us and the securities. The registration statement, exhibits and schedules are available through the SEC’s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6"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3" w:name="i7fe1927be73843f8a914ad6f7048c55a"/>
      <w:bookmarkEnd w:id="3"/>
      <w:r>
        <w:rPr>
          <w:rFonts w:ascii="Times New Roman;serif" w:hAnsi="Times New Roman;serif"/>
          <w:b/>
          <w:color w:val="000000"/>
          <w:sz w:val="20"/>
        </w:rPr>
        <w:t>INCORPORATION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and supersede information in this prospectus. In all cases, you should rely on the later information over different information included in this prospectus or the prospectus supplement. The following documents have been filed by us with the SEC and are incorporated by reference into this prospectus: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on </w:t>
      </w:r>
      <w:hyperlink r:id="rId3">
        <w:r>
          <w:rPr>
            <w:rStyle w:val="InternetLink"/>
            <w:rFonts w:ascii="Times New Roman;serif" w:hAnsi="Times New Roman;serif"/>
            <w:b w:val="false"/>
            <w:color w:val="0000FF"/>
            <w:sz w:val="20"/>
            <w:u w:val="single"/>
          </w:rPr>
          <w:t>March 6, 2026</w:t>
        </w:r>
      </w:hyperlink>
      <w:r>
        <w:rPr>
          <w:rFonts w:ascii="Times New Roman;serif" w:hAnsi="Times New Roman;serif"/>
          <w:b w:val="false"/>
          <w:color w:val="000000"/>
          <w:sz w:val="20"/>
        </w:rPr>
        <w:t>) (the “2025 Annual Report”), including portions of our Proxy Statement for the 2026 annual meeting of stockholders (filed on </w:t>
      </w:r>
      <w:hyperlink r:id="rId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 xml:space="preserve">) to the extent specifically incorporated by reference therein (the “2025 Proxy Statement”); </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erif" w:hAnsi="Times New Roman;serif"/>
          <w:b w:val="false"/>
          <w:color w:val="000000"/>
          <w:sz w:val="20"/>
        </w:rPr>
        <w:t>our Quarterly Report on Form 10-Q for the three months ended March 31, 2026 (filed on </w:t>
      </w:r>
      <w:hyperlink r:id="rId5">
        <w:r>
          <w:rPr>
            <w:rStyle w:val="InternetLink"/>
            <w:rFonts w:ascii="Times New Roman;serif" w:hAnsi="Times New Roman;serif"/>
            <w:b w:val="false"/>
            <w:color w:val="0000FF"/>
            <w:sz w:val="20"/>
            <w:u w:val="single"/>
          </w:rPr>
          <w:t>May 8, 2026</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April 3,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(Film Number: 261092857), </w:t>
      </w:r>
      <w:hyperlink r:id="rId8">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(excluding the information disclosed pursuant to Item 7.01 and Exhibit 99.1 thereto) (Film Number: 261092858) and </w:t>
      </w:r>
      <w:hyperlink r:id="rId9">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and</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description of our securities contained in </w:t>
      </w:r>
      <w:hyperlink r:id="rId10">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2025 (filed on March 6, 2026), and any amendment or report filed with the SEC for the purpose of updating that description.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that we subsequently file with the SEC (other than any portion of such filings that are furnished under applicable SEC rules rather than filed) pursuant to Section 13(a), 13(c), 14 or 15(d) of the Exchange Act after the date of this prospectus and before the later of (1) the completion of the offering of the securities described in this prospectus and any prospectus supplement and (2) the date securities are no longer offered pursuant to this prospectus and any prospectus supplement, will be deemed to be incorporated by reference into this prospectus and to be part of this prospectus from the date of filing of such reports and documents.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in this prospectus, the prospectus supplement, any applicable pricing supplement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may request a copy of any or all documents referred to above that have been or may be incorporated by reference into this prospectus (excluding certain exhibits to the documents) at no cost, by writing or calling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Rackspace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19122 US Highway 281 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Suite 127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 Antonio, Texas 78258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1-800-961-4454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4" w:name="i5be4fe5e2d534706a4d95da25341bb96"/>
      <w:bookmarkEnd w:id="4"/>
      <w:r>
        <w:rPr>
          <w:rFonts w:ascii="Times New Roman;serif" w:hAnsi="Times New Roman;serif"/>
          <w:b/>
          <w:color w:val="000000"/>
          <w:sz w:val="20"/>
        </w:rPr>
        <w:t>FORWARD-LOOKING STATEMENTS</w:t>
      </w:r>
    </w:p>
    <w:p>
      <w:pPr>
        <w:pStyle w:val="TextBody"/>
        <w:bidi w:val="0"/>
        <w:spacing w:lineRule="auto" w:line="288" w:before="0" w:after="24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herein contain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prospectus and our Annual Report on Form 10-K for the fiscal year ended December 31, 2025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pStyle w:val="TextBody"/>
        <w:bidi w:val="0"/>
        <w:spacing w:lineRule="auto" w:line="288" w:before="0" w:after="240"/>
        <w:ind w:left="0" w:right="0" w:firstLine="547"/>
        <w:jc w:val="left"/>
        <w:rPr/>
      </w:pPr>
      <w:r>
        <w:rPr>
          <w:rFonts w:ascii="Times New Roman;serif" w:hAnsi="Times New Roman;serif"/>
          <w:b w:val="false"/>
          <w:color w:val="000000"/>
          <w:sz w:val="20"/>
        </w:rPr>
        <w:t>Forward-looking information involves risks, uncertainties, and other factors, some of which cannot be predicted or quantified, that could cause actual results to differ materially from those expressed or implied in, or reasonably inferred from, such statements, and the risks and uncertainties disclose</w:t>
      </w:r>
      <w:r>
        <w:rPr>
          <w:rFonts w:ascii="Times New Roman;serif" w:hAnsi="Times New Roman;serif"/>
          <w:b w:val="false"/>
          <w:color w:val="000000"/>
          <w:sz w:val="20"/>
          <w:shd w:fill="FFFFFF" w:val="clear"/>
        </w:rPr>
        <w:t xml:space="preserve">d or referenced in this prospectus and </w:t>
      </w:r>
      <w:r>
        <w:rPr>
          <w:rFonts w:ascii="Times New Roman;serif" w:hAnsi="Times New Roman;serif"/>
          <w:b w:val="false"/>
          <w:color w:val="000000"/>
          <w:sz w:val="20"/>
        </w:rPr>
        <w:t>our Annual Report on Form 10-K for the fiscal year ended December 31, 2025 and any subsequent Quarterly Reports on Form 10-Q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prospectus and the documents incorporated by reference herein. We assume no obligation (and specifically disclaim any such obligation) to publicly update or revise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5" w:name="id4bccdd437ca455b92d9b0bc25d9a7b0"/>
      <w:bookmarkEnd w:id="5"/>
      <w:r>
        <w:rPr>
          <w:rFonts w:ascii="Times New Roman;serif" w:hAnsi="Times New Roman;serif"/>
          <w:b/>
          <w:color w:val="000000"/>
          <w:sz w:val="20"/>
        </w:rPr>
        <w:t>THE COMPANY</w:t>
      </w:r>
    </w:p>
    <w:p>
      <w:pPr>
        <w:pStyle w:val="TextBody"/>
        <w:bidi w:val="0"/>
        <w:spacing w:lineRule="auto" w:line="288" w:before="0" w:after="240"/>
        <w:jc w:val="left"/>
        <w:rPr>
          <w:rFonts w:ascii="Times New Roman;serif" w:hAnsi="Times New Roman;serif"/>
          <w:b/>
          <w:color w:val="000000"/>
          <w:sz w:val="20"/>
        </w:rPr>
      </w:pPr>
      <w:bookmarkStart w:id="6" w:name="i4195e8aa34b74ff28f3aa8e336d92324"/>
      <w:bookmarkEnd w:id="6"/>
      <w:r>
        <w:rPr>
          <w:rFonts w:ascii="Times New Roman;serif" w:hAnsi="Times New Roman;serif"/>
          <w:b/>
          <w:color w:val="000000"/>
          <w:sz w:val="20"/>
        </w:rPr>
        <w:t>Our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end-to-end hybrid cloud and AI solutions company headquartered in San Antonio, Texas.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 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Today, we are a trusted partner to the global cloud ecosystem. We maintain close relationships with major cloud infrastructure and application vendors, enabling us to provide our customers with complete, unbiased hybrid cloud services, all through our single customer interface.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Rackspace, see our most recent Annual Report on Form 10-K and any subsequent Quarterly Reports on Form 10-Q, which are incorporated by reference into this prospectus. For instructions on how to find copies of these documents, see “Where You Can Find More Information.”</w:t>
      </w:r>
    </w:p>
    <w:p>
      <w:pPr>
        <w:pStyle w:val="TextBody"/>
        <w:bidi w:val="0"/>
        <w:spacing w:lineRule="auto" w:line="288" w:before="0" w:after="240"/>
        <w:jc w:val="left"/>
        <w:rPr>
          <w:rFonts w:ascii="Times New Roman;serif" w:hAnsi="Times New Roman;serif"/>
          <w:b/>
          <w:color w:val="000000"/>
          <w:sz w:val="20"/>
        </w:rPr>
      </w:pPr>
      <w:bookmarkStart w:id="7" w:name="i1d22732fa1ce499f8514a6627bfa344c"/>
      <w:bookmarkEnd w:id="7"/>
      <w:r>
        <w:rPr>
          <w:rFonts w:ascii="Times New Roman;serif" w:hAnsi="Times New Roman;serif"/>
          <w:b/>
          <w:color w:val="000000"/>
          <w:sz w:val="20"/>
        </w:rPr>
        <w:t>Corporate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19122 US Highway 281 N., Suite 127, San Antonio, Texas 78258. Our telephone number is 1-800-961-4454. Additional information about Rackspace and its subsidiaries is included in documents incorporated by reference in this prospectus. See “Where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Rackspace also maintains a website at www.rackspace.com. None of the information contained on our website or on websites linked to our website is part of this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8" w:name="i861ea66e6ee34700a8413a299303c06d"/>
      <w:bookmarkEnd w:id="8"/>
      <w:r>
        <w:rPr>
          <w:rFonts w:ascii="Times New Roman;serif" w:hAnsi="Times New Roman;serif"/>
          <w:b/>
          <w:color w:val="000000"/>
          <w:sz w:val="20"/>
        </w:rPr>
        <w:t>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 Before you decide whether to purchase any of our securities, you should carefully consider the specific risks discussed in,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most recent Annual Report on Form 10-K and any subsequent Quarterly Reports on Form 10-Q, which are incorporated by reference into this prospectus. These risk factors may be amended, supplemented or superseded from time to time by other reports we file with the SEC in the future. For more information, please see “Where You Can Find More Information” and “Incorporation by Reference.” These risks could materially and adversely affect our business, results of operations and financial condition and could result in a partial or complete loss of your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9" w:name="i4cdf97ceea2147ecb016b6d9e311f6d7"/>
      <w:bookmarkEnd w:id="9"/>
      <w:r>
        <w:rPr>
          <w:rFonts w:ascii="Times New Roman;serif" w:hAnsi="Times New Roman;serif"/>
          <w:b/>
          <w:color w:val="000000"/>
          <w:sz w:val="20"/>
        </w:rPr>
        <w:t>USE OF PROCEEDS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we specify another use in the applicable prospectus supplement, we will use the net proceeds from the sale of the securities offered by us for general corporate purposes, which may include,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repayment;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working capital;</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capital expenditures; and/or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repurchases of shares of our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shares of our common stock by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10" w:name="i6c420d552f1749399d397c763650383e"/>
      <w:bookmarkEnd w:id="10"/>
      <w:r>
        <w:rPr>
          <w:rFonts w:ascii="Times New Roman;serif" w:hAnsi="Times New Roman;serif"/>
          <w:b/>
          <w:color w:val="000000"/>
          <w:sz w:val="20"/>
        </w:rPr>
        <w:t>DESCRIPTION OF CAPITAL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description sets forth some of the general terms and provisions of our capital stock. Because this is a summary description, it does not contain all of the information that may be important to you. The following summary description of our capital stock is qualified by reference to the provisions of our certificate of incorporation and bylaws. </w:t>
      </w:r>
    </w:p>
    <w:p>
      <w:pPr>
        <w:pStyle w:val="TextBody"/>
        <w:bidi w:val="0"/>
        <w:spacing w:lineRule="auto" w:line="288" w:before="0" w:after="240"/>
        <w:jc w:val="left"/>
        <w:rPr>
          <w:rFonts w:ascii="Times New Roman;serif" w:hAnsi="Times New Roman;serif"/>
          <w:b/>
          <w:color w:val="000000"/>
          <w:sz w:val="20"/>
        </w:rPr>
      </w:pPr>
      <w:bookmarkStart w:id="11" w:name="i3eefe766db8143cf82b40c5598c904db"/>
      <w:bookmarkEnd w:id="11"/>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incorporation, our capital stock consists of 1,500,000,000 authorized shares, of which 1,495,000,000 shares, par value $0.01 per share, are designated as “common stock” and 5,000,000 shares, par value $0.01 per share, are designated as “preferred stock.” As of July 6, 2026, there were 253,908,600 shares of common stock outstanding and no shares of preferred stock outstanding.</w:t>
      </w:r>
    </w:p>
    <w:p>
      <w:pPr>
        <w:pStyle w:val="TextBody"/>
        <w:bidi w:val="0"/>
        <w:spacing w:lineRule="auto" w:line="288" w:before="0" w:after="240"/>
        <w:jc w:val="left"/>
        <w:rPr>
          <w:rFonts w:ascii="Times New Roman;serif" w:hAnsi="Times New Roman;serif"/>
          <w:b/>
          <w:color w:val="000000"/>
          <w:sz w:val="20"/>
        </w:rPr>
      </w:pPr>
      <w:bookmarkStart w:id="12" w:name="i824aaf5d053d4cc2a356a47bcce6c032"/>
      <w:bookmarkEnd w:id="12"/>
      <w:r>
        <w:rPr>
          <w:rFonts w:ascii="Times New Roman;serif" w:hAnsi="Times New Roman;serif"/>
          <w:b/>
          <w:color w:val="000000"/>
          <w:sz w:val="20"/>
        </w:rPr>
        <w:t>Common Stock</w:t>
      </w:r>
    </w:p>
    <w:p>
      <w:pPr>
        <w:pStyle w:val="TextBody"/>
        <w:bidi w:val="0"/>
        <w:spacing w:lineRule="auto" w:line="288" w:before="0" w:after="240"/>
        <w:ind w:left="0" w:right="0" w:firstLine="720"/>
        <w:jc w:val="left"/>
        <w:rPr/>
      </w:pPr>
      <w:bookmarkStart w:id="13" w:name="i180a54848e134fba82439b5015154239"/>
      <w:bookmarkEnd w:id="13"/>
      <w:r>
        <w:rPr>
          <w:rFonts w:ascii="Times New Roman;serif" w:hAnsi="Times New Roman;serif"/>
          <w:b w:val="false"/>
          <w:i/>
          <w:color w:val="000000"/>
          <w:sz w:val="20"/>
        </w:rPr>
        <w:t>Voting Rights</w:t>
      </w:r>
      <w:r>
        <w:rPr>
          <w:rFonts w:ascii="Times New Roman;serif" w:hAnsi="Times New Roman;serif"/>
          <w:b w:val="false"/>
          <w:color w:val="000000"/>
          <w:sz w:val="20"/>
        </w:rPr>
        <w:t>. The holders of our common stock are entitled to one vote per share on all matters submitted for action by the stockholders generally.</w:t>
      </w:r>
    </w:p>
    <w:p>
      <w:pPr>
        <w:pStyle w:val="TextBody"/>
        <w:bidi w:val="0"/>
        <w:spacing w:lineRule="auto" w:line="288" w:before="0" w:after="240"/>
        <w:ind w:left="0" w:right="0" w:firstLine="720"/>
        <w:jc w:val="left"/>
        <w:rPr/>
      </w:pPr>
      <w:bookmarkStart w:id="14" w:name="i67ce14ca8897446097477cb0801b4593"/>
      <w:bookmarkEnd w:id="14"/>
      <w:r>
        <w:rPr>
          <w:rFonts w:ascii="Times New Roman;serif" w:hAnsi="Times New Roman;serif"/>
          <w:b w:val="false"/>
          <w:i/>
          <w:color w:val="000000"/>
          <w:sz w:val="20"/>
        </w:rPr>
        <w:t>Dividend Rights</w:t>
      </w:r>
      <w:r>
        <w:rPr>
          <w:rFonts w:ascii="Times New Roman;serif" w:hAnsi="Times New Roman;serif"/>
          <w:b w:val="false"/>
          <w:color w:val="000000"/>
          <w:sz w:val="20"/>
        </w:rPr>
        <w:t>. Subject to any preferential rights of any then outstanding preferred stock, all shares of our common stock are entitled to share equally in any dividends our board of directors may declare from legally available sources.</w:t>
      </w:r>
    </w:p>
    <w:p>
      <w:pPr>
        <w:pStyle w:val="TextBody"/>
        <w:bidi w:val="0"/>
        <w:spacing w:lineRule="auto" w:line="288" w:before="0" w:after="240"/>
        <w:ind w:left="0" w:right="0" w:firstLine="720"/>
        <w:jc w:val="left"/>
        <w:rPr/>
      </w:pPr>
      <w:bookmarkStart w:id="15" w:name="ida5721f9589e41bd88ecba7d20e61934"/>
      <w:bookmarkEnd w:id="15"/>
      <w:r>
        <w:rPr>
          <w:rFonts w:ascii="Times New Roman;serif" w:hAnsi="Times New Roman;serif"/>
          <w:b w:val="false"/>
          <w:i/>
          <w:color w:val="000000"/>
          <w:sz w:val="20"/>
        </w:rPr>
        <w:t>Liquidation Rights</w:t>
      </w:r>
      <w:r>
        <w:rPr>
          <w:rFonts w:ascii="Times New Roman;serif" w:hAnsi="Times New Roman;serif"/>
          <w:b w:val="false"/>
          <w:color w:val="000000"/>
          <w:sz w:val="20"/>
        </w:rPr>
        <w:t>. Upon our liquidation, dissolution or winding up, whether voluntary or involuntary, after payment in full of the amounts required to be paid to holders of any outstanding preferred stock, all shares of our common stock are entitled to share equally in the assets available for distribution to stockholders after payment of all of our prior obligations.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Other Matters</w:t>
      </w:r>
      <w:r>
        <w:rPr>
          <w:rFonts w:ascii="Times New Roman;serif" w:hAnsi="Times New Roman;serif"/>
          <w:b w:val="false"/>
          <w:color w:val="000000"/>
          <w:sz w:val="20"/>
        </w:rPr>
        <w:t>. Holders of our common stock have no preemptive or conversion rights and our 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pStyle w:val="TextBody"/>
        <w:bidi w:val="0"/>
        <w:spacing w:lineRule="auto" w:line="288" w:before="0" w:after="240"/>
        <w:jc w:val="left"/>
        <w:rPr>
          <w:rFonts w:ascii="Times New Roman;serif" w:hAnsi="Times New Roman;serif"/>
          <w:b/>
          <w:color w:val="000000"/>
          <w:sz w:val="20"/>
        </w:rPr>
      </w:pPr>
      <w:bookmarkStart w:id="16" w:name="i05fad37b223340078eda21aa58158fa5"/>
      <w:bookmarkEnd w:id="16"/>
      <w:r>
        <w:rPr>
          <w:rFonts w:ascii="Times New Roman;serif" w:hAnsi="Times New Roman;serif"/>
          <w:b/>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pStyle w:val="TextBody"/>
        <w:bidi w:val="0"/>
        <w:spacing w:lineRule="auto" w:line="288" w:before="0" w:after="240"/>
        <w:jc w:val="left"/>
        <w:rPr>
          <w:rFonts w:ascii="Times New Roman;serif" w:hAnsi="Times New Roman;serif"/>
          <w:b/>
          <w:color w:val="000000"/>
          <w:sz w:val="20"/>
        </w:rPr>
      </w:pPr>
      <w:bookmarkStart w:id="17" w:name="i9ec0f399262443329e0025203bfb74b3"/>
      <w:bookmarkEnd w:id="17"/>
      <w:r>
        <w:rPr>
          <w:rFonts w:ascii="Times New Roman;serif" w:hAnsi="Times New Roman;serif"/>
          <w:b/>
          <w:color w:val="000000"/>
          <w:sz w:val="20"/>
        </w:rPr>
        <w:t>Composition of Board of Directors; Election and Removal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18" w:name="ia99f5131a7374a0f805409a8df0dac1c"/>
      <w:bookmarkEnd w:id="18"/>
      <w:r>
        <w:rPr>
          <w:rFonts w:ascii="Times New Roman;serif" w:hAnsi="Times New Roman;serif"/>
          <w:b w:val="false"/>
          <w:color w:val="000000"/>
          <w:sz w:val="20"/>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initially consisting of three directors in Class I, three directors in Class II and four directors in Class III. See “—Certain Corporate Anti-takeover Provisions—Classified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19" w:name="i66dbe70a358640e48d8899a94eb6ef74"/>
      <w:bookmarkEnd w:id="19"/>
      <w:r>
        <w:rPr>
          <w:rFonts w:ascii="Times New Roman;serif" w:hAnsi="Times New Roman;serif"/>
          <w:b w:val="false"/>
          <w:color w:val="000000"/>
          <w:sz w:val="20"/>
        </w:rPr>
        <w:t xml:space="preserve">Under the investor rights agreement we entered into on November 3, 2016 in connection with the Inception Parent, Inc.’s acquisition of Rackspace Hosting, Inc. (the “Rackspace Acquisition”) with one of the investment funds (the “Apollo Funds”) managed by affiliates of Apollo Global Management, Inc. (together with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Apollo”) (as amended and restated, the “Initial Investor Rights Agreement”), Apollo and its affiliates have the right, but not the obligation, at any time until Apollo and its affiliates, including the Apollo Funds,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We refer to the directors nominated by Apollo and its affiliates based on such percentage ownership as the “Apollo Board Nominees.”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20" w:name="if77d46c3cff248fa90cebc8e090a6d70"/>
      <w:bookmarkEnd w:id="20"/>
      <w:r>
        <w:rPr>
          <w:rFonts w:ascii="Times New Roman;serif" w:hAnsi="Times New Roman;serif"/>
          <w:b w:val="false"/>
          <w:color w:val="000000"/>
          <w:sz w:val="20"/>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Board Nominee) will be filled only by the affirmative vote of a majority of the remaining directors, even if less than a quorum. Any vacancy on our board of directors in respect of an Apollo Board Nominee will be filled only by individuals designated by Apollo and its affiliates, including the Apollo Funds, for so long as they beneficially own at least 5% of our issued and outstanding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21" w:name="i887e93fce6d24823a556c10a920731bf"/>
      <w:bookmarkEnd w:id="21"/>
      <w:r>
        <w:rPr>
          <w:rFonts w:ascii="Times New Roman;serif" w:hAnsi="Times New Roman;serif"/>
          <w:b w:val="false"/>
          <w:color w:val="000000"/>
          <w:sz w:val="20"/>
        </w:rPr>
        <w:t>At any meeting of our board of directors, except as otherwise required by law, a majority of the total number of directors then in office will constitute a quorum for all purposes, except that if Apollo and its affiliates, including the Apollo Funds, beneficially own at least 5% of our issued and outstanding common stock and there is at least one member of our board of directors who is an Apollo Board Nominee, then at least one director that is an Apollo Board Nominee must be present for there to be a quorum unless each Apollo Board Nominee waives his or her right to be included in the quorum at such meeting.</w:t>
      </w:r>
    </w:p>
    <w:p>
      <w:pPr>
        <w:pStyle w:val="TextBody"/>
        <w:bidi w:val="0"/>
        <w:spacing w:lineRule="auto" w:line="288" w:before="0" w:after="240"/>
        <w:jc w:val="left"/>
        <w:rPr>
          <w:rFonts w:ascii="Times New Roman;serif" w:hAnsi="Times New Roman;serif"/>
          <w:b/>
          <w:color w:val="000000"/>
          <w:sz w:val="20"/>
        </w:rPr>
      </w:pPr>
      <w:bookmarkStart w:id="22" w:name="i26fcbba1905447e3bf79638ac21fcddc"/>
      <w:bookmarkEnd w:id="22"/>
      <w:r>
        <w:rPr>
          <w:rFonts w:ascii="Times New Roman;serif" w:hAnsi="Times New Roman;serif"/>
          <w:b/>
          <w:color w:val="000000"/>
          <w:sz w:val="20"/>
        </w:rPr>
        <w:t>Certain Corporate Anti-takeover Provisions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in our certificate of incorporation, our bylaws and the Investor Rights Agreements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lineRule="auto" w:line="288" w:before="0" w:after="240"/>
        <w:jc w:val="left"/>
        <w:rPr>
          <w:rFonts w:ascii="Times New Roman;serif" w:hAnsi="Times New Roman;serif"/>
          <w:b/>
          <w:i/>
          <w:color w:val="000000"/>
          <w:sz w:val="20"/>
        </w:rPr>
      </w:pPr>
      <w:bookmarkStart w:id="23" w:name="i38c31dca45644337a5407d0bd5e83ac5"/>
      <w:bookmarkEnd w:id="23"/>
      <w:r>
        <w:rPr>
          <w:rFonts w:ascii="Times New Roman;serif" w:hAnsi="Times New Roman;serif"/>
          <w:b/>
          <w:i/>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pStyle w:val="TextBody"/>
        <w:bidi w:val="0"/>
        <w:spacing w:lineRule="auto" w:line="288" w:before="0" w:after="240"/>
        <w:ind w:left="0" w:right="0" w:firstLine="720"/>
        <w:jc w:val="left"/>
        <w:rPr>
          <w:rFonts w:ascii="Times New Roman;serif" w:hAnsi="Times New Roman;serif"/>
          <w:b/>
          <w:i/>
          <w:color w:val="000000"/>
          <w:sz w:val="20"/>
        </w:rPr>
      </w:pPr>
      <w:bookmarkStart w:id="24" w:name="i9bd501fe0a634b38b5e47df0244aed9a"/>
      <w:bookmarkEnd w:id="24"/>
      <w:r>
        <w:rPr>
          <w:rFonts w:ascii="Times New Roman;serif" w:hAnsi="Times New Roman;serif"/>
          <w:b/>
          <w:i/>
          <w:color w:val="000000"/>
          <w:sz w:val="20"/>
        </w:rPr>
        <w:t>Classified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 of Directors.”</w:t>
      </w:r>
    </w:p>
    <w:p>
      <w:pPr>
        <w:pStyle w:val="TextBody"/>
        <w:bidi w:val="0"/>
        <w:spacing w:lineRule="auto" w:line="288" w:before="0" w:after="240"/>
        <w:ind w:left="0" w:right="0" w:firstLine="720"/>
        <w:jc w:val="left"/>
        <w:rPr>
          <w:rFonts w:ascii="Times New Roman;serif" w:hAnsi="Times New Roman;serif"/>
          <w:b/>
          <w:i/>
          <w:color w:val="000000"/>
          <w:sz w:val="20"/>
        </w:rPr>
      </w:pPr>
      <w:bookmarkStart w:id="25" w:name="i4d460bff62df4516b822e28ca3f10e04"/>
      <w:bookmarkEnd w:id="25"/>
      <w:r>
        <w:rPr>
          <w:rFonts w:ascii="Times New Roman;serif" w:hAnsi="Times New Roman;serif"/>
          <w:b/>
          <w:i/>
          <w:color w:val="000000"/>
          <w:sz w:val="20"/>
        </w:rPr>
        <w:t>Removal of Directors; Vacancies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from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after the time Apollo and its affiliates, including the Apollo Funds,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For so long as at least 5% of the voting power of our outstanding common stock is beneficially owned by Apollo and its affiliates, including the Apollo Funds, any vacancy on our board of directors in respect of an Apollo Board Nominee will only be filled by individuals designated by Apollo and its affiliates, including the Apollo Funds. Any other vacancy on our board of directors will be filled only by the affirmative vote of a majority of the remaining directors, even if less than a quorum, as described above in “—Composition of Board of Directors; Election and Removal of Directors.”</w:t>
      </w:r>
    </w:p>
    <w:p>
      <w:pPr>
        <w:pStyle w:val="TextBody"/>
        <w:bidi w:val="0"/>
        <w:spacing w:lineRule="auto" w:line="288" w:before="0" w:after="240"/>
        <w:ind w:left="0" w:right="0" w:firstLine="720"/>
        <w:jc w:val="left"/>
        <w:rPr>
          <w:rFonts w:ascii="Times New Roman;serif" w:hAnsi="Times New Roman;serif"/>
          <w:b/>
          <w:i/>
          <w:color w:val="000000"/>
          <w:sz w:val="20"/>
        </w:rPr>
      </w:pPr>
      <w:bookmarkStart w:id="26" w:name="i80a7fae1a1cd444b95398d3bea55d2bf"/>
      <w:bookmarkEnd w:id="26"/>
      <w:r>
        <w:rPr>
          <w:rFonts w:ascii="Times New Roman;serif" w:hAnsi="Times New Roman;serif"/>
          <w:b/>
          <w:i/>
          <w:color w:val="000000"/>
          <w:sz w:val="20"/>
        </w:rPr>
        <w:t>No Cumulative Voting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stockholders do not have the right to cumulative votes in the election of directors.</w:t>
      </w:r>
    </w:p>
    <w:p>
      <w:pPr>
        <w:pStyle w:val="TextBody"/>
        <w:bidi w:val="0"/>
        <w:spacing w:lineRule="auto" w:line="288" w:before="0" w:after="240"/>
        <w:ind w:left="0" w:right="0" w:firstLine="720"/>
        <w:jc w:val="left"/>
        <w:rPr>
          <w:rFonts w:ascii="Times New Roman;serif" w:hAnsi="Times New Roman;serif"/>
          <w:b/>
          <w:i/>
          <w:color w:val="000000"/>
          <w:sz w:val="20"/>
        </w:rPr>
      </w:pPr>
      <w:bookmarkStart w:id="27" w:name="i33a64701005949b48a47f70e2e353e72"/>
      <w:bookmarkEnd w:id="27"/>
      <w:r>
        <w:rPr>
          <w:rFonts w:ascii="Times New Roman;serif" w:hAnsi="Times New Roman;serif"/>
          <w:b/>
          <w:i/>
          <w:color w:val="000000"/>
          <w:sz w:val="20"/>
        </w:rPr>
        <w:t>Special Meetings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28" w:name="i83fede2a37a1494f8d75e495a8050ca5"/>
      <w:bookmarkEnd w:id="28"/>
      <w:r>
        <w:rPr>
          <w:rFonts w:ascii="Times New Roman;serif" w:hAnsi="Times New Roman;serif"/>
          <w:b w:val="false"/>
          <w:color w:val="000000"/>
          <w:sz w:val="20"/>
        </w:rPr>
        <w:t xml:space="preserve">Our certificate of incorporation provides that if less than 50.1% of the voting power of our outstanding common stock is beneficially owned by Apollo and its affiliates, including the Apollo Funds,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Funds,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 </w:t>
      </w:r>
    </w:p>
    <w:p>
      <w:pPr>
        <w:pStyle w:val="TextBody"/>
        <w:bidi w:val="0"/>
        <w:spacing w:lineRule="auto" w:line="288" w:before="0" w:after="240"/>
        <w:ind w:left="0" w:right="0" w:firstLine="720"/>
        <w:jc w:val="left"/>
        <w:rPr>
          <w:rFonts w:ascii="Times New Roman;serif" w:hAnsi="Times New Roman;serif"/>
          <w:b/>
          <w:i/>
          <w:color w:val="000000"/>
          <w:sz w:val="20"/>
        </w:rPr>
      </w:pPr>
      <w:bookmarkStart w:id="29" w:name="id536754d230e4389b7af102e105dc914"/>
      <w:bookmarkEnd w:id="29"/>
      <w:r>
        <w:rPr>
          <w:rFonts w:ascii="Times New Roman;serif" w:hAnsi="Times New Roman;serif"/>
          <w:b/>
          <w:i/>
          <w:color w:val="000000"/>
          <w:sz w:val="20"/>
        </w:rPr>
        <w:t>Stockholder Action by Written Consent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Funds, cease to beneficially own at least 50.1% of the voting power of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pStyle w:val="TextBody"/>
        <w:bidi w:val="0"/>
        <w:spacing w:lineRule="auto" w:line="288" w:before="0" w:after="240"/>
        <w:ind w:left="0" w:right="0" w:firstLine="720"/>
        <w:jc w:val="left"/>
        <w:rPr>
          <w:rFonts w:ascii="Times New Roman;serif" w:hAnsi="Times New Roman;serif"/>
          <w:b/>
          <w:i/>
          <w:color w:val="000000"/>
          <w:sz w:val="20"/>
        </w:rPr>
      </w:pPr>
      <w:bookmarkStart w:id="30" w:name="i3f4d640e1a4b40ab999825bfc2bb4f13"/>
      <w:bookmarkEnd w:id="30"/>
      <w:r>
        <w:rPr>
          <w:rFonts w:ascii="Times New Roman;serif" w:hAnsi="Times New Roman;serif"/>
          <w:b/>
          <w:i/>
          <w:color w:val="000000"/>
          <w:sz w:val="20"/>
        </w:rPr>
        <w:t>Advance Notice Requirements for Stockholder Proposals and Director Nominations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stockholders who are seeking to bring business before an annual meeting of stockholders and stockholders (other than Apollo and its affiliates, including the Apollo Funds) who are seeking to nominate candidates for election as directors at an annual meeting of stockholders, must provide timely notice thereof in writing. To be timely, a stockholder’s notice generally must be delivered to and received at our principal executive offices not earlier than the close of business on the 120th day and not later than the close of business of the 90th day prior to the first anniversary of the preceding year’s annual meeting of our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before an annual meeting of stockholders or from making nominations for directors at an annual meeting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pStyle w:val="TextBody"/>
        <w:bidi w:val="0"/>
        <w:spacing w:lineRule="auto" w:line="288" w:before="0" w:after="240"/>
        <w:ind w:left="0" w:right="0" w:firstLine="720"/>
        <w:jc w:val="left"/>
        <w:rPr>
          <w:rFonts w:ascii="Times New Roman;serif" w:hAnsi="Times New Roman;serif"/>
          <w:b/>
          <w:i/>
          <w:color w:val="000000"/>
          <w:sz w:val="20"/>
        </w:rPr>
      </w:pPr>
      <w:bookmarkStart w:id="31" w:name="i2c82f4f2f0d94901ac6ce341a4227278"/>
      <w:bookmarkEnd w:id="31"/>
      <w:r>
        <w:rPr>
          <w:rFonts w:ascii="Times New Roman;serif" w:hAnsi="Times New Roman;serif"/>
          <w:b/>
          <w:i/>
          <w:color w:val="000000"/>
          <w:sz w:val="20"/>
        </w:rPr>
        <w:t>Delaware Takeover Statute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we are not governed by Section 203 of the DGCL which, in the absence of such provisions, would have imposed additional requirements regarding mergers and other business combinations.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our certificate of incorporation includes provision that restricts us from engaging in any business combination with an interested stockholder for three years following the date that person becomes an interested stockholder. Such restrictions will not apply to any business combination between Apollo and any affiliate thereof, including the Apollo Funds, or their direct and indirect transferees, on the one hand, and us, on the other. In addition, such restrictions will not apply if: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would be able to enter into a business combination with an interested stockholder if: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before that person became an interested stockholder, our board of directors approved the transaction in which the interested stockholder became an interested stockholder or approved the business combination;</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lineRule="auto" w:line="288" w:before="0" w:after="240"/>
        <w:ind w:left="0" w:right="0" w:firstLine="720"/>
        <w:jc w:val="left"/>
        <w:rPr>
          <w:rFonts w:ascii="Times New Roman;serif" w:hAnsi="Times New Roman;serif"/>
          <w:b/>
          <w:i/>
          <w:color w:val="000000"/>
          <w:sz w:val="20"/>
        </w:rPr>
      </w:pPr>
      <w:bookmarkStart w:id="32" w:name="ie36c7666bd60430289fd74540d40ea65"/>
      <w:bookmarkEnd w:id="32"/>
      <w:r>
        <w:rPr>
          <w:rFonts w:ascii="Times New Roman;serif" w:hAnsi="Times New Roman;serif"/>
          <w:b/>
          <w:i/>
          <w:color w:val="000000"/>
          <w:sz w:val="20"/>
        </w:rPr>
        <w:t>Amendment of Our Certificate of Incorporation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Delaware law, our certificate of incorporation may be amended only with the affirmative vote of holders of at least a majority of the outstanding stock entitled to vote thereon.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our certificate of incorporation provides that, from and after the time Apollo and its affiliates, including the Apollo Funds,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authorizing our board of directors to make, alter, amend or repeal our bylaws;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regarding the calling of special meetings and stockholder action by written consent in lieu of a meeting;</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eliminating monetary damages for breaches of fiduciary duty by a director;</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providing for indemnification and advance of expenses of our directors and officers;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regarding competition and corporate opportunities;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 of 1933, as amended (the “Securities Act”);</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provisions regarding entering into business combinations with interested stockholders;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 requiring that, from and after the time Apollo and its affiliates, including the Apollo Funds,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provision requiring that, from and after the time Apollo and its affiliates, including the Apollo Funds, cease to beneficially own at least 50.1% of the voting power of our outstanding common stock, amendments by the stockholders to our bylaws require the affirmative vote of 66 2/3% in voting power of our outstanding stock, voting as a single class.</w:t>
      </w:r>
    </w:p>
    <w:p>
      <w:pPr>
        <w:pStyle w:val="TextBody"/>
        <w:bidi w:val="0"/>
        <w:spacing w:lineRule="auto" w:line="288" w:before="0" w:after="240"/>
        <w:ind w:left="0" w:right="0" w:firstLine="720"/>
        <w:jc w:val="left"/>
        <w:rPr>
          <w:rFonts w:ascii="Times New Roman;serif" w:hAnsi="Times New Roman;serif"/>
          <w:b/>
          <w:i/>
          <w:color w:val="000000"/>
          <w:sz w:val="20"/>
        </w:rPr>
      </w:pPr>
      <w:bookmarkStart w:id="33" w:name="i0fd2a736a05145f388e680e54e5672b3"/>
      <w:bookmarkEnd w:id="33"/>
      <w:r>
        <w:rPr>
          <w:rFonts w:ascii="Times New Roman;serif" w:hAnsi="Times New Roman;serif"/>
          <w:b/>
          <w:i/>
          <w:color w:val="000000"/>
          <w:sz w:val="20"/>
        </w:rPr>
        <w:t>Amendment of Our Bylaws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34" w:name="idae6d897870c461ea0d324786533142d"/>
      <w:bookmarkEnd w:id="34"/>
      <w:r>
        <w:rPr>
          <w:rFonts w:ascii="Times New Roman;serif" w:hAnsi="Times New Roman;serif"/>
          <w:b w:val="false"/>
          <w:color w:val="000000"/>
          <w:sz w:val="20"/>
        </w:rPr>
        <w:t xml:space="preserve">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Funds,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 </w:t>
      </w:r>
    </w:p>
    <w:p>
      <w:pPr>
        <w:pStyle w:val="TextBody"/>
        <w:bidi w:val="0"/>
        <w:spacing w:lineRule="auto" w:line="288" w:before="0" w:after="240"/>
        <w:ind w:left="0" w:right="0" w:firstLine="720"/>
        <w:jc w:val="left"/>
        <w:rPr>
          <w:rFonts w:ascii="Times New Roman;serif" w:hAnsi="Times New Roman;serif"/>
          <w:b/>
          <w:i/>
          <w:color w:val="000000"/>
          <w:sz w:val="20"/>
        </w:rPr>
      </w:pPr>
      <w:bookmarkStart w:id="35" w:name="i7a01469b2da1497288c54d8293a957a6"/>
      <w:bookmarkEnd w:id="35"/>
      <w:r>
        <w:rPr>
          <w:rFonts w:ascii="Times New Roman;serif" w:hAnsi="Times New Roman;serif"/>
          <w:b/>
          <w:i/>
          <w:color w:val="000000"/>
          <w:sz w:val="20"/>
        </w:rPr>
        <w:t>Certain Matters that Require Consent of Our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Investor Rights Agreements provide that until Apollo and its affiliates, including the Apollo Funds, no longer beneficially own at least 33% of our issued and outstanding common stock, we will not take certain significant actions specified therein without the prior consent of Apollo and its affiliates, including, but not limited to:</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other than in the ordinary course of business with vendors, customers and suppliers, acquisition of equity interests or assets of any other entity, or any business, properties, assets or entities, exceeding $50 million in any single transaction or $100 million in the aggregate in any series of transactions during a calendar year;</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other than in the ordinary course of business with vendors, customers and suppliers, disposition of any of our or our subsidiaries’ assets or equity interests, exceeding $50 million in any single transaction or $100 million in the aggregate in any series of transactions during a calendar year; and</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merging or consolidating with or into any other entity, or transferring all or substantially all of the Company’s or our subsidiaries’ assets, taken as a whole, to another entity, or undertaking any transaction that would constitute a “change of control” as defined in our or our subsidiaries’ credit facilities or note indentures (other than transactions among us and our wholly-owned subsidiaries).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provisions of the DGCL, our certificate of incorporation, our bylaws and our Investor Rights Agreements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36" w:name="i90c7d3a9411240778fb06fb48042bccb"/>
      <w:bookmarkEnd w:id="36"/>
      <w:r>
        <w:rPr>
          <w:rFonts w:ascii="Times New Roman;serif" w:hAnsi="Times New Roman;serif"/>
          <w:b/>
          <w:color w:val="000000"/>
          <w:sz w:val="20"/>
        </w:rPr>
        <w:t>Exclusive Forum Selection</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37" w:name="i0dbf346c270d43028380db75b9e0a0a3"/>
      <w:bookmarkEnd w:id="37"/>
      <w:r>
        <w:rPr>
          <w:rFonts w:ascii="Times New Roman;serif" w:hAnsi="Times New Roman;serif"/>
          <w:b w:val="false"/>
          <w:color w:val="000000"/>
          <w:sz w:val="20"/>
        </w:rPr>
        <w:t>Unless we consent in writing to the selection of an alternative forum, the Chancery Court of the State of Delaware will, to the fullest extent permitted by law, be the sole and exclusive forum for:</w:t>
      </w:r>
    </w:p>
    <w:p>
      <w:pPr>
        <w:pStyle w:val="TextBody"/>
        <w:bidi w:val="0"/>
        <w:spacing w:lineRule="auto" w:line="288" w:before="0" w:after="240"/>
        <w:ind w:left="0" w:right="0" w:hanging="270"/>
        <w:jc w:val="left"/>
        <w:rPr/>
      </w:pPr>
      <w:bookmarkStart w:id="38" w:name="ide6708e657d34e7cbae94bb930eb0bef"/>
      <w:bookmarkEnd w:id="38"/>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240"/>
        <w:ind w:left="0" w:right="0" w:hanging="270"/>
        <w:jc w:val="left"/>
        <w:rPr/>
      </w:pPr>
      <w:bookmarkStart w:id="39" w:name="ib5b6938a76154c26990723dddffae648"/>
      <w:bookmarkEnd w:id="39"/>
      <w:r>
        <w:rPr>
          <w:color w:val="000000"/>
        </w:rPr>
        <w:t>▪</w:t>
      </w:r>
      <w:r>
        <w:rPr>
          <w:rFonts w:ascii="Times New Roman;serif" w:hAnsi="Times New Roman;serif"/>
          <w:b w:val="false"/>
          <w:color w:val="000000"/>
          <w:sz w:val="20"/>
        </w:rPr>
        <w:t xml:space="preserve">any action asserting a claim of breach of a fiduciary duty owed by any of our directors, officers, employees or agents to us or our stockholders; </w:t>
      </w:r>
    </w:p>
    <w:p>
      <w:pPr>
        <w:pStyle w:val="TextBody"/>
        <w:bidi w:val="0"/>
        <w:spacing w:lineRule="auto" w:line="288" w:before="0" w:after="240"/>
        <w:ind w:left="0" w:right="0" w:hanging="270"/>
        <w:jc w:val="left"/>
        <w:rPr/>
      </w:pPr>
      <w:bookmarkStart w:id="40" w:name="i69aa02e4c5d6492ba2b67d59d842ffcb"/>
      <w:bookmarkEnd w:id="40"/>
      <w:r>
        <w:rPr>
          <w:color w:val="000000"/>
        </w:rPr>
        <w:t>▪</w:t>
      </w:r>
      <w:r>
        <w:rPr>
          <w:rFonts w:ascii="Times New Roman;serif" w:hAnsi="Times New Roman;serif"/>
          <w:b w:val="false"/>
          <w:color w:val="000000"/>
          <w:sz w:val="20"/>
        </w:rPr>
        <w:t>any action asserting a claim arising pursuant to any provision of the DGCL or of our certificate of incorporation or our bylaws; or</w:t>
      </w:r>
    </w:p>
    <w:p>
      <w:pPr>
        <w:pStyle w:val="TextBody"/>
        <w:bidi w:val="0"/>
        <w:spacing w:lineRule="auto" w:line="288" w:before="0" w:after="240"/>
        <w:ind w:left="0" w:right="0" w:hanging="270"/>
        <w:jc w:val="left"/>
        <w:rPr/>
      </w:pPr>
      <w:bookmarkStart w:id="41" w:name="i07f428bb15094816a4a712c50e55fa2a"/>
      <w:bookmarkEnd w:id="41"/>
      <w:r>
        <w:rPr>
          <w:color w:val="000000"/>
        </w:rPr>
        <w:t>▪</w:t>
      </w:r>
      <w:r>
        <w:rPr>
          <w:rFonts w:ascii="Times New Roman;serif" w:hAnsi="Times New Roman;serif"/>
          <w:b w:val="false"/>
          <w:color w:val="000000"/>
          <w:sz w:val="20"/>
        </w:rPr>
        <w:t>any action asserting a claim against us or any of our directors or officers governed by the internal affairs doctrine,</w:t>
      </w:r>
    </w:p>
    <w:p>
      <w:pPr>
        <w:pStyle w:val="TextBody"/>
        <w:bidi w:val="0"/>
        <w:spacing w:lineRule="auto" w:line="288" w:before="0" w:after="240"/>
        <w:jc w:val="left"/>
        <w:rPr>
          <w:rFonts w:ascii="Times New Roman;serif" w:hAnsi="Times New Roman;serif"/>
          <w:b w:val="false"/>
          <w:color w:val="000000"/>
          <w:sz w:val="20"/>
        </w:rPr>
      </w:pPr>
      <w:bookmarkStart w:id="42" w:name="ib7bfbba967e14e398c80dd6bac447ac4"/>
      <w:bookmarkEnd w:id="42"/>
      <w:r>
        <w:rPr>
          <w:rFonts w:ascii="Times New Roman;serif" w:hAnsi="Times New Roman;serif"/>
          <w:b w:val="false"/>
          <w:color w:val="000000"/>
          <w:sz w:val="20"/>
        </w:rPr>
        <w:t>in each such case subject to the Delaware Court of Chancery having personal jurisdiction over the indispensable parties named as defendants.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3" w:name="i2749d353b6404d6fb7fda3d0b200c979"/>
      <w:bookmarkEnd w:id="43"/>
      <w:r>
        <w:rPr>
          <w:rFonts w:ascii="Times New Roman;serif" w:hAnsi="Times New Roman;serif"/>
          <w:b w:val="false"/>
          <w:color w:val="000000"/>
          <w:sz w:val="20"/>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other courts would enforce the exclusive forum provisions in our certificate of incorporation. Additionally, our stockholders cannot waive compliance with the federal securities laws and the rules and regulations thereunder.</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4" w:name="if89e7c18cd6f4b1699a8cf7ff4389fd5"/>
      <w:bookmarkEnd w:id="44"/>
      <w:r>
        <w:rPr>
          <w:rFonts w:ascii="Times New Roman;serif" w:hAnsi="Times New Roman;serif"/>
          <w:b w:val="false"/>
          <w:color w:val="000000"/>
          <w:sz w:val="20"/>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0" w:after="240"/>
        <w:jc w:val="left"/>
        <w:rPr>
          <w:rFonts w:ascii="Times New Roman;serif" w:hAnsi="Times New Roman;serif"/>
          <w:b/>
          <w:color w:val="000000"/>
          <w:sz w:val="20"/>
        </w:rPr>
      </w:pPr>
      <w:bookmarkStart w:id="45" w:name="iba89d7829ef44b8fa1e3283677a7eb6d"/>
      <w:bookmarkEnd w:id="45"/>
      <w:r>
        <w:rPr>
          <w:rFonts w:ascii="Times New Roman;serif" w:hAnsi="Times New Roman;serif"/>
          <w:b/>
          <w:color w:val="000000"/>
          <w:sz w:val="20"/>
        </w:rPr>
        <w:t>Registration Rights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6" w:name="idfbb4dd0d3764f3d93e595d2fefbe181"/>
      <w:bookmarkEnd w:id="46"/>
      <w:r>
        <w:rPr>
          <w:rFonts w:ascii="Times New Roman;serif" w:hAnsi="Times New Roman;serif"/>
          <w:b w:val="false"/>
          <w:color w:val="000000"/>
          <w:sz w:val="20"/>
        </w:rPr>
        <w:t>On August 4, 2020, we entered into a registration rights agreement (the “Registration Rights Agreement”) with the Apollo Funds and affiliates of ABRY. Subject to several exceptions, including our right to defer a demand registration, shelf registration or underwritten offering under certain circumstances, the Apollo Funds may require that we register for public resale under the Securities Act all shares of common stock that they request to be registered at any time following the Company’s initial public offering, subject to the restrictions in the lock-up agreements entered into by each of those parties, so long as the securities being registered in each registration statement or sold in any underwritten offering are reasonably expected to produce aggregate proceeds of at least $66.0 million.</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7" w:name="i4fc3731c08334ac1909ed2ddba1ec100"/>
      <w:bookmarkEnd w:id="47"/>
      <w:r>
        <w:rPr>
          <w:rFonts w:ascii="Times New Roman;serif" w:hAnsi="Times New Roman;serif"/>
          <w:b w:val="false"/>
          <w:color w:val="000000"/>
          <w:sz w:val="20"/>
        </w:rPr>
        <w:t>The Apollo Funds have the right to require us to register the sale of the common stock held by them on Form S-3, subject to offering size and other restrictions. The Apollo Funds also have the right to request marketed and non-marketed underwritten offerings using a shelf registration statement.</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8" w:name="id18a12ea2ff046fa945aa96593e2105b"/>
      <w:bookmarkEnd w:id="48"/>
      <w:r>
        <w:rPr>
          <w:rFonts w:ascii="Times New Roman;serif" w:hAnsi="Times New Roman;serif"/>
          <w:b w:val="false"/>
          <w:color w:val="000000"/>
          <w:sz w:val="20"/>
        </w:rPr>
        <w:t>If we propose to file certain types of registration statements under the Securities Act with respect to an offering of equity securities (including for sale by us or at the request of the Apollo Funds),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49" w:name="ib614ca886d044d3f8b615175903fdd8c"/>
      <w:bookmarkEnd w:id="49"/>
      <w:r>
        <w:rPr>
          <w:rFonts w:ascii="Times New Roman;serif" w:hAnsi="Times New Roman;serif"/>
          <w:b w:val="false"/>
          <w:color w:val="000000"/>
          <w:sz w:val="20"/>
        </w:rPr>
        <w:t>All expenses of registration under the Registration Rights Agreement, including the legal fees of counsel chosen by stockholders participating in a registration, will be paid by us.</w:t>
      </w:r>
    </w:p>
    <w:p>
      <w:pPr>
        <w:pStyle w:val="TextBody"/>
        <w:bidi w:val="0"/>
        <w:spacing w:lineRule="auto" w:line="288" w:before="0" w:after="240"/>
        <w:ind w:left="0" w:right="0" w:firstLine="720"/>
        <w:jc w:val="left"/>
        <w:rPr>
          <w:rFonts w:ascii="Times New Roman;serif" w:hAnsi="Times New Roman;serif"/>
          <w:b w:val="false"/>
          <w:color w:val="000000"/>
          <w:sz w:val="20"/>
        </w:rPr>
      </w:pPr>
      <w:bookmarkStart w:id="50" w:name="ic8d82a72785a4efaa3b37587a8952d37"/>
      <w:bookmarkEnd w:id="50"/>
      <w:r>
        <w:rPr>
          <w:rFonts w:ascii="Times New Roman;serif" w:hAnsi="Times New Roman;serif"/>
          <w:b w:val="false"/>
          <w:color w:val="000000"/>
          <w:sz w:val="20"/>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pStyle w:val="TextBody"/>
        <w:bidi w:val="0"/>
        <w:spacing w:lineRule="auto" w:line="288" w:before="0" w:after="240"/>
        <w:jc w:val="left"/>
        <w:rPr>
          <w:rFonts w:ascii="Times New Roman;serif" w:hAnsi="Times New Roman;serif"/>
          <w:b/>
          <w:color w:val="000000"/>
          <w:sz w:val="20"/>
        </w:rPr>
      </w:pPr>
      <w:bookmarkStart w:id="51" w:name="ifd31b99305c446038ba9a60689a68718"/>
      <w:bookmarkEnd w:id="51"/>
      <w:r>
        <w:rPr>
          <w:rFonts w:ascii="Times New Roman;serif" w:hAnsi="Times New Roman;serif"/>
          <w:b/>
          <w:color w:val="000000"/>
          <w:sz w:val="20"/>
        </w:rPr>
        <w:t>Transfer Agent and Registrar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 is the transfer agent and registrar for our common stock.</w:t>
      </w:r>
    </w:p>
    <w:p>
      <w:pPr>
        <w:pStyle w:val="TextBody"/>
        <w:bidi w:val="0"/>
        <w:spacing w:lineRule="auto" w:line="288" w:before="0" w:after="240"/>
        <w:jc w:val="left"/>
        <w:rPr>
          <w:rFonts w:ascii="Times New Roman;serif" w:hAnsi="Times New Roman;serif"/>
          <w:b/>
          <w:color w:val="000000"/>
          <w:sz w:val="20"/>
        </w:rPr>
      </w:pPr>
      <w:bookmarkStart w:id="52" w:name="i4499f5ecc6de49f69999094219c97a2d"/>
      <w:bookmarkEnd w:id="52"/>
      <w:r>
        <w:rPr>
          <w:rFonts w:ascii="Times New Roman;serif" w:hAnsi="Times New Roman;serif"/>
          <w:b/>
          <w:color w:val="000000"/>
          <w:sz w:val="20"/>
        </w:rPr>
        <w:t>Listing of Common Stock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Market LLC under the symbol “RXT.”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53" w:name="iafd0c84e3aeb4d80b58b669035e69b66"/>
      <w:bookmarkEnd w:id="53"/>
      <w:r>
        <w:rPr>
          <w:rFonts w:ascii="Times New Roman;serif" w:hAnsi="Times New Roman;serif"/>
          <w:b/>
          <w:color w:val="000000"/>
          <w:sz w:val="20"/>
        </w:rPr>
        <w:t>DESCRIPTION OF THE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from time to time in one or more series. The debt securities will be general obligations of Rackspace Technology, Inc. The debt securities may be fully and unconditionally guaranteed on a secured or unsecured senior or subordinated basis, jointly and severally, by guarantors, if any. In the event that any series of debt securities will be subordinated to other indebtedness that we have outstanding or may incur, the terms of the subordination will be set forth in the prospectus supplement relating to the subordinated debt securities. Debt securities will be issued under one or more indentures between us and a trustee to be identified therein. A copy of the form of indenture has been filed as an exhibit to the registration statement filed with the SEC.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You should refer to the indenture for the complete terms of the debt securities.</w:t>
      </w:r>
    </w:p>
    <w:p>
      <w:pPr>
        <w:pStyle w:val="TextBody"/>
        <w:bidi w:val="0"/>
        <w:spacing w:lineRule="auto" w:line="288" w:before="0" w:after="240"/>
        <w:jc w:val="left"/>
        <w:rPr>
          <w:rFonts w:ascii="Times New Roman;serif" w:hAnsi="Times New Roman;serif"/>
          <w:b/>
          <w:color w:val="000000"/>
          <w:sz w:val="20"/>
        </w:rPr>
      </w:pPr>
      <w:bookmarkStart w:id="54" w:name="ib7b78322ca874928bd3d008298737013"/>
      <w:bookmarkEnd w:id="54"/>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will represent direct, general obligations of Rackspace Technology, Inc.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rank equally with other unsubordinated debt or may be subordinated to other debt we have or may incur;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may be issued in one or more series with the same or various maturities;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may be issued at a price of 100% of their principal amount or at a premium or discount;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may be issued in registered form and certificated or uncertificated form;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may be represented by one or more global debt securities registered in the name of a designated depositary’s nominee, and if so, beneficial interests in the global note will be shown on and transfers will be made only through records maintained by the designated depositary and its participants.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aggregate principal amount of debt securities that we may authenticate and deliver is unlimited. Subject to limitations contained in the indenture, we may from time to time, without notice to or the consent of the holders of a series of debt securities, issue additional debt securities of any such series on the same terms and conditions as the debt securities of such series, except for any differences in the issue price and, if applicable, the initial interest accrual date and interest payment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additional debt securities are not fungible with the debt securities of such series for U.S. federal income tax purposes, such additional debt securities will have one or more separate CUSIP numbers. You should refer to the applicable prospectus supplement for the following terms of the debt securities of the series with respect to which that prospectus supplement is being delivered: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title of the debt securities of the series (which will distinguish the debt securities of that particular series from the debt securities of any other series) and ranking (including the terms of any subordination provisions);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price or prices of the debt securities of the series at which such debt securities will be issued;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whether the debt securities are entitled to the benefit of any guarantee by any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0"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limit on the aggregate principal amount of the debt securities of the series that may be authenticated and delivered under the indenture (except for debt securities authenticated and delivered upon registration or transfer of, or in exchange for, or in lieu of, other debt securities of the series);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or dates on which the principal and premium with respect to the debt securities of the series are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person to whom any interest on a security of the series shall be payable if other than the person in whose name that security is registered at the close of business on the record date;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rate or rates (which may be fixed or variable) at which the debt securities of the series will bear interest (if any) or the method of determining such rate or rates (including, but not limited to, any commodity, commodity index, stock exchange index or financial index), the date or dates from which such interest, if any, will accrue, the interest payment dates on which such interest, if any, will be payable or the method by which such dates will be determined, the record dates for the determination of holders thereof to whom such interest is payable (in the case of securities in registered form), and the basis upon which interest will be calculated if other than that of a 360-day year of twelve 30-day months;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currency or currencies in which debt securities of the series will be denominated and/or in which payment of the principal, premium, if any, and interest of any of the securities shall be payable, if other than U.S. dollars, the place or places, if any, in addition to or instead of the corporate trust office of the trustee (in the case of securities in registered form) where the principal, premium and interest, if any, with respect to debt securities of the series will be payable, where notices and demands to or upon us in respect of the debt securities and the indenture may be delivered, and the method of such payment, if by wire transfer, mail or other means;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price or prices at which, the period or periods within which, and the terms and conditions upon which debt securities of the series may be redeemed, in whole or in part, at our option or otherwise;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obligation or right,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will be redeemed, purchased or repaid, in whole or in part, pursuant to such obligations;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terms, if any, upon which the debt securities of the series may be convertible into or exchanged for any issuer’s common stock, preferred stock, depositary shares, other debt securities or warrants for common stock, preferred stock, depositary shares, indebtedness or other securities of any kind and the terms and conditions upon which such conversion or exchange will be effected, including the initial conversion or exchange price or rate, the conversion or exchange period and any other additional provisions;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other than minimum denominations of $2,000 or any integral multiple of $1,000 in excess thereof, the denominations in which debt securities of the series will be issuable;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the amount of principal, premium or interest with respect to the debt securities of the series may be determined with reference to an index or pursuant to a formula, the manner in which such amounts will be determined;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changes or additions to the provisions of the indenture dealing with defeasance;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other than the principal amount thereof, the portion of the principal amount of debt securities of the series that will be payable upon declaration of acceleration of the maturity thereof or provable in bankruptcy;</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1"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terms, if any, of the transfer, mortgage, pledge or assignment as security for the debt securities of the series of any properties, assets, moneys, proceeds, securities or other collateral and any corresponding changes to provisions of the indenture as then in effect;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addition to or change in the events of default with respect to the debt securities of the series and any change in the right of the trustee or the holders to declare the principal, premium and interest, if any, with respect to such debt securities due and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the debt securities of the series will be issued in whole or in part in the form of a global security, the terms and conditions, if any, upon which such global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trustee, authenticating or paying agent, transfer agent or registrar or any other agent with respect to the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applicability of, and any addition to, deletion of or change in, the covenants and definitions then set forth in the indenture or in the terms then set forth in the indenture relating to permitted consolidations, mergers or sales of assets;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terms, if any, of any guarantee of the payment of principal, premium and interest with respect to debt securities of the series and any corresponding changes to the provisions of the indenture as then in effect;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subordination, if any, of the debt securities of the series pursuant to the indenture and any changes or additions to the provisions of the indenture relating to subordination;</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with regard to debt securities of the series that do not bear interest, the dates for certain required reports to the trustee;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provisions granting special rights to holders when a specified event occurs;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co-issuer;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place or places where the principal of and interest, if any, on the debt securities will be payable, where the debt securities may be surrendered for registration of transfer or exchange and where notices and demands to or upon us in respect of the debt securities and the indenture may be served, and the method of such payment, if by wire transfer, mail or other means;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other terms of the debt securities of the series (which terms will not be prohibited by the provisions of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will also describe any material U.S. federal income tax consequences or other special considerations applicable to the series of debt securities to which such prospectus supplement relates, including those applicable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securities with respect to which payments of principal, premium or interest are determined with reference to an index or formula (including changes in prices of particular securities, currencies or commodities);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debt securities with respect to which principal or interest is payable in a foreign or composite currency;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debt securities that are issued at a discount below their stated principal amount, bearing no interest or interest at a rate that at the time of issuance is below market rates or original issue discount debt securities;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variable rate debt securities that are exchangeable for fixed rate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provided in the applicable prospectus supplement, securities in registered form may be transferred or exchanged at the office of the trustee at which its corporate trust business is principally administered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2"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subject to the limitations provided in the indenture, without the payment of any service charge, other than any tax or governmental charge payable in connection therewith.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funds that we pay to a paying agent for the payment of principal, premium or interest with respect to any debt securities that remain unclaimed at the end of two years after that principal, premium or interest will have become due and payable will be repaid to us, and the holders of those debt securities or any related coupons will thereafter look only to us for payment thereof.</w:t>
      </w:r>
    </w:p>
    <w:p>
      <w:pPr>
        <w:pStyle w:val="TextBody"/>
        <w:bidi w:val="0"/>
        <w:spacing w:lineRule="auto" w:line="288" w:before="0" w:after="240"/>
        <w:jc w:val="left"/>
        <w:rPr>
          <w:rFonts w:ascii="Times New Roman;serif" w:hAnsi="Times New Roman;serif"/>
          <w:b/>
          <w:color w:val="000000"/>
          <w:sz w:val="20"/>
        </w:rPr>
      </w:pPr>
      <w:bookmarkStart w:id="55" w:name="i01bc3b9b86e44feea06f375ab3a4a6a1"/>
      <w:bookmarkEnd w:id="55"/>
      <w:r>
        <w:rPr>
          <w:rFonts w:ascii="Times New Roman;serif" w:hAnsi="Times New Roman;serif"/>
          <w:b/>
          <w:color w:val="000000"/>
          <w:sz w:val="20"/>
        </w:rPr>
        <w:t>Global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 deposited with, or on behalf of, a depositary, which will be identified in the prospectus supplement relating to such debt securities. Global securities may be issued in registered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depositary arrangement with respect to a series of debt securities will be described in the prospectus supplement relating to such debt securities. We anticipate that the following provisions will generally apply to depositary arrangements, in all cases subject to any restrictions or limitations described in the prospectus supplement relating to such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3"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payment to the owners of beneficial interests in the global security of amounts paid to the depositary or its nominee; 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other matter relating to the actions and practices of the depositary, its nominee or its participants.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we, the trustee, any paying agent or registrar for such debt securities nor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In addition, we may at any time and in our sole discretion determine to no longer have debt securities of a series represented by a global security and, in such event,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generally will be issued as securities in registered form in minimum denominations, unless otherwise specified by us, of $2,000 and any integral multiples of $1,000 in excess thereof if the debt securities are issuable as securities in registered form.</w:t>
      </w:r>
    </w:p>
    <w:p>
      <w:pPr>
        <w:pStyle w:val="TextBody"/>
        <w:bidi w:val="0"/>
        <w:spacing w:lineRule="auto" w:line="288" w:before="0" w:after="240"/>
        <w:jc w:val="left"/>
        <w:rPr>
          <w:rFonts w:ascii="Times New Roman;serif" w:hAnsi="Times New Roman;serif"/>
          <w:b/>
          <w:color w:val="000000"/>
          <w:sz w:val="20"/>
        </w:rPr>
      </w:pPr>
      <w:bookmarkStart w:id="56" w:name="i04910b1785ee4c2f894bd7b302011b98"/>
      <w:bookmarkEnd w:id="56"/>
      <w:r>
        <w:rPr>
          <w:rFonts w:ascii="Times New Roman;serif" w:hAnsi="Times New Roman;serif"/>
          <w:b/>
          <w:color w:val="000000"/>
          <w:sz w:val="20"/>
        </w:rPr>
        <w:t>Certain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pStyle w:val="TextBody"/>
        <w:bidi w:val="0"/>
        <w:spacing w:lineRule="auto" w:line="288" w:before="0" w:after="240"/>
        <w:jc w:val="left"/>
        <w:rPr>
          <w:rFonts w:ascii="Times New Roman;serif" w:hAnsi="Times New Roman;serif"/>
          <w:b/>
          <w:color w:val="000000"/>
          <w:sz w:val="20"/>
        </w:rPr>
      </w:pPr>
      <w:bookmarkStart w:id="57" w:name="i69ef1e15762b4d659faf0be9e5b97e4d"/>
      <w:bookmarkEnd w:id="57"/>
      <w:r>
        <w:rPr>
          <w:rFonts w:ascii="Times New Roman;serif" w:hAnsi="Times New Roman;serif"/>
          <w:b/>
          <w:color w:val="000000"/>
          <w:sz w:val="20"/>
        </w:rPr>
        <w:t>Subordination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securities of a series and any guarantees,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except to the extent such subsidiary is a guarantor of such series of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4"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58" w:name="i013a0a9a8c064ddbb6d20ebbd7fc3758"/>
      <w:bookmarkEnd w:id="58"/>
      <w:r>
        <w:rPr>
          <w:rFonts w:ascii="Times New Roman;serif" w:hAnsi="Times New Roman;serif"/>
          <w:b/>
          <w:color w:val="000000"/>
          <w:sz w:val="20"/>
        </w:rPr>
        <w:t>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following will constitute an event of default under the form of indenture with respect to any series of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default in payment of the principal amount of the debt securities of that series, when such amount becomes due and payable at maturity, upon acceleration, required redemption or otherwise;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failure to pay interest on the debt securities of that series within 30 days of the due date;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failure to comply with the obligations described under “—Mergers and Sales of Assets” below;</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failure to comply for 90 days after notice with any of our other agreements in the debt securities of that series or the indenture or supplemental indenture related to that series of debt securities; 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certain events of bankruptcy, insolvency or reorganization affecting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prospectus supplement may omit, modify or add to the foregoing 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one series of debt securities does not necessarily constitute an event of default under any other series of debt securities. A default under the fourth bullet above will not constitute an event of default until the trustee or the holders of 30% in principal amount of the outstanding debt securities of such series notify us of the default and we do not cure such default within the time specified after receipt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event of default (other than an event of default relating to certain events of bankruptcy, insolvency or reorganization) occurs and is continuing with respect to a particular series of debt securities, either the trustee or the holders of not less than 30% in aggregate principal amount of the debt securities of that series then outstanding by written notice to us (and to the trustee if such notice is given by the holders), may declare the principal amount of (or in the case of original issue discount debt securities, the portion thereby specified in the terms thereof), and accrued interest on the debt securities of that series to be immediately due and payable. In the case of certain events of bankruptcy, insolvency or reorganization, the principal amount of, and accrued interest on the debt securities of that series will automatically become and be immediately due and payable without any declaration or other act on the part of the trustee or any holders. Upon a declaration by the trustee or the holders, we will be obligated to pay the principal amount plus accrued and unpaid interest of each affected series of debt securities so declared due and payable.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aggregate principal amount of the debt securities of any series then outstanding by written notice to the trustee under the indenture may on behalf of the holders of all of such series of debt securities waive any existing default or event of default and its consequences under the applicable indenture except a continuing default or event of default in the payment of interest on, or the principal of, the debt securities of such series.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the indenture relating to the duties of the trustee in case an event of default will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the trustee against any cost, loss, liability or expense. Subject to such provisions for the indemnification of the trustee, the holders of at least a majority in aggregate principal amount of the outstanding debt securities of a series have the right to direct the time, method and place of conducting any proceeding for any remedy available to the trustee or exercising any trust or power conferred on the trustee with respect to such series of debt securities. The trustee, however, may refuse to follow any direction that conflicts with law or the indenture or that the trustee determines is unduly prejudicial to the rights of any other holder of such series of debt securities or that would involve the trustee in personal liability. Prior to taking any action under the indenture, the trustee is entitled to indemnification satisfactory to it in its sole discretion against all costs, losses, liabilities and expenses caused by taking or not taking such action.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6415"/>
                <wp:effectExtent l="0" t="0" r="0" b="0"/>
                <wp:wrapNone/>
                <wp:docPr id="25"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to enforce the right to receive payment of principal, premium, if any, or interest when due, no holder of debt securities of a series has any right to institute, or to order or direct the trustee to institute, any proceeding, judicial or otherwise, with respect to the indenture or debt securities, or for the appointment of a receiver or a trustee, or for any other remedy thereunder,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such holder has previously given to the trustee written notice of a continuing event of default with respect to such series of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holder or holders of at least 30% in aggregate principal amount of the outstanding debt securities of that series have made written request, and such holder or holders have offered security or indemnity satisfactory to the trustee against any loss, liability or expense, to the trustee to institute such proceeding as trustee;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such limitations do not apply to a suit instituted by a holder of a debt security of such series for the enforcement of payment of the principal, premium, if any, or interest on such debt security on or after the applicable due date specified in such debt 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if a default with respect to a series of debt securities occurs and is continuing and is known to the trustee, the trustee must send to each holder of such debt securities notice of the default within 90 days after it is known to the trustee. Except in the case of a default in the payment of the principal or premium, if any, upon acceleration, redemption or otherwise with respect to any debt security of a series when such amount becomes due and payable, the trustee may withhold notice if and so long as a committee of its trust officers in good faith determines that withholding notice is not opposed to the interests of the holders.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indenture requires us to furnish to the trustee, within 120 days after the end of each fiscal year, a statement by certain of our officers as to whether or not we, to their knowledge, are in default in the performance or observance of any of the terms, provisions and conditions of the indenture and, if so, specifying all such known defaults. We are also required to deliver to the trustee, within 30 days after the occurrence thereof, written notice of any event which would constitute a default;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failure to provide such written notice will not in and of itself result in a default under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Street name and other indirect holders should consult their banks and brokers for information on their requirements for giving notice or taking other actions upon a default.</w:t>
      </w:r>
    </w:p>
    <w:p>
      <w:pPr>
        <w:pStyle w:val="TextBody"/>
        <w:bidi w:val="0"/>
        <w:spacing w:lineRule="auto" w:line="288" w:before="0" w:after="240"/>
        <w:jc w:val="left"/>
        <w:rPr>
          <w:rFonts w:ascii="Times New Roman;serif" w:hAnsi="Times New Roman;serif"/>
          <w:b/>
          <w:color w:val="000000"/>
          <w:sz w:val="20"/>
        </w:rPr>
      </w:pPr>
      <w:bookmarkStart w:id="59" w:name="if64694ffbecf4c59ba0867b675440da9"/>
      <w:bookmarkEnd w:id="59"/>
      <w:r>
        <w:rPr>
          <w:rFonts w:ascii="Times New Roman;serif" w:hAnsi="Times New Roman;serif"/>
          <w:b/>
          <w:color w:val="000000"/>
          <w:sz w:val="20"/>
        </w:rPr>
        <w:t>Modification and Waiver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modifications and amendments of the indenture, any supplemental indenture and any series of debt securities may be made by us and the trustee with the consent of the holders of at least a majority in aggregate principal amount of the outstanding debt securities of any series affected by such modification or amendment.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such modification or amendment may, without the consent of each holder affected thereby: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 the percentage of principal amount of the outstanding debt securities, the consent of whose holders is required for any amendment;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reduce the principal amount of, or interest on, or extend the Stated Maturity or interest payment periods of, any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change the provisions applicable to the redemption of any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make any debt securities payable in money or securities other than those stated in the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26415"/>
                <wp:effectExtent l="0" t="0" r="0" b="0"/>
                <wp:wrapNone/>
                <wp:docPr id="26"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impair the contractual right of any holder of the debt securities to receive payment of principal of and interest on such holder’s debt securities on or after the due dates therefor or to institute suit for the enforcement of any payment on or with respect to such holder’s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except as otherwise provided as described under “—Satisfaction and Discharge” and “—Defeasance” herein, release any security or guarantee that may have been granted with respect to any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in the case of any subordinated securities, or coupons appertaining thereto, make any change in the provisions of the indenture relating to subordination that adversely affects the rights of any holder under such provisions (including any contractual subordination of senior unsubordinated debt securities); 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make any change in the amendment provisions which require each holder’s consent or in the waiver provisions.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the consent of any holder, we and the trustee may amend the indenture for one or more of the following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cure any ambiguity, omission, defect or inconsistency;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to surrender any right or power conferred upon the Company by the indenture, to add to the covenants of the Company such further covenants, restrictions, conditions or provisions for the protection of the holders of all or any series of debt securities as the board of directors of the Company will consider to be for the protection of the holders of such debt securities, and to make the occurrence, or the occurrence and continuance, of a default in respect of any such additional covenants, restrictions, conditions or provisions a default or an event of default under the indenture;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with respect to any such additional covenant, restriction, condition or provision, such amendment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the debt securities of any series to waive such default;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provide for the assumption by a successor company of the obligations of the Company under the indenture;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add guarantees with respect to the debt securities or to secure the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make any change that does not adversely affect in any material respect the rights of any holder of the debt securities;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add to, change, or eliminate any of the provisions of the indenture with respect to one or more series of debt securities, so long as any such addition, change or elimination not otherwise permitted under the indenture will (a) neither apply to any debt securities of any series created prior to the execution of such supplemental indenture and entitled to the benefit of such provision nor modify the rights of the holders of any such debt securities with respect to the benefit of such provision or (b) become effective only when there is no such debt securities outstanding;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in the case of subordinated debt securities, to make any change in the provisions of the indenture or any supplemental indenture relating to subordination that would limit or terminate the benefits available to any holder of senior Indebtedness under such provisions (but only if each such holder of senior Indebtedness consents to such change);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comply with any requirement of the SEC in connection with the qualification of the indenture or any supplemental indenture under the Trust Indenture Act;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conform any provision in the indenture or the debt securities to the description of any debt securities in an offering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26415"/>
                <wp:effectExtent l="0" t="0" r="0" b="0"/>
                <wp:wrapNone/>
                <wp:docPr id="27" name="Frame2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approve a particular form of any proposed amendment;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provide for the issuance of additional debt securities of any series;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establish the form or terms of debt securities and coupons of any series pursuant to the indenture;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comply with the rules of any applicable depositary;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to make any amendment to the provisions of the indenture relating to the transfer and legending of debt securities;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 compliance with the indenture as so amended would not result in debt securities being transferred in violation of the Securities Act or any other applicable securities law and (b) such amendment does not materially and adversely affect the rights of holders of debt securities to transfer debt securities; 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to convey, transfer, assign, mortgage or pledge any property to or with the trustee, or to make such other provisions in regard to matters or questions arising under the indenture as shall not adversely affect, in any material respect, the interests of any holders of debt securities of any series.</w:t>
      </w:r>
    </w:p>
    <w:p>
      <w:pPr>
        <w:pStyle w:val="TextBody"/>
        <w:bidi w:val="0"/>
        <w:spacing w:lineRule="auto" w:line="288" w:before="0" w:after="240"/>
        <w:jc w:val="left"/>
        <w:rPr>
          <w:rFonts w:ascii="Times New Roman;serif" w:hAnsi="Times New Roman;serif"/>
          <w:b/>
          <w:color w:val="000000"/>
          <w:sz w:val="20"/>
        </w:rPr>
      </w:pPr>
      <w:bookmarkStart w:id="60" w:name="ia9ac101220d54703a75269149b5f6f64"/>
      <w:bookmarkEnd w:id="60"/>
      <w:r>
        <w:rPr>
          <w:rFonts w:ascii="Times New Roman;serif" w:hAnsi="Times New Roman;serif"/>
          <w:b/>
          <w:color w:val="000000"/>
          <w:sz w:val="20"/>
        </w:rPr>
        <w:t>Mergers and Sales of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we will not consolidate with or merge with or into, or convey, transfer or lease in one transaction or a series of related transactions, directly or indirectly, all or substantially all of our properties and assets to, another person, unless (i) the resulting, surviving or transferee person, if not Rackspace Technology, Inc., is a person organized and existing under the laws of the United States of America, any state thereof or the District of Columbia; (ii) immediately after giving effect to such transaction, no default or event of default has occurred and is continuing under the indenture; (iii) the resulting, surviving or transferee person, if not Rackspace Technology, Inc., expressly assumes by supplemental indenture in a form satisfactory to the trustee all of our obligations under the debt securities and the indenture; and (iv) we or the successor person has delivered to the trustee the certificates and opinions of counsel required under the indenture. Upon any such consolidation, merger or transfer, the resulting, surviving or transferee person shall succeed to, and may exercise every right and power of, Rackspace Technology, Inc. under the indenture.</w:t>
      </w:r>
    </w:p>
    <w:p>
      <w:pPr>
        <w:pStyle w:val="TextBody"/>
        <w:bidi w:val="0"/>
        <w:spacing w:lineRule="auto" w:line="288" w:before="0" w:after="240"/>
        <w:jc w:val="left"/>
        <w:rPr>
          <w:rFonts w:ascii="Times New Roman;serif" w:hAnsi="Times New Roman;serif"/>
          <w:b/>
          <w:color w:val="000000"/>
          <w:sz w:val="20"/>
        </w:rPr>
      </w:pPr>
      <w:bookmarkStart w:id="61" w:name="i93ca3a9935b847ed9bbdd8886d6deb51"/>
      <w:bookmarkEnd w:id="61"/>
      <w:r>
        <w:rPr>
          <w:rFonts w:ascii="Times New Roman;serif" w:hAnsi="Times New Roman;serif"/>
          <w:b/>
          <w:color w:val="000000"/>
          <w:sz w:val="20"/>
        </w:rPr>
        <w:t>Satisfaction and Discharge of the Indenture; Defeasance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provided for in the prospectus supplement, the indenture will generally cease to be of any further effect with respect to a series of debt securities if (a) we have delivered to the trustee for cancellation all debt securities of such series (with certain limited exceptions) or (b) all debt securities and coupons of such series not theretofore delivered to the trustee for cancellation will have become due and payable, or are by their terms to become due and payable within one year or are to be called for redemption within one year, and we will have deposited with the trustee as trust funds the entire amount sufficient to pay at maturity or upon redemption all such debt securities and coupons (and if, in either case, we will also pay or cause to be paid all other sums payable under the indenture by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will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will describe the procedures we must follow in order to exercise our defeasance options.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26415"/>
                <wp:effectExtent l="0" t="0" r="0" b="0"/>
                <wp:wrapNone/>
                <wp:docPr id="28" name="Frame2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62" w:name="ib171e778d6dc4f96a96dfeadaddd5257"/>
      <w:bookmarkEnd w:id="62"/>
      <w:r>
        <w:rPr>
          <w:rFonts w:ascii="Times New Roman;serif" w:hAnsi="Times New Roman;serif"/>
          <w:b/>
          <w:color w:val="000000"/>
          <w:sz w:val="20"/>
        </w:rPr>
        <w:t>Regarding the Trustee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except during the continuance of an event of default, the trustee will perform only such duties as are specifically set forth in the indenture. During the existence of an event of default, the trustee may exercise such rights and powers vested in it under the indenture and use the same degree of care and skill in its exercise as a prudent person would exercise under the circumstances in the conduct of such person’s own affairs.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will be permitted to engage in other transactions with us or any of our affiliates;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if it acquires any conflicting interest (as defined in the indenture or in the Trust Indenture Act), it must eliminate such conflict, apply to the SEC for permission to continue, or resign.</w:t>
      </w:r>
    </w:p>
    <w:p>
      <w:pPr>
        <w:pStyle w:val="TextBody"/>
        <w:bidi w:val="0"/>
        <w:spacing w:lineRule="auto" w:line="288" w:before="0" w:after="240"/>
        <w:jc w:val="left"/>
        <w:rPr>
          <w:rFonts w:ascii="Times New Roman;serif" w:hAnsi="Times New Roman;serif"/>
          <w:b/>
          <w:color w:val="000000"/>
          <w:sz w:val="20"/>
        </w:rPr>
      </w:pPr>
      <w:bookmarkStart w:id="63" w:name="ia1e239f95f1f4b3398c48f89f41c6fd7"/>
      <w:bookmarkEnd w:id="63"/>
      <w:r>
        <w:rPr>
          <w:rFonts w:ascii="Times New Roman;serif" w:hAnsi="Times New Roman;serif"/>
          <w:b/>
          <w:color w:val="000000"/>
          <w:sz w:val="20"/>
        </w:rPr>
        <w:t>Governing Law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will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26415"/>
                <wp:effectExtent l="0" t="0" r="0" b="0"/>
                <wp:wrapNone/>
                <wp:docPr id="29" name="Frame2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64" w:name="ie1bc7c8262e74550a2a168e52a5448f5"/>
      <w:bookmarkEnd w:id="64"/>
      <w:r>
        <w:rPr>
          <w:rFonts w:ascii="Times New Roman;serif" w:hAnsi="Times New Roman;serif"/>
          <w:b/>
          <w:color w:val="000000"/>
          <w:sz w:val="20"/>
        </w:rPr>
        <w:t>DESCRIPTION OF THE DEPOSITARY SHARES</w:t>
      </w:r>
    </w:p>
    <w:p>
      <w:pPr>
        <w:pStyle w:val="TextBody"/>
        <w:bidi w:val="0"/>
        <w:spacing w:lineRule="auto" w:line="288" w:before="0" w:after="240"/>
        <w:jc w:val="left"/>
        <w:rPr>
          <w:rFonts w:ascii="Times New Roman;serif" w:hAnsi="Times New Roman;serif"/>
          <w:b/>
          <w:color w:val="000000"/>
          <w:sz w:val="20"/>
        </w:rPr>
      </w:pPr>
      <w:bookmarkStart w:id="65" w:name="i7c2dccb3203b413892244356e0558eda"/>
      <w:bookmarkEnd w:id="65"/>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 agreement. Depositary receipts will be distributed to those persons purchasing the fractional shares of the related series of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pStyle w:val="TextBody"/>
        <w:bidi w:val="0"/>
        <w:spacing w:lineRule="auto" w:line="288" w:before="0" w:after="240"/>
        <w:jc w:val="left"/>
        <w:rPr>
          <w:rFonts w:ascii="Times New Roman;serif" w:hAnsi="Times New Roman;serif"/>
          <w:b/>
          <w:color w:val="000000"/>
          <w:sz w:val="20"/>
        </w:rPr>
      </w:pPr>
      <w:bookmarkStart w:id="66" w:name="ic8197c7e36ce41fc941167eb664bb141"/>
      <w:bookmarkEnd w:id="66"/>
      <w:r>
        <w:rPr>
          <w:rFonts w:ascii="Times New Roman;serif" w:hAnsi="Times New Roman;serif"/>
          <w:b/>
          <w:color w:val="000000"/>
          <w:sz w:val="20"/>
        </w:rPr>
        <w:t>Dividends and Other Distributions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26415"/>
                <wp:effectExtent l="0" t="0" r="0" b="0"/>
                <wp:wrapNone/>
                <wp:docPr id="30" name="Frame2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distributed in any of the foregoing cases will be reduced by any amounts required to be withheld by us or the depositary on account of taxes or other governmental charges.</w:t>
      </w:r>
    </w:p>
    <w:p>
      <w:pPr>
        <w:pStyle w:val="TextBody"/>
        <w:bidi w:val="0"/>
        <w:spacing w:lineRule="auto" w:line="288" w:before="0" w:after="240"/>
        <w:jc w:val="left"/>
        <w:rPr>
          <w:rFonts w:ascii="Times New Roman;serif" w:hAnsi="Times New Roman;serif"/>
          <w:b/>
          <w:color w:val="000000"/>
          <w:sz w:val="20"/>
        </w:rPr>
      </w:pPr>
      <w:bookmarkStart w:id="67" w:name="i91ebd43943364cb3a97af429eac78c83"/>
      <w:bookmarkEnd w:id="67"/>
      <w:r>
        <w:rPr>
          <w:rFonts w:ascii="Times New Roman;serif" w:hAnsi="Times New Roman;serif"/>
          <w:b/>
          <w:color w:val="000000"/>
          <w:sz w:val="20"/>
        </w:rPr>
        <w:t>Redemption of Depositary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pStyle w:val="TextBody"/>
        <w:bidi w:val="0"/>
        <w:spacing w:lineRule="auto" w:line="288" w:before="0" w:after="240"/>
        <w:jc w:val="left"/>
        <w:rPr>
          <w:rFonts w:ascii="Times New Roman;serif" w:hAnsi="Times New Roman;serif"/>
          <w:b/>
          <w:color w:val="000000"/>
          <w:sz w:val="20"/>
        </w:rPr>
      </w:pPr>
      <w:bookmarkStart w:id="68" w:name="i6ab02349f4c04b119d9253e3abb5e285"/>
      <w:bookmarkEnd w:id="68"/>
      <w:r>
        <w:rPr>
          <w:rFonts w:ascii="Times New Roman;serif" w:hAnsi="Times New Roman;serif"/>
          <w:b/>
          <w:color w:val="000000"/>
          <w:sz w:val="20"/>
        </w:rPr>
        <w:t>Voting the Underlying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pStyle w:val="TextBody"/>
        <w:bidi w:val="0"/>
        <w:spacing w:lineRule="auto" w:line="288" w:before="0" w:after="240"/>
        <w:jc w:val="left"/>
        <w:rPr>
          <w:rFonts w:ascii="Times New Roman;serif" w:hAnsi="Times New Roman;serif"/>
          <w:b/>
          <w:color w:val="000000"/>
          <w:sz w:val="20"/>
        </w:rPr>
      </w:pPr>
      <w:bookmarkStart w:id="69" w:name="i737a4b0fd3f84b47a965a346cff1d39f"/>
      <w:bookmarkEnd w:id="69"/>
      <w:r>
        <w:rPr>
          <w:rFonts w:ascii="Times New Roman;serif" w:hAnsi="Times New Roman;serif"/>
          <w:b/>
          <w:color w:val="000000"/>
          <w:sz w:val="20"/>
        </w:rPr>
        <w:t>Withdrawal of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6415"/>
                <wp:effectExtent l="0" t="0" r="0" b="0"/>
                <wp:wrapNone/>
                <wp:docPr id="31" name="Frame3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70" w:name="i9f81b0c25c604cd1a6e28339e102d65f"/>
      <w:bookmarkEnd w:id="70"/>
      <w:r>
        <w:rPr>
          <w:rFonts w:ascii="Times New Roman;serif" w:hAnsi="Times New Roman;serif"/>
          <w:b/>
          <w:color w:val="000000"/>
          <w:sz w:val="20"/>
        </w:rPr>
        <w:t>Amendment and Termination of a Deposit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pStyle w:val="TextBody"/>
        <w:bidi w:val="0"/>
        <w:spacing w:lineRule="auto" w:line="288" w:before="0" w:after="240"/>
        <w:jc w:val="left"/>
        <w:rPr>
          <w:rFonts w:ascii="Times New Roman;serif" w:hAnsi="Times New Roman;serif"/>
          <w:b/>
          <w:color w:val="000000"/>
          <w:sz w:val="20"/>
        </w:rPr>
      </w:pPr>
      <w:bookmarkStart w:id="71" w:name="ie90ae6f70d3e4ca3820c3e0e6fccecfe"/>
      <w:bookmarkEnd w:id="71"/>
      <w:r>
        <w:rPr>
          <w:rFonts w:ascii="Times New Roman;serif" w:hAnsi="Times New Roman;serif"/>
          <w:b/>
          <w:color w:val="000000"/>
          <w:sz w:val="20"/>
        </w:rPr>
        <w:t>Charges of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pStyle w:val="TextBody"/>
        <w:bidi w:val="0"/>
        <w:spacing w:lineRule="auto" w:line="288" w:before="0" w:after="240"/>
        <w:jc w:val="left"/>
        <w:rPr>
          <w:rFonts w:ascii="Times New Roman;serif" w:hAnsi="Times New Roman;serif"/>
          <w:b/>
          <w:color w:val="000000"/>
          <w:sz w:val="20"/>
        </w:rPr>
      </w:pPr>
      <w:bookmarkStart w:id="72" w:name="i895e9f0ac2d14c83988cf63de4c63c36"/>
      <w:bookmarkEnd w:id="72"/>
      <w:r>
        <w:rPr>
          <w:rFonts w:ascii="Times New Roman;serif" w:hAnsi="Times New Roman;serif"/>
          <w:b/>
          <w:color w:val="000000"/>
          <w:sz w:val="20"/>
        </w:rPr>
        <w:t>Resignation and Removal of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pStyle w:val="TextBody"/>
        <w:bidi w:val="0"/>
        <w:spacing w:lineRule="auto" w:line="288" w:before="0" w:after="240"/>
        <w:jc w:val="left"/>
        <w:rPr>
          <w:rFonts w:ascii="Times New Roman;serif" w:hAnsi="Times New Roman;serif"/>
          <w:b/>
          <w:color w:val="000000"/>
          <w:sz w:val="20"/>
        </w:rPr>
      </w:pPr>
      <w:bookmarkStart w:id="73" w:name="i4140b80246584a8e8fd70a9a26ba5fa1"/>
      <w:bookmarkEnd w:id="73"/>
      <w:r>
        <w:rPr>
          <w:rFonts w:ascii="Times New Roman;serif" w:hAnsi="Times New Roman;serif"/>
          <w:b/>
          <w:color w:val="000000"/>
          <w:sz w:val="20"/>
        </w:rPr>
        <w:t>Miscellaneous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will forward to the holders of depositary shares all reports and communications from us that are delivered to the depositary and which we are required to furnish to the holders of the related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6415"/>
                <wp:effectExtent l="0" t="0" r="0" b="0"/>
                <wp:wrapNone/>
                <wp:docPr id="32" name="Frame3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74" w:name="i2129d521d8194e18a1e88369ec0c13dd"/>
      <w:bookmarkEnd w:id="74"/>
      <w:r>
        <w:rPr>
          <w:rFonts w:ascii="Times New Roman;serif" w:hAnsi="Times New Roman;serif"/>
          <w:b/>
          <w:color w:val="000000"/>
          <w:sz w:val="20"/>
        </w:rPr>
        <w:t>DESCRIPTION OF THE WARRANTS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lineRule="auto" w:line="288" w:before="0" w:after="240"/>
        <w:jc w:val="left"/>
        <w:rPr>
          <w:rFonts w:ascii="Times New Roman;serif" w:hAnsi="Times New Roman;serif"/>
          <w:b/>
          <w:color w:val="000000"/>
          <w:sz w:val="20"/>
        </w:rPr>
      </w:pPr>
      <w:bookmarkStart w:id="75" w:name="i816b4ea5e22748a786b3470fe893b745"/>
      <w:bookmarkEnd w:id="75"/>
      <w:r>
        <w:rPr>
          <w:rFonts w:ascii="Times New Roman;serif" w:hAnsi="Times New Roman;serif"/>
          <w:b/>
          <w:color w:val="000000"/>
          <w:sz w:val="20"/>
        </w:rPr>
        <w:t>Debt Warrants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 particular issue of debt warrants will describe the terms of such debt warrants, including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title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offering price for such debt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aggregate number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designation and terms of the debt securities purchasable upon exercise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designation and terms of the debt securities with which such debt warrants are issued and the number of such debt warrants issued with each such debt security;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date from and after which such debt warrants and any debt securities issued therewith will be separately transferable;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principal amount of debt securities purchasable upon exercise of a debt warrant and the price at which such principal amount of debt securities may be purchased upon exercise (which price may be payable in cash, securities or other property);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on which the right to exercise such debt warrants shall commence and the date on which such right shall expire;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minimum or maximum amount of such debt warrants that may be exercised at any one time;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information with respect to book-entry procedures,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a discussion of material United States federal income tax considerations;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antidilution or adjustment provisions of such debt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redemption or call provisions, if any, applicable to such debt warrants;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additional terms of such debt warrants, including terms, procedures, and limitations relating to the exchange and exercise of such debt warrants.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26415"/>
                <wp:effectExtent l="0" t="0" r="0" b="0"/>
                <wp:wrapNone/>
                <wp:docPr id="33" name="Frame3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76" w:name="ibcea471abb7348fe9f3a72c94b536380"/>
      <w:bookmarkEnd w:id="76"/>
      <w:r>
        <w:rPr>
          <w:rFonts w:ascii="Times New Roman;serif" w:hAnsi="Times New Roman;serif"/>
          <w:b/>
          <w:color w:val="000000"/>
          <w:sz w:val="20"/>
        </w:rPr>
        <w:t>Stock Warrants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issue of common stock warrants, preferred stock warrants or depositary share warrants will describe the terms of such warrants, including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title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offering price for such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aggregate number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designation and terms of the offered securities purchasable upon exercise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designation and terms of the offered securities with which such warrants are issued and the number of such warrants issued with each such offered security;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date from and after which such warrants and any offered securities issued therewith will be separately transferable;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number of shares of common stock, preferred stock or depositary shares purchasable upon exercise of a warrant and the price at which such shares may be purchased upon exercise;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on which the right to exercise such warrants shall commence and the date on which such right shall expire;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minimum or maximum amount of such warrants that may be exercised at any one time;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a discussion of material United States federal income tax considerations;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antidilution provisions of such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redemption or call provisions, if any, applicable to such warrants;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additional terms of such warrants, including terms, procedures and limitations relating to the exchange and exercise of such warrants.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6415"/>
                <wp:effectExtent l="0" t="0" r="0" b="0"/>
                <wp:wrapNone/>
                <wp:docPr id="34" name="Frame3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77" w:name="icc415e3ed1fe46bc8c5be8c0a57b200f"/>
      <w:bookmarkEnd w:id="77"/>
      <w:r>
        <w:rPr>
          <w:rFonts w:ascii="Times New Roman;serif" w:hAnsi="Times New Roman;serif"/>
          <w:b/>
          <w:color w:val="000000"/>
          <w:sz w:val="20"/>
        </w:rPr>
        <w:t>DESCRIPTION OF THE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rights that we offer will include specific terms relating to the offering, including, among other matters: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date of determining the security holders entitled to the rights distribution;</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aggregate number of rights issued and the aggregate number of shares of common stock purchasable upon exercise of the rights;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exercise price;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conditions to completion of the rights offering;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rights will expire;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applicable federal income tax considerations.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6415"/>
                <wp:effectExtent l="0" t="0" r="0" b="0"/>
                <wp:wrapNone/>
                <wp:docPr id="35" name="Frame3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78" w:name="i8e160205b9e54be1a1aedc1aaee7607f"/>
      <w:bookmarkEnd w:id="78"/>
      <w:r>
        <w:rPr>
          <w:rFonts w:ascii="Times New Roman;serif" w:hAnsi="Times New Roman;serif"/>
          <w:b/>
          <w:color w:val="000000"/>
          <w:sz w:val="20"/>
        </w:rPr>
        <w:t>DESCRIPTION OF THE PURCHASE CONTRACTS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from time to time, purchase contracts, including contracts obligating holders to purchase from us and us to sell to the holders, a specified principal amount of debt securities, shares of common stock or preferred stock, depositary shares, government securities, or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and, in certain circumstances, we may deliver a newly issued prepaid purchase contract, which is referred to as a “prepaid security,” upon release to a holder of any collateral securing such holder’s obligations under the original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related to any particular purchase contracts and, if applicable, prepaid security, will describe, among other things, the material terms of the purchase contracts and of the securities being sold pursuant to such purchase contracts, and, if applicable, prepaid security,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 Alternatively, purchase contracts may require holders to satisfy their obligations thereunder when the purchase contracts are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26415"/>
                <wp:effectExtent l="0" t="0" r="0" b="0"/>
                <wp:wrapNone/>
                <wp:docPr id="36" name="Frame3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79" w:name="i7266bec60e0748539221dfdb84117466"/>
      <w:bookmarkEnd w:id="79"/>
      <w:r>
        <w:rPr>
          <w:rFonts w:ascii="Times New Roman;serif" w:hAnsi="Times New Roman;serif"/>
          <w:b/>
          <w:color w:val="000000"/>
          <w:sz w:val="20"/>
        </w:rPr>
        <w:t>DESCRIPTION OF THE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units comprised of one or more of certain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prospectus supplement related to any particular units will describe,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material terms of the units and of the securities comprising the units, including whether and under what circumstances those securities may be held or transferred separately;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prepaid securities and the documents pursuant to which such prepaid securities will be issued;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material provisions relating to the issuance, payment, settlement, transfer or exchange of the units or of the securities comprising the units;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appropriate, any special United States federal income tax considerations applicable to the units;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material provisions of the governing unit agreement that differ from those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6415"/>
                <wp:effectExtent l="0" t="0" r="0" b="0"/>
                <wp:wrapNone/>
                <wp:docPr id="37" name="Frame3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80" w:name="i719055c49c144f48a3c489d8c54a8a90"/>
      <w:bookmarkEnd w:id="80"/>
      <w:r>
        <w:rPr>
          <w:rFonts w:ascii="Times New Roman;serif" w:hAnsi="Times New Roman;serif"/>
          <w:b/>
          <w:color w:val="000000"/>
          <w:sz w:val="20"/>
        </w:rPr>
        <w:t>SELLING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selling stockholders may offer and sell shares of our common stock under this prospectus and any accompanying prospectus supplement from time to time in amounts, at prices and on terms that will be determined at the time of the offering:</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AP Inception Co-Invest ML Borrower, L.P.</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AP Inception ML Borrower, L.P.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identify additional selling stockholders and the number of shares of common stock to be registered on their behalf. Such information may be set forth in a post-effective amendment to the registration statement of which this prospectus forms a part, in a prospectus supplement or in filings we will make with the SEC which will be incorporated into this prospectus by reference.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Material Relationships with Selling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Apollo Funds are affiliates of Apollo. Apollo controls a majority of the voting power of our outstanding common stock. As long as funds affiliated with or managed by Apollo beneficially own a majority of our outstanding common stock, Apollo will be able to control the election of directors. As long as funds affiliated with or managed by Apollo beneficially own a majority of our outstanding common stock, Apollo will be able to control all matters requiring a vote of the holders of our common stock, including proposals to adopt amendments to our certificate of incorporation or to authorize certain corporate transactions. For more information, see “Description of Capital Stock” and refer to the 2025 Annual Report and the 2026 Proxy Statement, each of which is incorporated herein by reference.</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6415"/>
                <wp:effectExtent l="0" t="0" r="0" b="0"/>
                <wp:wrapNone/>
                <wp:docPr id="38" name="Frame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81" w:name="i565ef86867634b90b9738521db9b0ac6"/>
      <w:bookmarkEnd w:id="81"/>
      <w:r>
        <w:rPr>
          <w:rFonts w:ascii="Times New Roman;serif" w:hAnsi="Times New Roman;serif"/>
          <w:b/>
          <w:color w:val="000000"/>
          <w:sz w:val="20"/>
        </w:rPr>
        <w:t>PLAN OF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selling stockholders may offer and sell some or all of our securities in any one or more of the following ways: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to or through underwriters, brokers or dealers;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directly to one or more other purchasers;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through a block trade in which the broker or dealer engaged to handle the block trade will attempt to sell the securities as agent, but may position and resell a portion of the block as principal to facilitate the transaction;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through agents on a best-efforts basis; or</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otherwise through a combination of any of the above methods of sale.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or any selling stockholder may enter into option, share lending or other types of transactions that require us or such selling stockholder, as the case may be, to deliver securities to an underwriter, broker or dealer, who will then resell or transfer the securities under this prospectus. We or any selling stockholder may also enter into hedging transactions with respect to our securities. For example, we or any selling stockholder may:</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enter into transactions involving short sales of the securities by underwriters, brokers or dealers;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sell securities short and deliver the securities to close out short positions;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enter into option or other types of transactions that require us or the selling stockholder, as applicable, to deliver securities to an underwriter, broker or dealer, who will then resell or transfer the securities under this prospectus; or</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loan or pledge the securities to an underwriter, broker or dealer, who may sell the loaned securities or, in the event of default, sell the pledged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selling stockholder will act independently of us in making decisions with respect to the timing, manner and size of each sale of shares of securities covered by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any selling stockholder, or borrowed from us or any selling stockholder or others, to settle those sales or to close out any related open borrowings of securities, and may use securities received from us or any selling stockholder in settlement of those derivatives to close out any related open borrowings of securities. The third party in such sale transactions will be an underwriter and, if not identified in this prospectus, will be identified in the applicable prospectus supplement (or a post-effective amendment). In addition, we or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any selling stockholder or in connection with a concurrent offering of other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time we or any selling stockholder sell securities, we or the selling stockholder will provide a prospectus supplement that will name any underwriter, dealer or agent involved in the offer and sale of the securities. The prospectus supplement will also set forth the terms of the offering, including:</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purchase price of the securities and the proceeds we or the selling stockholder, as the case may be, will receive from the sale of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6415"/>
                <wp:effectExtent l="0" t="0" r="0" b="0"/>
                <wp:wrapNone/>
                <wp:docPr id="39" name="Frame3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underwriting discounts and other items constituting underwriters’ compensation;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public offering or purchase price and any discounts or commissions allowed or re-allowed or paid to dealers;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commissions allowed or paid to agents;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other offering expenses;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securities exchanges on which the securities may be listed;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the method of distribution of the securities;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the terms of any agreement, arrangement or understanding entered into with the underwriters, brokers or dealers; and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other information we think is important.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underwriters or dealers are used in the sale, the securities will be acquired by the underwriters or dealers for their own account. The securities may be sold from time to time by us or any selling stockholder in one or more transactions: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a fixed price or prices that may be changed;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at prices related to such prevailing market prices;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at varying prices determined at the time of sale; or</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sales may be effected: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 transactions on any national securities exchange or quotation service on which the securities may be listed or quoted at the time of sale;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in transactions in the over-the-counter market;</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through the writing of options; or</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through other types of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underwriters are used in the sale of any securities, 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6415"/>
                <wp:effectExtent l="0" t="0" r="0" b="0"/>
                <wp:wrapNone/>
                <wp:docPr id="40" name="Frame3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offer our equity securities into an existing trading market on the terms described in the applicable prospectus supplement. Underwriters, dealers and agents who may participate in any at-the-market offerings will be described in the prospectus supplement relating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stockholders might not sell any securities under this prospectus. In addition, any securities covered by this prospectus that qualify for sale pursuant to Rule 144 under the Securities Act may be sold under Rule 144 rather than pursuant to this prospectus. Any shares of common stock offered under this prospectus will be listed on Nasdaq Stock Market LLC (or other such exchange or automated quotation system on which the common stock is listed), subject to official notice of issuance.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securities may be sold directly by us or any selling stockholder or through agents designated by us or any selling stockholder from time to time. Any agent involved in the offer or sale of the securities in respect of which this prospectus is delivered will be named, and any commissions payable by us or any selling stockholder to such agent will be set forth in, the prospectus supplement. Unless otherwise indicated in the prospectus supplement, any such agent will be acting on a best efforts basis for the period of its appointment.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Offers to purchase the securities offered by this prospectus may be solicited, and sales of the securities may be made by us or any selling stockholder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indicated in the applicable prospectus supplement, underwriters, dealers or agents will be authorized to solicit offers by certain institutional investors to purchase securities from us or any selling stockholder pursuant to contracts providing for payment and delivery at a future date. Institutional investors with which these contracts may be made include, among others: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commercial and savings banks;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insurance companies;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pension funds;</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investment companies; and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educational and charitable institutions.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cases, these purchasers must be approved by us or any selling stockholder,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any selling stockholder must have sold to these underwriters the securities not subject to delayed delivery. Underwriters and other agents will not have any responsibility in respect of the validity or performance of these contracts.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underwriters, dealers or agents used by us or any selling stockholder in any offering of securities under this prospectus may be customers of, engage in transactions with, and perform services for us or any selling stockholder or affiliates of ours or such selling stockholder in the ordinary course of business. Underwriters, dealers, agents and other persons may be entitled under agreements which may be entered into with us or any selling stockholder to indemnification against and contribution toward certain civil liabilities, including liabilities under the Securities Act, and to be reimbursed by us or such selling stockholder for certain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securities initially sold outside the United States may be resold in the United States through underwriters, dealers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6415"/>
                <wp:effectExtent l="0" t="0" r="0" b="0"/>
                <wp:wrapNone/>
                <wp:docPr id="41" name="Frame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underwriters to which offered securities are sold by us or any selling stockholder for public offering and sale may make a market in such securities, but those underwriters will not be obligated to do so and may discontinue any market making at any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anticipated date of delivery of the securities offered by this prospectus will be described in the applicable prospectus supplement relating to the offering.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6415"/>
                <wp:effectExtent l="0" t="0" r="0" b="0"/>
                <wp:wrapNone/>
                <wp:docPr id="42" name="Frame4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82" w:name="i9ef3b86f4d7a45acb59c1b29095e7f98"/>
      <w:bookmarkEnd w:id="82"/>
      <w:r>
        <w:rPr>
          <w:rFonts w:ascii="Times New Roman;serif" w:hAnsi="Times New Roman;serif"/>
          <w:b/>
          <w:color w:val="000000"/>
          <w:sz w:val="20"/>
        </w:rPr>
        <w:t>LEGAL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6415"/>
                <wp:effectExtent l="0" t="0" r="0" b="0"/>
                <wp:wrapNone/>
                <wp:docPr id="43" name="Frame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83" w:name="ifeb0ea90b28a4a1ea253f6c16c9a89bb"/>
      <w:bookmarkEnd w:id="83"/>
      <w:r>
        <w:rPr>
          <w:rFonts w:ascii="Times New Roman;serif" w:hAnsi="Times New Roman;serif"/>
          <w:b/>
          <w:color w:val="000000"/>
          <w:sz w:val="20"/>
        </w:rPr>
        <w:t>EXPERTS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Rackspace Technology, Inc. and subsidiaries as of December 31, 2025 and for the year then ended,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6415"/>
                <wp:effectExtent l="0" t="0" r="0" b="0"/>
                <wp:wrapNone/>
                <wp:docPr id="44" name="Frame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drawing>
          <wp:inline distT="0" distB="0" distL="0" distR="0">
            <wp:extent cx="1781175" cy="54292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11"/>
                    <a:stretch>
                      <a:fillRect/>
                    </a:stretch>
                  </pic:blipFill>
                  <pic:spPr bwMode="auto">
                    <a:xfrm>
                      <a:off x="0" y="0"/>
                      <a:ext cx="1781175" cy="54292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RACKSPACE TECHNOLOGY, INC.</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Depositary Shares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Rights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Purchase Contracts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lineRule="auto" w:line="288" w:before="0" w:after="240"/>
        <w:jc w:val="left"/>
        <w:rPr>
          <w:rFonts w:ascii="Times New Roman;serif" w:hAnsi="Times New Roman;serif"/>
          <w:b/>
          <w:color w:val="000000"/>
          <w:sz w:val="20"/>
        </w:rPr>
      </w:pPr>
      <w:bookmarkStart w:id="84" w:name="i7b90b338ff2f49098e441a7aaa2629e4"/>
      <w:bookmarkEnd w:id="84"/>
      <w:r>
        <w:rPr>
          <w:rFonts w:ascii="Times New Roman;serif" w:hAnsi="Times New Roman;serif"/>
          <w:b/>
          <w:color w:val="000000"/>
          <w:sz w:val="20"/>
        </w:rPr>
        <w:t>Item 14. Other Expenses of Issuance and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estimated expenses to be borne by us in connection with the issuance and distribution of securities of being registered hereby.</w:t>
      </w:r>
    </w:p>
    <w:tbl>
      <w:tblPr>
        <w:tblW w:w="5505" w:type="dxa"/>
        <w:jc w:val="left"/>
        <w:tblInd w:w="0" w:type="dxa"/>
        <w:tblLayout w:type="fixed"/>
        <w:tblCellMar>
          <w:top w:w="28" w:type="dxa"/>
          <w:left w:w="28" w:type="dxa"/>
          <w:bottom w:w="28" w:type="dxa"/>
          <w:right w:w="28" w:type="dxa"/>
        </w:tblCellMar>
      </w:tblPr>
      <w:tblGrid>
        <w:gridCol w:w="1373"/>
        <w:gridCol w:w="1208"/>
        <w:gridCol w:w="1214"/>
        <w:gridCol w:w="501"/>
        <w:gridCol w:w="501"/>
        <w:gridCol w:w="708"/>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40"/>
              <w:ind w:left="0" w:right="0" w:hanging="216"/>
              <w:jc w:val="left"/>
              <w:rPr/>
            </w:pPr>
            <w:r>
              <w:rPr/>
            </w:r>
          </w:p>
        </w:tc>
        <w:tc>
          <w:tcPr>
            <w:tcW w:w="17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Amount to be Paid</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Registration fee</w:t>
            </w:r>
          </w:p>
        </w:tc>
        <w:tc>
          <w:tcPr>
            <w:tcW w:w="1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Transfer Agent and Trustee fees and expenses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Printing</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Rating Agency fees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10"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Applicable SEC registration fees have been deferred in accordance with Rules 456(b) and 457(r) of the Securities Act of 1933 and are not estimable at this time.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These fees and expenses are calculated based on the amount of securities offered and accordingly cannot be estimated at this time.</w:t>
      </w:r>
    </w:p>
    <w:p>
      <w:pPr>
        <w:pStyle w:val="TextBody"/>
        <w:bidi w:val="0"/>
        <w:spacing w:lineRule="auto" w:line="288" w:before="0" w:after="240"/>
        <w:jc w:val="left"/>
        <w:rPr>
          <w:rFonts w:ascii="Times New Roman;serif" w:hAnsi="Times New Roman;serif"/>
          <w:b/>
          <w:color w:val="000000"/>
          <w:sz w:val="20"/>
        </w:rPr>
      </w:pPr>
      <w:bookmarkStart w:id="85" w:name="ic7da1596765143c1954866d8257e1f08"/>
      <w:bookmarkEnd w:id="85"/>
      <w:r>
        <w:rPr>
          <w:rFonts w:ascii="Times New Roman;serif" w:hAnsi="Times New Roman;serif"/>
          <w:b/>
          <w:color w:val="000000"/>
          <w:sz w:val="20"/>
        </w:rPr>
        <w:t>Item 15. Indemnification of Directors and Officers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its directors, officers and employees to the fullest extent permitted by the DGCL.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certificate of incorporation provides for such limitation of liability for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6415"/>
                <wp:effectExtent l="0" t="0" r="0" b="0"/>
                <wp:wrapNone/>
                <wp:docPr id="47" name="Frame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bookmarkStart w:id="86" w:name="i68ef669f534b445faa19dc65e5058350"/>
      <w:bookmarkEnd w:id="86"/>
      <w:r>
        <w:rPr>
          <w:rFonts w:ascii="Times New Roman;serif" w:hAnsi="Times New Roman;serif"/>
          <w:b/>
          <w:color w:val="000000"/>
          <w:sz w:val="20"/>
        </w:rPr>
        <w:t>Item 16. Exhibits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list of exhibits filed with this registration statement is contained in the exhibits index, which is incorporated by reference.</w:t>
      </w:r>
    </w:p>
    <w:tbl>
      <w:tblPr>
        <w:tblW w:w="10205" w:type="dxa"/>
        <w:jc w:val="left"/>
        <w:tblInd w:w="0" w:type="dxa"/>
        <w:tblLayout w:type="fixed"/>
        <w:tblCellMar>
          <w:top w:w="28" w:type="dxa"/>
          <w:left w:w="28" w:type="dxa"/>
          <w:bottom w:w="28" w:type="dxa"/>
          <w:right w:w="28" w:type="dxa"/>
        </w:tblCellMar>
      </w:tblPr>
      <w:tblGrid>
        <w:gridCol w:w="387"/>
        <w:gridCol w:w="339"/>
        <w:gridCol w:w="341"/>
        <w:gridCol w:w="109"/>
        <w:gridCol w:w="109"/>
        <w:gridCol w:w="109"/>
        <w:gridCol w:w="3020"/>
        <w:gridCol w:w="2390"/>
        <w:gridCol w:w="3401"/>
      </w:tblGrid>
      <w:tr>
        <w:trPr/>
        <w:tc>
          <w:tcPr>
            <w:tcW w:w="3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Documents</w:t>
            </w:r>
          </w:p>
        </w:tc>
      </w:tr>
      <w:tr>
        <w:trPr/>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Debt Securities.</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Equity Securities.</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Depositary Shares.</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Purchase Contracts.</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Units.</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r:id="rId12">
              <w:r>
                <w:rPr>
                  <w:rStyle w:val="InternetLink"/>
                  <w:rFonts w:ascii="Times New Roman;serif" w:hAnsi="Times New Roman;serif"/>
                  <w:b w:val="false"/>
                  <w:color w:val="0000FF"/>
                  <w:sz w:val="20"/>
                  <w:u w:val="single"/>
                </w:rPr>
                <w:t>Second Amended and Restated Certificate of Incorporation of Rackspace Technology, Inc. (incorporated by reference from Exhibit 3.1 to Rackspace Technology, Inc.’s Form S-8, filed on August 5, 2020).</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r:id="rId13">
              <w:r>
                <w:rPr>
                  <w:rStyle w:val="InternetLink"/>
                  <w:rFonts w:ascii="Times New Roman;serif" w:hAnsi="Times New Roman;serif"/>
                  <w:b w:val="false"/>
                  <w:color w:val="0000FF"/>
                  <w:sz w:val="20"/>
                  <w:u w:val="single"/>
                </w:rPr>
                <w:t>Second Amended and Restated Bylaws of Rackspace Technology, Inc. (incorporated by reference from Exhibit 3.2 to Rackspace Technology, Inc.’s Form S-8, filed on August 5, 2020).</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rackspace-formofindenturep.htm">
              <w:r>
                <w:rPr>
                  <w:rStyle w:val="InternetLink"/>
                  <w:rFonts w:ascii="Times New Roman;serif" w:hAnsi="Times New Roman;serif"/>
                  <w:b w:val="false"/>
                  <w:color w:val="0000FF"/>
                  <w:sz w:val="20"/>
                  <w:u w:val="single"/>
                </w:rPr>
                <w:t>Form of Indenture.</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Certificate of Designation.</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Deposit Agreement.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Depositary Receipt.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Warrant.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Rights Agent Agreement.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Purchase Contract.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Form of Unit Agreement.</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r:id="rId14">
              <w:r>
                <w:rPr>
                  <w:rStyle w:val="InternetLink"/>
                  <w:rFonts w:ascii="Times New Roman;serif" w:hAnsi="Times New Roman;serif"/>
                  <w:b w:val="false"/>
                  <w:color w:val="0000FF"/>
                  <w:sz w:val="20"/>
                  <w:u w:val="single"/>
                </w:rPr>
                <w:t>Registration Rights Agreement, dated as of August 4, 2020, among Rackspace Technology, Inc. and the Holders party thereto (incorporated by reference from Exhibit 10.1 to Rackspace Technology, Inc.’s Form 8-K, filed on August 7, 2020).</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exhibit51-pwlegalopinion.htm">
              <w:r>
                <w:rPr>
                  <w:rStyle w:val="InternetLink"/>
                  <w:rFonts w:ascii="Times New Roman;serif" w:hAnsi="Times New Roman;serif"/>
                  <w:b w:val="false"/>
                  <w:color w:val="0000FF"/>
                  <w:sz w:val="20"/>
                  <w:u w:val="single"/>
                </w:rPr>
                <w:t>Opinion of Paul, Weiss, Rifkind, Wharton &amp; Garrison LLP.</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rxt-sx3exhibit23120260602.htm">
              <w:r>
                <w:rPr>
                  <w:rStyle w:val="InternetLink"/>
                  <w:rFonts w:ascii="Times New Roman;serif" w:hAnsi="Times New Roman;serif"/>
                  <w:b w:val="false"/>
                  <w:color w:val="0000FF"/>
                  <w:sz w:val="20"/>
                  <w:u w:val="single"/>
                </w:rPr>
                <w:t>Consent of KPMG LLP.</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rxt-sx3exhibit23220260602.htm">
              <w:r>
                <w:rPr>
                  <w:rStyle w:val="InternetLink"/>
                  <w:rFonts w:ascii="Times New Roman;serif" w:hAnsi="Times New Roman;serif"/>
                  <w:b w:val="false"/>
                  <w:color w:val="0000FF"/>
                  <w:sz w:val="20"/>
                  <w:u w:val="single"/>
                </w:rPr>
                <w:t>Consent of PricewaterhouseCoopers LLP.</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exhibit51-pwlegalopinion.htm">
              <w:r>
                <w:rPr>
                  <w:rStyle w:val="InternetLink"/>
                  <w:rFonts w:ascii="Times New Roman;serif" w:hAnsi="Times New Roman;serif"/>
                  <w:b w:val="false"/>
                  <w:color w:val="0000FF"/>
                  <w:sz w:val="20"/>
                  <w:u w:val="single"/>
                </w:rPr>
                <w:t>Consent of Paul, Weiss, Rifkind, Wharton &amp; Garrison LLP (contained in Exhibit 5.1).</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d3a1d7f135454af99457939d3f2eceda_675">
              <w:r>
                <w:rPr>
                  <w:rStyle w:val="InternetLink"/>
                  <w:rFonts w:ascii="Times New Roman;serif" w:hAnsi="Times New Roman;serif"/>
                  <w:b w:val="false"/>
                  <w:color w:val="0000FF"/>
                  <w:sz w:val="20"/>
                  <w:u w:val="single"/>
                </w:rPr>
                <w:t>Powers of Attorney (included on the signature page of Registration Statement).</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Statement of Eligibility and Qualification on Form T-1 with respect to the Company under the Indenture.</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exfilingfees.htm">
              <w:r>
                <w:rPr>
                  <w:rStyle w:val="InternetLink"/>
                  <w:rFonts w:ascii="Times New Roman;serif" w:hAnsi="Times New Roman;serif"/>
                  <w:b w:val="false"/>
                  <w:color w:val="0000FF"/>
                  <w:sz w:val="20"/>
                  <w:u w:val="single"/>
                </w:rPr>
                <w:t>Calculation of Filing Fees Table.</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To be filed, if necessary, by a post-effective amendment to the registration statement or as an exhibit to a document incorporated by reference herein.</w:t>
      </w:r>
    </w:p>
    <w:p>
      <w:pPr>
        <w:pStyle w:val="TextBody"/>
        <w:bidi w:val="0"/>
        <w:spacing w:lineRule="auto" w:line="288" w:before="0" w:after="120"/>
        <w:jc w:val="left"/>
        <w:rPr>
          <w:rFonts w:ascii="Times New Roman;serif" w:hAnsi="Times New Roman;serif"/>
          <w:b/>
          <w:color w:val="000000"/>
          <w:sz w:val="20"/>
        </w:rPr>
      </w:pPr>
      <w:bookmarkStart w:id="87" w:name="ieb6adc436216465caa9d7bae50daf35a"/>
      <w:bookmarkEnd w:id="87"/>
      <w:r>
        <w:rPr>
          <w:rFonts w:ascii="Times New Roman;serif" w:hAnsi="Times New Roman;serif"/>
          <w:b/>
          <w:color w:val="000000"/>
          <w:sz w:val="20"/>
        </w:rPr>
        <w:t>Item 17. Undertakings.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provided, however, that paragraphs (a)(1)(i), (ii) and (iii) of this section do not apply if the registration statement is on Form S-3 and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to any purchaser:</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to any purchaser in the initial distribution of the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Rackspace Technology, Inc. certifies that it has reasonable grounds to believe that it meets all of the requirements for filing on Form S-3 and has duly caused this registration statement to be signed on its behalf by the undersigned, thereunto duly authorized, in the City of San Antonio, State of Texas, on July 9, 2026.</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p>
      <w:pPr>
        <w:pStyle w:val="TextBody"/>
        <w:bidi w:val="0"/>
        <w:spacing w:lineRule="auto" w:line="288" w:before="0" w:after="480"/>
        <w:ind w:left="0" w:right="0" w:firstLine="18"/>
        <w:jc w:val="left"/>
        <w:rPr/>
      </w:pPr>
      <w:r>
        <w:rPr>
          <w:rFonts w:ascii="Times New Roman;serif" w:hAnsi="Times New Roman;serif"/>
          <w:b w:val="false"/>
          <w:color w:val="000000"/>
          <w:sz w:val="20"/>
        </w:rPr>
        <w:t xml:space="preserve">By: </w:t>
      </w:r>
      <w:r>
        <w:rPr>
          <w:rFonts w:ascii="Times New Roman;serif" w:hAnsi="Times New Roman;serif"/>
          <w:b w:val="false"/>
          <w:i/>
          <w:color w:val="000000"/>
          <w:sz w:val="20"/>
          <w:u w:val="single"/>
        </w:rPr>
        <w:t>/s/ Mark Marino    </w:t>
      </w:r>
      <w:r>
        <w:rPr>
          <w:rFonts w:ascii="Times New Roman;serif" w:hAnsi="Times New Roman;serif"/>
          <w:b w:val="false"/>
          <w:color w:val="000000"/>
          <w:sz w:val="20"/>
        </w:rPr>
        <w:br/>
        <w:t>    Name: Mark Marino</w:t>
        <w:br/>
        <w:t xml:space="preserve">    Title: Chief Financial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individual whose signature appears below hereby constitutes and appoints Gajen Kandiah, Mark Marino and Michael Bross, acting singly,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 proxy and attorney-in-fact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indicated on July 9, 2026.</w:t>
      </w:r>
    </w:p>
    <w:tbl>
      <w:tblPr>
        <w:tblW w:w="7424" w:type="dxa"/>
        <w:jc w:val="left"/>
        <w:tblInd w:w="0" w:type="dxa"/>
        <w:tblLayout w:type="fixed"/>
        <w:tblCellMar>
          <w:top w:w="28" w:type="dxa"/>
          <w:left w:w="28" w:type="dxa"/>
          <w:bottom w:w="28" w:type="dxa"/>
          <w:right w:w="28" w:type="dxa"/>
        </w:tblCellMar>
      </w:tblPr>
      <w:tblGrid>
        <w:gridCol w:w="636"/>
        <w:gridCol w:w="558"/>
        <w:gridCol w:w="561"/>
        <w:gridCol w:w="1655"/>
        <w:gridCol w:w="1655"/>
        <w:gridCol w:w="2359"/>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Gajen Kandiah</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Gajen Kandiah</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Mark Marino</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Mark Marino</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Jeffrey Benjamin</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Jeffrey Benjamin</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Mitch Garber</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Mitch Garber</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Anthony Roberts</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Anthony Roberts</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Anthony Scott</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Anthony Scott</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Aaron Sobel</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Aaron Sobel</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/s/ Michael Weston</w:t>
            </w:r>
          </w:p>
        </w:tc>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Weston</w:t>
            </w:r>
          </w:p>
        </w:tc>
        <w:tc>
          <w:tcPr>
            <w:tcW w:w="56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2"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Calculation of Filing Fee Tables</w:t>
      </w:r>
    </w:p>
    <w:p>
      <w:pPr>
        <w:pStyle w:val="TextBody"/>
        <w:bidi w:val="0"/>
        <w:spacing w:before="0" w:after="2"/>
        <w:jc w:val="center"/>
        <w:rPr/>
      </w:pPr>
      <w:r>
        <w:rPr/>
      </w:r>
    </w:p>
    <w:p>
      <w:pPr>
        <w:pStyle w:val="TextBody"/>
        <w:bidi w:val="0"/>
        <w:spacing w:lineRule="auto" w:line="300" w:before="0" w:after="2"/>
        <w:jc w:val="center"/>
        <w:rPr>
          <w:rFonts w:ascii="Arial;sans-serif" w:hAnsi="Arial;sans-serif"/>
          <w:b/>
          <w:color w:val="000000"/>
          <w:sz w:val="32"/>
        </w:rPr>
      </w:pPr>
      <w:r>
        <w:rPr>
          <w:rFonts w:ascii="Arial;sans-serif" w:hAnsi="Arial;sans-serif"/>
          <w:b/>
          <w:color w:val="000000"/>
          <w:sz w:val="32"/>
        </w:rPr>
        <w:t>S-3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RACKSPACE TECHNOLOGY, INC.</w:t>
      </w:r>
    </w:p>
    <w:p>
      <w:pPr>
        <w:pStyle w:val="TextBody"/>
        <w:bidi w:val="0"/>
        <w:spacing w:before="0" w:after="0"/>
        <w:jc w:val="center"/>
        <w:rPr/>
      </w:pPr>
      <w:r>
        <w:rPr/>
      </w:r>
    </w:p>
    <w:tbl>
      <w:tblPr>
        <w:tblW w:w="12055" w:type="dxa"/>
        <w:jc w:val="center"/>
        <w:tblInd w:w="0" w:type="dxa"/>
        <w:tblLayout w:type="fixed"/>
        <w:tblCellMar>
          <w:top w:w="28" w:type="dxa"/>
          <w:left w:w="28" w:type="dxa"/>
          <w:bottom w:w="28" w:type="dxa"/>
          <w:right w:w="28" w:type="dxa"/>
        </w:tblCellMar>
      </w:tblPr>
      <w:tblGrid>
        <w:gridCol w:w="457"/>
        <w:gridCol w:w="307"/>
        <w:gridCol w:w="122"/>
        <w:gridCol w:w="109"/>
        <w:gridCol w:w="109"/>
        <w:gridCol w:w="109"/>
        <w:gridCol w:w="250"/>
        <w:gridCol w:w="250"/>
        <w:gridCol w:w="251"/>
        <w:gridCol w:w="400"/>
        <w:gridCol w:w="250"/>
        <w:gridCol w:w="251"/>
        <w:gridCol w:w="335"/>
        <w:gridCol w:w="335"/>
        <w:gridCol w:w="336"/>
        <w:gridCol w:w="320"/>
        <w:gridCol w:w="320"/>
        <w:gridCol w:w="321"/>
        <w:gridCol w:w="290"/>
        <w:gridCol w:w="290"/>
        <w:gridCol w:w="291"/>
        <w:gridCol w:w="310"/>
        <w:gridCol w:w="310"/>
        <w:gridCol w:w="311"/>
        <w:gridCol w:w="327"/>
        <w:gridCol w:w="327"/>
        <w:gridCol w:w="217"/>
        <w:gridCol w:w="360"/>
        <w:gridCol w:w="360"/>
        <w:gridCol w:w="361"/>
        <w:gridCol w:w="255"/>
        <w:gridCol w:w="255"/>
        <w:gridCol w:w="256"/>
        <w:gridCol w:w="255"/>
        <w:gridCol w:w="255"/>
        <w:gridCol w:w="256"/>
        <w:gridCol w:w="265"/>
        <w:gridCol w:w="265"/>
        <w:gridCol w:w="266"/>
        <w:gridCol w:w="334"/>
        <w:gridCol w:w="334"/>
        <w:gridCol w:w="473"/>
      </w:tblGrid>
      <w:tr>
        <w:trPr/>
        <w:tc>
          <w:tcPr>
            <w:tcW w:w="45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8586" w:type="dxa"/>
            <w:gridSpan w:val="30"/>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1: Newly Registered and Carry Forward Securities</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141"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886"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90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Class Title</w:t>
            </w:r>
          </w:p>
        </w:tc>
        <w:tc>
          <w:tcPr>
            <w:tcW w:w="100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Calculation</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w:t>
            </w:r>
          </w:p>
        </w:tc>
        <w:tc>
          <w:tcPr>
            <w:tcW w:w="96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Registered</w:t>
            </w:r>
          </w:p>
        </w:tc>
        <w:tc>
          <w:tcPr>
            <w:tcW w:w="87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Proposed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 xml:space="preserve">Maximum </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Offering</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Price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Per Unit</w:t>
            </w:r>
          </w:p>
        </w:tc>
        <w:tc>
          <w:tcPr>
            <w:tcW w:w="93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Maximum</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Offering Price</w:t>
            </w:r>
          </w:p>
        </w:tc>
        <w:tc>
          <w:tcPr>
            <w:tcW w:w="87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Rate</w:t>
            </w:r>
          </w:p>
        </w:tc>
        <w:tc>
          <w:tcPr>
            <w:tcW w:w="108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 of</w:t>
              <w:br/>
              <w:t>Registration</w:t>
              <w:br/>
              <w:t>Fee</w:t>
            </w:r>
          </w:p>
        </w:tc>
        <w:tc>
          <w:tcPr>
            <w:tcW w:w="76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Form</w:t>
              <w:br/>
              <w:t>Type</w:t>
            </w:r>
          </w:p>
        </w:tc>
        <w:tc>
          <w:tcPr>
            <w:tcW w:w="76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File</w:t>
              <w:br/>
              <w:t>Number</w:t>
            </w:r>
          </w:p>
        </w:tc>
        <w:tc>
          <w:tcPr>
            <w:tcW w:w="796" w:type="dxa"/>
            <w:gridSpan w:val="3"/>
            <w:tcBorders>
              <w:left w:val="single" w:sz="8" w:space="0" w:color="FFFFFF"/>
              <w:bottom w:val="single" w:sz="8" w:space="0" w:color="FFFFFF"/>
            </w:tcBorders>
            <w:shd w:fill="BFE4FF" w:val="clear"/>
            <w:tcMar>
              <w:top w:w="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Initial</w:t>
              <w:br/>
              <w:t>Effective</w:t>
              <w:br/>
              <w:t>Date</w:t>
            </w:r>
          </w:p>
        </w:tc>
        <w:tc>
          <w:tcPr>
            <w:tcW w:w="1141" w:type="dxa"/>
            <w:gridSpan w:val="3"/>
            <w:tcBorders>
              <w:top w:val="single" w:sz="8" w:space="0" w:color="FFFFFF"/>
              <w:left w:val="single" w:sz="8" w:space="0" w:color="FFFFFF"/>
              <w:bottom w:val="single" w:sz="8" w:space="0" w:color="FFFFFF"/>
              <w:right w:val="single" w:sz="8" w:space="0" w:color="FFFFFF"/>
            </w:tcBorders>
            <w:shd w:fill="BFE4FF" w:val="clear"/>
            <w:tcMar>
              <w:top w:w="30" w:type="dxa"/>
              <w:bottom w:w="3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Filing Fee</w:t>
              <w:br/>
              <w:t>Previously</w:t>
              <w:br/>
              <w:t>Paid in</w:t>
              <w:br/>
              <w:t>Connection</w:t>
              <w:br/>
              <w:t>with Unsold</w:t>
              <w:br/>
              <w:t>Securities to</w:t>
              <w:br/>
              <w:t>be Carried</w:t>
              <w:br/>
              <w:t>Forward</w:t>
            </w:r>
          </w:p>
        </w:tc>
      </w:tr>
      <w:tr>
        <w:trPr/>
        <w:tc>
          <w:tcPr>
            <w:tcW w:w="12055" w:type="dxa"/>
            <w:gridSpan w:val="42"/>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Newly Registered Securities</w:t>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1</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Equity</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2</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Equity</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Preferred Stock, par value $0.01 per share</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3</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Debt</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Debt Securities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4</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Other</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Depositary Shares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5</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Other</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Warrants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6</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Other</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Rights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7</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Other</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Purchase Contracts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8</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Other</w:t>
            </w:r>
          </w:p>
        </w:tc>
        <w:tc>
          <w:tcPr>
            <w:tcW w:w="90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Units</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457(r)</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Previously Paid</w:t>
            </w:r>
          </w:p>
        </w:tc>
        <w:tc>
          <w:tcPr>
            <w:tcW w:w="327"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r>
        <w:trPr/>
        <w:tc>
          <w:tcPr>
            <w:tcW w:w="12055" w:type="dxa"/>
            <w:gridSpan w:val="42"/>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 Forward Securities</w:t>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Carry Forward Securities</w:t>
            </w:r>
          </w:p>
        </w:tc>
        <w:tc>
          <w:tcPr>
            <w:tcW w:w="327"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12"/>
            <w:tcBorders>
              <w:left w:val="single" w:sz="8" w:space="0" w:color="FFFFFF"/>
              <w:bottom w:val="single" w:sz="8" w:space="0" w:color="FFFFFF"/>
              <w:right w:val="single" w:sz="8" w:space="0" w:color="FFFFFF"/>
            </w:tcBorders>
            <w:tcMar>
              <w:top w:w="0" w:type="dxa"/>
              <w:bottom w:w="3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Offering Amounts:</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3619" w:type="dxa"/>
            <w:gridSpan w:val="12"/>
            <w:tcBorders>
              <w:top w:val="single" w:sz="8" w:space="0" w:color="FFFFFF"/>
              <w:bottom w:val="single" w:sz="8" w:space="0" w:color="FFFFFF"/>
              <w:right w:val="single" w:sz="8" w:space="0" w:color="FFFFFF"/>
            </w:tcBorders>
            <w:tcMar>
              <w:top w:w="30" w:type="dxa"/>
              <w:left w:w="0" w:type="dxa"/>
              <w:bottom w:w="3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Fees Previously Paid:</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3619" w:type="dxa"/>
            <w:gridSpan w:val="12"/>
            <w:tcBorders>
              <w:top w:val="single" w:sz="8" w:space="0" w:color="FFFFFF"/>
              <w:bottom w:val="single" w:sz="8" w:space="0" w:color="FFFFFF"/>
              <w:right w:val="single" w:sz="8" w:space="0" w:color="FFFFFF"/>
            </w:tcBorders>
            <w:tcMar>
              <w:top w:w="30" w:type="dxa"/>
              <w:left w:w="0" w:type="dxa"/>
              <w:bottom w:w="3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Fee Offsets:</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3619" w:type="dxa"/>
            <w:gridSpan w:val="12"/>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Net Fee Due:</w:t>
            </w:r>
          </w:p>
        </w:tc>
        <w:tc>
          <w:tcPr>
            <w:tcW w:w="87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4"/>
        <w:gridCol w:w="136"/>
        <w:gridCol w:w="136"/>
        <w:gridCol w:w="2855"/>
        <w:gridCol w:w="2855"/>
        <w:gridCol w:w="4069"/>
      </w:tblGrid>
      <w:tr>
        <w:trPr/>
        <w:tc>
          <w:tcPr>
            <w:tcW w:w="1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Offering Note</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 accordance with Rules 456(b) and 457(r) under the Securities Act of 1933, as amended, Rackspace Technology, Inc. ("Rackspace") is deferring payment of all of the registration fee. Registration fees will be paid subsequently on a "pay as you go" basis. Rackspace will calculate the registration fee applicable to an offer of securities pursuant to this Registration Statement based on the fee payment rate in effect on the date of such fee payment.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(5)</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(6)</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(7)</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r>
        <w:trPr/>
        <w:tc>
          <w:tcPr>
            <w:tcW w:w="4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(8)</w:t>
            </w:r>
          </w:p>
        </w:tc>
        <w:tc>
          <w:tcPr>
            <w:tcW w:w="9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See Note 1.</w:t>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82"/>
        <w:gridCol w:w="249"/>
        <w:gridCol w:w="250"/>
        <w:gridCol w:w="117"/>
        <w:gridCol w:w="117"/>
        <w:gridCol w:w="117"/>
        <w:gridCol w:w="375"/>
        <w:gridCol w:w="375"/>
        <w:gridCol w:w="376"/>
        <w:gridCol w:w="250"/>
        <w:gridCol w:w="250"/>
        <w:gridCol w:w="252"/>
        <w:gridCol w:w="264"/>
        <w:gridCol w:w="264"/>
        <w:gridCol w:w="265"/>
        <w:gridCol w:w="237"/>
        <w:gridCol w:w="237"/>
        <w:gridCol w:w="238"/>
        <w:gridCol w:w="208"/>
        <w:gridCol w:w="208"/>
        <w:gridCol w:w="210"/>
        <w:gridCol w:w="370"/>
        <w:gridCol w:w="370"/>
        <w:gridCol w:w="372"/>
        <w:gridCol w:w="438"/>
        <w:gridCol w:w="438"/>
        <w:gridCol w:w="440"/>
        <w:gridCol w:w="367"/>
        <w:gridCol w:w="367"/>
        <w:gridCol w:w="368"/>
        <w:gridCol w:w="414"/>
        <w:gridCol w:w="414"/>
        <w:gridCol w:w="606"/>
      </w:tblGrid>
      <w:tr>
        <w:trPr/>
        <w:tc>
          <w:tcPr>
            <w:tcW w:w="3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6353" w:type="dxa"/>
            <w:gridSpan w:val="24"/>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2: Fee Offset Claims and Sources</w:t>
            </w:r>
          </w:p>
        </w:tc>
        <w:tc>
          <w:tcPr>
            <w:tcW w:w="131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434"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881"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Registrant or Filer Name</w:t>
            </w:r>
          </w:p>
        </w:tc>
        <w:tc>
          <w:tcPr>
            <w:tcW w:w="75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Form or Filing Type</w:t>
            </w:r>
          </w:p>
        </w:tc>
        <w:tc>
          <w:tcPr>
            <w:tcW w:w="793"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File Number</w:t>
            </w:r>
          </w:p>
        </w:tc>
        <w:tc>
          <w:tcPr>
            <w:tcW w:w="71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Initial Filing Date</w:t>
            </w:r>
          </w:p>
        </w:tc>
        <w:tc>
          <w:tcPr>
            <w:tcW w:w="62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Filing Date</w:t>
            </w:r>
          </w:p>
        </w:tc>
        <w:tc>
          <w:tcPr>
            <w:tcW w:w="111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Associated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with Fee Offset</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Claimed</w:t>
            </w:r>
          </w:p>
        </w:tc>
        <w:tc>
          <w:tcPr>
            <w:tcW w:w="131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Unsold Securities Associated with</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 Offset Claimed</w:t>
            </w:r>
          </w:p>
        </w:tc>
        <w:tc>
          <w:tcPr>
            <w:tcW w:w="110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Unsold Aggregate</w:t>
              <w:br/>
              <w:t>Offering Amount</w:t>
              <w:br/>
              <w:t>Associated with</w:t>
              <w:br/>
              <w:t>Fee Offset Claimed</w:t>
            </w:r>
          </w:p>
        </w:tc>
        <w:tc>
          <w:tcPr>
            <w:tcW w:w="1434" w:type="dxa"/>
            <w:gridSpan w:val="3"/>
            <w:tcBorders>
              <w:top w:val="single" w:sz="8" w:space="0" w:color="FFFFFF"/>
              <w:left w:val="single" w:sz="8" w:space="0" w:color="FFFFFF"/>
              <w:right w:val="single" w:sz="8" w:space="0" w:color="FFFFFF"/>
            </w:tcBorders>
            <w:shd w:fill="BFE4FF" w:val="clear"/>
            <w:tcMar>
              <w:top w:w="3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 Paid with Fee Offset Source</w:t>
            </w:r>
          </w:p>
        </w:tc>
      </w:tr>
      <w:tr>
        <w:trPr/>
        <w:tc>
          <w:tcPr>
            <w:tcW w:w="8771" w:type="dxa"/>
            <w:gridSpan w:val="30"/>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Rules 457(b) and 0-11(a)(2)</w:t>
            </w:r>
          </w:p>
        </w:tc>
        <w:tc>
          <w:tcPr>
            <w:tcW w:w="1434"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Claims</w:t>
            </w:r>
          </w:p>
        </w:tc>
        <w:tc>
          <w:tcPr>
            <w:tcW w:w="35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Sources</w:t>
            </w:r>
          </w:p>
        </w:tc>
        <w:tc>
          <w:tcPr>
            <w:tcW w:w="3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771" w:type="dxa"/>
            <w:gridSpan w:val="30"/>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 457(p)</w:t>
            </w:r>
          </w:p>
        </w:tc>
        <w:tc>
          <w:tcPr>
            <w:tcW w:w="1434"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Claims</w:t>
            </w:r>
          </w:p>
        </w:tc>
        <w:tc>
          <w:tcPr>
            <w:tcW w:w="35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Sources</w:t>
            </w:r>
          </w:p>
        </w:tc>
        <w:tc>
          <w:tcPr>
            <w:tcW w:w="3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60"/>
        <w:gridCol w:w="141"/>
        <w:gridCol w:w="141"/>
        <w:gridCol w:w="250"/>
        <w:gridCol w:w="250"/>
        <w:gridCol w:w="251"/>
        <w:gridCol w:w="326"/>
        <w:gridCol w:w="326"/>
        <w:gridCol w:w="328"/>
        <w:gridCol w:w="736"/>
        <w:gridCol w:w="736"/>
        <w:gridCol w:w="738"/>
        <w:gridCol w:w="1077"/>
        <w:gridCol w:w="1077"/>
        <w:gridCol w:w="1080"/>
        <w:gridCol w:w="176"/>
        <w:gridCol w:w="176"/>
        <w:gridCol w:w="174"/>
        <w:gridCol w:w="245"/>
        <w:gridCol w:w="245"/>
        <w:gridCol w:w="246"/>
        <w:gridCol w:w="386"/>
        <w:gridCol w:w="386"/>
        <w:gridCol w:w="554"/>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43" w:type="dxa"/>
            <w:gridSpan w:val="18"/>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3: Combined Prospectuses</w:t>
            </w:r>
          </w:p>
        </w:tc>
        <w:tc>
          <w:tcPr>
            <w:tcW w:w="73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32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442" w:type="dxa"/>
            <w:gridSpan w:val="3"/>
            <w:tcBorders>
              <w:top w:val="single" w:sz="8" w:space="0" w:color="FFFFFF"/>
              <w:left w:val="single" w:sz="8" w:space="0" w:color="FFFFFF"/>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980"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Class</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Title</w:t>
            </w:r>
          </w:p>
        </w:tc>
        <w:tc>
          <w:tcPr>
            <w:tcW w:w="2210"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 of Securities Previously Registered</w:t>
            </w:r>
          </w:p>
        </w:tc>
        <w:tc>
          <w:tcPr>
            <w:tcW w:w="3234"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Maximum Aggregate Offering Price of Securities Previously Registered</w:t>
            </w:r>
          </w:p>
        </w:tc>
        <w:tc>
          <w:tcPr>
            <w:tcW w:w="526"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Form</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736"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Number</w:t>
            </w:r>
          </w:p>
        </w:tc>
        <w:tc>
          <w:tcPr>
            <w:tcW w:w="1326" w:type="dxa"/>
            <w:gridSpan w:val="3"/>
            <w:tcBorders>
              <w:top w:val="single" w:sz="8" w:space="0" w:color="FFFFFF"/>
              <w:left w:val="single" w:sz="8" w:space="0" w:color="FFFFFF"/>
              <w:right w:val="single" w:sz="8" w:space="0" w:color="FFFFFF"/>
            </w:tcBorders>
            <w:shd w:fill="BFE4FF" w:val="clear"/>
            <w:tcMar>
              <w:top w:w="3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Initial</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Effective Date</w:t>
            </w:r>
          </w:p>
        </w:tc>
      </w:tr>
      <w:tr>
        <w:trPr/>
        <w:tc>
          <w:tcPr>
            <w:tcW w:w="44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8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5"/>
        <w:gridCol w:w="355"/>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5.1</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br/>
        <w:t>1285 Avenue of the Americas</w:t>
        <w:br/>
        <w:t>New York, New York 10019-6064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July 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Inc.</w:t>
        <w:br/>
        <w:t>19122 US Highway 281 N.</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Suite 127</w:t>
        <w:br/>
        <w:t>San Antonio, Texas 78258</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Registration Statement on Form S-3ASR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the Registration Statement on Form S-3ASR (the “Registration Statement”) of Rackspace Technology, Inc., a Delaware corporation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the following securities of the Company (together, the “Securities”):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debt securities (the “Debt Securities”);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shares of preferred stock (including shares issuable upon conversion of the Debt Securities or upon the exercise of warrants or purchase contracts) of the Company, par value $0.01 per share (the “Preferred Stock”);</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shares of common stock (including shares issuable upon conversion or exchange of the Debt Securities or Preferred Stock or upon the exercise of warrants, rights or purchase contracts) of the Company, par value $0.01 per share (the “Common Stock”), which shares of Common Stock may be offered by the Company (the “Primary Shares”) or offered by certain selling stockholders of the Company (the “Secondary Shares”);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    depositary shares representing a fractional share or multiple shares of Preferred Stock evidenced by depositary receipts (the “Depositary Shares”);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E.    warrants to purchase Debt Securities, Preferred Stock, Common Stock, Depositary Shares or any combination of them (the “Warrants”);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F.    rights to purchase Common Stock (the “Rights”);</w:t>
      </w:r>
    </w:p>
    <w:p>
      <w:pPr>
        <w:pStyle w:val="TextBody"/>
        <w:bidi w:val="0"/>
        <w:spacing w:lineRule="auto" w:line="240"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G.    purchase contracts representing the Company’s obligation to sell Debt Securities, Preferred Stock, Common Stock, Depositary Shares, Warrants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89" w:type="dxa"/>
        <w:jc w:val="right"/>
        <w:tblInd w:w="0" w:type="dxa"/>
        <w:tblLayout w:type="fixed"/>
        <w:tblCellMar>
          <w:top w:w="28" w:type="dxa"/>
          <w:left w:w="28" w:type="dxa"/>
          <w:bottom w:w="28" w:type="dxa"/>
          <w:right w:w="28" w:type="dxa"/>
        </w:tblCellMar>
      </w:tblPr>
      <w:tblGrid>
        <w:gridCol w:w="1010"/>
        <w:gridCol w:w="889"/>
        <w:gridCol w:w="891"/>
        <w:gridCol w:w="109"/>
        <w:gridCol w:w="109"/>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Rackspace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or debt obligations of third parties, including government securities (the “Purchase Contracts”); and</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H.    units consisting of any combination of two or more of Debt Securities, Preferred Stock, Common Stock, Depositary Shares, Warrants, Purchase Contracts or debt obligations of third parties, including government securities (the “Units”).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are being registered for offering and sale from time to time as provided by Rule 415 under the Act.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Debt Securities are to be issued under an indenture to be entered into by and between the Company and the bank or trust company identified in such indenture as the trustee with respect to the Debt Securities (the “Indenture”). The Depositary Shares are to be issued under deposit agreements, each between the Company and a depositary to be identified in the applicable agreement (each, a “Depositary Agreement”). The Warrants are to be issued under warrant agreements, each between the Company and a warrant agent to be identified in the applicable agreement (each, a “Warrant Agreement”). The Rights are to be issued under rights agent agreements, each between the Company and a rights agent to be identified in the applicable agreement (each, a “Rights Agent Agreement”). The Purchase Contracts will be issued under purchase contract agreements, each between the Company and a purchase contract agent to be identified in the applicable agreement (each, a “Purchase Contract Agreement”). The Units are to be issued under unit agreements, each between the Company and a unit agent to be identified in the applicable agreement (each, a “Unit Agreement”).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connection with the furnishing of this opinion, we have examined originals, or copies certified or otherwise identified to our satisfaction, of the following documents: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Registration Statement; and</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form of Indenture (including the form of debt securities included therein) attached as Exhibit 4.1 to the Registration Statement.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filing of the Registration Statement certified by the Company and (ii) such other certificates, agreements and documents as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89" w:type="dxa"/>
        <w:jc w:val="right"/>
        <w:tblInd w:w="0" w:type="dxa"/>
        <w:tblLayout w:type="fixed"/>
        <w:tblCellMar>
          <w:top w:w="28" w:type="dxa"/>
          <w:left w:w="28" w:type="dxa"/>
          <w:bottom w:w="28" w:type="dxa"/>
          <w:right w:w="28" w:type="dxa"/>
        </w:tblCellMar>
      </w:tblPr>
      <w:tblGrid>
        <w:gridCol w:w="1010"/>
        <w:gridCol w:w="889"/>
        <w:gridCol w:w="891"/>
        <w:gridCol w:w="109"/>
        <w:gridCol w:w="109"/>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Rackspace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have also assumed, without independent investigation, that (i) the Indenture will be duly authorized, executed and delivered by the parties to it in substantially the form filed as an exhibit to the Registration Statement and will be duly qualified under the Trust Indenture Act of 1939, as amended, (ii) each of the Depositary Agreements, the Warrant Agreements, the Rights Agent Agreements, the Purchase Contract Agreements, the Unit Agreements and any other agreement entered into, or officer’s certificates or board resolutions delivered, in connection with the issuance of the Securities will be duly authorized, executed and delivered by the parties to such agreements (such agreements and documents, together with the Indenture, are referred to collectively as the “Operative Agreements”), (iii) each Operative Agreement, when so authorized, executed and delivered, will constitute a legal, valid and binding obligation of the parties thereto (other than the Company), (iv) the Depositary Shares, the Warrants, the Rights, the Purchase Contracts, the Units and any related Operative Agreements will be governed by the laws of the State of New York and (v) in the case of Purchase Contracts or Units consisting at least in part of debt obligations of third parties, such debt obligations at all relevant times constitute the legal, valid and binding obligations of the issuers thereof enforceable against the issuers thereof in accordance with their terms.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With respect to the Securities of a particular series or issuance, we have assumed that (i) the issuance, sale, number or amount, as the case may be, and terms of the Securities to be offered from time to time will be duly authorized and established, in accordance with the organizational documents of the Company, the laws of the State of New York and its jurisdiction of incorporation, and any applicable Operative Agreement, (ii) prior to the issuance of a series of Preferred Stock, an appropriate certificate of designation or board resolution relating to such series of Preferred Stock will have been duly authorized by the Company and filed with the Secretary of State of Delaware, (iii) the Securities will be duly authorized, executed, issued and delivered by the Company and, in the case of Debt Securities, Depositary Shares, Warrants, Rights, Purchase Contracts and Units, duly authenticated or delivered by the applicable trustee or agent, in each case, against payment by the purchaser at the agreed-upon consideration, and (iv) the Securities will be issued and delivered as contemplated by the Registration Statement and the applicable prospectus supplement.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Based upon the above, and subject to the stated assumptions, exceptions and qualifications, we are of the opinion that: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89" w:type="dxa"/>
        <w:jc w:val="right"/>
        <w:tblInd w:w="0" w:type="dxa"/>
        <w:tblLayout w:type="fixed"/>
        <w:tblCellMar>
          <w:top w:w="28" w:type="dxa"/>
          <w:left w:w="28" w:type="dxa"/>
          <w:bottom w:w="28" w:type="dxa"/>
          <w:right w:w="28" w:type="dxa"/>
        </w:tblCellMar>
      </w:tblPr>
      <w:tblGrid>
        <w:gridCol w:w="1010"/>
        <w:gridCol w:w="889"/>
        <w:gridCol w:w="891"/>
        <w:gridCol w:w="109"/>
        <w:gridCol w:w="109"/>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Rackspace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When the specific terms of a particular issuance of Debt Securities (including any Debt Securities duly issued upon exercise, exchange or conversion of any Security in accordance with its terms) have been duly authorized by the Company and such Debt Securities have been duly executed, authenticated, issued and delivered, and, if applicable, upon exercise, exchange or conversion of any Security in accordance with its terms, such Debt Securities will constitute legal, valid and binding obligations of the Company enforceable against the Company in accordance with their terms.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Upon due authorization by the Company of the issuance and sale of shares of a series of Preferred Stock, and, if applicable, upon exercise, exchange or conversion of any Security in accordance with its terms, such shares of Preferred Stock will be validly issued, fully paid and non-assessable.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Upon due authorization by the Company of the issuance and sale of any Primary Shares, and, if applicable, upon exercise, exchange or conversion of any Security in accordance with its terms, such Primary Shares will be validly issued, fully paid and non-assessable.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Secondary Shares have been duly authorized by all necessary corporate action on the part of the Company and the Secondary Shares are validly issued, fully paid and non-assessable.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When any Depositary Shares evidenced by depositary receipts are issued and delivered in accordance with the terms of a Depositary Agreement against the deposit of duly authorized, validly issued, fully paid and non-assessable shares of Preferred Stock, such Depositary Shares will entitle the holders thereof to the rights specified in the Depositary Agreement.</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    When the specific terms of a particular issuance of Warrants have been duly authorized by the Company and such Warrants have been duly executed, authenticated, issued and delivered, such Warrants will constitute legal, valid and binding obligations of the Company enforceable against the Company in accordance with their terms.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    When the specific terms of a particular issuance of Rights have been duly authorized by the Company and such Rights have been duly executed, authenticated, issued and delivered, such Rights will constitute legal, valid and binding obligations of the Company enforceable against the Company in accordance with their terms.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8.    When any Purchase Contracts have been duly authorized, executed and delivered by the Company, such Purchase Contracts will constitute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89" w:type="dxa"/>
        <w:jc w:val="right"/>
        <w:tblInd w:w="0" w:type="dxa"/>
        <w:tblLayout w:type="fixed"/>
        <w:tblCellMar>
          <w:top w:w="28" w:type="dxa"/>
          <w:left w:w="28" w:type="dxa"/>
          <w:bottom w:w="28" w:type="dxa"/>
          <w:right w:w="28" w:type="dxa"/>
        </w:tblCellMar>
      </w:tblPr>
      <w:tblGrid>
        <w:gridCol w:w="1010"/>
        <w:gridCol w:w="889"/>
        <w:gridCol w:w="891"/>
        <w:gridCol w:w="109"/>
        <w:gridCol w:w="109"/>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Rackspace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legal, valid and binding obligations of the Company enforceable against the Company in accordance with their terms.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9.    When any Units have been duly authorized, issued and delivered by the Company, such Units will constitute legal, valid and binding obligations of the Company enforceable against the Company in accordance with their terms.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opinions expressed above as to enforceability may be subject to (i) bankruptcy, insolvency, reorganization, fraudulent conveyance or transfer, moratorium or similar laws affecting creditors’ rights generally, (ii) general principles of equity (regardless of whether enforceability is considered in a proceeding in equity or at law) and (iii) requirements that a claim with respect to any Securities in denominations other than in United States dollars (or a judgment denominated other than into United States dollars in respect of the claim) be converted into United States dollars at a rate of exchange prevailing on a date determined by applicable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opinions expressed above are limited to the laws of the State of New York and the Delaware General Corporation Law. Our opinion is rendered only with respect to the laws, and the rules, regulations and orders under those laws, that are currently in effect.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hereby consent to use of this opinion as an exhibit to the Registration Statement and to the use of our name under the heading “Legal Matters” contained in the prospectus included in the Registration Statement. In giving this consent, we do not hereby admit that we come within the category of persons whose consent is required by the Act or the Rules.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 Paul, Weiss, Rifkind, Wharton &amp; Garrison LLP</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tbl>
      <w:tblPr>
        <w:tblW w:w="2039" w:type="dxa"/>
        <w:jc w:val="left"/>
        <w:tblInd w:w="0" w:type="dxa"/>
        <w:tblLayout w:type="fixed"/>
        <w:tblCellMar>
          <w:top w:w="28" w:type="dxa"/>
          <w:left w:w="28" w:type="dxa"/>
          <w:bottom w:w="28" w:type="dxa"/>
          <w:right w:w="28" w:type="dxa"/>
        </w:tblCellMar>
      </w:tblPr>
      <w:tblGrid>
        <w:gridCol w:w="652"/>
        <w:gridCol w:w="574"/>
        <w:gridCol w:w="813"/>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Indenture]</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RACKSPACE TECHNOLOGY, INC.</w:t>
        <w:br/>
        <w:t>Company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 ]</w:t>
        <w:br/>
        <w:br/>
        <w:t>Providing for Issuance of Securities in Series</w:t>
      </w:r>
    </w:p>
    <w:tbl>
      <w:tblPr>
        <w:tblW w:w="871" w:type="dxa"/>
        <w:jc w:val="left"/>
        <w:tblInd w:w="0" w:type="dxa"/>
        <w:tblLayout w:type="fixed"/>
        <w:tblCellMar>
          <w:top w:w="28" w:type="dxa"/>
          <w:left w:w="28" w:type="dxa"/>
          <w:bottom w:w="28" w:type="dxa"/>
          <w:right w:w="28" w:type="dxa"/>
        </w:tblCellMar>
      </w:tblPr>
      <w:tblGrid>
        <w:gridCol w:w="279"/>
        <w:gridCol w:w="245"/>
        <w:gridCol w:w="347"/>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w:t>
              <w:br/>
              <w:t>Trustee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Table Showing Reflection in Indenture of Certain Provisions of Trust Indenture Act of 1939, as amended</w:t>
      </w:r>
    </w:p>
    <w:tbl>
      <w:tblPr>
        <w:tblW w:w="4079" w:type="dxa"/>
        <w:jc w:val="left"/>
        <w:tblInd w:w="0" w:type="dxa"/>
        <w:tblLayout w:type="fixed"/>
        <w:tblCellMar>
          <w:top w:w="28" w:type="dxa"/>
          <w:left w:w="28" w:type="dxa"/>
          <w:bottom w:w="28" w:type="dxa"/>
          <w:right w:w="28" w:type="dxa"/>
        </w:tblCellMar>
      </w:tblPr>
      <w:tblGrid>
        <w:gridCol w:w="884"/>
        <w:gridCol w:w="778"/>
        <w:gridCol w:w="783"/>
        <w:gridCol w:w="477"/>
        <w:gridCol w:w="477"/>
        <w:gridCol w:w="680"/>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Trust Indenture Act Section</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Indenture Section</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310(a)(1)</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7.09; 7.10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(a)(5)</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7.10</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7.06, 10.02</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4.02; 4.03; 10.02</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(c)(1)</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(c)(2)</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(c)(3)</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7.05; 10.02</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6.05</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6.04</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6.07</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317(a)(1)</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6.08</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318(a)</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 means Not Applicable.</w:t>
        <w:br/>
        <w:t>Note: This Cross-Reference Table shall not, for any purpose, be deemed to be part of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6765" w:type="dxa"/>
        <w:jc w:val="left"/>
        <w:tblInd w:w="0" w:type="dxa"/>
        <w:tblLayout w:type="fixed"/>
        <w:tblCellMar>
          <w:top w:w="28" w:type="dxa"/>
          <w:left w:w="28" w:type="dxa"/>
          <w:bottom w:w="28" w:type="dxa"/>
          <w:right w:w="28" w:type="dxa"/>
        </w:tblCellMar>
      </w:tblPr>
      <w:tblGrid>
        <w:gridCol w:w="2308"/>
        <w:gridCol w:w="2030"/>
        <w:gridCol w:w="2036"/>
        <w:gridCol w:w="114"/>
        <w:gridCol w:w="114"/>
        <w:gridCol w:w="163"/>
      </w:tblGrid>
      <w:tr>
        <w:trPr/>
        <w:tc>
          <w:tcPr>
            <w:tcW w:w="230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42589db3af4ead8113a9e6b34b36a1">
              <w:r>
                <w:rPr>
                  <w:rStyle w:val="InternetLink"/>
                  <w:rFonts w:ascii="Times New Roman;serif" w:hAnsi="Times New Roman;serif"/>
                  <w:b w:val="false"/>
                  <w:strike w:val="false"/>
                  <w:dstrike w:val="false"/>
                  <w:color w:val="000000"/>
                  <w:sz w:val="24"/>
                  <w:u w:val="none"/>
                  <w:effect w:val="none"/>
                </w:rPr>
                <w:t>ARTICLE I</w:t>
                <w:br/>
                <w:br/>
                <w:t>Definitions and Incorporation by Reference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42589db3af4ead8113a9e6b34b36a1">
              <w:r>
                <w:rPr>
                  <w:rStyle w:val="InternetLink"/>
                  <w:rFonts w:ascii="Times New Roman;serif" w:hAnsi="Times New Roman;serif"/>
                  <w:b w:val="false"/>
                  <w:strike w:val="false"/>
                  <w:dstrike w:val="false"/>
                  <w:color w:val="000000"/>
                  <w:sz w:val="24"/>
                  <w:u w:val="none"/>
                  <w:effect w:val="none"/>
                </w:rPr>
                <w:t>1</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5309095dca54cf8be9cf01da701fc96">
              <w:r>
                <w:rPr>
                  <w:rStyle w:val="InternetLink"/>
                  <w:rFonts w:ascii="Times New Roman;serif" w:hAnsi="Times New Roman;serif"/>
                  <w:b w:val="false"/>
                  <w:strike w:val="false"/>
                  <w:dstrike w:val="false"/>
                  <w:color w:val="000000"/>
                  <w:sz w:val="24"/>
                  <w:u w:val="none"/>
                  <w:effect w:val="none"/>
                </w:rPr>
                <w:t xml:space="preserve">Section 1.01    Definitions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09095dca54cf8be9cf01da701fc96">
              <w:r>
                <w:rPr>
                  <w:rStyle w:val="InternetLink"/>
                  <w:rFonts w:ascii="Times New Roman;serif" w:hAnsi="Times New Roman;serif"/>
                  <w:b w:val="false"/>
                  <w:strike w:val="false"/>
                  <w:dstrike w:val="false"/>
                  <w:color w:val="000000"/>
                  <w:sz w:val="24"/>
                  <w:u w:val="none"/>
                  <w:effect w:val="none"/>
                </w:rPr>
                <w:t>1</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730ea8dd1e3445ba64e9cab63ae9c8e">
              <w:r>
                <w:rPr>
                  <w:rStyle w:val="InternetLink"/>
                  <w:rFonts w:ascii="Times New Roman;serif" w:hAnsi="Times New Roman;serif"/>
                  <w:b w:val="false"/>
                  <w:strike w:val="false"/>
                  <w:dstrike w:val="false"/>
                  <w:color w:val="000000"/>
                  <w:sz w:val="24"/>
                  <w:u w:val="none"/>
                  <w:effect w:val="none"/>
                </w:rPr>
                <w:t>Section 1.02    Other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30ea8dd1e3445ba64e9cab63ae9c8e">
              <w:r>
                <w:rPr>
                  <w:rStyle w:val="InternetLink"/>
                  <w:rFonts w:ascii="Times New Roman;serif" w:hAnsi="Times New Roman;serif"/>
                  <w:b w:val="false"/>
                  <w:strike w:val="false"/>
                  <w:dstrike w:val="false"/>
                  <w:color w:val="000000"/>
                  <w:sz w:val="24"/>
                  <w:u w:val="none"/>
                  <w:effect w:val="none"/>
                </w:rPr>
                <w:t>5</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f89f32a142d4ecdbdf01365ada9176b">
              <w:r>
                <w:rPr>
                  <w:rStyle w:val="InternetLink"/>
                  <w:rFonts w:ascii="Times New Roman;serif" w:hAnsi="Times New Roman;serif"/>
                  <w:b w:val="false"/>
                  <w:strike w:val="false"/>
                  <w:dstrike w:val="false"/>
                  <w:color w:val="000000"/>
                  <w:sz w:val="24"/>
                  <w:u w:val="none"/>
                  <w:effect w:val="none"/>
                </w:rPr>
                <w:t>Section 1.03    Incorporation by Reference of Trust Indenture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89f32a142d4ecdbdf01365ada9176b">
              <w:r>
                <w:rPr>
                  <w:rStyle w:val="InternetLink"/>
                  <w:rFonts w:ascii="Times New Roman;serif" w:hAnsi="Times New Roman;serif"/>
                  <w:b w:val="false"/>
                  <w:strike w:val="false"/>
                  <w:dstrike w:val="false"/>
                  <w:color w:val="000000"/>
                  <w:sz w:val="24"/>
                  <w:u w:val="none"/>
                  <w:effect w:val="none"/>
                </w:rPr>
                <w:t>6</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f427792b2514e3ba60857220049e58d">
              <w:r>
                <w:rPr>
                  <w:rStyle w:val="InternetLink"/>
                  <w:rFonts w:ascii="Times New Roman;serif" w:hAnsi="Times New Roman;serif"/>
                  <w:b w:val="false"/>
                  <w:strike w:val="false"/>
                  <w:dstrike w:val="false"/>
                  <w:color w:val="000000"/>
                  <w:sz w:val="24"/>
                  <w:u w:val="none"/>
                  <w:effect w:val="none"/>
                </w:rPr>
                <w:t>Section 1.04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427792b2514e3ba60857220049e58d">
              <w:r>
                <w:rPr>
                  <w:rStyle w:val="InternetLink"/>
                  <w:rFonts w:ascii="Times New Roman;serif" w:hAnsi="Times New Roman;serif"/>
                  <w:b w:val="false"/>
                  <w:strike w:val="false"/>
                  <w:dstrike w:val="false"/>
                  <w:color w:val="000000"/>
                  <w:sz w:val="24"/>
                  <w:u w:val="none"/>
                  <w:effect w:val="none"/>
                </w:rPr>
                <w:t>6</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31bcd73760e4c8f8d36617357bd10b4">
              <w:r>
                <w:rPr>
                  <w:rStyle w:val="InternetLink"/>
                  <w:rFonts w:ascii="Times New Roman;serif" w:hAnsi="Times New Roman;serif"/>
                  <w:b w:val="false"/>
                  <w:strike w:val="false"/>
                  <w:dstrike w:val="false"/>
                  <w:color w:val="000000"/>
                  <w:sz w:val="24"/>
                  <w:u w:val="none"/>
                  <w:effect w:val="none"/>
                </w:rPr>
                <w:t>ARTICLE II</w:t>
                <w:br/>
                <w:br/>
                <w:t>The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1bcd73760e4c8f8d36617357bd10b4">
              <w:r>
                <w:rPr>
                  <w:rStyle w:val="InternetLink"/>
                  <w:rFonts w:ascii="Times New Roman;serif" w:hAnsi="Times New Roman;serif"/>
                  <w:b w:val="false"/>
                  <w:strike w:val="false"/>
                  <w:dstrike w:val="false"/>
                  <w:color w:val="000000"/>
                  <w:sz w:val="24"/>
                  <w:u w:val="none"/>
                  <w:effect w:val="none"/>
                </w:rPr>
                <w:t>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45eb556c73b4a0abaa71a2128da8162">
              <w:r>
                <w:rPr>
                  <w:rStyle w:val="InternetLink"/>
                  <w:rFonts w:ascii="Times New Roman;serif" w:hAnsi="Times New Roman;serif"/>
                  <w:b w:val="false"/>
                  <w:strike w:val="false"/>
                  <w:dstrike w:val="false"/>
                  <w:color w:val="000000"/>
                  <w:sz w:val="24"/>
                  <w:u w:val="none"/>
                  <w:effect w:val="none"/>
                </w:rPr>
                <w:t>Section 2.01    Issuable in Series.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5eb556c73b4a0abaa71a2128da8162">
              <w:r>
                <w:rPr>
                  <w:rStyle w:val="InternetLink"/>
                  <w:rFonts w:ascii="Times New Roman;serif" w:hAnsi="Times New Roman;serif"/>
                  <w:b w:val="false"/>
                  <w:strike w:val="false"/>
                  <w:dstrike w:val="false"/>
                  <w:color w:val="000000"/>
                  <w:sz w:val="24"/>
                  <w:u w:val="none"/>
                  <w:effect w:val="none"/>
                </w:rPr>
                <w:t>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ff17d1dc3064dcfa9afbb775fd87c4d">
              <w:r>
                <w:rPr>
                  <w:rStyle w:val="InternetLink"/>
                  <w:rFonts w:ascii="Times New Roman;serif" w:hAnsi="Times New Roman;serif"/>
                  <w:b w:val="false"/>
                  <w:strike w:val="false"/>
                  <w:dstrike w:val="false"/>
                  <w:color w:val="000000"/>
                  <w:sz w:val="24"/>
                  <w:u w:val="none"/>
                  <w:effect w:val="none"/>
                </w:rPr>
                <w:t>Section 2.02    Establishment of Terms of Series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f17d1dc3064dcfa9afbb775fd87c4d">
              <w:r>
                <w:rPr>
                  <w:rStyle w:val="InternetLink"/>
                  <w:rFonts w:ascii="Times New Roman;serif" w:hAnsi="Times New Roman;serif"/>
                  <w:b w:val="false"/>
                  <w:strike w:val="false"/>
                  <w:dstrike w:val="false"/>
                  <w:color w:val="000000"/>
                  <w:sz w:val="24"/>
                  <w:u w:val="none"/>
                  <w:effect w:val="none"/>
                </w:rPr>
                <w:t>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736ef78251e40db8aa7032e8956fee6">
              <w:r>
                <w:rPr>
                  <w:rStyle w:val="InternetLink"/>
                  <w:rFonts w:ascii="Times New Roman;serif" w:hAnsi="Times New Roman;serif"/>
                  <w:b w:val="false"/>
                  <w:strike w:val="false"/>
                  <w:dstrike w:val="false"/>
                  <w:color w:val="000000"/>
                  <w:sz w:val="24"/>
                  <w:u w:val="none"/>
                  <w:effect w:val="none"/>
                </w:rPr>
                <w:t>Section 2.03    Execution and Authentication.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36ef78251e40db8aa7032e8956fee6">
              <w:r>
                <w:rPr>
                  <w:rStyle w:val="InternetLink"/>
                  <w:rFonts w:ascii="Times New Roman;serif" w:hAnsi="Times New Roman;serif"/>
                  <w:b w:val="false"/>
                  <w:strike w:val="false"/>
                  <w:dstrike w:val="false"/>
                  <w:color w:val="000000"/>
                  <w:sz w:val="24"/>
                  <w:u w:val="none"/>
                  <w:effect w:val="none"/>
                </w:rPr>
                <w:t>10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bf813eb7728492bac2733743cd58a0b">
              <w:r>
                <w:rPr>
                  <w:rStyle w:val="InternetLink"/>
                  <w:rFonts w:ascii="Times New Roman;serif" w:hAnsi="Times New Roman;serif"/>
                  <w:b w:val="false"/>
                  <w:strike w:val="false"/>
                  <w:dstrike w:val="false"/>
                  <w:color w:val="000000"/>
                  <w:sz w:val="24"/>
                  <w:u w:val="none"/>
                  <w:effect w:val="none"/>
                </w:rPr>
                <w:t>Section 2.04    Registrar and Paying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813eb7728492bac2733743cd58a0b">
              <w:r>
                <w:rPr>
                  <w:rStyle w:val="InternetLink"/>
                  <w:rFonts w:ascii="Times New Roman;serif" w:hAnsi="Times New Roman;serif"/>
                  <w:b w:val="false"/>
                  <w:strike w:val="false"/>
                  <w:dstrike w:val="false"/>
                  <w:color w:val="000000"/>
                  <w:sz w:val="24"/>
                  <w:u w:val="none"/>
                  <w:effect w:val="none"/>
                </w:rPr>
                <w:t>11</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558849c71c5440dbce75c6c280e1cda">
              <w:r>
                <w:rPr>
                  <w:rStyle w:val="InternetLink"/>
                  <w:rFonts w:ascii="Times New Roman;serif" w:hAnsi="Times New Roman;serif"/>
                  <w:b w:val="false"/>
                  <w:strike w:val="false"/>
                  <w:dstrike w:val="false"/>
                  <w:color w:val="000000"/>
                  <w:sz w:val="24"/>
                  <w:u w:val="none"/>
                  <w:effect w:val="none"/>
                </w:rPr>
                <w:t>Section 2.05    Paying Agent to Hold Money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58849c71c5440dbce75c6c280e1cda">
              <w:r>
                <w:rPr>
                  <w:rStyle w:val="InternetLink"/>
                  <w:rFonts w:ascii="Times New Roman;serif" w:hAnsi="Times New Roman;serif"/>
                  <w:b w:val="false"/>
                  <w:strike w:val="false"/>
                  <w:dstrike w:val="false"/>
                  <w:color w:val="000000"/>
                  <w:sz w:val="24"/>
                  <w:u w:val="none"/>
                  <w:effect w:val="none"/>
                </w:rPr>
                <w:t>12</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01da955cde844898e4f73f3d7a6f666">
              <w:r>
                <w:rPr>
                  <w:rStyle w:val="InternetLink"/>
                  <w:rFonts w:ascii="Times New Roman;serif" w:hAnsi="Times New Roman;serif"/>
                  <w:b w:val="false"/>
                  <w:strike w:val="false"/>
                  <w:dstrike w:val="false"/>
                  <w:color w:val="000000"/>
                  <w:sz w:val="24"/>
                  <w:u w:val="none"/>
                  <w:effect w:val="none"/>
                </w:rPr>
                <w:t>Section 2.06    Holder Lists.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1da955cde844898e4f73f3d7a6f666">
              <w:r>
                <w:rPr>
                  <w:rStyle w:val="InternetLink"/>
                  <w:rFonts w:ascii="Times New Roman;serif" w:hAnsi="Times New Roman;serif"/>
                  <w:b w:val="false"/>
                  <w:strike w:val="false"/>
                  <w:dstrike w:val="false"/>
                  <w:color w:val="000000"/>
                  <w:sz w:val="24"/>
                  <w:u w:val="none"/>
                  <w:effect w:val="none"/>
                </w:rPr>
                <w:t>12</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395ab5734384908921d7a320d34c987">
              <w:r>
                <w:rPr>
                  <w:rStyle w:val="InternetLink"/>
                  <w:rFonts w:ascii="Times New Roman;serif" w:hAnsi="Times New Roman;serif"/>
                  <w:b w:val="false"/>
                  <w:strike w:val="false"/>
                  <w:dstrike w:val="false"/>
                  <w:color w:val="000000"/>
                  <w:sz w:val="24"/>
                  <w:u w:val="none"/>
                  <w:effect w:val="none"/>
                </w:rPr>
                <w:t>Section 2.07    Transfer and Exchange.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95ab5734384908921d7a320d34c987">
              <w:r>
                <w:rPr>
                  <w:rStyle w:val="InternetLink"/>
                  <w:rFonts w:ascii="Times New Roman;serif" w:hAnsi="Times New Roman;serif"/>
                  <w:b w:val="false"/>
                  <w:strike w:val="false"/>
                  <w:dstrike w:val="false"/>
                  <w:color w:val="000000"/>
                  <w:sz w:val="24"/>
                  <w:u w:val="none"/>
                  <w:effect w:val="none"/>
                </w:rPr>
                <w:t>12</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2fb62c213f140aa826da6e8fe7262d3">
              <w:r>
                <w:rPr>
                  <w:rStyle w:val="InternetLink"/>
                  <w:rFonts w:ascii="Times New Roman;serif" w:hAnsi="Times New Roman;serif"/>
                  <w:b w:val="false"/>
                  <w:strike w:val="false"/>
                  <w:dstrike w:val="false"/>
                  <w:color w:val="000000"/>
                  <w:sz w:val="24"/>
                  <w:u w:val="none"/>
                  <w:effect w:val="none"/>
                </w:rPr>
                <w:t>Section 2.08    Mutilated, Destroyed, Lost and Stolen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b62c213f140aa826da6e8fe7262d3">
              <w:r>
                <w:rPr>
                  <w:rStyle w:val="InternetLink"/>
                  <w:rFonts w:ascii="Times New Roman;serif" w:hAnsi="Times New Roman;serif"/>
                  <w:b w:val="false"/>
                  <w:strike w:val="false"/>
                  <w:dstrike w:val="false"/>
                  <w:color w:val="000000"/>
                  <w:sz w:val="24"/>
                  <w:u w:val="none"/>
                  <w:effect w:val="none"/>
                </w:rPr>
                <w:t>13</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6f474fb4a684fe4a324b5ed1ce98139">
              <w:r>
                <w:rPr>
                  <w:rStyle w:val="InternetLink"/>
                  <w:rFonts w:ascii="Times New Roman;serif" w:hAnsi="Times New Roman;serif"/>
                  <w:b w:val="false"/>
                  <w:strike w:val="false"/>
                  <w:dstrike w:val="false"/>
                  <w:color w:val="000000"/>
                  <w:sz w:val="24"/>
                  <w:u w:val="none"/>
                  <w:effect w:val="none"/>
                </w:rPr>
                <w:t>Section 2.09    Outstanding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f474fb4a684fe4a324b5ed1ce98139">
              <w:r>
                <w:rPr>
                  <w:rStyle w:val="InternetLink"/>
                  <w:rFonts w:ascii="Times New Roman;serif" w:hAnsi="Times New Roman;serif"/>
                  <w:b w:val="false"/>
                  <w:strike w:val="false"/>
                  <w:dstrike w:val="false"/>
                  <w:color w:val="000000"/>
                  <w:sz w:val="24"/>
                  <w:u w:val="none"/>
                  <w:effect w:val="none"/>
                </w:rPr>
                <w:t>14</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86c26068d694289ae09ec45147fcd0a">
              <w:r>
                <w:rPr>
                  <w:rStyle w:val="InternetLink"/>
                  <w:rFonts w:ascii="Times New Roman;serif" w:hAnsi="Times New Roman;serif"/>
                  <w:b w:val="false"/>
                  <w:strike w:val="false"/>
                  <w:dstrike w:val="false"/>
                  <w:color w:val="000000"/>
                  <w:sz w:val="24"/>
                  <w:u w:val="none"/>
                  <w:effect w:val="none"/>
                </w:rPr>
                <w:t>Section 2.10    Treasury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6c26068d694289ae09ec45147fcd0a">
              <w:r>
                <w:rPr>
                  <w:rStyle w:val="InternetLink"/>
                  <w:rFonts w:ascii="Times New Roman;serif" w:hAnsi="Times New Roman;serif"/>
                  <w:b w:val="false"/>
                  <w:strike w:val="false"/>
                  <w:dstrike w:val="false"/>
                  <w:color w:val="000000"/>
                  <w:sz w:val="24"/>
                  <w:u w:val="none"/>
                  <w:effect w:val="none"/>
                </w:rPr>
                <w:t>14</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d550a0d48834b47bf46fdaefc2ba4cd">
              <w:r>
                <w:rPr>
                  <w:rStyle w:val="InternetLink"/>
                  <w:rFonts w:ascii="Times New Roman;serif" w:hAnsi="Times New Roman;serif"/>
                  <w:b w:val="false"/>
                  <w:strike w:val="false"/>
                  <w:dstrike w:val="false"/>
                  <w:color w:val="000000"/>
                  <w:sz w:val="24"/>
                  <w:u w:val="none"/>
                  <w:effect w:val="none"/>
                </w:rPr>
                <w:t>Section 2.11    Temporary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550a0d48834b47bf46fdaefc2ba4cd">
              <w:r>
                <w:rPr>
                  <w:rStyle w:val="InternetLink"/>
                  <w:rFonts w:ascii="Times New Roman;serif" w:hAnsi="Times New Roman;serif"/>
                  <w:b w:val="false"/>
                  <w:strike w:val="false"/>
                  <w:dstrike w:val="false"/>
                  <w:color w:val="000000"/>
                  <w:sz w:val="24"/>
                  <w:u w:val="none"/>
                  <w:effect w:val="none"/>
                </w:rPr>
                <w:t>14</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de0674c2703433dbd2a59a653f65019">
              <w:r>
                <w:rPr>
                  <w:rStyle w:val="InternetLink"/>
                  <w:rFonts w:ascii="Times New Roman;serif" w:hAnsi="Times New Roman;serif"/>
                  <w:b w:val="false"/>
                  <w:strike w:val="false"/>
                  <w:dstrike w:val="false"/>
                  <w:color w:val="000000"/>
                  <w:sz w:val="24"/>
                  <w:u w:val="none"/>
                  <w:effect w:val="none"/>
                </w:rPr>
                <w:t>Section 2.12    Cancellation.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e0674c2703433dbd2a59a653f65019">
              <w:r>
                <w:rPr>
                  <w:rStyle w:val="InternetLink"/>
                  <w:rFonts w:ascii="Times New Roman;serif" w:hAnsi="Times New Roman;serif"/>
                  <w:b w:val="false"/>
                  <w:strike w:val="false"/>
                  <w:dstrike w:val="false"/>
                  <w:color w:val="000000"/>
                  <w:sz w:val="24"/>
                  <w:u w:val="none"/>
                  <w:effect w:val="none"/>
                </w:rPr>
                <w:t>15</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0c434df252b4e31baf6420d30addedb">
              <w:r>
                <w:rPr>
                  <w:rStyle w:val="InternetLink"/>
                  <w:rFonts w:ascii="Times New Roman;serif" w:hAnsi="Times New Roman;serif"/>
                  <w:b w:val="false"/>
                  <w:strike w:val="false"/>
                  <w:dstrike w:val="false"/>
                  <w:color w:val="000000"/>
                  <w:sz w:val="24"/>
                  <w:u w:val="none"/>
                  <w:effect w:val="none"/>
                </w:rPr>
                <w:t>Section 2.13    Defaulted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c434df252b4e31baf6420d30addedb">
              <w:r>
                <w:rPr>
                  <w:rStyle w:val="InternetLink"/>
                  <w:rFonts w:ascii="Times New Roman;serif" w:hAnsi="Times New Roman;serif"/>
                  <w:b w:val="false"/>
                  <w:strike w:val="false"/>
                  <w:dstrike w:val="false"/>
                  <w:color w:val="000000"/>
                  <w:sz w:val="24"/>
                  <w:u w:val="none"/>
                  <w:effect w:val="none"/>
                </w:rPr>
                <w:t>15</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db60a8bbc841ebaac17d348260c84e">
              <w:r>
                <w:rPr>
                  <w:rStyle w:val="InternetLink"/>
                  <w:rFonts w:ascii="Times New Roman;serif" w:hAnsi="Times New Roman;serif"/>
                  <w:b w:val="false"/>
                  <w:strike w:val="false"/>
                  <w:dstrike w:val="false"/>
                  <w:color w:val="000000"/>
                  <w:sz w:val="24"/>
                  <w:u w:val="none"/>
                  <w:effect w:val="none"/>
                </w:rPr>
                <w:t>Section 2.14    Global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db60a8bbc841ebaac17d348260c84e">
              <w:r>
                <w:rPr>
                  <w:rStyle w:val="InternetLink"/>
                  <w:rFonts w:ascii="Times New Roman;serif" w:hAnsi="Times New Roman;serif"/>
                  <w:b w:val="false"/>
                  <w:strike w:val="false"/>
                  <w:dstrike w:val="false"/>
                  <w:color w:val="000000"/>
                  <w:sz w:val="24"/>
                  <w:u w:val="none"/>
                  <w:effect w:val="none"/>
                </w:rPr>
                <w:t>15</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03b889927bc446989a957ec9ab9a724">
              <w:r>
                <w:rPr>
                  <w:rStyle w:val="InternetLink"/>
                  <w:rFonts w:ascii="Times New Roman;serif" w:hAnsi="Times New Roman;serif"/>
                  <w:b w:val="false"/>
                  <w:strike w:val="false"/>
                  <w:dstrike w:val="false"/>
                  <w:color w:val="000000"/>
                  <w:sz w:val="24"/>
                  <w:u w:val="none"/>
                  <w:effect w:val="none"/>
                </w:rPr>
                <w:t>Section 2.15    CUSIP Numbers, ISINs,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3b889927bc446989a957ec9ab9a724">
              <w:r>
                <w:rPr>
                  <w:rStyle w:val="InternetLink"/>
                  <w:rFonts w:ascii="Times New Roman;serif" w:hAnsi="Times New Roman;serif"/>
                  <w:b w:val="false"/>
                  <w:strike w:val="false"/>
                  <w:dstrike w:val="false"/>
                  <w:color w:val="000000"/>
                  <w:sz w:val="24"/>
                  <w:u w:val="none"/>
                  <w:effect w:val="none"/>
                </w:rPr>
                <w:t>16</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4a2a4c7ae945c8b88eacc0ea28cdff">
              <w:r>
                <w:rPr>
                  <w:rStyle w:val="InternetLink"/>
                  <w:rFonts w:ascii="Times New Roman;serif" w:hAnsi="Times New Roman;serif"/>
                  <w:b w:val="false"/>
                  <w:strike w:val="false"/>
                  <w:dstrike w:val="false"/>
                  <w:color w:val="000000"/>
                  <w:sz w:val="24"/>
                  <w:u w:val="none"/>
                  <w:effect w:val="none"/>
                </w:rPr>
                <w:t>ARTICLE III</w:t>
                <w:br/>
                <w:t>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4a2a4c7ae945c8b88eacc0ea28cdff">
              <w:r>
                <w:rPr>
                  <w:rStyle w:val="InternetLink"/>
                  <w:rFonts w:ascii="Times New Roman;serif" w:hAnsi="Times New Roman;serif"/>
                  <w:b w:val="false"/>
                  <w:strike w:val="false"/>
                  <w:dstrike w:val="false"/>
                  <w:color w:val="000000"/>
                  <w:sz w:val="24"/>
                  <w:u w:val="none"/>
                  <w:effect w:val="none"/>
                </w:rPr>
                <w:t>17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36f1d5d6ece44268d211a4a8bab7dc0">
              <w:r>
                <w:rPr>
                  <w:rStyle w:val="InternetLink"/>
                  <w:rFonts w:ascii="Times New Roman;serif" w:hAnsi="Times New Roman;serif"/>
                  <w:b w:val="false"/>
                  <w:strike w:val="false"/>
                  <w:dstrike w:val="false"/>
                  <w:color w:val="000000"/>
                  <w:sz w:val="24"/>
                  <w:u w:val="none"/>
                  <w:effect w:val="none"/>
                </w:rPr>
                <w:t>Section 3.01    Notices to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6f1d5d6ece44268d211a4a8bab7dc0">
              <w:r>
                <w:rPr>
                  <w:rStyle w:val="InternetLink"/>
                  <w:rFonts w:ascii="Times New Roman;serif" w:hAnsi="Times New Roman;serif"/>
                  <w:b w:val="false"/>
                  <w:strike w:val="false"/>
                  <w:dstrike w:val="false"/>
                  <w:color w:val="000000"/>
                  <w:sz w:val="24"/>
                  <w:u w:val="none"/>
                  <w:effect w:val="none"/>
                </w:rPr>
                <w:t>17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b7bc4f1113546668cf97267d60fc0f4">
              <w:r>
                <w:rPr>
                  <w:rStyle w:val="InternetLink"/>
                  <w:rFonts w:ascii="Times New Roman;serif" w:hAnsi="Times New Roman;serif"/>
                  <w:b w:val="false"/>
                  <w:strike w:val="false"/>
                  <w:dstrike w:val="false"/>
                  <w:color w:val="000000"/>
                  <w:sz w:val="24"/>
                  <w:u w:val="none"/>
                  <w:effect w:val="none"/>
                </w:rPr>
                <w:t>Section 3.02    Selection of Securities to Be Redeemed.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7bc4f1113546668cf97267d60fc0f4">
              <w:r>
                <w:rPr>
                  <w:rStyle w:val="InternetLink"/>
                  <w:rFonts w:ascii="Times New Roman;serif" w:hAnsi="Times New Roman;serif"/>
                  <w:b w:val="false"/>
                  <w:strike w:val="false"/>
                  <w:dstrike w:val="false"/>
                  <w:color w:val="000000"/>
                  <w:sz w:val="24"/>
                  <w:u w:val="none"/>
                  <w:effect w:val="none"/>
                </w:rPr>
                <w:t>17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903b97d53f44878adffb7cde669c390">
              <w:r>
                <w:rPr>
                  <w:rStyle w:val="InternetLink"/>
                  <w:rFonts w:ascii="Times New Roman;serif" w:hAnsi="Times New Roman;serif"/>
                  <w:b w:val="false"/>
                  <w:strike w:val="false"/>
                  <w:dstrike w:val="false"/>
                  <w:color w:val="000000"/>
                  <w:sz w:val="24"/>
                  <w:u w:val="none"/>
                  <w:effect w:val="none"/>
                </w:rPr>
                <w:t>Section 3.03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03b97d53f44878adffb7cde669c390">
              <w:r>
                <w:rPr>
                  <w:rStyle w:val="InternetLink"/>
                  <w:rFonts w:ascii="Times New Roman;serif" w:hAnsi="Times New Roman;serif"/>
                  <w:b w:val="false"/>
                  <w:strike w:val="false"/>
                  <w:dstrike w:val="false"/>
                  <w:color w:val="000000"/>
                  <w:sz w:val="24"/>
                  <w:u w:val="none"/>
                  <w:effect w:val="none"/>
                </w:rPr>
                <w:t>17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0a2ddac46434fdfb59fe36fbf31bb82">
              <w:r>
                <w:rPr>
                  <w:rStyle w:val="InternetLink"/>
                  <w:rFonts w:ascii="Times New Roman;serif" w:hAnsi="Times New Roman;serif"/>
                  <w:b w:val="false"/>
                  <w:strike w:val="false"/>
                  <w:dstrike w:val="false"/>
                  <w:color w:val="000000"/>
                  <w:sz w:val="24"/>
                  <w:u w:val="none"/>
                  <w:effect w:val="none"/>
                </w:rPr>
                <w:t>Section 3.04    Effect of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a2ddac46434fdfb59fe36fbf31bb82">
              <w:r>
                <w:rPr>
                  <w:rStyle w:val="InternetLink"/>
                  <w:rFonts w:ascii="Times New Roman;serif" w:hAnsi="Times New Roman;serif"/>
                  <w:b w:val="false"/>
                  <w:strike w:val="false"/>
                  <w:dstrike w:val="false"/>
                  <w:color w:val="000000"/>
                  <w:sz w:val="24"/>
                  <w:u w:val="none"/>
                  <w:effect w:val="none"/>
                </w:rPr>
                <w:t>19</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d09b09ff42140e48bdffedcc72e7017">
              <w:r>
                <w:rPr>
                  <w:rStyle w:val="InternetLink"/>
                  <w:rFonts w:ascii="Times New Roman;serif" w:hAnsi="Times New Roman;serif"/>
                  <w:b w:val="false"/>
                  <w:strike w:val="false"/>
                  <w:dstrike w:val="false"/>
                  <w:color w:val="000000"/>
                  <w:sz w:val="24"/>
                  <w:u w:val="none"/>
                  <w:effect w:val="none"/>
                </w:rPr>
                <w:t>Section 3.05    Deposit of Redemption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09b09ff42140e48bdffedcc72e7017">
              <w:r>
                <w:rPr>
                  <w:rStyle w:val="InternetLink"/>
                  <w:rFonts w:ascii="Times New Roman;serif" w:hAnsi="Times New Roman;serif"/>
                  <w:b w:val="false"/>
                  <w:strike w:val="false"/>
                  <w:dstrike w:val="false"/>
                  <w:color w:val="000000"/>
                  <w:sz w:val="24"/>
                  <w:u w:val="none"/>
                  <w:effect w:val="none"/>
                </w:rPr>
                <w:t>19</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35b75bcbce944e0b1526675681c33a6">
              <w:r>
                <w:rPr>
                  <w:rStyle w:val="InternetLink"/>
                  <w:rFonts w:ascii="Times New Roman;serif" w:hAnsi="Times New Roman;serif"/>
                  <w:b w:val="false"/>
                  <w:strike w:val="false"/>
                  <w:dstrike w:val="false"/>
                  <w:color w:val="000000"/>
                  <w:sz w:val="24"/>
                  <w:u w:val="none"/>
                  <w:effect w:val="none"/>
                </w:rPr>
                <w:t>Section 3.06    Securities Redeemed in Part.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5b75bcbce944e0b1526675681c33a6">
              <w:r>
                <w:rPr>
                  <w:rStyle w:val="InternetLink"/>
                  <w:rFonts w:ascii="Times New Roman;serif" w:hAnsi="Times New Roman;serif"/>
                  <w:b w:val="false"/>
                  <w:strike w:val="false"/>
                  <w:dstrike w:val="false"/>
                  <w:color w:val="000000"/>
                  <w:sz w:val="24"/>
                  <w:u w:val="none"/>
                  <w:effect w:val="none"/>
                </w:rPr>
                <w:t>19</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8f63c6648f04104b88d9d97f6a36287">
              <w:r>
                <w:rPr>
                  <w:rStyle w:val="InternetLink"/>
                  <w:rFonts w:ascii="Times New Roman;serif" w:hAnsi="Times New Roman;serif"/>
                  <w:b w:val="false"/>
                  <w:strike w:val="false"/>
                  <w:dstrike w:val="false"/>
                  <w:color w:val="000000"/>
                  <w:sz w:val="24"/>
                  <w:u w:val="none"/>
                  <w:effect w:val="none"/>
                </w:rPr>
                <w:t>ARTICLE IV</w:t>
                <w:br/>
                <w:br/>
                <w:t>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f63c6648f04104b88d9d97f6a36287">
              <w:r>
                <w:rPr>
                  <w:rStyle w:val="InternetLink"/>
                  <w:rFonts w:ascii="Times New Roman;serif" w:hAnsi="Times New Roman;serif"/>
                  <w:b w:val="false"/>
                  <w:strike w:val="false"/>
                  <w:dstrike w:val="false"/>
                  <w:color w:val="000000"/>
                  <w:sz w:val="24"/>
                  <w:u w:val="none"/>
                  <w:effect w:val="none"/>
                </w:rPr>
                <w:t>20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669560b40f745949fa19a0f55e9ade8">
              <w:r>
                <w:rPr>
                  <w:rStyle w:val="InternetLink"/>
                  <w:rFonts w:ascii="Times New Roman;serif" w:hAnsi="Times New Roman;serif"/>
                  <w:b w:val="false"/>
                  <w:strike w:val="false"/>
                  <w:dstrike w:val="false"/>
                  <w:color w:val="000000"/>
                  <w:sz w:val="24"/>
                  <w:u w:val="none"/>
                  <w:effect w:val="none"/>
                </w:rPr>
                <w:t>Section 4.01    Payment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69560b40f745949fa19a0f55e9ade8">
              <w:r>
                <w:rPr>
                  <w:rStyle w:val="InternetLink"/>
                  <w:rFonts w:ascii="Times New Roman;serif" w:hAnsi="Times New Roman;serif"/>
                  <w:b w:val="false"/>
                  <w:strike w:val="false"/>
                  <w:dstrike w:val="false"/>
                  <w:color w:val="000000"/>
                  <w:sz w:val="24"/>
                  <w:u w:val="none"/>
                  <w:effect w:val="none"/>
                </w:rPr>
                <w:t>20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d1b290fdb8e41a1aea0eac9759908c2">
              <w:r>
                <w:rPr>
                  <w:rStyle w:val="InternetLink"/>
                  <w:rFonts w:ascii="Times New Roman;serif" w:hAnsi="Times New Roman;serif"/>
                  <w:b w:val="false"/>
                  <w:strike w:val="false"/>
                  <w:dstrike w:val="false"/>
                  <w:color w:val="000000"/>
                  <w:sz w:val="24"/>
                  <w:u w:val="none"/>
                  <w:effect w:val="none"/>
                </w:rPr>
                <w:t>Section 4.02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1b290fdb8e41a1aea0eac9759908c2">
              <w:r>
                <w:rPr>
                  <w:rStyle w:val="InternetLink"/>
                  <w:rFonts w:ascii="Times New Roman;serif" w:hAnsi="Times New Roman;serif"/>
                  <w:b w:val="false"/>
                  <w:strike w:val="false"/>
                  <w:dstrike w:val="false"/>
                  <w:color w:val="000000"/>
                  <w:sz w:val="24"/>
                  <w:u w:val="none"/>
                  <w:effect w:val="none"/>
                </w:rPr>
                <w:t>20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2a0277a34ac4626b219a043279fcfd2">
              <w:r>
                <w:rPr>
                  <w:rStyle w:val="InternetLink"/>
                  <w:rFonts w:ascii="Times New Roman;serif" w:hAnsi="Times New Roman;serif"/>
                  <w:b w:val="false"/>
                  <w:strike w:val="false"/>
                  <w:dstrike w:val="false"/>
                  <w:color w:val="000000"/>
                  <w:sz w:val="24"/>
                  <w:u w:val="none"/>
                  <w:effect w:val="none"/>
                </w:rPr>
                <w:t>Section 4.03    Compliance Certificate.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0277a34ac4626b219a043279fcfd2">
              <w:r>
                <w:rPr>
                  <w:rStyle w:val="InternetLink"/>
                  <w:rFonts w:ascii="Times New Roman;serif" w:hAnsi="Times New Roman;serif"/>
                  <w:b w:val="false"/>
                  <w:strike w:val="false"/>
                  <w:dstrike w:val="false"/>
                  <w:color w:val="000000"/>
                  <w:sz w:val="24"/>
                  <w:u w:val="none"/>
                  <w:effect w:val="none"/>
                </w:rPr>
                <w:t>20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3bc955e5fb34fac839820404dc9bb5f">
              <w:r>
                <w:rPr>
                  <w:rStyle w:val="InternetLink"/>
                  <w:rFonts w:ascii="Times New Roman;serif" w:hAnsi="Times New Roman;serif"/>
                  <w:b w:val="false"/>
                  <w:strike w:val="false"/>
                  <w:dstrike w:val="false"/>
                  <w:color w:val="000000"/>
                  <w:sz w:val="24"/>
                  <w:u w:val="none"/>
                  <w:effect w:val="none"/>
                </w:rPr>
                <w:t>Section 4.04    Further Instruments and 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bc955e5fb34fac839820404dc9bb5f">
              <w:r>
                <w:rPr>
                  <w:rStyle w:val="InternetLink"/>
                  <w:rFonts w:ascii="Times New Roman;serif" w:hAnsi="Times New Roman;serif"/>
                  <w:b w:val="false"/>
                  <w:strike w:val="false"/>
                  <w:dstrike w:val="false"/>
                  <w:color w:val="000000"/>
                  <w:sz w:val="24"/>
                  <w:u w:val="none"/>
                  <w:effect w:val="none"/>
                </w:rPr>
                <w:t>20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0"/>
        <w:gridCol w:w="3099"/>
        <w:gridCol w:w="3084"/>
        <w:gridCol w:w="114"/>
        <w:gridCol w:w="114"/>
        <w:gridCol w:w="164"/>
      </w:tblGrid>
      <w:tr>
        <w:trPr/>
        <w:tc>
          <w:tcPr>
            <w:tcW w:w="3630"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424d5b56f6f4d0c9e515453c5ed6422">
              <w:r>
                <w:rPr>
                  <w:rStyle w:val="InternetLink"/>
                  <w:rFonts w:ascii="Times New Roman;serif" w:hAnsi="Times New Roman;serif"/>
                  <w:b w:val="false"/>
                  <w:strike w:val="false"/>
                  <w:dstrike w:val="false"/>
                  <w:color w:val="000000"/>
                  <w:sz w:val="24"/>
                  <w:u w:val="none"/>
                  <w:effect w:val="none"/>
                </w:rPr>
                <w:t>ARTICLE V</w:t>
                <w:br/>
                <w:br/>
                <w:t>Successor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24d5b56f6f4d0c9e515453c5ed6422">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636615e547c42a09e1c0a8f8e76833d">
              <w:r>
                <w:rPr>
                  <w:rStyle w:val="InternetLink"/>
                  <w:rFonts w:ascii="Times New Roman;serif" w:hAnsi="Times New Roman;serif"/>
                  <w:b w:val="false"/>
                  <w:strike w:val="false"/>
                  <w:dstrike w:val="false"/>
                  <w:color w:val="000000"/>
                  <w:sz w:val="24"/>
                  <w:u w:val="none"/>
                  <w:effect w:val="none"/>
                </w:rPr>
                <w:t>Section 5.01    When Company May Merge or Transfer Assets.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36615e547c42a09e1c0a8f8e76833d">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8435d85175643adb7ae3a0891f425c0">
              <w:r>
                <w:rPr>
                  <w:rStyle w:val="InternetLink"/>
                  <w:rFonts w:ascii="Times New Roman;serif" w:hAnsi="Times New Roman;serif"/>
                  <w:b w:val="false"/>
                  <w:strike w:val="false"/>
                  <w:dstrike w:val="false"/>
                  <w:color w:val="000000"/>
                  <w:sz w:val="24"/>
                  <w:u w:val="none"/>
                  <w:effect w:val="none"/>
                </w:rPr>
                <w:t>ARTICLE VI</w:t>
                <w:br/>
                <w:br/>
                <w:t>Defaults and Remedies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435d85175643adb7ae3a0891f425c0">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bd83d2e032b494d899dc221347acec8">
              <w:r>
                <w:rPr>
                  <w:rStyle w:val="InternetLink"/>
                  <w:rFonts w:ascii="Times New Roman;serif" w:hAnsi="Times New Roman;serif"/>
                  <w:b w:val="false"/>
                  <w:strike w:val="false"/>
                  <w:dstrike w:val="false"/>
                  <w:color w:val="000000"/>
                  <w:sz w:val="24"/>
                  <w:u w:val="none"/>
                  <w:effect w:val="none"/>
                </w:rPr>
                <w:t>Section 6.01    Events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83d2e032b494d899dc221347acec8">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eabb10ee1d44105af1aea6c3648d0b8">
              <w:r>
                <w:rPr>
                  <w:rStyle w:val="InternetLink"/>
                  <w:rFonts w:ascii="Times New Roman;serif" w:hAnsi="Times New Roman;serif"/>
                  <w:b w:val="false"/>
                  <w:strike w:val="false"/>
                  <w:dstrike w:val="false"/>
                  <w:color w:val="000000"/>
                  <w:sz w:val="24"/>
                  <w:u w:val="none"/>
                  <w:effect w:val="none"/>
                </w:rPr>
                <w:t>Section 6.02    Acceleration.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abb10ee1d44105af1aea6c3648d0b8">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7b0b4e2b7724c5a93b03738e137f2ce">
              <w:r>
                <w:rPr>
                  <w:rStyle w:val="InternetLink"/>
                  <w:rFonts w:ascii="Times New Roman;serif" w:hAnsi="Times New Roman;serif"/>
                  <w:b w:val="false"/>
                  <w:strike w:val="false"/>
                  <w:dstrike w:val="false"/>
                  <w:color w:val="000000"/>
                  <w:sz w:val="24"/>
                  <w:u w:val="none"/>
                  <w:effect w:val="none"/>
                </w:rPr>
                <w:t>Section 6.03    Other Remedies.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b0b4e2b7724c5a93b03738e137f2ce">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bdf2c3f8f374f3da2acaa9fe5e3b4a7">
              <w:r>
                <w:rPr>
                  <w:rStyle w:val="InternetLink"/>
                  <w:rFonts w:ascii="Times New Roman;serif" w:hAnsi="Times New Roman;serif"/>
                  <w:b w:val="false"/>
                  <w:strike w:val="false"/>
                  <w:dstrike w:val="false"/>
                  <w:color w:val="000000"/>
                  <w:sz w:val="24"/>
                  <w:u w:val="none"/>
                  <w:effect w:val="none"/>
                </w:rPr>
                <w:t>Section 6.04    Waiver of Past Defaults.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df2c3f8f374f3da2acaa9fe5e3b4a7">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d07aebed60a406488d2ef2c49ca5f12">
              <w:r>
                <w:rPr>
                  <w:rStyle w:val="InternetLink"/>
                  <w:rFonts w:ascii="Times New Roman;serif" w:hAnsi="Times New Roman;serif"/>
                  <w:b w:val="false"/>
                  <w:strike w:val="false"/>
                  <w:dstrike w:val="false"/>
                  <w:color w:val="000000"/>
                  <w:sz w:val="24"/>
                  <w:u w:val="none"/>
                  <w:effect w:val="none"/>
                </w:rPr>
                <w:t>Section 6.05    Control by Majority.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07aebed60a406488d2ef2c49ca5f12">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2cc09ba97d94028a96eb63689d2441d">
              <w:r>
                <w:rPr>
                  <w:rStyle w:val="InternetLink"/>
                  <w:rFonts w:ascii="Times New Roman;serif" w:hAnsi="Times New Roman;serif"/>
                  <w:b w:val="false"/>
                  <w:strike w:val="false"/>
                  <w:dstrike w:val="false"/>
                  <w:color w:val="000000"/>
                  <w:sz w:val="24"/>
                  <w:u w:val="none"/>
                  <w:effect w:val="none"/>
                </w:rPr>
                <w:t>Section 6.06    Limitation on Suits.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cc09ba97d94028a96eb63689d2441d">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d9df805abc247ed8a26f0246d4cc7e4">
              <w:r>
                <w:rPr>
                  <w:rStyle w:val="InternetLink"/>
                  <w:rFonts w:ascii="Times New Roman;serif" w:hAnsi="Times New Roman;serif"/>
                  <w:b w:val="false"/>
                  <w:strike w:val="false"/>
                  <w:dstrike w:val="false"/>
                  <w:color w:val="000000"/>
                  <w:sz w:val="24"/>
                  <w:u w:val="none"/>
                  <w:effect w:val="none"/>
                </w:rPr>
                <w:t>Section 6.07    Rights of Holders to Receive Payment.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9df805abc247ed8a26f0246d4cc7e4">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8852e07edaa4569b8edaa274441de5f">
              <w:r>
                <w:rPr>
                  <w:rStyle w:val="InternetLink"/>
                  <w:rFonts w:ascii="Times New Roman;serif" w:hAnsi="Times New Roman;serif"/>
                  <w:b w:val="false"/>
                  <w:strike w:val="false"/>
                  <w:dstrike w:val="false"/>
                  <w:color w:val="000000"/>
                  <w:sz w:val="24"/>
                  <w:u w:val="none"/>
                  <w:effect w:val="none"/>
                </w:rPr>
                <w:t>Section 6.08    Collection Suit by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852e07edaa4569b8edaa274441de5f">
              <w:r>
                <w:rPr>
                  <w:rStyle w:val="InternetLink"/>
                  <w:rFonts w:ascii="Times New Roman;serif" w:hAnsi="Times New Roman;serif"/>
                  <w:b w:val="false"/>
                  <w:strike w:val="false"/>
                  <w:dstrike w:val="false"/>
                  <w:color w:val="000000"/>
                  <w:sz w:val="24"/>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fe7f4cabf0740448c3eb540d3e46aff">
              <w:r>
                <w:rPr>
                  <w:rStyle w:val="InternetLink"/>
                  <w:rFonts w:ascii="Times New Roman;serif" w:hAnsi="Times New Roman;serif"/>
                  <w:b w:val="false"/>
                  <w:strike w:val="false"/>
                  <w:dstrike w:val="false"/>
                  <w:color w:val="000000"/>
                  <w:sz w:val="24"/>
                  <w:u w:val="none"/>
                  <w:effect w:val="none"/>
                </w:rPr>
                <w:t>Section 6.09    Trustee May File Proofs of Claim.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e7f4cabf0740448c3eb540d3e46aff">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b0d00ad6bff48e2b047311e644392fa">
              <w:r>
                <w:rPr>
                  <w:rStyle w:val="InternetLink"/>
                  <w:rFonts w:ascii="Times New Roman;serif" w:hAnsi="Times New Roman;serif"/>
                  <w:b w:val="false"/>
                  <w:strike w:val="false"/>
                  <w:dstrike w:val="false"/>
                  <w:color w:val="000000"/>
                  <w:sz w:val="24"/>
                  <w:u w:val="none"/>
                  <w:effect w:val="none"/>
                </w:rPr>
                <w:t>Section 6.10    Priorities.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0d00ad6bff48e2b047311e644392fa">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5a7ee0898174658a08bba1febe514d2">
              <w:r>
                <w:rPr>
                  <w:rStyle w:val="InternetLink"/>
                  <w:rFonts w:ascii="Times New Roman;serif" w:hAnsi="Times New Roman;serif"/>
                  <w:b w:val="false"/>
                  <w:strike w:val="false"/>
                  <w:dstrike w:val="false"/>
                  <w:color w:val="000000"/>
                  <w:sz w:val="24"/>
                  <w:u w:val="none"/>
                  <w:effect w:val="none"/>
                </w:rPr>
                <w:t>Section 6.11    Undertaking for Costs.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7ee0898174658a08bba1febe514d2">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a115254192d4e13989ee29651717ee8">
              <w:r>
                <w:rPr>
                  <w:rStyle w:val="InternetLink"/>
                  <w:rFonts w:ascii="Times New Roman;serif" w:hAnsi="Times New Roman;serif"/>
                  <w:b w:val="false"/>
                  <w:strike w:val="false"/>
                  <w:dstrike w:val="false"/>
                  <w:color w:val="000000"/>
                  <w:sz w:val="24"/>
                  <w:u w:val="none"/>
                  <w:effect w:val="none"/>
                </w:rPr>
                <w:t>Section 6.12    Waiver of Stay or Extension Laws.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115254192d4e13989ee29651717ee8">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d9b9e4446974ef8aa00b8c59d48763b">
              <w:r>
                <w:rPr>
                  <w:rStyle w:val="InternetLink"/>
                  <w:rFonts w:ascii="Times New Roman;serif" w:hAnsi="Times New Roman;serif"/>
                  <w:b w:val="false"/>
                  <w:strike w:val="false"/>
                  <w:dstrike w:val="false"/>
                  <w:color w:val="000000"/>
                  <w:sz w:val="24"/>
                  <w:u w:val="none"/>
                  <w:effect w:val="none"/>
                </w:rPr>
                <w:t>ARTICLE VII</w:t>
                <w:br/>
                <w:br/>
                <w:t>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b9e4446974ef8aa00b8c59d48763b">
              <w:r>
                <w:rPr>
                  <w:rStyle w:val="InternetLink"/>
                  <w:rFonts w:ascii="Times New Roman;serif" w:hAnsi="Times New Roman;serif"/>
                  <w:b w:val="false"/>
                  <w:strike w:val="false"/>
                  <w:dstrike w:val="false"/>
                  <w:color w:val="000000"/>
                  <w:sz w:val="24"/>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e71e1e81e6741d19a53e6b922c3fea4">
              <w:r>
                <w:rPr>
                  <w:rStyle w:val="InternetLink"/>
                  <w:rFonts w:ascii="Times New Roman;serif" w:hAnsi="Times New Roman;serif"/>
                  <w:b w:val="false"/>
                  <w:strike w:val="false"/>
                  <w:dstrike w:val="false"/>
                  <w:color w:val="000000"/>
                  <w:sz w:val="24"/>
                  <w:u w:val="none"/>
                  <w:effect w:val="none"/>
                </w:rPr>
                <w:t>Section 7.01    Duties of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71e1e81e6741d19a53e6b922c3fea4">
              <w:r>
                <w:rPr>
                  <w:rStyle w:val="InternetLink"/>
                  <w:rFonts w:ascii="Times New Roman;serif" w:hAnsi="Times New Roman;serif"/>
                  <w:b w:val="false"/>
                  <w:strike w:val="false"/>
                  <w:dstrike w:val="false"/>
                  <w:color w:val="000000"/>
                  <w:sz w:val="24"/>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799fcb96f2b4249891aee838942471a">
              <w:r>
                <w:rPr>
                  <w:rStyle w:val="InternetLink"/>
                  <w:rFonts w:ascii="Times New Roman;serif" w:hAnsi="Times New Roman;serif"/>
                  <w:b w:val="false"/>
                  <w:strike w:val="false"/>
                  <w:dstrike w:val="false"/>
                  <w:color w:val="000000"/>
                  <w:sz w:val="24"/>
                  <w:u w:val="none"/>
                  <w:effect w:val="none"/>
                </w:rPr>
                <w:t>Section 7.02    Rights of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99fcb96f2b4249891aee838942471a">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551e062b66242969b3737efa7e5cf5a">
              <w:r>
                <w:rPr>
                  <w:rStyle w:val="InternetLink"/>
                  <w:rFonts w:ascii="Times New Roman;serif" w:hAnsi="Times New Roman;serif"/>
                  <w:b w:val="false"/>
                  <w:strike w:val="false"/>
                  <w:dstrike w:val="false"/>
                  <w:color w:val="000000"/>
                  <w:sz w:val="24"/>
                  <w:u w:val="none"/>
                  <w:effect w:val="none"/>
                </w:rPr>
                <w:t>Section 7.03    Individual Rights of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51e062b66242969b3737efa7e5cf5a">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6108f76be0f497899175ece77fffe2b">
              <w:r>
                <w:rPr>
                  <w:rStyle w:val="InternetLink"/>
                  <w:rFonts w:ascii="Times New Roman;serif" w:hAnsi="Times New Roman;serif"/>
                  <w:b w:val="false"/>
                  <w:strike w:val="false"/>
                  <w:dstrike w:val="false"/>
                  <w:color w:val="000000"/>
                  <w:sz w:val="24"/>
                  <w:u w:val="none"/>
                  <w:effect w:val="none"/>
                </w:rPr>
                <w:t>Section 7.04    Trustee’s Disclaimer.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108f76be0f497899175ece77fffe2b">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6271877fafb4254b72e4890943cf030">
              <w:r>
                <w:rPr>
                  <w:rStyle w:val="InternetLink"/>
                  <w:rFonts w:ascii="Times New Roman;serif" w:hAnsi="Times New Roman;serif"/>
                  <w:b w:val="false"/>
                  <w:strike w:val="false"/>
                  <w:dstrike w:val="false"/>
                  <w:color w:val="000000"/>
                  <w:sz w:val="24"/>
                  <w:u w:val="none"/>
                  <w:effect w:val="none"/>
                </w:rPr>
                <w:t>Section 7.05    Notice of Defaults.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271877fafb4254b72e4890943cf030">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b97a0a9b3c246f3a05c917712d93b2a">
              <w:r>
                <w:rPr>
                  <w:rStyle w:val="InternetLink"/>
                  <w:rFonts w:ascii="Times New Roman;serif" w:hAnsi="Times New Roman;serif"/>
                  <w:b w:val="false"/>
                  <w:strike w:val="false"/>
                  <w:dstrike w:val="false"/>
                  <w:color w:val="000000"/>
                  <w:sz w:val="24"/>
                  <w:u w:val="none"/>
                  <w:effect w:val="none"/>
                </w:rPr>
                <w:t>Section 7.06    Reports by Trustee to Holders.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97a0a9b3c246f3a05c917712d93b2a">
              <w:r>
                <w:rPr>
                  <w:rStyle w:val="InternetLink"/>
                  <w:rFonts w:ascii="Times New Roman;serif" w:hAnsi="Times New Roman;serif"/>
                  <w:b w:val="false"/>
                  <w:strike w:val="false"/>
                  <w:dstrike w:val="false"/>
                  <w:color w:val="000000"/>
                  <w:sz w:val="24"/>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20a96e169a4dff89f48cc5bdcbfa70">
              <w:r>
                <w:rPr>
                  <w:rStyle w:val="InternetLink"/>
                  <w:rFonts w:ascii="Times New Roman;serif" w:hAnsi="Times New Roman;serif"/>
                  <w:b w:val="false"/>
                  <w:strike w:val="false"/>
                  <w:dstrike w:val="false"/>
                  <w:color w:val="000000"/>
                  <w:sz w:val="24"/>
                  <w:u w:val="none"/>
                  <w:effect w:val="none"/>
                </w:rPr>
                <w:t>Section 7.07    Compensation and Indemnity.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20a96e169a4dff89f48cc5bdcbfa70">
              <w:r>
                <w:rPr>
                  <w:rStyle w:val="InternetLink"/>
                  <w:rFonts w:ascii="Times New Roman;serif" w:hAnsi="Times New Roman;serif"/>
                  <w:b w:val="false"/>
                  <w:strike w:val="false"/>
                  <w:dstrike w:val="false"/>
                  <w:color w:val="000000"/>
                  <w:sz w:val="24"/>
                  <w:u w:val="none"/>
                  <w:effect w:val="none"/>
                </w:rPr>
                <w:t>31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f9015b112ef4f21a31e48303a0497c4">
              <w:r>
                <w:rPr>
                  <w:rStyle w:val="InternetLink"/>
                  <w:rFonts w:ascii="Times New Roman;serif" w:hAnsi="Times New Roman;serif"/>
                  <w:b w:val="false"/>
                  <w:strike w:val="false"/>
                  <w:dstrike w:val="false"/>
                  <w:color w:val="000000"/>
                  <w:sz w:val="24"/>
                  <w:u w:val="none"/>
                  <w:effect w:val="none"/>
                </w:rPr>
                <w:t>Section 7.08    Replacement of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9015b112ef4f21a31e48303a0497c4">
              <w:r>
                <w:rPr>
                  <w:rStyle w:val="InternetLink"/>
                  <w:rFonts w:ascii="Times New Roman;serif" w:hAnsi="Times New Roman;serif"/>
                  <w:b w:val="false"/>
                  <w:strike w:val="false"/>
                  <w:dstrike w:val="false"/>
                  <w:color w:val="000000"/>
                  <w:sz w:val="24"/>
                  <w:u w:val="none"/>
                  <w:effect w:val="none"/>
                </w:rPr>
                <w:t>32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99ff65624b643f0b4b3949eae959995">
              <w:r>
                <w:rPr>
                  <w:rStyle w:val="InternetLink"/>
                  <w:rFonts w:ascii="Times New Roman;serif" w:hAnsi="Times New Roman;serif"/>
                  <w:b w:val="false"/>
                  <w:strike w:val="false"/>
                  <w:dstrike w:val="false"/>
                  <w:color w:val="000000"/>
                  <w:sz w:val="24"/>
                  <w:u w:val="none"/>
                  <w:effect w:val="none"/>
                </w:rPr>
                <w:t>Section 7.09    Successor Trustee by Merger.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ff65624b643f0b4b3949eae959995">
              <w:r>
                <w:rPr>
                  <w:rStyle w:val="InternetLink"/>
                  <w:rFonts w:ascii="Times New Roman;serif" w:hAnsi="Times New Roman;serif"/>
                  <w:b w:val="false"/>
                  <w:strike w:val="false"/>
                  <w:dstrike w:val="false"/>
                  <w:color w:val="000000"/>
                  <w:sz w:val="24"/>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400e5caae4d41b9a06c4cf6882db09b">
              <w:r>
                <w:rPr>
                  <w:rStyle w:val="InternetLink"/>
                  <w:rFonts w:ascii="Times New Roman;serif" w:hAnsi="Times New Roman;serif"/>
                  <w:b w:val="false"/>
                  <w:strike w:val="false"/>
                  <w:dstrike w:val="false"/>
                  <w:color w:val="000000"/>
                  <w:sz w:val="24"/>
                  <w:u w:val="none"/>
                  <w:effect w:val="none"/>
                </w:rPr>
                <w:t>Section 7.10    Eligibility; Disqualification.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00e5caae4d41b9a06c4cf6882db09b">
              <w:r>
                <w:rPr>
                  <w:rStyle w:val="InternetLink"/>
                  <w:rFonts w:ascii="Times New Roman;serif" w:hAnsi="Times New Roman;serif"/>
                  <w:b w:val="false"/>
                  <w:strike w:val="false"/>
                  <w:dstrike w:val="false"/>
                  <w:color w:val="000000"/>
                  <w:sz w:val="24"/>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ee53b6e85014a059e5e476e0b5fff14">
              <w:r>
                <w:rPr>
                  <w:rStyle w:val="InternetLink"/>
                  <w:rFonts w:ascii="Times New Roman;serif" w:hAnsi="Times New Roman;serif"/>
                  <w:b w:val="false"/>
                  <w:strike w:val="false"/>
                  <w:dstrike w:val="false"/>
                  <w:color w:val="000000"/>
                  <w:sz w:val="24"/>
                  <w:u w:val="none"/>
                  <w:effect w:val="none"/>
                </w:rPr>
                <w:t>Section 7.11    Preferential Collection of Claims Against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e53b6e85014a059e5e476e0b5fff14">
              <w:r>
                <w:rPr>
                  <w:rStyle w:val="InternetLink"/>
                  <w:rFonts w:ascii="Times New Roman;serif" w:hAnsi="Times New Roman;serif"/>
                  <w:b w:val="false"/>
                  <w:strike w:val="false"/>
                  <w:dstrike w:val="false"/>
                  <w:color w:val="000000"/>
                  <w:sz w:val="24"/>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431db7379b148f095841cceee3102a7">
              <w:r>
                <w:rPr>
                  <w:rStyle w:val="InternetLink"/>
                  <w:rFonts w:ascii="Times New Roman;serif" w:hAnsi="Times New Roman;serif"/>
                  <w:b w:val="false"/>
                  <w:strike w:val="false"/>
                  <w:dstrike w:val="false"/>
                  <w:color w:val="000000"/>
                  <w:sz w:val="24"/>
                  <w:u w:val="none"/>
                  <w:effect w:val="none"/>
                </w:rPr>
                <w:t>Section 7.12    Conflicting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31db7379b148f095841cceee3102a7">
              <w:r>
                <w:rPr>
                  <w:rStyle w:val="InternetLink"/>
                  <w:rFonts w:ascii="Times New Roman;serif" w:hAnsi="Times New Roman;serif"/>
                  <w:b w:val="false"/>
                  <w:strike w:val="false"/>
                  <w:dstrike w:val="false"/>
                  <w:color w:val="000000"/>
                  <w:sz w:val="24"/>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4536dcfdc154b8bb656ccaab8f4aa15">
              <w:r>
                <w:rPr>
                  <w:rStyle w:val="InternetLink"/>
                  <w:rFonts w:ascii="Times New Roman;serif" w:hAnsi="Times New Roman;serif"/>
                  <w:b w:val="false"/>
                  <w:strike w:val="false"/>
                  <w:dstrike w:val="false"/>
                  <w:color w:val="000000"/>
                  <w:sz w:val="24"/>
                  <w:u w:val="none"/>
                  <w:effect w:val="none"/>
                </w:rPr>
                <w:t>ARTICLE VIII</w:t>
                <w:br/>
                <w:br/>
                <w:t>Discharge of Indenture; Defeasance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536dcfdc154b8bb656ccaab8f4aa15">
              <w:r>
                <w:rPr>
                  <w:rStyle w:val="InternetLink"/>
                  <w:rFonts w:ascii="Times New Roman;serif" w:hAnsi="Times New Roman;serif"/>
                  <w:b w:val="false"/>
                  <w:strike w:val="false"/>
                  <w:dstrike w:val="false"/>
                  <w:color w:val="000000"/>
                  <w:sz w:val="24"/>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46be3b6b72c4f3abbf0ca71c953bbcd">
              <w:r>
                <w:rPr>
                  <w:rStyle w:val="InternetLink"/>
                  <w:rFonts w:ascii="Times New Roman;serif" w:hAnsi="Times New Roman;serif"/>
                  <w:b w:val="false"/>
                  <w:strike w:val="false"/>
                  <w:dstrike w:val="false"/>
                  <w:color w:val="000000"/>
                  <w:sz w:val="24"/>
                  <w:u w:val="none"/>
                  <w:effect w:val="none"/>
                </w:rPr>
                <w:t>Section 8.01    Option to Effect Legal Defeasance or Covenant Defeasance.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6be3b6b72c4f3abbf0ca71c953bbcd">
              <w:r>
                <w:rPr>
                  <w:rStyle w:val="InternetLink"/>
                  <w:rFonts w:ascii="Times New Roman;serif" w:hAnsi="Times New Roman;serif"/>
                  <w:b w:val="false"/>
                  <w:strike w:val="false"/>
                  <w:dstrike w:val="false"/>
                  <w:color w:val="000000"/>
                  <w:sz w:val="24"/>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14651a5cbe7438ea5bf69217fd9d20d">
              <w:r>
                <w:rPr>
                  <w:rStyle w:val="InternetLink"/>
                  <w:rFonts w:ascii="Times New Roman;serif" w:hAnsi="Times New Roman;serif"/>
                  <w:b w:val="false"/>
                  <w:strike w:val="false"/>
                  <w:dstrike w:val="false"/>
                  <w:color w:val="000000"/>
                  <w:sz w:val="24"/>
                  <w:u w:val="none"/>
                  <w:effect w:val="none"/>
                </w:rPr>
                <w:t>Section 8.02    Legal Defeasance and Discharge.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651a5cbe7438ea5bf69217fd9d20d">
              <w:r>
                <w:rPr>
                  <w:rStyle w:val="InternetLink"/>
                  <w:rFonts w:ascii="Times New Roman;serif" w:hAnsi="Times New Roman;serif"/>
                  <w:b w:val="false"/>
                  <w:strike w:val="false"/>
                  <w:dstrike w:val="false"/>
                  <w:color w:val="000000"/>
                  <w:sz w:val="24"/>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cf384f541148d7833489d9b78eae71">
              <w:r>
                <w:rPr>
                  <w:rStyle w:val="InternetLink"/>
                  <w:rFonts w:ascii="Times New Roman;serif" w:hAnsi="Times New Roman;serif"/>
                  <w:b w:val="false"/>
                  <w:strike w:val="false"/>
                  <w:dstrike w:val="false"/>
                  <w:color w:val="000000"/>
                  <w:sz w:val="24"/>
                  <w:u w:val="none"/>
                  <w:effect w:val="none"/>
                </w:rPr>
                <w:t>Section 8.03    Covenant Defeasance.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cf384f541148d7833489d9b78eae71">
              <w:r>
                <w:rPr>
                  <w:rStyle w:val="InternetLink"/>
                  <w:rFonts w:ascii="Times New Roman;serif" w:hAnsi="Times New Roman;serif"/>
                  <w:b w:val="false"/>
                  <w:strike w:val="false"/>
                  <w:dstrike w:val="false"/>
                  <w:color w:val="000000"/>
                  <w:sz w:val="24"/>
                  <w:u w:val="none"/>
                  <w:effect w:val="none"/>
                </w:rPr>
                <w:t>35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e6e518bf5446aa9c4d029ea4799cfa">
              <w:r>
                <w:rPr>
                  <w:rStyle w:val="InternetLink"/>
                  <w:rFonts w:ascii="Times New Roman;serif" w:hAnsi="Times New Roman;serif"/>
                  <w:b w:val="false"/>
                  <w:strike w:val="false"/>
                  <w:dstrike w:val="false"/>
                  <w:color w:val="000000"/>
                  <w:sz w:val="24"/>
                  <w:u w:val="none"/>
                  <w:effect w:val="none"/>
                </w:rPr>
                <w:t>Section 8.04    Conditions to Legal or Covenant Defeasance.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e6e518bf5446aa9c4d029ea4799cfa">
              <w:r>
                <w:rPr>
                  <w:rStyle w:val="InternetLink"/>
                  <w:rFonts w:ascii="Times New Roman;serif" w:hAnsi="Times New Roman;serif"/>
                  <w:b w:val="false"/>
                  <w:strike w:val="false"/>
                  <w:dstrike w:val="false"/>
                  <w:color w:val="000000"/>
                  <w:sz w:val="24"/>
                  <w:u w:val="none"/>
                  <w:effect w:val="none"/>
                </w:rPr>
                <w:t>36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049d6a326ed4d8ba36e31482297c0bb">
              <w:r>
                <w:rPr>
                  <w:rStyle w:val="InternetLink"/>
                  <w:rFonts w:ascii="Times New Roman;serif" w:hAnsi="Times New Roman;serif"/>
                  <w:b w:val="false"/>
                  <w:strike w:val="false"/>
                  <w:dstrike w:val="false"/>
                  <w:color w:val="000000"/>
                  <w:sz w:val="24"/>
                  <w:u w:val="none"/>
                  <w:effect w:val="none"/>
                </w:rPr>
                <w:t>Section 8.05    Deposited Money and Government Securities to be Held in Trust; Other Miscellaneous Provisions.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49d6a326ed4d8ba36e31482297c0bb">
              <w:r>
                <w:rPr>
                  <w:rStyle w:val="InternetLink"/>
                  <w:rFonts w:ascii="Times New Roman;serif" w:hAnsi="Times New Roman;serif"/>
                  <w:b w:val="false"/>
                  <w:strike w:val="false"/>
                  <w:dstrike w:val="false"/>
                  <w:color w:val="000000"/>
                  <w:sz w:val="24"/>
                  <w:u w:val="none"/>
                  <w:effect w:val="none"/>
                </w:rPr>
                <w:t>37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9bcb5e298bc4af7921623d770d273d6">
              <w:r>
                <w:rPr>
                  <w:rStyle w:val="InternetLink"/>
                  <w:rFonts w:ascii="Times New Roman;serif" w:hAnsi="Times New Roman;serif"/>
                  <w:b w:val="false"/>
                  <w:strike w:val="false"/>
                  <w:dstrike w:val="false"/>
                  <w:color w:val="000000"/>
                  <w:sz w:val="24"/>
                  <w:u w:val="none"/>
                  <w:effect w:val="none"/>
                </w:rPr>
                <w:t>Section 8.06    Repayment to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cb5e298bc4af7921623d770d273d6">
              <w:r>
                <w:rPr>
                  <w:rStyle w:val="InternetLink"/>
                  <w:rFonts w:ascii="Times New Roman;serif" w:hAnsi="Times New Roman;serif"/>
                  <w:b w:val="false"/>
                  <w:strike w:val="false"/>
                  <w:dstrike w:val="false"/>
                  <w:color w:val="000000"/>
                  <w:sz w:val="24"/>
                  <w:u w:val="none"/>
                  <w:effect w:val="none"/>
                </w:rPr>
                <w:t>38</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2365"/>
        <w:gridCol w:w="2077"/>
        <w:gridCol w:w="2083"/>
        <w:gridCol w:w="114"/>
        <w:gridCol w:w="114"/>
        <w:gridCol w:w="163"/>
      </w:tblGrid>
      <w:tr>
        <w:trPr/>
        <w:tc>
          <w:tcPr>
            <w:tcW w:w="236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e8d71c70ed04a779574d0bafe2aeac2">
              <w:r>
                <w:rPr>
                  <w:rStyle w:val="InternetLink"/>
                  <w:rFonts w:ascii="Times New Roman;serif" w:hAnsi="Times New Roman;serif"/>
                  <w:b w:val="false"/>
                  <w:strike w:val="false"/>
                  <w:dstrike w:val="false"/>
                  <w:color w:val="000000"/>
                  <w:sz w:val="24"/>
                  <w:u w:val="none"/>
                  <w:effect w:val="none"/>
                </w:rPr>
                <w:t>Section 8.07    Reinstatement.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8d71c70ed04a779574d0bafe2aeac2">
              <w:r>
                <w:rPr>
                  <w:rStyle w:val="InternetLink"/>
                  <w:rFonts w:ascii="Times New Roman;serif" w:hAnsi="Times New Roman;serif"/>
                  <w:b w:val="false"/>
                  <w:strike w:val="false"/>
                  <w:dstrike w:val="false"/>
                  <w:color w:val="000000"/>
                  <w:sz w:val="24"/>
                  <w:u w:val="none"/>
                  <w:effect w:val="none"/>
                </w:rPr>
                <w:t>38</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ee28ff32655461eb73e3e2bc3db0101">
              <w:r>
                <w:rPr>
                  <w:rStyle w:val="InternetLink"/>
                  <w:rFonts w:ascii="Times New Roman;serif" w:hAnsi="Times New Roman;serif"/>
                  <w:b w:val="false"/>
                  <w:strike w:val="false"/>
                  <w:dstrike w:val="false"/>
                  <w:color w:val="000000"/>
                  <w:sz w:val="24"/>
                  <w:u w:val="none"/>
                  <w:effect w:val="none"/>
                </w:rPr>
                <w:t>ARTICLE IX</w:t>
                <w:br/>
                <w:br/>
                <w:t>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e28ff32655461eb73e3e2bc3db0101">
              <w:r>
                <w:rPr>
                  <w:rStyle w:val="InternetLink"/>
                  <w:rFonts w:ascii="Times New Roman;serif" w:hAnsi="Times New Roman;serif"/>
                  <w:b w:val="false"/>
                  <w:strike w:val="false"/>
                  <w:dstrike w:val="false"/>
                  <w:color w:val="000000"/>
                  <w:sz w:val="24"/>
                  <w:u w:val="none"/>
                  <w:effect w:val="none"/>
                </w:rPr>
                <w:t>38</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27acb7549a34cb58d85aae98ef6941c">
              <w:r>
                <w:rPr>
                  <w:rStyle w:val="InternetLink"/>
                  <w:rFonts w:ascii="Times New Roman;serif" w:hAnsi="Times New Roman;serif"/>
                  <w:b w:val="false"/>
                  <w:strike w:val="false"/>
                  <w:dstrike w:val="false"/>
                  <w:color w:val="000000"/>
                  <w:sz w:val="24"/>
                  <w:u w:val="none"/>
                  <w:effect w:val="none"/>
                </w:rPr>
                <w:t>Section 9.01    Without Consent of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7acb7549a34cb58d85aae98ef6941c">
              <w:r>
                <w:rPr>
                  <w:rStyle w:val="InternetLink"/>
                  <w:rFonts w:ascii="Times New Roman;serif" w:hAnsi="Times New Roman;serif"/>
                  <w:b w:val="false"/>
                  <w:strike w:val="false"/>
                  <w:dstrike w:val="false"/>
                  <w:color w:val="000000"/>
                  <w:sz w:val="24"/>
                  <w:u w:val="none"/>
                  <w:effect w:val="none"/>
                </w:rPr>
                <w:t>38</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cdaa974eff94484b05eff9b451d4aa6">
              <w:r>
                <w:rPr>
                  <w:rStyle w:val="InternetLink"/>
                  <w:rFonts w:ascii="Times New Roman;serif" w:hAnsi="Times New Roman;serif"/>
                  <w:b w:val="false"/>
                  <w:strike w:val="false"/>
                  <w:dstrike w:val="false"/>
                  <w:color w:val="000000"/>
                  <w:sz w:val="24"/>
                  <w:u w:val="none"/>
                  <w:effect w:val="none"/>
                </w:rPr>
                <w:t>Section 9.02    With Consent of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aa974eff94484b05eff9b451d4aa6">
              <w:r>
                <w:rPr>
                  <w:rStyle w:val="InternetLink"/>
                  <w:rFonts w:ascii="Times New Roman;serif" w:hAnsi="Times New Roman;serif"/>
                  <w:b w:val="false"/>
                  <w:strike w:val="false"/>
                  <w:dstrike w:val="false"/>
                  <w:color w:val="000000"/>
                  <w:sz w:val="24"/>
                  <w:u w:val="none"/>
                  <w:effect w:val="none"/>
                </w:rPr>
                <w:t>40</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ebf6825489d41bf812286e9b5c6534c">
              <w:r>
                <w:rPr>
                  <w:rStyle w:val="InternetLink"/>
                  <w:rFonts w:ascii="Times New Roman;serif" w:hAnsi="Times New Roman;serif"/>
                  <w:b w:val="false"/>
                  <w:strike w:val="false"/>
                  <w:dstrike w:val="false"/>
                  <w:color w:val="000000"/>
                  <w:sz w:val="24"/>
                  <w:u w:val="none"/>
                  <w:effect w:val="none"/>
                </w:rPr>
                <w:t>Section 9.03    Compliance with Trust Indenture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bf6825489d41bf812286e9b5c6534c">
              <w:r>
                <w:rPr>
                  <w:rStyle w:val="InternetLink"/>
                  <w:rFonts w:ascii="Times New Roman;serif" w:hAnsi="Times New Roman;serif"/>
                  <w:b w:val="false"/>
                  <w:strike w:val="false"/>
                  <w:dstrike w:val="false"/>
                  <w:color w:val="000000"/>
                  <w:sz w:val="24"/>
                  <w:u w:val="none"/>
                  <w:effect w:val="none"/>
                </w:rPr>
                <w:t>41</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d2dff8f1d9046829120f2afc55b8a6b">
              <w:r>
                <w:rPr>
                  <w:rStyle w:val="InternetLink"/>
                  <w:rFonts w:ascii="Times New Roman;serif" w:hAnsi="Times New Roman;serif"/>
                  <w:b w:val="false"/>
                  <w:strike w:val="false"/>
                  <w:dstrike w:val="false"/>
                  <w:color w:val="000000"/>
                  <w:sz w:val="24"/>
                  <w:u w:val="none"/>
                  <w:effect w:val="none"/>
                </w:rPr>
                <w:t>Section 9.04    Revocation and Effect of Consents and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2dff8f1d9046829120f2afc55b8a6b">
              <w:r>
                <w:rPr>
                  <w:rStyle w:val="InternetLink"/>
                  <w:rFonts w:ascii="Times New Roman;serif" w:hAnsi="Times New Roman;serif"/>
                  <w:b w:val="false"/>
                  <w:strike w:val="false"/>
                  <w:dstrike w:val="false"/>
                  <w:color w:val="000000"/>
                  <w:sz w:val="24"/>
                  <w:u w:val="none"/>
                  <w:effect w:val="none"/>
                </w:rPr>
                <w:t>41</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53ad3c8f95645979e9bb971f3696824">
              <w:r>
                <w:rPr>
                  <w:rStyle w:val="InternetLink"/>
                  <w:rFonts w:ascii="Times New Roman;serif" w:hAnsi="Times New Roman;serif"/>
                  <w:b w:val="false"/>
                  <w:strike w:val="false"/>
                  <w:dstrike w:val="false"/>
                  <w:color w:val="000000"/>
                  <w:sz w:val="24"/>
                  <w:u w:val="none"/>
                  <w:effect w:val="none"/>
                </w:rPr>
                <w:t>Section 9.05    Notation on or Exchange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3ad3c8f95645979e9bb971f3696824">
              <w:r>
                <w:rPr>
                  <w:rStyle w:val="InternetLink"/>
                  <w:rFonts w:ascii="Times New Roman;serif" w:hAnsi="Times New Roman;serif"/>
                  <w:b w:val="false"/>
                  <w:strike w:val="false"/>
                  <w:dstrike w:val="false"/>
                  <w:color w:val="000000"/>
                  <w:sz w:val="24"/>
                  <w:u w:val="none"/>
                  <w:effect w:val="none"/>
                </w:rPr>
                <w:t>42</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ac6705c1b1a4cb281076868e166fcd1">
              <w:r>
                <w:rPr>
                  <w:rStyle w:val="InternetLink"/>
                  <w:rFonts w:ascii="Times New Roman;serif" w:hAnsi="Times New Roman;serif"/>
                  <w:b w:val="false"/>
                  <w:strike w:val="false"/>
                  <w:dstrike w:val="false"/>
                  <w:color w:val="000000"/>
                  <w:sz w:val="24"/>
                  <w:u w:val="none"/>
                  <w:effect w:val="none"/>
                </w:rPr>
                <w:t>Section 9.06    Trustee To Sign 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c6705c1b1a4cb281076868e166fcd1">
              <w:r>
                <w:rPr>
                  <w:rStyle w:val="InternetLink"/>
                  <w:rFonts w:ascii="Times New Roman;serif" w:hAnsi="Times New Roman;serif"/>
                  <w:b w:val="false"/>
                  <w:strike w:val="false"/>
                  <w:dstrike w:val="false"/>
                  <w:color w:val="000000"/>
                  <w:sz w:val="24"/>
                  <w:u w:val="none"/>
                  <w:effect w:val="none"/>
                </w:rPr>
                <w:t>42</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e6120f2df1b4efa98e0c717a1fc41df">
              <w:r>
                <w:rPr>
                  <w:rStyle w:val="InternetLink"/>
                  <w:rFonts w:ascii="Times New Roman;serif" w:hAnsi="Times New Roman;serif"/>
                  <w:b w:val="false"/>
                  <w:strike w:val="false"/>
                  <w:dstrike w:val="false"/>
                  <w:color w:val="000000"/>
                  <w:sz w:val="24"/>
                  <w:u w:val="none"/>
                  <w:effect w:val="none"/>
                </w:rPr>
                <w:t>ARTICLE X</w:t>
                <w:br/>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6120f2df1b4efa98e0c717a1fc41df">
              <w:r>
                <w:rPr>
                  <w:rStyle w:val="InternetLink"/>
                  <w:rFonts w:ascii="Times New Roman;serif" w:hAnsi="Times New Roman;serif"/>
                  <w:b w:val="false"/>
                  <w:strike w:val="false"/>
                  <w:dstrike w:val="false"/>
                  <w:color w:val="000000"/>
                  <w:sz w:val="24"/>
                  <w:u w:val="none"/>
                  <w:effect w:val="none"/>
                </w:rPr>
                <w:t>42</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585da24a5b84062b1d572496118ea11">
              <w:r>
                <w:rPr>
                  <w:rStyle w:val="InternetLink"/>
                  <w:rFonts w:ascii="Times New Roman;serif" w:hAnsi="Times New Roman;serif"/>
                  <w:b w:val="false"/>
                  <w:strike w:val="false"/>
                  <w:dstrike w:val="false"/>
                  <w:color w:val="000000"/>
                  <w:sz w:val="24"/>
                  <w:u w:val="none"/>
                  <w:effect w:val="none"/>
                </w:rPr>
                <w:t>Section 10.01    Trust Indenture Act Controls.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85da24a5b84062b1d572496118ea11">
              <w:r>
                <w:rPr>
                  <w:rStyle w:val="InternetLink"/>
                  <w:rFonts w:ascii="Times New Roman;serif" w:hAnsi="Times New Roman;serif"/>
                  <w:b w:val="false"/>
                  <w:strike w:val="false"/>
                  <w:dstrike w:val="false"/>
                  <w:color w:val="000000"/>
                  <w:sz w:val="24"/>
                  <w:u w:val="none"/>
                  <w:effect w:val="none"/>
                </w:rPr>
                <w:t>42</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e37b60aace04ddfa4632e35e75a3df0">
              <w:r>
                <w:rPr>
                  <w:rStyle w:val="InternetLink"/>
                  <w:rFonts w:ascii="Times New Roman;serif" w:hAnsi="Times New Roman;serif"/>
                  <w:b w:val="false"/>
                  <w:strike w:val="false"/>
                  <w:dstrike w:val="false"/>
                  <w:color w:val="000000"/>
                  <w:sz w:val="24"/>
                  <w:u w:val="none"/>
                  <w:effect w:val="none"/>
                </w:rPr>
                <w:t>Section 10.02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37b60aace04ddfa4632e35e75a3df0">
              <w:r>
                <w:rPr>
                  <w:rStyle w:val="InternetLink"/>
                  <w:rFonts w:ascii="Times New Roman;serif" w:hAnsi="Times New Roman;serif"/>
                  <w:b w:val="false"/>
                  <w:strike w:val="false"/>
                  <w:dstrike w:val="false"/>
                  <w:color w:val="000000"/>
                  <w:sz w:val="24"/>
                  <w:u w:val="none"/>
                  <w:effect w:val="none"/>
                </w:rPr>
                <w:t>42</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eb851a8006d4e76b7fa0e48359b51bc">
              <w:r>
                <w:rPr>
                  <w:rStyle w:val="InternetLink"/>
                  <w:rFonts w:ascii="Times New Roman;serif" w:hAnsi="Times New Roman;serif"/>
                  <w:b w:val="false"/>
                  <w:strike w:val="false"/>
                  <w:dstrike w:val="false"/>
                  <w:color w:val="000000"/>
                  <w:sz w:val="24"/>
                  <w:u w:val="none"/>
                  <w:effect w:val="none"/>
                </w:rPr>
                <w:t>Section 10.03    Communication by Holders with Other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851a8006d4e76b7fa0e48359b51bc">
              <w:r>
                <w:rPr>
                  <w:rStyle w:val="InternetLink"/>
                  <w:rFonts w:ascii="Times New Roman;serif" w:hAnsi="Times New Roman;serif"/>
                  <w:b w:val="false"/>
                  <w:strike w:val="false"/>
                  <w:dstrike w:val="false"/>
                  <w:color w:val="000000"/>
                  <w:sz w:val="24"/>
                  <w:u w:val="none"/>
                  <w:effect w:val="none"/>
                </w:rPr>
                <w:t>44</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248e29145ac47c692485bd9700363aa">
              <w:r>
                <w:rPr>
                  <w:rStyle w:val="InternetLink"/>
                  <w:rFonts w:ascii="Times New Roman;serif" w:hAnsi="Times New Roman;serif"/>
                  <w:b w:val="false"/>
                  <w:strike w:val="false"/>
                  <w:dstrike w:val="false"/>
                  <w:color w:val="000000"/>
                  <w:sz w:val="24"/>
                  <w:u w:val="none"/>
                  <w:effect w:val="none"/>
                </w:rPr>
                <w:t>Section 10.04    Certificate and Opinion as to Conditions Precedent.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48e29145ac47c692485bd9700363aa">
              <w:r>
                <w:rPr>
                  <w:rStyle w:val="InternetLink"/>
                  <w:rFonts w:ascii="Times New Roman;serif" w:hAnsi="Times New Roman;serif"/>
                  <w:b w:val="false"/>
                  <w:strike w:val="false"/>
                  <w:dstrike w:val="false"/>
                  <w:color w:val="000000"/>
                  <w:sz w:val="24"/>
                  <w:u w:val="none"/>
                  <w:effect w:val="none"/>
                </w:rPr>
                <w:t>44</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3ea5366facb4be8b539a3aca541dbab">
              <w:r>
                <w:rPr>
                  <w:rStyle w:val="InternetLink"/>
                  <w:rFonts w:ascii="Times New Roman;serif" w:hAnsi="Times New Roman;serif"/>
                  <w:b w:val="false"/>
                  <w:strike w:val="false"/>
                  <w:dstrike w:val="false"/>
                  <w:color w:val="000000"/>
                  <w:sz w:val="24"/>
                  <w:u w:val="none"/>
                  <w:effect w:val="none"/>
                </w:rPr>
                <w:t>Section 10.05    Statements Required in Certificate or Opinion.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ea5366facb4be8b539a3aca541dbab">
              <w:r>
                <w:rPr>
                  <w:rStyle w:val="InternetLink"/>
                  <w:rFonts w:ascii="Times New Roman;serif" w:hAnsi="Times New Roman;serif"/>
                  <w:b w:val="false"/>
                  <w:strike w:val="false"/>
                  <w:dstrike w:val="false"/>
                  <w:color w:val="000000"/>
                  <w:sz w:val="24"/>
                  <w:u w:val="none"/>
                  <w:effect w:val="none"/>
                </w:rPr>
                <w:t>44</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abeeedbd4d643eb9ef8927255218fa2">
              <w:r>
                <w:rPr>
                  <w:rStyle w:val="InternetLink"/>
                  <w:rFonts w:ascii="Times New Roman;serif" w:hAnsi="Times New Roman;serif"/>
                  <w:b w:val="false"/>
                  <w:strike w:val="false"/>
                  <w:dstrike w:val="false"/>
                  <w:color w:val="000000"/>
                  <w:sz w:val="24"/>
                  <w:u w:val="none"/>
                  <w:effect w:val="none"/>
                </w:rPr>
                <w:t>Section 10.06    When Securities Disregarded.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beeedbd4d643eb9ef8927255218fa2">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a0bc26613dd46849681ab63ff7f4cf2">
              <w:r>
                <w:rPr>
                  <w:rStyle w:val="InternetLink"/>
                  <w:rFonts w:ascii="Times New Roman;serif" w:hAnsi="Times New Roman;serif"/>
                  <w:b w:val="false"/>
                  <w:strike w:val="false"/>
                  <w:dstrike w:val="false"/>
                  <w:color w:val="000000"/>
                  <w:sz w:val="24"/>
                  <w:u w:val="none"/>
                  <w:effect w:val="none"/>
                </w:rPr>
                <w:t>Section 10.07    Rules by Trustee, Paying Agent and Registrar.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0bc26613dd46849681ab63ff7f4cf2">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d89cffabcb34dba8b9e5ac054d9d4ca">
              <w:r>
                <w:rPr>
                  <w:rStyle w:val="InternetLink"/>
                  <w:rFonts w:ascii="Times New Roman;serif" w:hAnsi="Times New Roman;serif"/>
                  <w:b w:val="false"/>
                  <w:strike w:val="false"/>
                  <w:dstrike w:val="false"/>
                  <w:color w:val="000000"/>
                  <w:sz w:val="24"/>
                  <w:u w:val="none"/>
                  <w:effect w:val="none"/>
                </w:rPr>
                <w:t>Section 10.08    Legal Holidays.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ffabcb34dba8b9e5ac054d9d4ca">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8a3b71d3e0e4e388249097f838d2345">
              <w:r>
                <w:rPr>
                  <w:rStyle w:val="InternetLink"/>
                  <w:rFonts w:ascii="Times New Roman;serif" w:hAnsi="Times New Roman;serif"/>
                  <w:b w:val="false"/>
                  <w:strike w:val="false"/>
                  <w:dstrike w:val="false"/>
                  <w:color w:val="000000"/>
                  <w:sz w:val="24"/>
                  <w:u w:val="none"/>
                  <w:effect w:val="none"/>
                </w:rPr>
                <w:t>Section 10.09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a3b71d3e0e4e388249097f838d2345">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4b02edce9b34339b9ff370b57236255">
              <w:r>
                <w:rPr>
                  <w:rStyle w:val="InternetLink"/>
                  <w:rFonts w:ascii="Times New Roman;serif" w:hAnsi="Times New Roman;serif"/>
                  <w:b w:val="false"/>
                  <w:strike w:val="false"/>
                  <w:dstrike w:val="false"/>
                  <w:color w:val="000000"/>
                  <w:sz w:val="24"/>
                  <w:u w:val="none"/>
                  <w:effect w:val="none"/>
                </w:rPr>
                <w:t>Section 10.10    No Recourse Against Others.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b02edce9b34339b9ff370b57236255">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ef1dae9f6f341f69bcdae807aaa184b">
              <w:r>
                <w:rPr>
                  <w:rStyle w:val="InternetLink"/>
                  <w:rFonts w:ascii="Times New Roman;serif" w:hAnsi="Times New Roman;serif"/>
                  <w:b w:val="false"/>
                  <w:strike w:val="false"/>
                  <w:dstrike w:val="false"/>
                  <w:color w:val="000000"/>
                  <w:sz w:val="24"/>
                  <w:u w:val="none"/>
                  <w:effect w:val="none"/>
                </w:rPr>
                <w:t>Section 10.11    Successors.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1dae9f6f341f69bcdae807aaa184b">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9aaef1b359b4279902b06f58f4709ff">
              <w:r>
                <w:rPr>
                  <w:rStyle w:val="InternetLink"/>
                  <w:rFonts w:ascii="Times New Roman;serif" w:hAnsi="Times New Roman;serif"/>
                  <w:b w:val="false"/>
                  <w:strike w:val="false"/>
                  <w:dstrike w:val="false"/>
                  <w:color w:val="000000"/>
                  <w:sz w:val="24"/>
                  <w:u w:val="none"/>
                  <w:effect w:val="none"/>
                </w:rPr>
                <w:t>Section 10.12    Multiple Originals.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aaef1b359b4279902b06f58f4709ff">
              <w:r>
                <w:rPr>
                  <w:rStyle w:val="InternetLink"/>
                  <w:rFonts w:ascii="Times New Roman;serif" w:hAnsi="Times New Roman;serif"/>
                  <w:b w:val="false"/>
                  <w:strike w:val="false"/>
                  <w:dstrike w:val="false"/>
                  <w:color w:val="000000"/>
                  <w:sz w:val="24"/>
                  <w:u w:val="none"/>
                  <w:effect w:val="none"/>
                </w:rPr>
                <w:t>45</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3bde2e411344b2881335f7b83861c6f">
              <w:r>
                <w:rPr>
                  <w:rStyle w:val="InternetLink"/>
                  <w:rFonts w:ascii="Times New Roman;serif" w:hAnsi="Times New Roman;serif"/>
                  <w:b w:val="false"/>
                  <w:strike w:val="false"/>
                  <w:dstrike w:val="false"/>
                  <w:color w:val="000000"/>
                  <w:sz w:val="24"/>
                  <w:u w:val="none"/>
                  <w:effect w:val="none"/>
                </w:rPr>
                <w:t>Section 10.13    Table of Contents;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bde2e411344b2881335f7b83861c6f">
              <w:r>
                <w:rPr>
                  <w:rStyle w:val="InternetLink"/>
                  <w:rFonts w:ascii="Times New Roman;serif" w:hAnsi="Times New Roman;serif"/>
                  <w:b w:val="false"/>
                  <w:strike w:val="false"/>
                  <w:dstrike w:val="false"/>
                  <w:color w:val="000000"/>
                  <w:sz w:val="24"/>
                  <w:u w:val="none"/>
                  <w:effect w:val="none"/>
                </w:rPr>
                <w:t>46</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930be03b6664674ba8791404493a49d">
              <w:r>
                <w:rPr>
                  <w:rStyle w:val="InternetLink"/>
                  <w:rFonts w:ascii="Times New Roman;serif" w:hAnsi="Times New Roman;serif"/>
                  <w:b w:val="false"/>
                  <w:strike w:val="false"/>
                  <w:dstrike w:val="false"/>
                  <w:color w:val="000000"/>
                  <w:sz w:val="24"/>
                  <w:u w:val="none"/>
                  <w:effect w:val="none"/>
                </w:rPr>
                <w:t>Section 10.14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30be03b6664674ba8791404493a49d">
              <w:r>
                <w:rPr>
                  <w:rStyle w:val="InternetLink"/>
                  <w:rFonts w:ascii="Times New Roman;serif" w:hAnsi="Times New Roman;serif"/>
                  <w:b w:val="false"/>
                  <w:strike w:val="false"/>
                  <w:dstrike w:val="false"/>
                  <w:color w:val="000000"/>
                  <w:sz w:val="24"/>
                  <w:u w:val="none"/>
                  <w:effect w:val="none"/>
                </w:rPr>
                <w:t>46</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24170be24649ba8fa80edb9da83501">
              <w:r>
                <w:rPr>
                  <w:rStyle w:val="InternetLink"/>
                  <w:rFonts w:ascii="Times New Roman;serif" w:hAnsi="Times New Roman;serif"/>
                  <w:b w:val="false"/>
                  <w:strike w:val="false"/>
                  <w:dstrike w:val="false"/>
                  <w:color w:val="000000"/>
                  <w:sz w:val="24"/>
                  <w:u w:val="none"/>
                  <w:effect w:val="none"/>
                </w:rPr>
                <w:t>Section 10.15    Waiver of Jury Trial , Consent to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24170be24649ba8fa80edb9da83501">
              <w:r>
                <w:rPr>
                  <w:rStyle w:val="InternetLink"/>
                  <w:rFonts w:ascii="Times New Roman;serif" w:hAnsi="Times New Roman;serif"/>
                  <w:b w:val="false"/>
                  <w:strike w:val="false"/>
                  <w:dstrike w:val="false"/>
                  <w:color w:val="000000"/>
                  <w:sz w:val="24"/>
                  <w:u w:val="none"/>
                  <w:effect w:val="none"/>
                </w:rPr>
                <w:t>46</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cf69acb17140d3a126add4eb9a085c">
              <w:r>
                <w:rPr>
                  <w:rStyle w:val="InternetLink"/>
                  <w:rFonts w:ascii="Times New Roman;serif" w:hAnsi="Times New Roman;serif"/>
                  <w:b w:val="false"/>
                  <w:strike w:val="false"/>
                  <w:dstrike w:val="false"/>
                  <w:color w:val="000000"/>
                  <w:sz w:val="24"/>
                  <w:u w:val="none"/>
                  <w:effect w:val="none"/>
                </w:rPr>
                <w:t>Section 10.16    Force Majeure.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cf69acb17140d3a126add4eb9a085c">
              <w:r>
                <w:rPr>
                  <w:rStyle w:val="InternetLink"/>
                  <w:rFonts w:ascii="Times New Roman;serif" w:hAnsi="Times New Roman;serif"/>
                  <w:b w:val="false"/>
                  <w:strike w:val="false"/>
                  <w:dstrike w:val="false"/>
                  <w:color w:val="000000"/>
                  <w:sz w:val="24"/>
                  <w:u w:val="none"/>
                  <w:effect w:val="none"/>
                </w:rPr>
                <w:t>46</w:t>
              </w:r>
            </w:hyperlink>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13937bded87459b97025b11e1ebd6c7">
              <w:r>
                <w:rPr>
                  <w:rStyle w:val="InternetLink"/>
                  <w:rFonts w:ascii="Times New Roman;serif" w:hAnsi="Times New Roman;serif"/>
                  <w:b w:val="false"/>
                  <w:strike w:val="false"/>
                  <w:dstrike w:val="false"/>
                  <w:color w:val="000000"/>
                  <w:sz w:val="24"/>
                  <w:u w:val="none"/>
                  <w:effect w:val="none"/>
                </w:rPr>
                <w:t>Section 10.17    U.S.A. PATRIOT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3937bded87459b97025b11e1ebd6c7">
              <w:r>
                <w:rPr>
                  <w:rStyle w:val="InternetLink"/>
                  <w:rFonts w:ascii="Times New Roman;serif" w:hAnsi="Times New Roman;serif"/>
                  <w:b w:val="false"/>
                  <w:strike w:val="false"/>
                  <w:dstrike w:val="false"/>
                  <w:color w:val="000000"/>
                  <w:sz w:val="24"/>
                  <w:u w:val="none"/>
                  <w:effect w:val="non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INDENTURE dated as of [ ], between Rackspace Technology,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 ],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Each party agrees as follows for the benefit of the other party and for the equal and ratable benefit of the Holders of the securities issued under this Indenture (the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w:t>
      </w:r>
    </w:p>
    <w:p>
      <w:pPr>
        <w:pStyle w:val="TextBody"/>
        <w:bidi w:val="0"/>
        <w:spacing w:lineRule="auto" w:line="240" w:before="0" w:after="240"/>
        <w:jc w:val="center"/>
        <w:rPr>
          <w:rFonts w:ascii="Times New Roman;serif" w:hAnsi="Times New Roman;serif"/>
          <w:b w:val="false"/>
          <w:color w:val="000000"/>
          <w:sz w:val="24"/>
          <w:u w:val="single"/>
        </w:rPr>
      </w:pPr>
      <w:bookmarkStart w:id="88" w:name="i1742589db3af4ead8113a9e6b34b36a1"/>
      <w:bookmarkEnd w:id="88"/>
      <w:r>
        <w:rPr>
          <w:rFonts w:ascii="Times New Roman;serif" w:hAnsi="Times New Roman;serif"/>
          <w:b w:val="false"/>
          <w:color w:val="000000"/>
          <w:sz w:val="24"/>
          <w:u w:val="single"/>
        </w:rPr>
        <w:t>ARTICLE I</w:t>
        <w:br/>
        <w:br/>
        <w:t>Definitions and Incorporation by Reference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89" w:name="i65309095dca54cf8be9cf01da701fc96"/>
      <w:bookmarkEnd w:id="89"/>
      <w:r>
        <w:rPr>
          <w:rFonts w:ascii="Times New Roman;serif" w:hAnsi="Times New Roman;serif"/>
          <w:b w:val="false"/>
          <w:color w:val="000000"/>
          <w:sz w:val="24"/>
          <w:u w:val="single"/>
        </w:rPr>
        <w:t xml:space="preserve">Section 1.01    Definitions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Agent</w:t>
      </w:r>
      <w:r>
        <w:rPr>
          <w:color w:val="000000"/>
        </w:rPr>
        <w:t xml:space="preserve">” </w:t>
      </w:r>
      <w:r>
        <w:rPr>
          <w:rFonts w:ascii="Times New Roman;serif" w:hAnsi="Times New Roman;serif"/>
          <w:b w:val="false"/>
          <w:color w:val="000000"/>
          <w:sz w:val="24"/>
        </w:rPr>
        <w:t xml:space="preserve">means any Registrar, Paying Agent or co-Registrar.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Board of Directors of the Company or any committee thereof duly authorized to act on behalf of such Board of Directors or, in the case of a Person that is not a corporation, the group exercising the authority generally vested in a board of directors of a corporation.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Board Resolution</w:t>
      </w:r>
      <w:r>
        <w:rPr>
          <w:color w:val="000000"/>
        </w:rPr>
        <w:t xml:space="preserve">” </w:t>
      </w:r>
      <w:r>
        <w:rPr>
          <w:rFonts w:ascii="Times New Roman;serif" w:hAnsi="Times New Roman;serif"/>
          <w:b w:val="false"/>
          <w:color w:val="000000"/>
          <w:sz w:val="24"/>
        </w:rPr>
        <w:t>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each day which is not a Legal Holiday.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of any Person means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the party named as such in this Indenture until a successor replaces it and, thereafter, means the successor and, for purposes of any provision contained herein and required by the Trust Indenture Act, each other obligor on the indenture Securities.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Company Order</w:t>
      </w:r>
      <w:r>
        <w:rPr>
          <w:color w:val="000000"/>
        </w:rPr>
        <w:t xml:space="preserve">” </w:t>
      </w:r>
      <w:r>
        <w:rPr>
          <w:rFonts w:ascii="Times New Roman;serif" w:hAnsi="Times New Roman;serif"/>
          <w:b w:val="false"/>
          <w:color w:val="000000"/>
          <w:sz w:val="24"/>
        </w:rPr>
        <w:t>means a written order signed in the name of the Company by an Officer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2235"/>
                <wp:effectExtent l="0" t="0" r="0" b="0"/>
                <wp:wrapNone/>
                <wp:docPr id="65" name="Frame6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Doc#: US1:300341650v2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Doc#: US1:300341650v2</w:t>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Corporate Trust Office</w:t>
      </w:r>
      <w:r>
        <w:rPr>
          <w:color w:val="000000"/>
        </w:rPr>
        <w:t xml:space="preserve">” </w:t>
      </w:r>
      <w:r>
        <w:rPr>
          <w:rFonts w:ascii="Times New Roman;serif" w:hAnsi="Times New Roman;serif"/>
          <w:b w:val="false"/>
          <w:color w:val="000000"/>
          <w:sz w:val="24"/>
        </w:rPr>
        <w:t>means the office of the Trustee at which, at any particular time, the corporate trust business related to this Indenture shall be principally administered, which such office at the date hereof is located at the address set forth in Section 10.02,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which is, or after notice or passage of time or both would be, an Event of Default.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Depositary</w:t>
      </w:r>
      <w:r>
        <w:rPr>
          <w:color w:val="000000"/>
        </w:rPr>
        <w:t xml:space="preserve">” </w:t>
      </w:r>
      <w:r>
        <w:rPr>
          <w:rFonts w:ascii="Times New Roman;serif" w:hAnsi="Times New Roman;serif"/>
          <w:b w:val="false"/>
          <w:color w:val="000000"/>
          <w:sz w:val="24"/>
        </w:rPr>
        <w:t>means, with respect to the Securities issuable in whole or in part in global form, a clearing agency registered under the Exchange Act or other applicable law specified pursuant to Section 2.14 hereof as the initial Depositary with respect to the Securities, until a successor shall have been appointed and become such pursuant to the applicable provisions of this Indenture, and thereafter “Depositary” shall mean or include such successor.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 as in effect as of the issue date of any Series of Securities, including those set forth in:</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90" w:name="i3de1b43127504066953eea98d6ed9903"/>
      <w:bookmarkEnd w:id="90"/>
      <w:r>
        <w:rPr>
          <w:rFonts w:ascii="Times New Roman;serif" w:hAnsi="Times New Roman;serif"/>
          <w:b w:val="false"/>
          <w:color w:val="000000"/>
          <w:sz w:val="24"/>
        </w:rPr>
        <w:t>(1)    the opinions and pronouncements of the Accounting Principles Board of the American Institute of Certified Public Accountants;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91" w:name="if3c2453172d24a118e0a91350c61feba"/>
      <w:bookmarkEnd w:id="91"/>
      <w:r>
        <w:rPr>
          <w:rFonts w:ascii="Times New Roman;serif" w:hAnsi="Times New Roman;serif"/>
          <w:b w:val="false"/>
          <w:color w:val="000000"/>
          <w:sz w:val="24"/>
        </w:rPr>
        <w:t>(2)    statements and pronouncements of the Financial Accounting Standards Board;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92" w:name="i1c968c38efab4f2fa4a74daf412a4517"/>
      <w:bookmarkEnd w:id="92"/>
      <w:r>
        <w:rPr>
          <w:rFonts w:ascii="Times New Roman;serif" w:hAnsi="Times New Roman;serif"/>
          <w:b w:val="false"/>
          <w:color w:val="000000"/>
          <w:sz w:val="24"/>
        </w:rPr>
        <w:t>(3)    such other statements by such other entity as approved by a significant segment of the accounting profession; and</w:t>
      </w:r>
    </w:p>
    <w:p>
      <w:pPr>
        <w:pStyle w:val="TextBody"/>
        <w:bidi w:val="0"/>
        <w:spacing w:lineRule="auto" w:line="288" w:before="0" w:after="240"/>
        <w:ind w:left="0" w:right="0" w:firstLine="2160"/>
        <w:jc w:val="left"/>
        <w:rPr/>
      </w:pPr>
      <w:bookmarkStart w:id="93" w:name="i7e0b07c62f614757961311ffba6dc36c"/>
      <w:bookmarkEnd w:id="93"/>
      <w:r>
        <w:rPr>
          <w:rFonts w:ascii="Times New Roman;serif" w:hAnsi="Times New Roman;serif"/>
          <w:b w:val="false"/>
          <w:color w:val="000000"/>
          <w:sz w:val="24"/>
        </w:rPr>
        <w:t xml:space="preserve">(4)    the rules and regulations of the SEC governing the inclusion of financial statements (including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financial statements) in periodic reports required to be filed pursuant to Section 13 of the Exchange Act, including opinions and pronouncements in staff accounting bulletins and similar written statements from the accounting staff of the SEC. All ratios and computations based on GAAP contained in this Indenture shall be computed in conformity with GAAP.</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Global Securities Legend</w:t>
      </w:r>
      <w:r>
        <w:rPr>
          <w:color w:val="000000"/>
        </w:rPr>
        <w:t xml:space="preserve">” </w:t>
      </w:r>
      <w:r>
        <w:rPr>
          <w:rFonts w:ascii="Times New Roman;serif" w:hAnsi="Times New Roman;serif"/>
          <w:b w:val="false"/>
          <w:color w:val="000000"/>
          <w:sz w:val="24"/>
        </w:rPr>
        <w:t>means the legend set forth in Section 2.14(c), which is required to be placed on all Global Securities issued under this Indenture.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Global Security</w:t>
      </w:r>
      <w:r>
        <w:rPr>
          <w:color w:val="000000"/>
        </w:rPr>
        <w:t xml:space="preserve">” </w:t>
      </w:r>
      <w:r>
        <w:rPr>
          <w:rFonts w:ascii="Times New Roman;serif" w:hAnsi="Times New Roman;serif"/>
          <w:b w:val="false"/>
          <w:color w:val="000000"/>
          <w:sz w:val="24"/>
        </w:rPr>
        <w:t xml:space="preserve">when used with respect to any Series of Securities issued hereunder, means a Security which is executed by the Company and authenticated and delivered by the Trustee to the Depositary or pursuant to the Depositary’s instruction, all in accordance with this Indenture and an indenture supplemental hereto, if any, or Board Resolution and pursuant to a Company Order, which shall be registered in the name of the Depositary or its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37845"/>
                <wp:effectExtent l="0" t="0" r="0" b="0"/>
                <wp:wrapNone/>
                <wp:docPr id="66" name="Frame6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nominee and which shall represent, and shall be denominated in an amount equal to the aggregate principal amount of, all the outstanding Securities of such Series or any portion thereof, in either case having the same terms, including, without limitation, the same original issue date, date or dates on which principal is due, and interest rate or method of determining interest and which shall bear the Global Securities Legend.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Government Securities</w:t>
      </w:r>
      <w:r>
        <w:rPr>
          <w:color w:val="000000"/>
        </w:rPr>
        <w:t xml:space="preserve">” </w:t>
      </w:r>
      <w:r>
        <w:rPr>
          <w:rFonts w:ascii="Times New Roman;serif" w:hAnsi="Times New Roman;serif"/>
          <w:b w:val="false"/>
          <w:color w:val="000000"/>
          <w:sz w:val="24"/>
        </w:rPr>
        <w:t xml:space="preserve">means direct obligations (or certificates representing an ownership interest in such obligations) of the United States of America (including any agency or instrumentality thereof) for the payment of which the full faith and credit of the United States of America is pledged;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Securities of a Series are denominated in a currency other than U.S. Dollars, an Officer’s Certificate or any supplemental indenture may provide for Government Securities to be direct obligations of, or obligations guaranteed by a country other than the United States of America and the payment for which such country pledges its full faith and credit, for purposes of such Securities of a Series.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means any obligation, contingent or otherwise, of any Person directly or indirectly guaranteeing any Indebtedness of any other Person and any obligation, direct or indirect, contingent or otherwise, of such other Person:</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94" w:name="ia980a25f44d64a738938ac5b5ea91684"/>
      <w:bookmarkEnd w:id="94"/>
      <w:r>
        <w:rPr>
          <w:rFonts w:ascii="Times New Roman;serif" w:hAnsi="Times New Roman;serif"/>
          <w:b w:val="false"/>
          <w:color w:val="000000"/>
          <w:sz w:val="24"/>
        </w:rPr>
        <w:t>(1)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95" w:name="id36a14d2a0f945b9be96e3463947ec54"/>
      <w:bookmarkEnd w:id="95"/>
      <w:r>
        <w:rPr>
          <w:rFonts w:ascii="Times New Roman;serif" w:hAnsi="Times New Roman;serif"/>
          <w:b w:val="false"/>
          <w:color w:val="000000"/>
          <w:sz w:val="24"/>
        </w:rPr>
        <w:t xml:space="preserve">(2)    entered into for the purpose of assuring in any other manner the obligee of such Indebtedness of the payment thereof or to protect such obligee against loss in respect thereof (in whole or in part); </w:t>
      </w:r>
    </w:p>
    <w:p>
      <w:pPr>
        <w:pStyle w:val="TextBody"/>
        <w:bidi w:val="0"/>
        <w:spacing w:lineRule="auto" w:line="288" w:before="0" w:after="240"/>
        <w:jc w:val="left"/>
        <w:rPr/>
      </w:pPr>
      <w:bookmarkStart w:id="96" w:name="i69054f7d7ddf48c389b40cc2703e6df0"/>
      <w:bookmarkEnd w:id="96"/>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term “Guarantee” shall not include endorsements for collection or deposit in the ordinary course of business. The term “Guarantee” used as a verb has a corresponding meaning. The term “Guarantor” shall mean any Person Guaranteeing any obligation.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the Person in whose name a Security is registered on the Registrar’s books.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has the meaning specified in the applicable Board Resolution, supplemental indenture or Officer’s Certificate relating to a particular Series of Securities.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means this Indenture as amended or supplemented from time to time, and includes the forms and terms of particular Securities established as contemplated hereunder. For the avoidance of doubt, for purposes of determining the rights of Holders of any Series of Securities, and the terms applicable to such Series, references to “this Indenture” will mean the Indenture with respect to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37845"/>
                <wp:effectExtent l="0" t="0" r="0" b="0"/>
                <wp:wrapNone/>
                <wp:docPr id="67" name="Frame6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when used with respect to any Series of Securities, means the date specified in such Securities for the payment of any installment of interest on those Securities.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Legal Holiday</w:t>
      </w:r>
      <w:r>
        <w:rPr>
          <w:color w:val="000000"/>
        </w:rPr>
        <w:t xml:space="preserve">” </w:t>
      </w:r>
      <w:r>
        <w:rPr>
          <w:rFonts w:ascii="Times New Roman;serif" w:hAnsi="Times New Roman;serif"/>
          <w:b w:val="false"/>
          <w:color w:val="000000"/>
          <w:sz w:val="24"/>
        </w:rPr>
        <w:t>means a Saturday, a Sunday or a day on which banking institutions are not required to be open in the State of New York or in the city of the Corporate Trust Office.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Maturity</w:t>
      </w:r>
      <w:r>
        <w:rPr>
          <w:color w:val="000000"/>
        </w:rPr>
        <w:t>”</w:t>
      </w:r>
      <w:r>
        <w:rPr>
          <w:rFonts w:ascii="Times New Roman;serif" w:hAnsi="Times New Roman;serif"/>
          <w:b w:val="false"/>
          <w:color w:val="000000"/>
          <w:sz w:val="24"/>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or otherwise.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the Chairman of the Board, the Chief Executive Officer, the President, the Chief Financial Officer, the Chief Operating Officer, any Vice President, the Treasurer, the Controller or the Secretary of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Officer’s Certificate</w:t>
      </w:r>
      <w:r>
        <w:rPr>
          <w:color w:val="000000"/>
        </w:rPr>
        <w:t xml:space="preserve">” </w:t>
      </w:r>
      <w:r>
        <w:rPr>
          <w:rFonts w:ascii="Times New Roman;serif" w:hAnsi="Times New Roman;serif"/>
          <w:b w:val="false"/>
          <w:color w:val="000000"/>
          <w:sz w:val="24"/>
        </w:rPr>
        <w:t>means a certificate signed by an Officer.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Opinion of Counsel</w:t>
      </w:r>
      <w:r>
        <w:rPr>
          <w:color w:val="000000"/>
        </w:rPr>
        <w:t xml:space="preserve">” </w:t>
      </w:r>
      <w:r>
        <w:rPr>
          <w:rFonts w:ascii="Times New Roman;serif" w:hAnsi="Times New Roman;serif"/>
          <w:b w:val="false"/>
          <w:color w:val="000000"/>
          <w:sz w:val="24"/>
        </w:rPr>
        <w:t>means a written opinion from legal counsel who is reasonably acceptable to the Trustee. The counsel may be an employee of or counsel to the Company or any Subsidiary of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Original Issue Discount Security</w:t>
      </w:r>
      <w:r>
        <w:rPr>
          <w:color w:val="000000"/>
        </w:rPr>
        <w:t xml:space="preserve">” </w:t>
      </w:r>
      <w:r>
        <w:rPr>
          <w:rFonts w:ascii="Times New Roman;serif" w:hAnsi="Times New Roman;serif"/>
          <w:b w:val="false"/>
          <w:color w:val="000000"/>
          <w:sz w:val="24"/>
        </w:rPr>
        <w:t>means (i) any Security that provides for an amount less than the stated principal amount thereof to be due and payable upon a declaration of acceleration of the Maturity thereof and (ii) any other security which is issued with “original issue discount” within the meaning of Section 1273(a) of the Code.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limited liability company, joint venture, association, joint-stock company, trust, unincorporated organization, government or any agency or political subdivision thereof or any other entity.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Securities</w:t>
      </w:r>
      <w:r>
        <w:rPr>
          <w:color w:val="000000"/>
        </w:rPr>
        <w:t xml:space="preserve">” </w:t>
      </w:r>
      <w:r>
        <w:rPr>
          <w:rFonts w:ascii="Times New Roman;serif" w:hAnsi="Times New Roman;serif"/>
          <w:b w:val="false"/>
          <w:color w:val="000000"/>
          <w:sz w:val="24"/>
        </w:rPr>
        <w:t>has the meaning specified in the preamble to this Indenture.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U.S. Securities Act of 1933,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Series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Series of Securities</w:t>
      </w:r>
      <w:r>
        <w:rPr>
          <w:color w:val="000000"/>
        </w:rPr>
        <w:t xml:space="preserve">” </w:t>
      </w:r>
      <w:r>
        <w:rPr>
          <w:rFonts w:ascii="Times New Roman;serif" w:hAnsi="Times New Roman;serif"/>
          <w:b w:val="false"/>
          <w:color w:val="000000"/>
          <w:sz w:val="24"/>
        </w:rPr>
        <w:t>means each series of debentures, notes or other debt instruments of the Company created pursuant to Sections 2.01 and 2.02 hereof.</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Significant Subsidiary</w:t>
      </w:r>
      <w:r>
        <w:rPr>
          <w:color w:val="000000"/>
        </w:rPr>
        <w:t xml:space="preserve">” </w:t>
      </w:r>
      <w:r>
        <w:rPr>
          <w:rFonts w:ascii="Times New Roman;serif" w:hAnsi="Times New Roman;serif"/>
          <w:b w:val="false"/>
          <w:color w:val="000000"/>
          <w:sz w:val="24"/>
        </w:rPr>
        <w:t>means any Subsidiary of the Company that would be a “Significant Subsidiary” of the Company within the meaning of Rule 1-02 under Regulation S-X promulgated by the SEC and, for purpose of determining whether an Event of Default has occurred, any group of Subsidiaries that combined would be such a Significant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37845"/>
                <wp:effectExtent l="0" t="0" r="0" b="0"/>
                <wp:wrapNone/>
                <wp:docPr id="68" name="Frame6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Stated Maturity</w:t>
      </w:r>
      <w:r>
        <w:rPr>
          <w:color w:val="000000"/>
        </w:rPr>
        <w:t xml:space="preserve">” </w:t>
      </w:r>
      <w:r>
        <w:rPr>
          <w:rFonts w:ascii="Times New Roman;serif" w:hAnsi="Times New Roman;serif"/>
          <w:b w:val="false"/>
          <w:color w:val="000000"/>
          <w:sz w:val="24"/>
        </w:rPr>
        <w:t>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beyond the control of the issuer unless such contingency has occurred).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any corporation, association, partnership or other business entity of which more than 50% of the total voting power of shares of Voting Stock is at the time owned or controlled, directly or indirectly, by (1) such Person, (2) such Person and one or more Subsidiaries of such Person or (3) one or more Subsidiaries of such Person.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Trustee</w:t>
      </w:r>
      <w:r>
        <w:rPr>
          <w:color w:val="000000"/>
        </w:rPr>
        <w:t xml:space="preserve">” </w:t>
      </w:r>
      <w:r>
        <w:rPr>
          <w:rFonts w:ascii="Times New Roman;serif" w:hAnsi="Times New Roman;serif"/>
          <w:b w:val="false"/>
          <w:color w:val="000000"/>
          <w:sz w:val="24"/>
        </w:rPr>
        <w:t>means the party named as such in this Indenture until a successor replaces it pursuant to the applicable provisions of this Indenture and, thereafter, means the successor.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Trust Indenture Act</w:t>
      </w:r>
      <w:r>
        <w:rPr>
          <w:color w:val="000000"/>
        </w:rPr>
        <w:t xml:space="preserve">” </w:t>
      </w:r>
      <w:r>
        <w:rPr>
          <w:rFonts w:ascii="Times New Roman;serif" w:hAnsi="Times New Roman;serif"/>
          <w:b w:val="false"/>
          <w:color w:val="000000"/>
          <w:sz w:val="24"/>
        </w:rPr>
        <w:t xml:space="preserve">means the Trust Indenture Act of 1939, as amended (15 U.S.C. §§ 77aaa-77bbbb) as in effect on the date of this Indenture;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Trust Indenture Act is amended after such date, “Trust Indenture Act” means, to the extent required by any such amendment, the Trust Indenture Act as so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Trust Officer</w:t>
      </w:r>
      <w:r>
        <w:rPr>
          <w:color w:val="000000"/>
        </w:rPr>
        <w:t xml:space="preserve">” </w:t>
      </w:r>
      <w:r>
        <w:rPr>
          <w:rFonts w:ascii="Times New Roman;serif" w:hAnsi="Times New Roman;serif"/>
          <w:b w:val="false"/>
          <w:color w:val="000000"/>
          <w:sz w:val="24"/>
        </w:rPr>
        <w:t>means any officer of the Trustee in its Corporate Trust Office having direct responsibility for the administration of this Indenture and also means, with respect to a particular corporate trust matter, any other officer of the Trustee to whom any corporate trust matter is referred because of his or her knowledge of and familiarity with a particular subject matter.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Uniform Commercial Code</w:t>
      </w:r>
      <w:r>
        <w:rPr>
          <w:color w:val="000000"/>
        </w:rPr>
        <w:t xml:space="preserve">” </w:t>
      </w:r>
      <w:r>
        <w:rPr>
          <w:rFonts w:ascii="Times New Roman;serif" w:hAnsi="Times New Roman;serif"/>
          <w:b w:val="false"/>
          <w:color w:val="000000"/>
          <w:sz w:val="24"/>
        </w:rPr>
        <w:t>means the New York Uniform Commercial Code as in effect from time to time.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U.S. Dollar</w:t>
      </w:r>
      <w:r>
        <w:rPr>
          <w:color w:val="000000"/>
        </w:rPr>
        <w:t xml:space="preserve">” </w:t>
      </w:r>
      <w:r>
        <w:rPr>
          <w:rFonts w:ascii="Times New Roman;serif" w:hAnsi="Times New Roman;serif"/>
          <w:b w:val="false"/>
          <w:color w:val="000000"/>
          <w:sz w:val="24"/>
        </w:rPr>
        <w:t>means a dollar or other equivalent unit in such coin or currency of the United States as at the time shall be legal tender for the payment of public and private debt.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of a Person means all classes of Capital Stock of such Person then outstanding and normally entitled (without regard to the occurrence of any contingency) to vote in the election of directors, managers or trustees thereof.</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97" w:name="ia730ea8dd1e3445ba64e9cab63ae9c8e"/>
      <w:bookmarkEnd w:id="97"/>
      <w:r>
        <w:rPr>
          <w:rFonts w:ascii="Times New Roman;serif" w:hAnsi="Times New Roman;serif"/>
          <w:b w:val="false"/>
          <w:color w:val="000000"/>
          <w:sz w:val="24"/>
          <w:u w:val="single"/>
        </w:rPr>
        <w:t>Section 1.02    Other Definitions.</w:t>
      </w:r>
    </w:p>
    <w:tbl>
      <w:tblPr>
        <w:tblW w:w="3075" w:type="dxa"/>
        <w:jc w:val="left"/>
        <w:tblInd w:w="0" w:type="dxa"/>
        <w:tblLayout w:type="fixed"/>
        <w:tblCellMar>
          <w:top w:w="28" w:type="dxa"/>
          <w:left w:w="28" w:type="dxa"/>
          <w:bottom w:w="28" w:type="dxa"/>
          <w:right w:w="28" w:type="dxa"/>
        </w:tblCellMar>
      </w:tblPr>
      <w:tblGrid>
        <w:gridCol w:w="791"/>
        <w:gridCol w:w="696"/>
        <w:gridCol w:w="702"/>
        <w:gridCol w:w="259"/>
        <w:gridCol w:w="259"/>
        <w:gridCol w:w="368"/>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Section</w:t>
            </w:r>
          </w:p>
        </w:tc>
      </w:tr>
      <w:tr>
        <w:trPr/>
        <w:tc>
          <w:tcPr>
            <w:tcW w:w="2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Bankruptcy Law</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Covenant Defeasance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8.03</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Custodian</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 of Default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DTC</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37845"/>
                <wp:effectExtent l="0" t="0" r="0" b="0"/>
                <wp:wrapNone/>
                <wp:docPr id="69" name="Frame6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tbl>
      <w:tblPr>
        <w:tblW w:w="3148" w:type="dxa"/>
        <w:jc w:val="left"/>
        <w:tblInd w:w="0" w:type="dxa"/>
        <w:tblLayout w:type="fixed"/>
        <w:tblCellMar>
          <w:top w:w="28" w:type="dxa"/>
          <w:left w:w="28" w:type="dxa"/>
          <w:bottom w:w="28" w:type="dxa"/>
          <w:right w:w="28" w:type="dxa"/>
        </w:tblCellMar>
      </w:tblPr>
      <w:tblGrid>
        <w:gridCol w:w="744"/>
        <w:gridCol w:w="653"/>
        <w:gridCol w:w="657"/>
        <w:gridCol w:w="318"/>
        <w:gridCol w:w="318"/>
        <w:gridCol w:w="45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Legal Defeasance</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8.02</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Default</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Paying Agent</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2.04</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Registrar</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2.04</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 Company</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5.01(a)(1)</w:t>
            </w:r>
          </w:p>
        </w:tc>
      </w:tr>
    </w:tbl>
    <w:p>
      <w:pPr>
        <w:pStyle w:val="TextBody"/>
        <w:bidi w:val="0"/>
        <w:spacing w:before="0" w:after="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98" w:name="i4f89f32a142d4ecdbdf01365ada9176b"/>
      <w:bookmarkEnd w:id="98"/>
      <w:r>
        <w:rPr>
          <w:rFonts w:ascii="Times New Roman;serif" w:hAnsi="Times New Roman;serif"/>
          <w:b w:val="false"/>
          <w:color w:val="000000"/>
          <w:sz w:val="24"/>
          <w:u w:val="single"/>
        </w:rPr>
        <w:t>Section 1.03    Incorporation by Reference of Trust Indenture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Indenture is subject to the mandatory provisions of the Trust Indenture Act which are incorporated by reference in and made a part of this Indenture. The following Trust Indenture Act terms have the following meanings: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indenture securities</w:t>
      </w:r>
      <w:r>
        <w:rPr>
          <w:color w:val="000000"/>
        </w:rPr>
        <w:t xml:space="preserve">” </w:t>
      </w:r>
      <w:r>
        <w:rPr>
          <w:rFonts w:ascii="Times New Roman;serif" w:hAnsi="Times New Roman;serif"/>
          <w:b w:val="false"/>
          <w:color w:val="000000"/>
          <w:sz w:val="24"/>
        </w:rPr>
        <w:t>means the Securities;</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indenture security holder</w:t>
      </w:r>
      <w:r>
        <w:rPr>
          <w:color w:val="000000"/>
        </w:rPr>
        <w:t xml:space="preserve">” </w:t>
      </w:r>
      <w:r>
        <w:rPr>
          <w:rFonts w:ascii="Times New Roman;serif" w:hAnsi="Times New Roman;serif"/>
          <w:b w:val="false"/>
          <w:color w:val="000000"/>
          <w:sz w:val="24"/>
        </w:rPr>
        <w:t>means a Holder;</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indenture to be qualified</w:t>
      </w:r>
      <w:r>
        <w:rPr>
          <w:color w:val="000000"/>
        </w:rPr>
        <w:t xml:space="preserve">” </w:t>
      </w:r>
      <w:r>
        <w:rPr>
          <w:rFonts w:ascii="Times New Roman;serif" w:hAnsi="Times New Roman;serif"/>
          <w:b w:val="false"/>
          <w:color w:val="000000"/>
          <w:sz w:val="24"/>
        </w:rPr>
        <w:t>means this Indenture;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u w:val="single"/>
        </w:rPr>
        <w:t>indenture trustee</w:t>
      </w:r>
      <w:r>
        <w:rPr>
          <w:color w:val="000000"/>
        </w:rPr>
        <w:t xml:space="preserve">” </w:t>
      </w:r>
      <w:r>
        <w:rPr>
          <w:rFonts w:ascii="Times New Roman;serif" w:hAnsi="Times New Roman;serif"/>
          <w:b w:val="false"/>
          <w:color w:val="000000"/>
          <w:sz w:val="24"/>
        </w:rPr>
        <w:t>or “institutional trustee” means the Trustee; and “</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on the Securities means the Company, and any other obligor on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other terms used in this Indenture that are defined by the Trust Indenture Act, defined by Trust Indenture Act reference to another statute or defined by SEC rule have the meanings assigned to them by such definitions.</w:t>
      </w:r>
    </w:p>
    <w:p>
      <w:pPr>
        <w:pStyle w:val="TextBody"/>
        <w:bidi w:val="0"/>
        <w:spacing w:lineRule="auto" w:line="288" w:before="0" w:after="0"/>
        <w:ind w:left="0" w:right="0" w:firstLine="720"/>
        <w:jc w:val="left"/>
        <w:rPr/>
      </w:pPr>
      <w:bookmarkStart w:id="99" w:name="i5f427792b2514e3ba60857220049e58d"/>
      <w:bookmarkEnd w:id="99"/>
      <w:r>
        <w:rPr>
          <w:rFonts w:ascii="Times New Roman;serif" w:hAnsi="Times New Roman;serif"/>
          <w:b w:val="false"/>
          <w:color w:val="000000"/>
          <w:sz w:val="20"/>
        </w:rPr>
        <w:t>Section 1.04    </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0" w:name="i77f48b46b83d46f1ae2a6cf3d80aa187"/>
      <w:bookmarkEnd w:id="100"/>
      <w:r>
        <w:rPr>
          <w:rFonts w:ascii="Times New Roman;serif" w:hAnsi="Times New Roman;serif"/>
          <w:b w:val="false"/>
          <w:color w:val="000000"/>
          <w:sz w:val="24"/>
        </w:rPr>
        <w:t>(1)    a term has the meaning assigned to it;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1" w:name="i126a8d6351ab41ee871ccad011a9ad0f"/>
      <w:bookmarkEnd w:id="101"/>
      <w:r>
        <w:rPr>
          <w:rFonts w:ascii="Times New Roman;serif" w:hAnsi="Times New Roman;serif"/>
          <w:b w:val="false"/>
          <w:color w:val="000000"/>
          <w:sz w:val="24"/>
        </w:rPr>
        <w:t>(2)    an accounting term not otherwise defined has the meaning assigned to it in accordance with GAAP;</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2" w:name="i6fb67346f0984c0fb8742e17eb76084f"/>
      <w:bookmarkEnd w:id="102"/>
      <w:r>
        <w:rPr>
          <w:rFonts w:ascii="Times New Roman;serif" w:hAnsi="Times New Roman;serif"/>
          <w:b w:val="false"/>
          <w:color w:val="000000"/>
          <w:sz w:val="24"/>
        </w:rPr>
        <w:t>(3)    “or” is not exclusive;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3" w:name="i7471e12d3abe40609d06025a238f9165"/>
      <w:bookmarkEnd w:id="103"/>
      <w:r>
        <w:rPr>
          <w:rFonts w:ascii="Times New Roman;serif" w:hAnsi="Times New Roman;serif"/>
          <w:b w:val="false"/>
          <w:color w:val="000000"/>
          <w:sz w:val="24"/>
        </w:rPr>
        <w:t>(4)    “including” means including without limitation;</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4" w:name="i928e54a23dd248778f09e79bc04d9c6e"/>
      <w:bookmarkEnd w:id="104"/>
      <w:r>
        <w:rPr>
          <w:rFonts w:ascii="Times New Roman;serif" w:hAnsi="Times New Roman;serif"/>
          <w:b w:val="false"/>
          <w:color w:val="000000"/>
          <w:sz w:val="24"/>
        </w:rPr>
        <w:t>(5)    words in the singular include the plural and words in the plural include the singular;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5" w:name="idce2d8b292cf4e0aaa771cfcd369a42c"/>
      <w:bookmarkEnd w:id="105"/>
      <w:r>
        <w:rPr>
          <w:rFonts w:ascii="Times New Roman;serif" w:hAnsi="Times New Roman;serif"/>
          <w:b w:val="false"/>
          <w:color w:val="000000"/>
          <w:sz w:val="24"/>
        </w:rPr>
        <w:t>(6)    unsecured Indebtedness shall not be deemed to be subordinate or junior to secured Indebtedness merely by virtue of its nature as unsecured Indebtedness;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6" w:name="if7899972843444bdb07e719ec3001b9d"/>
      <w:bookmarkEnd w:id="106"/>
      <w:r>
        <w:rPr>
          <w:rFonts w:ascii="Times New Roman;serif" w:hAnsi="Times New Roman;serif"/>
          <w:b w:val="false"/>
          <w:color w:val="000000"/>
          <w:sz w:val="24"/>
        </w:rPr>
        <w:t>(7)    secured Indebtedness shall not be deemed to be subordinate or junior to any other secured Indebtedness merely because it has a junior priority with respect to the same collateral; and</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37845"/>
                <wp:effectExtent l="0" t="0" r="0" b="0"/>
                <wp:wrapNone/>
                <wp:docPr id="70" name="Frame6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07" w:name="i4862975aa2a8433cb0628fdaf6d67752"/>
      <w:bookmarkEnd w:id="107"/>
      <w:r>
        <w:rPr>
          <w:rFonts w:ascii="Times New Roman;serif" w:hAnsi="Times New Roman;serif"/>
          <w:b w:val="false"/>
          <w:color w:val="000000"/>
          <w:sz w:val="24"/>
        </w:rPr>
        <w:t>(8)    the principal amount of any noninterest bearing or other discount security at any date shall be the principal amount thereof that would be shown on a balance sheet of the issuer dated such date prepared in accordance with GAAP.</w:t>
      </w:r>
    </w:p>
    <w:p>
      <w:pPr>
        <w:pStyle w:val="TextBody"/>
        <w:bidi w:val="0"/>
        <w:spacing w:lineRule="auto" w:line="240" w:before="0" w:after="240"/>
        <w:jc w:val="center"/>
        <w:rPr>
          <w:rFonts w:ascii="Times New Roman;serif" w:hAnsi="Times New Roman;serif"/>
          <w:b w:val="false"/>
          <w:color w:val="000000"/>
          <w:sz w:val="24"/>
          <w:u w:val="single"/>
        </w:rPr>
      </w:pPr>
      <w:bookmarkStart w:id="108" w:name="ie31bcd73760e4c8f8d36617357bd10b4"/>
      <w:bookmarkEnd w:id="108"/>
      <w:r>
        <w:rPr>
          <w:rFonts w:ascii="Times New Roman;serif" w:hAnsi="Times New Roman;serif"/>
          <w:b w:val="false"/>
          <w:color w:val="000000"/>
          <w:sz w:val="24"/>
          <w:u w:val="single"/>
        </w:rPr>
        <w:t>ARTICLE II</w:t>
        <w:br/>
        <w:br/>
        <w:t>The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09" w:name="i245eb556c73b4a0abaa71a2128da8162"/>
      <w:bookmarkEnd w:id="109"/>
      <w:r>
        <w:rPr>
          <w:rFonts w:ascii="Times New Roman;serif" w:hAnsi="Times New Roman;serif"/>
          <w:b w:val="false"/>
          <w:color w:val="000000"/>
          <w:sz w:val="24"/>
          <w:u w:val="single"/>
        </w:rPr>
        <w:t>Section 2.01    Issuable in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aggregate principal amount of Securities that may be authenticated and delivered under this Indenture is unlimited. The Securities may be issued in one or more Series as the Company may authorize from time to time.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supplemental indenture or Officer’s Certificate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10" w:name="i4ff17d1dc3064dcfa9afbb775fd87c4d"/>
      <w:bookmarkEnd w:id="110"/>
      <w:r>
        <w:rPr>
          <w:rFonts w:ascii="Times New Roman;serif" w:hAnsi="Times New Roman;serif"/>
          <w:b w:val="false"/>
          <w:color w:val="000000"/>
          <w:sz w:val="24"/>
          <w:u w:val="single"/>
        </w:rPr>
        <w:t>Section 2.02    Establishment of Terms of Series of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or prior to the issuance of any Securities within a Series, the following shall be established (as to the Series generally, in the case of Section 2.02(a), and either as to such Securities within the Series or as to the Series generally in the case of Sections 2.02(b) through 2.02(cc)) by a Board Resolution, a supplemental indenture or an Officer’s Certificate pursuant to authority granted under a Board Resolution:</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1" w:name="i238681eec10b4101812886bf00c18b6e"/>
      <w:bookmarkEnd w:id="111"/>
      <w:r>
        <w:rPr>
          <w:rFonts w:ascii="Times New Roman;serif" w:hAnsi="Times New Roman;serif"/>
          <w:b w:val="false"/>
          <w:color w:val="000000"/>
          <w:sz w:val="24"/>
        </w:rPr>
        <w:t>(a)    the title of the Securities of the Series (which shall distinguish the Securities of that particular Series from the Securities of any other Series) and ranking (including the terms of any subordination provisions);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2" w:name="i824fb3d88b4944038bece78a6ef1cf2e"/>
      <w:bookmarkEnd w:id="112"/>
      <w:r>
        <w:rPr>
          <w:rFonts w:ascii="Times New Roman;serif" w:hAnsi="Times New Roman;serif"/>
          <w:b w:val="false"/>
          <w:color w:val="000000"/>
          <w:sz w:val="24"/>
        </w:rPr>
        <w:t>(b)    the price or prices of the Securities of the Series at which such Securities will be issued;</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3" w:name="i7bb31b2703254f6a8429b44b6e9e507b"/>
      <w:bookmarkEnd w:id="113"/>
      <w:r>
        <w:rPr>
          <w:rFonts w:ascii="Times New Roman;serif" w:hAnsi="Times New Roman;serif"/>
          <w:b w:val="false"/>
          <w:color w:val="000000"/>
          <w:sz w:val="24"/>
        </w:rPr>
        <w:t>(c)    whether the Securities are entitled to the benefit of any Guarantee by any Guarantor;</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4" w:name="i6289d64139154f04a0afef53d37d5ff6"/>
      <w:bookmarkEnd w:id="114"/>
      <w:r>
        <w:rPr>
          <w:rFonts w:ascii="Times New Roman;serif" w:hAnsi="Times New Roman;serif"/>
          <w:b w:val="false"/>
          <w:color w:val="000000"/>
          <w:sz w:val="24"/>
        </w:rPr>
        <w:t>(d)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5" w:name="i17284c012ffd4f82aa0a566942e62869"/>
      <w:bookmarkEnd w:id="115"/>
      <w:r>
        <w:rPr>
          <w:rFonts w:ascii="Times New Roman;serif" w:hAnsi="Times New Roman;serif"/>
          <w:b w:val="false"/>
          <w:color w:val="000000"/>
          <w:sz w:val="24"/>
        </w:rPr>
        <w:t>(e)    the date or dates on which the principal and premium with respect to the Securities of the Series are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37845"/>
                <wp:effectExtent l="0" t="0" r="0" b="0"/>
                <wp:wrapNone/>
                <wp:docPr id="71" name="Frame6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6" w:name="ie06680b722634a128df3d7e51f6b1baa"/>
      <w:bookmarkEnd w:id="116"/>
      <w:r>
        <w:rPr>
          <w:rFonts w:ascii="Times New Roman;serif" w:hAnsi="Times New Roman;serif"/>
          <w:b w:val="false"/>
          <w:color w:val="000000"/>
          <w:sz w:val="24"/>
        </w:rPr>
        <w:t>(f)    the Person to whom any interest on a Security of the Series shall be payable if other than the Person in whose name that Security is registered at the close of business on the record date;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7" w:name="i467e1aca3bae4e1fa4491758e6b5b53d"/>
      <w:bookmarkEnd w:id="117"/>
      <w:r>
        <w:rPr>
          <w:rFonts w:ascii="Times New Roman;serif" w:hAnsi="Times New Roman;serif"/>
          <w:b w:val="false"/>
          <w:color w:val="000000"/>
          <w:sz w:val="24"/>
        </w:rPr>
        <w:t>(g)    the rate or rates (which may be fixed or variable) at which the Securities of the Series shall bear interest, if any, or the method of determining such rate or rates (including, but not limited to, any commodity, commodity index, stock exchange index or financial index), the date or dates from which such interest, if any, shall accrue, the Interest Payment Dates on which such interest, if any, shall be 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8" w:name="i20fd86e0883e4c6296fffabdd286195e"/>
      <w:bookmarkEnd w:id="118"/>
      <w:r>
        <w:rPr>
          <w:rFonts w:ascii="Times New Roman;serif" w:hAnsi="Times New Roman;serif"/>
          <w:b w:val="false"/>
          <w:color w:val="000000"/>
          <w:sz w:val="24"/>
        </w:rPr>
        <w:t>(h)    the currency or currencies in which Securities of the Series shall be denominated and/or in which payment of the principal, premium, if any, and interest, on any of the Securities of the Series shall be payable, if other than U.S. Dollars, the place or places, if any, in addition to or instead of the Corporate Trust Office of the Trustee, where the principal, premium and interest, if any, with respect to Securities of such Series shall be payable, where notices and demands to or upon the Company in respect of the Securities of such Series and this Indenture may be delivered, and the method of such payment, if by wire transfer, mail or other means;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19" w:name="i3d1de05658a64d7a983c3fd2d3e232eb"/>
      <w:bookmarkEnd w:id="119"/>
      <w:r>
        <w:rPr>
          <w:rFonts w:ascii="Times New Roman;serif" w:hAnsi="Times New Roman;serif"/>
          <w:b w:val="false"/>
          <w:color w:val="000000"/>
          <w:sz w:val="24"/>
        </w:rPr>
        <w:t>(i)    the price or prices at which, the period or periods within which, and the terms and conditions upon which, Securities of the Series may be redeemed, in whole or in part at the option of the Company or otherwise;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0" w:name="i15b759b727e34155be82e87b187a92f7"/>
      <w:bookmarkEnd w:id="120"/>
      <w:r>
        <w:rPr>
          <w:rFonts w:ascii="Times New Roman;serif" w:hAnsi="Times New Roman;serif"/>
          <w:b w:val="false"/>
          <w:color w:val="000000"/>
          <w:sz w:val="24"/>
        </w:rPr>
        <w:t>(j)    the Company’s obligation or right, if any, to redeem, purchase or repay the Securities of the Series pursuant to any sinking fund or analogous provisions or at the option of a Holder of such Securities and the price or prices at which, the period or periods within which, and the terms and conditions upon which, Securities of the Series shall be redeemed, purchased or repaid, in whole or in part, pursuant to such obligations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1" w:name="idfd16afb47344c9b9f73c38e07d48741"/>
      <w:bookmarkEnd w:id="121"/>
      <w:r>
        <w:rPr>
          <w:rFonts w:ascii="Times New Roman;serif" w:hAnsi="Times New Roman;serif"/>
          <w:b w:val="false"/>
          <w:color w:val="000000"/>
          <w:sz w:val="24"/>
        </w:rPr>
        <w:t>(k)    the terms, if any, upon which the Securities of the Series may be convertible into or exchanged for the Company’s common stock, preferred stock, depositary shares, other debt securities or warrants for common stock, preferred stock, depositary shares, Indebtedness or other securities of any kind and the terms and conditions upon which such conversion or exchange shall be effected, including the initial conversion or exchange price or rate, the conversion or exchange period and any other additional provisions;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2" w:name="i64d983a870b44febbf16109d8293b076"/>
      <w:bookmarkEnd w:id="122"/>
      <w:r>
        <w:rPr>
          <w:rFonts w:ascii="Times New Roman;serif" w:hAnsi="Times New Roman;serif"/>
          <w:b w:val="false"/>
          <w:color w:val="000000"/>
          <w:sz w:val="24"/>
        </w:rPr>
        <w:t>(l)    if other than minimum denominations of $2,000 and any integral multiple of $1,000 in excess thereof, the denominations in which the Securities of the Series shall be issuable;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3" w:name="ic14356e34af944c8b47e71ec40531114"/>
      <w:bookmarkEnd w:id="123"/>
      <w:r>
        <w:rPr>
          <w:rFonts w:ascii="Times New Roman;serif" w:hAnsi="Times New Roman;serif"/>
          <w:b w:val="false"/>
          <w:color w:val="000000"/>
          <w:sz w:val="24"/>
        </w:rPr>
        <w:t>(m)    if the amount of principal, premium or interest with respect to the Securities of the Series may be determined with reference to an index or pursuant to a formula, the manner in which such amounts will be determined;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37845"/>
                <wp:effectExtent l="0" t="0" r="0" b="0"/>
                <wp:wrapNone/>
                <wp:docPr id="72" name="Frame7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4" w:name="i6dba65707ed14078a98ca7838e4a582f"/>
      <w:bookmarkEnd w:id="124"/>
      <w:r>
        <w:rPr>
          <w:rFonts w:ascii="Times New Roman;serif" w:hAnsi="Times New Roman;serif"/>
          <w:b w:val="false"/>
          <w:color w:val="000000"/>
          <w:sz w:val="24"/>
        </w:rPr>
        <w:t>(n)    if the principal amount payable at the Stated Maturity of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5" w:name="idce7606feeeb47ada19044dbbe0bc842"/>
      <w:bookmarkEnd w:id="125"/>
      <w:r>
        <w:rPr>
          <w:rFonts w:ascii="Times New Roman;serif" w:hAnsi="Times New Roman;serif"/>
          <w:b w:val="false"/>
          <w:color w:val="000000"/>
          <w:sz w:val="24"/>
        </w:rPr>
        <w:t>(o)    any changes or additions to Article VIII;</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6" w:name="id4b4f5b55655497995b71df9e27f9996"/>
      <w:bookmarkEnd w:id="126"/>
      <w:r>
        <w:rPr>
          <w:rFonts w:ascii="Times New Roman;serif" w:hAnsi="Times New Roman;serif"/>
          <w:b w:val="false"/>
          <w:color w:val="000000"/>
          <w:sz w:val="24"/>
        </w:rPr>
        <w:t>(p)    if other than the principal amount thereof, the portion of the principal amount of the Securities of the Series that shall be payable upon declaration of acceleration of the maturity thereof pursuant to Section 6.02 or provable in bankruptcy;</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7" w:name="ia0b53fe67324445186fd6f7ab4822d1c"/>
      <w:bookmarkEnd w:id="127"/>
      <w:r>
        <w:rPr>
          <w:rFonts w:ascii="Times New Roman;serif" w:hAnsi="Times New Roman;serif"/>
          <w:b w:val="false"/>
          <w:color w:val="000000"/>
          <w:sz w:val="24"/>
        </w:rPr>
        <w:t>(q)    the terms, if any, of the transfer, mortgage, pledge or assignment as security for the Securities of the Series of any properties, assets, moneys, proceeds, securities or other collateral and any corresponding changes to provisions of this Indenture as then in effect;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8" w:name="iae22442d01d74048a7e1817c1d3d0ac9"/>
      <w:bookmarkEnd w:id="128"/>
      <w:r>
        <w:rPr>
          <w:rFonts w:ascii="Times New Roman;serif" w:hAnsi="Times New Roman;serif"/>
          <w:b w:val="false"/>
          <w:color w:val="000000"/>
          <w:sz w:val="24"/>
        </w:rPr>
        <w:t>(r)    any addition to or change in the Events of Default with respect to any Securities of the Series and any change in the right of the Trustee or the Holders of such Series of Securities to declare the principal, premium and interest, if any, on such Series of Securities due and payable pursuant to Section 6.02;</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29" w:name="ie6c58c623882440990726f967fb53468"/>
      <w:bookmarkEnd w:id="129"/>
      <w:r>
        <w:rPr>
          <w:rFonts w:ascii="Times New Roman;serif" w:hAnsi="Times New Roman;serif"/>
          <w:b w:val="false"/>
          <w:color w:val="000000"/>
          <w:sz w:val="24"/>
        </w:rPr>
        <w:t>(s)    if the Securities of the Series shall be issued in whole or in part in the form of a Global Security, the terms and conditions, if any, upon which such Global Security may be exchanged in whole or in part for other individual Securities of such Series in definitive registered form, the Depositary for such Global Security and the form of any legend or legends to be borne by any such Global Security in addition to or in lieu of the Global Securities Legend;</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0" w:name="ic70063e47b474353bd5e3838e8680ae7"/>
      <w:bookmarkEnd w:id="130"/>
      <w:r>
        <w:rPr>
          <w:rFonts w:ascii="Times New Roman;serif" w:hAnsi="Times New Roman;serif"/>
          <w:b w:val="false"/>
          <w:color w:val="000000"/>
          <w:sz w:val="24"/>
        </w:rPr>
        <w:t>(t)    any Trustee, authenticating agent, Paying Agent, transfer agent or Registrar, or any other agent with respect to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1" w:name="i638ad6a207064731bf126c791ab1397b"/>
      <w:bookmarkEnd w:id="131"/>
      <w:r>
        <w:rPr>
          <w:rFonts w:ascii="Times New Roman;serif" w:hAnsi="Times New Roman;serif"/>
          <w:b w:val="false"/>
          <w:color w:val="000000"/>
          <w:sz w:val="24"/>
        </w:rPr>
        <w:t>(u)    the applicability of, and any addition to, deletion of or change in, the covenants and definitions set forth in Articles IV or V which apply to Securities of the Series;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2" w:name="i66f9f0a2a4a84ef9b1f0c51c58c8b9ba"/>
      <w:bookmarkEnd w:id="132"/>
      <w:r>
        <w:rPr>
          <w:rFonts w:ascii="Times New Roman;serif" w:hAnsi="Times New Roman;serif"/>
          <w:b w:val="false"/>
          <w:color w:val="000000"/>
          <w:sz w:val="24"/>
        </w:rPr>
        <w:t>(v)    the terms, if any, of any Guarantee of the payment of principal, premium and interest with respect to Securities of the Series and any corresponding changes to the provisions of this Indenture and as then in effect;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3" w:name="i5533822cd90f4284876788a5cc74896f"/>
      <w:bookmarkEnd w:id="133"/>
      <w:r>
        <w:rPr>
          <w:rFonts w:ascii="Times New Roman;serif" w:hAnsi="Times New Roman;serif"/>
          <w:b w:val="false"/>
          <w:color w:val="000000"/>
          <w:sz w:val="24"/>
        </w:rPr>
        <w:t>(w)    the subordination, if any, of the Securities of the Series pursuant to this Indenture and any changes or additions to the provisions of this Indenture then in effect;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4" w:name="i94b59971909a4a2f9b36f26c7465c70e"/>
      <w:bookmarkEnd w:id="134"/>
      <w:r>
        <w:rPr>
          <w:rFonts w:ascii="Times New Roman;serif" w:hAnsi="Times New Roman;serif"/>
          <w:b w:val="false"/>
          <w:color w:val="000000"/>
          <w:sz w:val="24"/>
        </w:rPr>
        <w:t>(x)    with regard to Securities of the Series that do not bear interest, the dates for certain required reports to the Trustee;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5" w:name="ifd3a96a8ffb646199673e5a76066de89"/>
      <w:bookmarkEnd w:id="135"/>
      <w:r>
        <w:rPr>
          <w:rFonts w:ascii="Times New Roman;serif" w:hAnsi="Times New Roman;serif"/>
          <w:b w:val="false"/>
          <w:color w:val="000000"/>
          <w:sz w:val="24"/>
        </w:rPr>
        <w:t>(y)    any U.S. federal income tax consequences or implications applicable to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37845"/>
                <wp:effectExtent l="0" t="0" r="0" b="0"/>
                <wp:wrapNone/>
                <wp:docPr id="73" name="Frame7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6" w:name="ibaafb8fd9a994eba88aebd91be72d937"/>
      <w:bookmarkEnd w:id="136"/>
      <w:r>
        <w:rPr>
          <w:rFonts w:ascii="Times New Roman;serif" w:hAnsi="Times New Roman;serif"/>
          <w:b w:val="false"/>
          <w:color w:val="000000"/>
          <w:sz w:val="24"/>
        </w:rPr>
        <w:t>(z)    any provisions granting special rights to Holders when a specified event occurs;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7" w:name="i5fdc7ac74dee4f368e9b1a36c61d185a"/>
      <w:bookmarkEnd w:id="137"/>
      <w:r>
        <w:rPr>
          <w:rFonts w:ascii="Times New Roman;serif" w:hAnsi="Times New Roman;serif"/>
          <w:b w:val="false"/>
          <w:color w:val="000000"/>
          <w:sz w:val="24"/>
        </w:rPr>
        <w:t>(aa)    any co-issuer;</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8" w:name="i6875ca0af8c64433a08dbe938af25424"/>
      <w:bookmarkEnd w:id="138"/>
      <w:r>
        <w:rPr>
          <w:rFonts w:ascii="Times New Roman;serif" w:hAnsi="Times New Roman;serif"/>
          <w:b w:val="false"/>
          <w:color w:val="000000"/>
          <w:sz w:val="24"/>
        </w:rPr>
        <w:t xml:space="preserve">(bb)    the place or places where the principal of and interest, if any, on the Securities of the Series will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 and </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39" w:name="ibfbbb0db94514de8ab28fdbad91b557d"/>
      <w:bookmarkEnd w:id="139"/>
      <w:r>
        <w:rPr>
          <w:rFonts w:ascii="Times New Roman;serif" w:hAnsi="Times New Roman;serif"/>
          <w:b w:val="false"/>
          <w:color w:val="000000"/>
          <w:sz w:val="24"/>
        </w:rPr>
        <w:t>(cc)    any other terms of Securities of the Series (which terms shall not be prohibited by the provisions of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0" w:name="i6736ef78251e40db8aa7032e8956fee6"/>
      <w:bookmarkEnd w:id="140"/>
      <w:r>
        <w:rPr>
          <w:rFonts w:ascii="Times New Roman;serif" w:hAnsi="Times New Roman;serif"/>
          <w:b w:val="false"/>
          <w:color w:val="000000"/>
          <w:sz w:val="24"/>
          <w:u w:val="single"/>
        </w:rPr>
        <w:t>Section 2.03    Execution and Authentication.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 Officer shall sign the Securities for the Company by manual or facsimile signature.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 Officer whose signature is on a Security no longer holds that office at the time the Trustee authenticates the Security, the Security shall be valid nevertheless.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Security shall not be valid until an authorized signatory of the Trustee manually signs the certificate of authentication on the Security. The signature of the Trustee on a Security shall be conclusive evidence that such Security has been duly and validly authenticated and issued under this Indenture. A Security shall be dated the date of its authentication, unless otherwise provided by a Board Resolution, a supplemental indenture or an Officer’s Certificate.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shall at any time, and from time to time, authenticate Securities for original issue in the principal amount provided in the Board Resolution, supplemental indenture hereto or Officer’s Certificate, upon receipt by the Trustee of a Company Order, an Officer’s Certificate delivered in accordance with Section 10.04 and an Opinion of Counsel complying with Section 10.04 which shall state: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41" w:name="ica14f7264c1945c4b042bedcc1d1926d"/>
      <w:bookmarkEnd w:id="141"/>
      <w:r>
        <w:rPr>
          <w:rFonts w:ascii="Times New Roman;serif" w:hAnsi="Times New Roman;serif"/>
          <w:b w:val="false"/>
          <w:color w:val="000000"/>
          <w:sz w:val="24"/>
        </w:rPr>
        <w:t>(1)    that the form and the terms of such Securities have been established by a supplemental indenture or by or pursuant to a Board Resolution in accordance with Sections 2.01 and 2.02 and in conformity with the provisions of this Indenture;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42" w:name="i5d48fabe7b2d4dfd9b431eaa99e8c218"/>
      <w:bookmarkEnd w:id="142"/>
      <w:r>
        <w:rPr>
          <w:rFonts w:ascii="Times New Roman;serif" w:hAnsi="Times New Roman;serif"/>
          <w:b w:val="false"/>
          <w:color w:val="000000"/>
          <w:sz w:val="24"/>
        </w:rPr>
        <w:t xml:space="preserve">(2)    that such Securities when authenticated and delivered by the Trustee and issued by the Company in the manner and subject to any conditions specified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37845"/>
                <wp:effectExtent l="0" t="0" r="0" b="0"/>
                <wp:wrapNone/>
                <wp:docPr id="74" name="Frame7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Opinion of Counsel, will have been duly authorized, executed and delivered, and constitute valid and legally binding obligations of the Company, enforceable in accordance with their terms, subject to bankruptcy, insolvency, reorganization, fraudulent conveyance, moratorium or other similar laws relating to or affecting creditors’ rights generally and subject to general principles of equity, including concepts of materiality, reasonableness, good faith and fair dealing, regardless of whether such enforceability is considered in a proceeding in equity or at law;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43" w:name="i4c349e40701145a8a7722b1e122a4ef8"/>
      <w:bookmarkEnd w:id="143"/>
      <w:r>
        <w:rPr>
          <w:rFonts w:ascii="Times New Roman;serif" w:hAnsi="Times New Roman;serif"/>
          <w:b w:val="false"/>
          <w:color w:val="000000"/>
          <w:sz w:val="24"/>
        </w:rPr>
        <w:t>(3)    that all conditions precedent in respect of the execution and delivery by the Company of such Securities and, if applicable, the execution of the supplemental indenture, have been complied with;</w:t>
      </w:r>
    </w:p>
    <w:p>
      <w:pPr>
        <w:pStyle w:val="TextBody"/>
        <w:bidi w:val="0"/>
        <w:spacing w:lineRule="auto" w:line="288" w:before="0" w:after="240"/>
        <w:jc w:val="left"/>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Opinion of Counsel addressing the matters set forth in clause (3) above shall not be required to be furnished in connection with the initial issuance of Securities hereunder.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reasonably acceptable to the Company to authenticate the Securities. Any such appointment shall be evidenced by an instrument signed by a Trust Officer, a copy of which shall be furnished to the Company.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any Registrar, Paying Agent or agent for service of notices and demands.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4" w:name="ifbf813eb7728492bac2733743cd58a0b"/>
      <w:bookmarkEnd w:id="144"/>
      <w:r>
        <w:rPr>
          <w:rFonts w:ascii="Times New Roman;serif" w:hAnsi="Times New Roman;serif"/>
          <w:b w:val="false"/>
          <w:color w:val="000000"/>
          <w:sz w:val="24"/>
          <w:u w:val="single"/>
        </w:rPr>
        <w:t>Section 2.04    Registrar and Paying Agent.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Company shall maintain, with respect to each Series of Securities, at the place or places specified with respect to such Series pursuant to Section 2.02, an office or agency where Securities of such Series may be presented for registration of transfer or for exchange (the “</w:t>
      </w:r>
      <w:r>
        <w:rPr>
          <w:rFonts w:ascii="Times New Roman;serif" w:hAnsi="Times New Roman;serif"/>
          <w:b w:val="false"/>
          <w:color w:val="000000"/>
          <w:sz w:val="24"/>
          <w:u w:val="single"/>
        </w:rPr>
        <w:t>Registrar</w:t>
      </w:r>
      <w:r>
        <w:rPr>
          <w:color w:val="000000"/>
        </w:rPr>
        <w:t>”</w:t>
      </w:r>
      <w:r>
        <w:rPr>
          <w:rFonts w:ascii="Times New Roman;serif" w:hAnsi="Times New Roman;serif"/>
          <w:b w:val="false"/>
          <w:color w:val="000000"/>
          <w:sz w:val="24"/>
        </w:rPr>
        <w:t>) and an office or agency where Securities of such Series may be presented for payment (the “</w:t>
      </w:r>
      <w:r>
        <w:rPr>
          <w:rFonts w:ascii="Times New Roman;serif" w:hAnsi="Times New Roman;serif"/>
          <w:b w:val="false"/>
          <w:color w:val="000000"/>
          <w:sz w:val="24"/>
          <w:u w:val="single"/>
        </w:rPr>
        <w:t>Paying Agent</w:t>
      </w:r>
      <w:r>
        <w:rPr>
          <w:color w:val="000000"/>
        </w:rPr>
        <w:t>”</w:t>
      </w:r>
      <w:r>
        <w:rPr>
          <w:rFonts w:ascii="Times New Roman;serif" w:hAnsi="Times New Roman;serif"/>
          <w:b w:val="false"/>
          <w:color w:val="000000"/>
          <w:sz w:val="24"/>
        </w:rPr>
        <w:t>). The Registrar shall keep a register with respect to each Series of Securities and of their transfer and exchange. The Company may appoint one or more co-Registrars and one or more additional paying agents. The term “Paying Agent” includes any additional paying agent and the term “Registrar” includes any co-Registrars. The Company hereby appoints the Trustee as Registrar and Paying Agent for each Series of Securities unless another Registrar or Paying Agent, as the case may be, is appointed prior to the time Securities of a Series are first issued. The Company may change any Registrar, co-Registrar or Paying Agent without notice to any Holder.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enter into an appropriate agency agreement with any Registrar, Paying Agent or co-Registrar not a party to this Indenture, which shall incorporate the terms of the Trust Indenture Act. The agreement shall implement the provisions of this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37845"/>
                <wp:effectExtent l="0" t="0" r="0" b="0"/>
                <wp:wrapNone/>
                <wp:docPr id="75" name="Frame7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that relate to such agent. The Company shall notify the Trustee of the name and address of any such agent. If the Company fails to maintain a Registrar or Paying Agent, the Trustee shall act as such and shall be entitled to appropriate compensation therefor pursuant to Section 7.07. The Company or any of its domestically organized Subsidiaries may act as Paying Agent, Registrar, co-Registrar or transfer agent.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may remove any Registrar or Paying Agent upon written notice to such Registrar or Paying Agent and to the Trustee; provided, however, that no such removal shall become effective until (1) acceptance of any appointment by a successor as evidenced by an agreement entered into by the Company and such successor Registrar or Paying Agent, as the case may be, and delivered to the Trustee or (2) notification to the Trustee that the Trustee shall serve as Registrar or Paying Agent until the appointment of a successor in accordance with clause (1) above. The Registrar or Paying Agent may resign at any time upon written notice; provided, however, that the Trustee may resign as Registrar or Paying Agent only if the Trustee also resigns as Trustee in accordance with Section 7.08.</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5" w:name="ia558849c71c5440dbce75c6c280e1cda"/>
      <w:bookmarkEnd w:id="145"/>
      <w:r>
        <w:rPr>
          <w:rFonts w:ascii="Times New Roman;serif" w:hAnsi="Times New Roman;serif"/>
          <w:b w:val="false"/>
          <w:color w:val="000000"/>
          <w:sz w:val="24"/>
          <w:u w:val="single"/>
        </w:rPr>
        <w:t>Section 2.05    Paying Agent to Hold Money in Trust.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any of its Subsidiaries) shall have no further liability for the money. If the Company or any of its domestically organized Subsidiaries acts as Paying Agent, it shall segregate and hold in a separate trust fund for the benefit of Holders of any Series of Securities all money held by it as Paying Agent. Upon any Event of Default under Section 6.01(5) or (6), the Trustee shall automatically become the Paying Agent. In the event that the Paying Agent receives funds in advance of the due date, the Paying Agent shall be entitled to invest such funds in the U.S. Bank Money Market Deposit Account or any other account designated by the Company in writing, any earnings on which shall be for the account of the Company.</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6" w:name="if01da955cde844898e4f73f3d7a6f666"/>
      <w:bookmarkEnd w:id="146"/>
      <w:r>
        <w:rPr>
          <w:rFonts w:ascii="Times New Roman;serif" w:hAnsi="Times New Roman;serif"/>
          <w:b w:val="false"/>
          <w:color w:val="000000"/>
          <w:sz w:val="24"/>
          <w:u w:val="single"/>
        </w:rPr>
        <w:t>Section 2.06    Holder Lists.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shall preserve in as current a form as is reasonably practicable the most recent list available to it of the names and addresses of Holders of each Series of Securities and shall otherwise comply with Trust Indenture Act Section 312(a). If the Trustee is not the Registrar, the Company shall furnish to the Trustee at least five days before each interest payment date and at such other times as the Trustee may request in writing a list, in such form and as of such date as the Trustee may reasonably require, of the names and addresses of Holders of each Series of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7" w:name="ia395ab5734384908921d7a320d34c987"/>
      <w:bookmarkEnd w:id="147"/>
      <w:r>
        <w:rPr>
          <w:rFonts w:ascii="Times New Roman;serif" w:hAnsi="Times New Roman;serif"/>
          <w:b w:val="false"/>
          <w:color w:val="000000"/>
          <w:sz w:val="24"/>
          <w:u w:val="single"/>
        </w:rPr>
        <w:t>Section 2.07    Transfer and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37845"/>
                <wp:effectExtent l="0" t="0" r="0" b="0"/>
                <wp:wrapNone/>
                <wp:docPr id="76" name="Frame7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9.05).</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Neither the Company nor the Registrar shall be required (a) to issue, register the transfer of, or exchange Securities of any Series for the period beginning at the opening of business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8" w:name="ic2fb62c213f140aa826da6e8fe7262d3"/>
      <w:bookmarkEnd w:id="148"/>
      <w:r>
        <w:rPr>
          <w:rFonts w:ascii="Times New Roman;serif" w:hAnsi="Times New Roman;serif"/>
          <w:b w:val="false"/>
          <w:color w:val="000000"/>
          <w:sz w:val="24"/>
          <w:u w:val="single"/>
        </w:rPr>
        <w:t>Section 2.08    Mutilated, Destroyed, Lost and Stolen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case any such mutilated, destroyed, lost or stolen Security has become or is about to become due and payable, the Company in its discretion may, instead of issuing a new Security, pay such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37845"/>
                <wp:effectExtent l="0" t="0" r="0" b="0"/>
                <wp:wrapNone/>
                <wp:docPr id="77" name="Frame7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enforceable by anyone, and shall be entitled to all the benefits of this Indenture equally and proportionately with any and all other Securities of that Series duly issued hereunder.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provisions of this Section are exclusive and shall preclude (to the extent lawful) all other rights and remedies with respect to the replacement or payment of mutilated, destroyed, lost or stolen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49" w:name="if6f474fb4a684fe4a324b5ed1ce98139"/>
      <w:bookmarkEnd w:id="149"/>
      <w:r>
        <w:rPr>
          <w:rFonts w:ascii="Times New Roman;serif" w:hAnsi="Times New Roman;serif"/>
          <w:b w:val="false"/>
          <w:color w:val="000000"/>
          <w:sz w:val="24"/>
          <w:u w:val="single"/>
        </w:rPr>
        <w:t>Section 2.09    Outstanding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Securities outstanding at any time are all Securities authenticated by the Trustee except for those canceled by it, those delivered to it for cancellation and those described in this Section as not outstanding. A Security does not cease to be outstanding because the Company or an Affiliate of the Company holds the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 Security is replaced pursuant to Section 2.08, it ceases to be outstanding unless the Company receives proof satisfactory to it that the replaced Security is held by a protected purchaser (as defined in Section 8-303 of the Uniform Commercial Code).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principal amount of any Security is considered paid, it ceases to be outstanding and interest on it ceases to accrue.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Paying Agent segregates and holds in trust, in accordance with this Indenture, at the Maturity of Securities of a Series money sufficient to pay all principal and interest payable on that date with respect to such Securities, then on and after that date such Securities cease to be outstanding and interest on them ceases to accrue.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requisite principal amount of outstanding Securities of any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50" w:name="if86c26068d694289ae09ec45147fcd0a"/>
      <w:bookmarkEnd w:id="150"/>
      <w:r>
        <w:rPr>
          <w:rFonts w:ascii="Times New Roman;serif" w:hAnsi="Times New Roman;serif"/>
          <w:b w:val="false"/>
          <w:color w:val="000000"/>
          <w:sz w:val="24"/>
          <w:u w:val="single"/>
        </w:rPr>
        <w:t>Section 2.10    Treasury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Securities of a Series have concurred in any request, demand, authorization, direction, notice, consent or waiver, Securities of a Series owned by the Company shall be disregarded.</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51" w:name="i2d550a0d48834b47bf46fdaefc2ba4cd"/>
      <w:bookmarkEnd w:id="151"/>
      <w:r>
        <w:rPr>
          <w:rFonts w:ascii="Times New Roman;serif" w:hAnsi="Times New Roman;serif"/>
          <w:b w:val="false"/>
          <w:color w:val="000000"/>
          <w:sz w:val="24"/>
          <w:u w:val="single"/>
        </w:rPr>
        <w:t>Section 2.11    Temporary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Until definitive Securities are ready for delivery, the Company may prepare and the Trustee shall authenticate and deliver temporary Securities upon receipt of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37845"/>
                <wp:effectExtent l="0" t="0" r="0" b="0"/>
                <wp:wrapNone/>
                <wp:docPr id="78" name="Frame7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Order, shall authenticate definitive Securities and deliver them in exchange for temporary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52" w:name="i1de0674c2703433dbd2a59a653f65019"/>
      <w:bookmarkEnd w:id="152"/>
      <w:r>
        <w:rPr>
          <w:rFonts w:ascii="Times New Roman;serif" w:hAnsi="Times New Roman;serif"/>
          <w:b w:val="false"/>
          <w:color w:val="000000"/>
          <w:sz w:val="24"/>
          <w:u w:val="single"/>
        </w:rPr>
        <w:t>Section 2.12    Cancellation.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at any time may deliver Securities to the Trustee for cancellation. The Registrar and the Paying Agent shall forward to the Trustee for cancellation any Securities surrendered to them for registration of transfer, exchange or payment. The Trustee and no one else shall cancel and dispose of (subject to the record retention requirements of the Exchange Act) all Securities surrendered for registration of transfer, exchange, payment, replacement or cancellation and deliver a certificate of such cancellation to the Company upon written request of the Company. The Company may not issue new Securities to replace Securities it has redeemed, paid or delivered to the Trustee for cancellation. The Trustee shall provide to the Company a list of all Securities that have been cancelled from time to time as requested in writing by the Company.</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53" w:name="i90c434df252b4e31baf6420d30addedb"/>
      <w:bookmarkEnd w:id="153"/>
      <w:r>
        <w:rPr>
          <w:rFonts w:ascii="Times New Roman;serif" w:hAnsi="Times New Roman;serif"/>
          <w:b w:val="false"/>
          <w:color w:val="000000"/>
          <w:sz w:val="24"/>
          <w:u w:val="single"/>
        </w:rPr>
        <w:t>Section 2.13    Defaulted Interest.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Company defaults in a payment of interest on a Series of Securities, the Company shall pay defaulted interest at the rate set forth in the Securities (plus interest on such defaulted interest to the extent lawful) in any lawful manner. The Company may pay the defaulted interest to the persons who are Holders of such Series on a subsequent special record date. The Company shall notify the Trustee in writing of the amount of defaulted interest proposed to be paid on each Security and the date of the proposed payment. The Company shall fix or cause to be fixed any such special record date and payment date and shall promptly mail, or cause to be mailed, to each Holder a notice that states the special record date, the payment date and the amount of defaulted interest to be paid.</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54" w:name="ieedb60a8bbc841ebaac17d348260c84e"/>
      <w:bookmarkEnd w:id="154"/>
      <w:r>
        <w:rPr>
          <w:rFonts w:ascii="Times New Roman;serif" w:hAnsi="Times New Roman;serif"/>
          <w:b w:val="false"/>
          <w:color w:val="000000"/>
          <w:sz w:val="24"/>
          <w:u w:val="single"/>
        </w:rPr>
        <w:t>Section 2.14    Global Securities.</w:t>
      </w:r>
    </w:p>
    <w:p>
      <w:pPr>
        <w:pStyle w:val="TextBody"/>
        <w:bidi w:val="0"/>
        <w:spacing w:lineRule="auto" w:line="288" w:before="0" w:after="240"/>
        <w:ind w:left="0" w:right="0" w:firstLine="1440"/>
        <w:jc w:val="left"/>
        <w:rPr/>
      </w:pPr>
      <w:bookmarkStart w:id="155" w:name="ic6c0ad1785e747698060a915a527f776"/>
      <w:bookmarkEnd w:id="155"/>
      <w:r>
        <w:rPr>
          <w:rFonts w:ascii="Times New Roman;serif" w:hAnsi="Times New Roman;serif"/>
          <w:b w:val="false"/>
          <w:color w:val="000000"/>
          <w:sz w:val="24"/>
        </w:rPr>
        <w:t>(a)    </w:t>
      </w:r>
      <w:r>
        <w:rPr>
          <w:rFonts w:ascii="Times New Roman;serif" w:hAnsi="Times New Roman;serif"/>
          <w:b w:val="false"/>
          <w:color w:val="000000"/>
          <w:sz w:val="24"/>
          <w:u w:val="single"/>
        </w:rPr>
        <w:t>Terms of Securities</w:t>
      </w:r>
      <w:r>
        <w:rPr>
          <w:rFonts w:ascii="Times New Roman;serif" w:hAnsi="Times New Roman;serif"/>
          <w:b w:val="false"/>
          <w:color w:val="000000"/>
          <w:sz w:val="24"/>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lineRule="auto" w:line="288" w:before="0" w:after="240"/>
        <w:ind w:left="0" w:right="0" w:firstLine="1440"/>
        <w:jc w:val="left"/>
        <w:rPr/>
      </w:pPr>
      <w:bookmarkStart w:id="156" w:name="i85eaaf235ec245258e57cf2c9057e38c"/>
      <w:bookmarkEnd w:id="156"/>
      <w:r>
        <w:rPr>
          <w:rFonts w:ascii="Times New Roman;serif" w:hAnsi="Times New Roman;serif"/>
          <w:b w:val="false"/>
          <w:color w:val="000000"/>
          <w:sz w:val="24"/>
        </w:rPr>
        <w:t>(b)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 xml:space="preserve">. Notwithstanding any provisions to the contrary contained in Section 2.07 of this Indenture and in addition thereto, any Global Security shall be exchangeable pursuant to Section 2.07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within 90 days of such event, (ii) the Company, subject to the procedures of the Depositary,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37845"/>
                <wp:effectExtent l="0" t="0" r="0" b="0"/>
                <wp:wrapNone/>
                <wp:docPr id="79" name="Frame7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lineRule="auto" w:line="288" w:before="0" w:after="240"/>
        <w:ind w:left="0" w:right="0" w:firstLine="1440"/>
        <w:jc w:val="left"/>
        <w:rPr/>
      </w:pPr>
      <w:bookmarkStart w:id="157" w:name="i704ee5be640843afbf93afb3a43da99d"/>
      <w:bookmarkEnd w:id="157"/>
      <w:r>
        <w:rPr>
          <w:rFonts w:ascii="Times New Roman;serif" w:hAnsi="Times New Roman;serif"/>
          <w:b w:val="false"/>
          <w:color w:val="000000"/>
          <w:sz w:val="24"/>
        </w:rPr>
        <w:t>(c)    </w:t>
      </w:r>
      <w:r>
        <w:rPr>
          <w:rFonts w:ascii="Times New Roman;serif" w:hAnsi="Times New Roman;serif"/>
          <w:b w:val="false"/>
          <w:color w:val="000000"/>
          <w:sz w:val="24"/>
          <w:u w:val="single"/>
        </w:rPr>
        <w:t>Legend</w:t>
      </w:r>
      <w:r>
        <w:rPr>
          <w:rFonts w:ascii="Times New Roman;serif" w:hAnsi="Times New Roman;serif"/>
          <w:b w:val="false"/>
          <w:color w:val="000000"/>
          <w:sz w:val="24"/>
        </w:rPr>
        <w:t>. Any Global Security issued hereunder shall bear a legend in substantially the following form:</w:t>
      </w:r>
    </w:p>
    <w:p>
      <w:pPr>
        <w:pStyle w:val="TextBody"/>
        <w:bidi w:val="0"/>
        <w:spacing w:lineRule="auto" w:line="288" w:before="0" w:after="240"/>
        <w:jc w:val="left"/>
        <w:rPr>
          <w:color w:val="000000"/>
        </w:rPr>
      </w:pPr>
      <w:r>
        <w:rPr>
          <w:color w:val="000000"/>
        </w:rPr>
        <w:t>“</w:t>
      </w:r>
      <w:r>
        <w:rPr>
          <w:rFonts w:ascii="Times New Roman;serif" w:hAnsi="Times New Roman;serif"/>
          <w:b/>
          <w:color w:val="000000"/>
          <w:sz w:val="24"/>
        </w:rPr>
        <w:t>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9.05 of this Indenture, (II) this Global Security may be exchanged in whole but not in part pursuant to Section 2.08 of the Indenture, (III) this Global Security may be delivered to the Trustee for cancellation pursuant to Section 2.15 of the Indenture and (IV) this Global Security may be transferred to a successor Depositary with the prior written consent of the Company (as defined in the Indenture governing this Security).”</w:t>
      </w:r>
    </w:p>
    <w:p>
      <w:pPr>
        <w:pStyle w:val="TextBody"/>
        <w:bidi w:val="0"/>
        <w:spacing w:lineRule="auto" w:line="288" w:before="0" w:after="240"/>
        <w:ind w:left="0" w:right="0" w:firstLine="1440"/>
        <w:jc w:val="left"/>
        <w:rPr/>
      </w:pPr>
      <w:bookmarkStart w:id="158" w:name="i7112580460664f40b60b5777f0214f4a"/>
      <w:bookmarkEnd w:id="158"/>
      <w:r>
        <w:rPr>
          <w:rFonts w:ascii="Times New Roman;serif" w:hAnsi="Times New Roman;serif"/>
          <w:b w:val="false"/>
          <w:color w:val="000000"/>
          <w:sz w:val="24"/>
        </w:rPr>
        <w:t>(d)    </w:t>
      </w:r>
      <w:r>
        <w:rPr>
          <w:rFonts w:ascii="Times New Roman;serif" w:hAnsi="Times New Roman;serif"/>
          <w:b w:val="false"/>
          <w:color w:val="000000"/>
          <w:sz w:val="24"/>
          <w:u w:val="single"/>
        </w:rPr>
        <w:t>Acts of Holders</w:t>
      </w:r>
      <w:r>
        <w:rPr>
          <w:rFonts w:ascii="Times New Roman;serif" w:hAnsi="Times New Roman;serif"/>
          <w:b w:val="false"/>
          <w:color w:val="000000"/>
          <w:sz w:val="24"/>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lineRule="auto" w:line="288" w:before="0" w:after="240"/>
        <w:ind w:left="0" w:right="0" w:firstLine="1440"/>
        <w:jc w:val="left"/>
        <w:rPr/>
      </w:pPr>
      <w:bookmarkStart w:id="159" w:name="iffe77e32abe14a7295723c0d2ba41190"/>
      <w:bookmarkEnd w:id="159"/>
      <w:r>
        <w:rPr>
          <w:rFonts w:ascii="Times New Roman;serif" w:hAnsi="Times New Roman;serif"/>
          <w:b w:val="false"/>
          <w:color w:val="000000"/>
          <w:sz w:val="24"/>
        </w:rPr>
        <w:t>(e)    </w:t>
      </w:r>
      <w:r>
        <w:rPr>
          <w:rFonts w:ascii="Times New Roman;serif" w:hAnsi="Times New Roman;serif"/>
          <w:b w:val="false"/>
          <w:color w:val="000000"/>
          <w:sz w:val="24"/>
          <w:u w:val="single"/>
        </w:rPr>
        <w:t>Payments</w:t>
      </w:r>
      <w:r>
        <w:rPr>
          <w:rFonts w:ascii="Times New Roman;serif" w:hAnsi="Times New Roman;serif"/>
          <w:b w:val="false"/>
          <w:color w:val="000000"/>
          <w:sz w:val="24"/>
        </w:rPr>
        <w:t>. Notwithstanding the other provisions of this Indenture, unless otherwise specified as contemplated by Section 2.02, payment of the principal of and interest, if any, on any Global Security shall be made to the Holder thereof.</w:t>
      </w:r>
    </w:p>
    <w:p>
      <w:pPr>
        <w:pStyle w:val="TextBody"/>
        <w:bidi w:val="0"/>
        <w:spacing w:lineRule="auto" w:line="288" w:before="0" w:after="240"/>
        <w:ind w:left="0" w:right="0" w:firstLine="1440"/>
        <w:jc w:val="left"/>
        <w:rPr/>
      </w:pPr>
      <w:bookmarkStart w:id="160" w:name="i35e23efa55034680a60344d34c9fa897"/>
      <w:bookmarkEnd w:id="160"/>
      <w:r>
        <w:rPr>
          <w:rFonts w:ascii="Times New Roman;serif" w:hAnsi="Times New Roman;serif"/>
          <w:b w:val="false"/>
          <w:color w:val="000000"/>
          <w:sz w:val="24"/>
        </w:rPr>
        <w:t>(f)    </w:t>
      </w:r>
      <w:r>
        <w:rPr>
          <w:rFonts w:ascii="Times New Roman;serif" w:hAnsi="Times New Roman;serif"/>
          <w:b w:val="false"/>
          <w:color w:val="000000"/>
          <w:sz w:val="24"/>
          <w:u w:val="single"/>
        </w:rPr>
        <w:t>Consents, Declaration and Directions</w:t>
      </w:r>
      <w:r>
        <w:rPr>
          <w:rFonts w:ascii="Times New Roman;serif" w:hAnsi="Times New Roman;serif"/>
          <w:b w:val="false"/>
          <w:color w:val="000000"/>
          <w:sz w:val="24"/>
        </w:rPr>
        <w:t>.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61" w:name="i103b889927bc446989a957ec9ab9a724"/>
      <w:bookmarkEnd w:id="161"/>
      <w:r>
        <w:rPr>
          <w:rFonts w:ascii="Times New Roman;serif" w:hAnsi="Times New Roman;serif"/>
          <w:b w:val="false"/>
          <w:color w:val="000000"/>
          <w:sz w:val="24"/>
          <w:u w:val="single"/>
        </w:rPr>
        <w:t>Section 2.15    CUSIP Numbers, ISINs, etc.</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in issuing the Securities may use “CUSIP” numbers, ISINs and “Common Code” numbers (in each case if then generally in use) and, if so, the Trustee shall use “CUSIP” numbers, ISINs and “Common Code” numbers in notices of redemption as a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37845"/>
                <wp:effectExtent l="0" t="0" r="0" b="0"/>
                <wp:wrapNone/>
                <wp:docPr id="80" name="Frame7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convenience to Holders;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advise the Trustee in writing of any change in any “CUSIP” numbers, ISINs or “Common Code” numbers applicable to the Securities of any Series.</w:t>
      </w:r>
    </w:p>
    <w:p>
      <w:pPr>
        <w:pStyle w:val="TextBody"/>
        <w:bidi w:val="0"/>
        <w:spacing w:lineRule="auto" w:line="240" w:before="0" w:after="240"/>
        <w:jc w:val="center"/>
        <w:rPr>
          <w:rFonts w:ascii="Times New Roman;serif" w:hAnsi="Times New Roman;serif"/>
          <w:b w:val="false"/>
          <w:color w:val="000000"/>
          <w:sz w:val="24"/>
          <w:u w:val="single"/>
        </w:rPr>
      </w:pPr>
      <w:bookmarkStart w:id="162" w:name="i534a2a4c7ae945c8b88eacc0ea28cdff"/>
      <w:bookmarkEnd w:id="162"/>
      <w:r>
        <w:rPr>
          <w:rFonts w:ascii="Times New Roman;serif" w:hAnsi="Times New Roman;serif"/>
          <w:b w:val="false"/>
          <w:color w:val="000000"/>
          <w:sz w:val="24"/>
          <w:u w:val="single"/>
        </w:rPr>
        <w:t>ARTICLE III</w:t>
        <w:br/>
        <w:t>Redemption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63" w:name="i536f1d5d6ece44268d211a4a8bab7dc0"/>
      <w:bookmarkEnd w:id="163"/>
      <w:r>
        <w:rPr>
          <w:rFonts w:ascii="Times New Roman;serif" w:hAnsi="Times New Roman;serif"/>
          <w:b w:val="false"/>
          <w:color w:val="000000"/>
          <w:sz w:val="24"/>
          <w:u w:val="single"/>
        </w:rPr>
        <w:t>Section 3.01    Notices to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with respect to any Series of Securities, may elect to redeem and pay the Series of Securities or may covenant to redeem and pay the Series of Securities or any part thereof prior to the Stated Maturity thereof at such time and on such terms provided for in such Series of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Securities of the Series to be redeemed and the redemption price. The Company shall give such notice to the Trustee at least three Business Days before the notice of redemption is delivered to Holders, unless a shorter period is satisfactory to the Trustee.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64" w:name="ieb7bc4f1113546668cf97267d60fc0f4"/>
      <w:bookmarkEnd w:id="164"/>
      <w:r>
        <w:rPr>
          <w:rFonts w:ascii="Times New Roman;serif" w:hAnsi="Times New Roman;serif"/>
          <w:b w:val="false"/>
          <w:color w:val="000000"/>
          <w:sz w:val="24"/>
          <w:u w:val="single"/>
        </w:rPr>
        <w:t>Section 3.02    Selection of Securities to Be Redeemed.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otherwise provided for a particular Series of Securities by a Board Resolution, a supplemental indenture or an Officer’s Certificate, if fewer than all the Securities of a particular Series are to be redeemed or purchased, the Trustee shall select the Securities of such Series to be redeemed or purchased pro rata or by lot or by a method that complies with applicable legal and securities exchange requirements, if any, and that the Trustee in its sole discretion shall deem to be fair and appropriate. The Trustee shall make the selection at least 10 days but no more than 60 days before the redemption date (subject to delay as provided in the Indenture to allow for one or more conditions to be satisfied) from outstanding Securities of a Series not previously called for redemption. Securities and portions thereof that the Trustee selects shall be in principal minimum amounts of $2,000 or integral multiples of $1,000 in excess thereof. Provisions of this Indenture that apply to Securities called for redemption also apply to portions of Securities called for redemption. If applicable, the Trustee shall promptly notify the Company of the Securities (or portions thereof) to be redeemed.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Any redemption of Securities may, at the Company’s discretion, be subject to one or more conditions precedent and, at the Company’s discretion, the redemption date may be delayed until such time as any of all such conditions shall be satisfied, in accordance with Section 3.03 below.</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65" w:name="ia903b97d53f44878adffb7cde669c390"/>
      <w:bookmarkEnd w:id="165"/>
      <w:r>
        <w:rPr>
          <w:rFonts w:ascii="Times New Roman;serif" w:hAnsi="Times New Roman;serif"/>
          <w:b w:val="false"/>
          <w:color w:val="000000"/>
          <w:sz w:val="24"/>
          <w:u w:val="single"/>
        </w:rPr>
        <w:t>Section 3.03    Notice of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37845"/>
                <wp:effectExtent l="0" t="0" r="0" b="0"/>
                <wp:wrapNone/>
                <wp:docPr id="81" name="Frame7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otherwise provided for a particular Series of Securities by a Board Resolution, a supplemental indenture or an Officer’s Certificate, at least 10 days but not more than 60 days before a date for redemption of Securities, the Company shall mail a notice of redemption by first-class mail to each Holder of Securities to be redeemed at such Holder’s registered address or delivered electronically if held by The Depository Trust Company (“DTC”), except that redemption notices may be mailed more than 60 days prior to the redemption date if the notice is issued in connection with a defeasance of the Securities or a satisfaction and discharge of this Indenture, or in the case of Global Securities, delivered according to the procedures of the Depositary.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notice shall identify the Securities to be redeemed and shall state: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66" w:name="i89e675f4aa2d4c718ff5564e13c339db"/>
      <w:bookmarkEnd w:id="166"/>
      <w:r>
        <w:rPr>
          <w:rFonts w:ascii="Times New Roman;serif" w:hAnsi="Times New Roman;serif"/>
          <w:b w:val="false"/>
          <w:color w:val="000000"/>
          <w:sz w:val="24"/>
        </w:rPr>
        <w:t>(1)    the redemption date;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67" w:name="i5397249ae8134e35a3f554252518eaa2"/>
      <w:bookmarkEnd w:id="167"/>
      <w:r>
        <w:rPr>
          <w:rFonts w:ascii="Times New Roman;serif" w:hAnsi="Times New Roman;serif"/>
          <w:b w:val="false"/>
          <w:color w:val="000000"/>
          <w:sz w:val="24"/>
        </w:rPr>
        <w:t>(2)    the redemption price (or the method of calculating such price);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68" w:name="i5a01fc8bbaf745a887dc054a2ce76d9b"/>
      <w:bookmarkEnd w:id="168"/>
      <w:r>
        <w:rPr>
          <w:rFonts w:ascii="Times New Roman;serif" w:hAnsi="Times New Roman;serif"/>
          <w:b w:val="false"/>
          <w:color w:val="000000"/>
          <w:sz w:val="24"/>
        </w:rPr>
        <w:t>(3)    if any Security is being redeemed in part, the portion of the principal amount of such Security to be redeemed and that, after the redemption date upon surrender of such Security, a new Security or Securities in principal amount equal to the unredeemed portion shall be issued upon cancellation of the original Security;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69" w:name="i7c0066e7b82b47adac9cf7dd96be6e32"/>
      <w:bookmarkEnd w:id="169"/>
      <w:r>
        <w:rPr>
          <w:rFonts w:ascii="Times New Roman;serif" w:hAnsi="Times New Roman;serif"/>
          <w:b w:val="false"/>
          <w:color w:val="000000"/>
          <w:sz w:val="24"/>
        </w:rPr>
        <w:t>(4)    the name and address of the Paying Agent;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70" w:name="i4347fd64b64d499785d694126fe52027"/>
      <w:bookmarkEnd w:id="170"/>
      <w:r>
        <w:rPr>
          <w:rFonts w:ascii="Times New Roman;serif" w:hAnsi="Times New Roman;serif"/>
          <w:b w:val="false"/>
          <w:color w:val="000000"/>
          <w:sz w:val="24"/>
        </w:rPr>
        <w:t>(5)    that Securities called for redemption must be surrendered to the Paying Agent to collect the redemption price;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71" w:name="i3e40d001c6ed40898511739170052336"/>
      <w:bookmarkEnd w:id="171"/>
      <w:r>
        <w:rPr>
          <w:rFonts w:ascii="Times New Roman;serif" w:hAnsi="Times New Roman;serif"/>
          <w:b w:val="false"/>
          <w:color w:val="000000"/>
          <w:sz w:val="24"/>
        </w:rPr>
        <w:t>(6)    that, upon the satisfaction of any conditions to such redemption set forth in the notice of redemption, and unless the Company defaults in making such redemption payment or the Paying Agent is prohibited from making such payment pursuant to the terms of this Indenture, interest on Securities (or portion thereof) called for redemption ceases to accrue on and after the redemption date;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72" w:name="i34481d446c374abe820482b223d96291"/>
      <w:bookmarkEnd w:id="172"/>
      <w:r>
        <w:rPr>
          <w:rFonts w:ascii="Times New Roman;serif" w:hAnsi="Times New Roman;serif"/>
          <w:b w:val="false"/>
          <w:color w:val="000000"/>
          <w:sz w:val="24"/>
        </w:rPr>
        <w:t>(7)    the paragraph of the Securities and/or provision of this Indenture pursuant to which the Securities called for redemption are being redeemed;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73" w:name="i73106dabe5034b87b5a40f5d9bd7438c"/>
      <w:bookmarkEnd w:id="173"/>
      <w:r>
        <w:rPr>
          <w:rFonts w:ascii="Times New Roman;serif" w:hAnsi="Times New Roman;serif"/>
          <w:b w:val="false"/>
          <w:color w:val="000000"/>
          <w:sz w:val="24"/>
        </w:rPr>
        <w:t>(8)    that the redemption is for a sinking fund, if such is the case; and</w:t>
      </w:r>
    </w:p>
    <w:p>
      <w:pPr>
        <w:pStyle w:val="TextBody"/>
        <w:bidi w:val="0"/>
        <w:spacing w:lineRule="auto" w:line="288" w:before="0" w:after="240"/>
        <w:ind w:left="0" w:right="0" w:firstLine="2160"/>
        <w:jc w:val="left"/>
        <w:rPr/>
      </w:pPr>
      <w:bookmarkStart w:id="174" w:name="i23927f7c55e1463bb563a91821f1eefd"/>
      <w:bookmarkEnd w:id="174"/>
      <w:r>
        <w:rPr>
          <w:rFonts w:ascii="Times New Roman;serif" w:hAnsi="Times New Roman;serif"/>
          <w:b w:val="false"/>
          <w:color w:val="000000"/>
          <w:sz w:val="24"/>
        </w:rPr>
        <w:t xml:space="preserve">(9)    the CUSIP or ISIN number, if any, printed on the Securities being redeemed;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representation will be made as to the correctness or accuracy of the CUSIP or ISIN number, if any, listed in such notice or printed on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if such redemption is subject to one or more conditions precedent, such notice shall describe each such condition and, if applicable, shall state that in the Company’s discretion, the redemption date may be delayed until such time (including, subject to the applicable procedures of DTC, more than 60 days after the date the notice of redemption was mailed or delivered, including by electronic transmission) as any or all such conditions shall be satisfied (or waived by the Company in its sole discretion), or such redemption may not occur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37845"/>
                <wp:effectExtent l="0" t="0" r="0" b="0"/>
                <wp:wrapNone/>
                <wp:docPr id="82" name="Frame8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such notice may be rescinded in the event that any or all such conditions shall not have been satisfied by the redemption date, or by the redemption date as so delayed. The Company will provide prompt written notice to the Trustee and the Holders prior to the close of business two Business Days prior to the redemption date of the satisfaction or waiver of such conditions, the delay of such redemption date or the rescission of such notice of redemption. Upon the rescission of such notice of redemption, the rescinded notice of redemption shall have no force or effect. Upon the Company’s written request given at least five Business Days prior to the date such notice shall be sent (unless the Trustee consents to a shorter period), the Trustee shall (on the date specified in such written request or promptly after such time) forward such notice to the Holders in the Company’s name and at the Company’s expense in the same manner in which the notice of redemption was given.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the Company’s request, the Trustee shall give the notice of redemption in the Company’s name and at the Company’s expense. In such event, the Company shall provide the Trustee with the information required by this Section.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75" w:name="i30a2ddac46434fdfb59fe36fbf31bb82"/>
      <w:bookmarkEnd w:id="175"/>
      <w:r>
        <w:rPr>
          <w:rFonts w:ascii="Times New Roman;serif" w:hAnsi="Times New Roman;serif"/>
          <w:b w:val="false"/>
          <w:color w:val="000000"/>
          <w:sz w:val="24"/>
          <w:u w:val="single"/>
        </w:rPr>
        <w:t>Section 3.04    Effect of Notice of Redemption.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Once notice of redemption is mailed, Securities called for redemption become due and payable on the redemption date and at the redemption price stated in the notice, subject to the satisfaction of any conditions precedent provided in such notice. Upon surrender to the Paying Agent, such Securities shall be paid at the redemption price stated in the notice, plus accrued interest to the redemption date (subject to the right of Holders of record on the relevant record date to receive interest due on the related interest payment date), and such Securities shall be canceled by the Trustee. On and after the redemption date, unless the Company defaults in the payment of the amounts due upon redemption, interest ceases to accrue on Securities or portions of such Securities called for redemption. Failure to give notice or any defect in the notice to any Holders shall not affect the validity of the notice to any other Holder.</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76" w:name="i2d09b09ff42140e48bdffedcc72e7017"/>
      <w:bookmarkEnd w:id="176"/>
      <w:r>
        <w:rPr>
          <w:rFonts w:ascii="Times New Roman;serif" w:hAnsi="Times New Roman;serif"/>
          <w:b w:val="false"/>
          <w:color w:val="000000"/>
          <w:sz w:val="24"/>
          <w:u w:val="single"/>
        </w:rPr>
        <w:t>Section 3.05    Deposit of Redemption Price.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Prior to 11:00 a.m. (New York City time) on the redemption date, the Company shall deposit with the Paying Agent (or, if the Company or a Subsidiary is the Paying Agent, shall segregate and hold in trust) money sufficient to pay the redemption price of and accrued interest on all Securities to be redeemed on that date other than Securities or portions of Securities called for redemption which have been delivered by the Company to the Trustee for cancellation. The Paying Agent shall as promptly as practicable return to the Company any money deposited with it by the Company in excess of the amounts necessary to pay the redemption price of, and accrued interest on, all Securities to be redeemed. If such money is then held by the Company in trust and is not required for such purpose it shall be discharged from such trust. The Company at any time may require a Paying Agent to pay all money held by it to the Trustee and to account for any funds disbursed by the Paying Agent. Upon complying with this Section, the Paying Agent shall have no further liability for the money delivered to the Trustee.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77" w:name="ia35b75bcbce944e0b1526675681c33a6"/>
      <w:bookmarkEnd w:id="177"/>
      <w:r>
        <w:rPr>
          <w:rFonts w:ascii="Times New Roman;serif" w:hAnsi="Times New Roman;serif"/>
          <w:b w:val="false"/>
          <w:color w:val="000000"/>
          <w:sz w:val="24"/>
          <w:u w:val="single"/>
        </w:rPr>
        <w:t>Section 3.06    Securities Redeemed in Part.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37845"/>
                <wp:effectExtent l="0" t="0" r="0" b="0"/>
                <wp:wrapNone/>
                <wp:docPr id="83" name="Frame8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surrender of a Security that is redeemed in part, the Company shall execute and the Trustee shall authenticate for the Holder (at the Company’s expense) a new Security equal in principal amount to the unredeemed portion of the Security surrendered, and the Company shall cancel the original Security.</w:t>
      </w:r>
    </w:p>
    <w:p>
      <w:pPr>
        <w:pStyle w:val="TextBody"/>
        <w:bidi w:val="0"/>
        <w:spacing w:lineRule="auto" w:line="240" w:before="0" w:after="240"/>
        <w:jc w:val="center"/>
        <w:rPr>
          <w:rFonts w:ascii="Times New Roman;serif" w:hAnsi="Times New Roman;serif"/>
          <w:b w:val="false"/>
          <w:color w:val="000000"/>
          <w:sz w:val="24"/>
          <w:u w:val="single"/>
        </w:rPr>
      </w:pPr>
      <w:bookmarkStart w:id="178" w:name="i48f63c6648f04104b88d9d97f6a36287"/>
      <w:bookmarkEnd w:id="178"/>
      <w:r>
        <w:rPr>
          <w:rFonts w:ascii="Times New Roman;serif" w:hAnsi="Times New Roman;serif"/>
          <w:b w:val="false"/>
          <w:color w:val="000000"/>
          <w:sz w:val="24"/>
          <w:u w:val="single"/>
        </w:rPr>
        <w:t>ARTICLE IV</w:t>
        <w:br/>
        <w:br/>
        <w:t>Covenants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79" w:name="if669560b40f745949fa19a0f55e9ade8"/>
      <w:bookmarkEnd w:id="179"/>
      <w:r>
        <w:rPr>
          <w:rFonts w:ascii="Times New Roman;serif" w:hAnsi="Times New Roman;serif"/>
          <w:b w:val="false"/>
          <w:color w:val="000000"/>
          <w:sz w:val="24"/>
          <w:u w:val="single"/>
        </w:rPr>
        <w:t>Section 4.01    Payment of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promptly make all payments in respect of each Series of Securities on the dates and in the manner provided in such Series of Securities and in this Indenture. Such payments shall be considered made on the date due if on such date the Trustee or the Paying Agent holds, in accordance with this Indenture, money sufficient to make all payments with respect to such Securities then due and the Trustee or the Paying Agent, as the case may be, is not prohibited from paying such money to the Holders on that date pursuant to the terms of this Indenture.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80" w:name="i0d1b290fdb8e41a1aea0eac9759908c2"/>
      <w:bookmarkEnd w:id="180"/>
      <w:r>
        <w:rPr>
          <w:rFonts w:ascii="Times New Roman;serif" w:hAnsi="Times New Roman;serif"/>
          <w:b w:val="false"/>
          <w:color w:val="000000"/>
          <w:sz w:val="24"/>
          <w:u w:val="single"/>
        </w:rPr>
        <w:t>Section 4.02    Reports.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 any time when the Company is not subject to the reporting requirements of Section 13 or 15(d) of the Exchange Act, the Company shall furnish to the Holders and to prospective investors, upon the requests of any Holders, any information required to be delivered pursuant to Rule 144A(d)(4) under the Securities Act so long as any Securities are not freely transferable under the Securities Act. The Company also shall comply with the other provisions of Trust Indenture Act § 314(a).</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Delivery of reports, information and documents to the Trustee under this Section 4.02 are for informational purposes only and the Trustee’s receipt of the foregoing shall not constitute constructive or actual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81" w:name="if2a0277a34ac4626b219a043279fcfd2"/>
      <w:bookmarkEnd w:id="181"/>
      <w:r>
        <w:rPr>
          <w:rFonts w:ascii="Times New Roman;serif" w:hAnsi="Times New Roman;serif"/>
          <w:b w:val="false"/>
          <w:color w:val="000000"/>
          <w:sz w:val="24"/>
          <w:u w:val="single"/>
        </w:rPr>
        <w:t>Section 4.03    Compliance Certificate.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deliver to the Trustee, within 120 days after the end of each fiscal year of the Company, an Officer’s Certificate stating that in the course of the performance by the signers of his or her duties as Officer of the Company such Officer would normally have knowledge of any Default and whether or not such Officer knows of any Default that occurred during such period. If so, the certificate shall describe the Default, its status and what action the Company is taking or proposes to take with respect thereto. The Company also shall comply with Trust Indenture Act § 314(a)(4).</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82" w:name="i43bc955e5fb34fac839820404dc9bb5f"/>
      <w:bookmarkEnd w:id="182"/>
      <w:r>
        <w:rPr>
          <w:rFonts w:ascii="Times New Roman;serif" w:hAnsi="Times New Roman;serif"/>
          <w:b w:val="false"/>
          <w:color w:val="000000"/>
          <w:sz w:val="24"/>
          <w:u w:val="single"/>
        </w:rPr>
        <w:t>Section 4.04    Further Instruments and Acts.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37845"/>
                <wp:effectExtent l="0" t="0" r="0" b="0"/>
                <wp:wrapNone/>
                <wp:docPr id="84" name="Frame8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request of the Trustee, the Company will execute and deliver to the Trustee such further instruments and do such further acts as may be reasonably necessary or proper to carry out more effectively the purpose of this Indenture.</w:t>
      </w:r>
    </w:p>
    <w:p>
      <w:pPr>
        <w:pStyle w:val="TextBody"/>
        <w:bidi w:val="0"/>
        <w:spacing w:lineRule="auto" w:line="240" w:before="0" w:after="240"/>
        <w:jc w:val="center"/>
        <w:rPr>
          <w:rFonts w:ascii="Times New Roman;serif" w:hAnsi="Times New Roman;serif"/>
          <w:b w:val="false"/>
          <w:color w:val="000000"/>
          <w:sz w:val="24"/>
          <w:u w:val="single"/>
        </w:rPr>
      </w:pPr>
      <w:bookmarkStart w:id="183" w:name="i8424d5b56f6f4d0c9e515453c5ed6422"/>
      <w:bookmarkEnd w:id="183"/>
      <w:r>
        <w:rPr>
          <w:rFonts w:ascii="Times New Roman;serif" w:hAnsi="Times New Roman;serif"/>
          <w:b w:val="false"/>
          <w:color w:val="000000"/>
          <w:sz w:val="24"/>
          <w:u w:val="single"/>
        </w:rPr>
        <w:t>ARTICLE V</w:t>
        <w:br/>
        <w:br/>
        <w:t>Successor Company</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84" w:name="i6636615e547c42a09e1c0a8f8e76833d"/>
      <w:bookmarkEnd w:id="184"/>
      <w:r>
        <w:rPr>
          <w:rFonts w:ascii="Times New Roman;serif" w:hAnsi="Times New Roman;serif"/>
          <w:b w:val="false"/>
          <w:color w:val="000000"/>
          <w:sz w:val="24"/>
          <w:u w:val="single"/>
        </w:rPr>
        <w:t>Section 5.01    When Company May Merge or Transfer Assets.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85" w:name="i8fc63ddea30e4b9ea24fa021640f227f"/>
      <w:bookmarkEnd w:id="185"/>
      <w:r>
        <w:rPr>
          <w:rFonts w:ascii="Times New Roman;serif" w:hAnsi="Times New Roman;serif"/>
          <w:b w:val="false"/>
          <w:color w:val="000000"/>
          <w:sz w:val="24"/>
        </w:rPr>
        <w:t>(a)    Unless otherwise provided for a particular Series of Securities in a Board Resolution, a supplemental indenture or an Officer’s Certificate, the Company shall not consolidate with or merge with or into, or sell, convey, transfer or lease, in one transaction or a series of transactions, directly or indirectly, all or substantially all of its assets to, any Person, unless: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86" w:name="if292e180391647ad8193e10f25cb6ffd"/>
      <w:bookmarkEnd w:id="186"/>
      <w:r>
        <w:rPr>
          <w:rFonts w:ascii="Times New Roman;serif" w:hAnsi="Times New Roman;serif"/>
          <w:b w:val="false"/>
          <w:color w:val="000000"/>
          <w:sz w:val="24"/>
        </w:rPr>
        <w:t>(1)    the Company is the surviving Person or the resulting, surviving or transferee Person (the “Successor Company”) is a corporation, limited liability company, partnership or similar entity organized and existing under the laws of the United States of America, any State thereof or the District of Columbia and the Successor Company (if not the Company) expressly assumes, by a supplemental indenture, executed and delivered to the Trustee, in form satisfactory to the Trustee, all the obligations of the Company under the Securities and this Indenture;</w:t>
      </w:r>
    </w:p>
    <w:p>
      <w:pPr>
        <w:pStyle w:val="TextBody"/>
        <w:bidi w:val="0"/>
        <w:spacing w:lineRule="auto" w:line="288" w:before="0" w:after="240"/>
        <w:ind w:left="0" w:right="0" w:firstLine="2160"/>
        <w:jc w:val="left"/>
        <w:rPr/>
      </w:pPr>
      <w:bookmarkStart w:id="187" w:name="i0d9ba0addf5247c686c36b2062a845e8"/>
      <w:bookmarkEnd w:id="187"/>
      <w:r>
        <w:rPr>
          <w:rFonts w:ascii="Times New Roman;serif" w:hAnsi="Times New Roman;serif"/>
          <w:b w:val="false"/>
          <w:color w:val="000000"/>
          <w:sz w:val="24"/>
        </w:rPr>
        <w:t xml:space="preserve">(2)    immediately after giving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effect to such transaction, no Default shall have occurred and be continuing;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88" w:name="icdb1890813464f85aa6332b947fa3fbb"/>
      <w:bookmarkEnd w:id="188"/>
      <w:r>
        <w:rPr>
          <w:rFonts w:ascii="Times New Roman;serif" w:hAnsi="Times New Roman;serif"/>
          <w:b w:val="false"/>
          <w:color w:val="000000"/>
          <w:sz w:val="24"/>
        </w:rPr>
        <w:t>(3)    the Company or the Successor Company shall have delivered to the Trustee an Officer’s Certificate and an Opinion of Counsel, each stating that such consolidation, merger or transfer and such supplemental indenture (if any) comply with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189" w:name="id29c3b0a767e471097de56262dad3545"/>
      <w:bookmarkEnd w:id="189"/>
      <w:r>
        <w:rPr>
          <w:rFonts w:ascii="Times New Roman;serif" w:hAnsi="Times New Roman;serif"/>
          <w:b w:val="false"/>
          <w:color w:val="000000"/>
          <w:sz w:val="24"/>
        </w:rPr>
        <w:t>(b)    For purposes of this Section 5.01, the sale, lease, conveyance, assignment, transfer or other disposition of all or substantially all of the properties and assets of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pStyle w:val="TextBody"/>
        <w:bidi w:val="0"/>
        <w:spacing w:lineRule="auto" w:line="288" w:before="0" w:after="240"/>
        <w:ind w:left="0" w:right="0" w:firstLine="1440"/>
        <w:jc w:val="left"/>
        <w:rPr/>
      </w:pPr>
      <w:bookmarkStart w:id="190" w:name="i7d74c2d834944f74b15ef7f4fc743d5f"/>
      <w:bookmarkEnd w:id="190"/>
      <w:r>
        <w:rPr>
          <w:rFonts w:ascii="Times New Roman;serif" w:hAnsi="Times New Roman;serif"/>
          <w:b w:val="false"/>
          <w:color w:val="000000"/>
          <w:sz w:val="24"/>
        </w:rPr>
        <w:t xml:space="preserve">(c)    The Successor Company shall be the successor to the Company and shall succeed to, be substituted for, and may exercise every right and power of, the Company under this Indenture. The Company will be relieved of all obligations and covenants under the Securities and the Indenture,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a lease of all or substantially all of properties or assets of the Company, the Company will not be released from the obligation to pay the principal of and interest on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37845"/>
                <wp:effectExtent l="0" t="0" r="0" b="0"/>
                <wp:wrapNone/>
                <wp:docPr id="85" name="Frame8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u w:val="single"/>
        </w:rPr>
      </w:pPr>
      <w:bookmarkStart w:id="191" w:name="i38435d85175643adb7ae3a0891f425c0"/>
      <w:bookmarkEnd w:id="191"/>
      <w:r>
        <w:rPr>
          <w:rFonts w:ascii="Times New Roman;serif" w:hAnsi="Times New Roman;serif"/>
          <w:b w:val="false"/>
          <w:color w:val="000000"/>
          <w:sz w:val="24"/>
          <w:u w:val="single"/>
        </w:rPr>
        <w:t>ARTICLE VI</w:t>
        <w:br/>
        <w:br/>
        <w:t>Defaults and Remedies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192" w:name="i5bd83d2e032b494d899dc221347acec8"/>
      <w:bookmarkEnd w:id="192"/>
      <w:r>
        <w:rPr>
          <w:rFonts w:ascii="Times New Roman;serif" w:hAnsi="Times New Roman;serif"/>
          <w:b w:val="false"/>
          <w:color w:val="000000"/>
          <w:sz w:val="24"/>
          <w:u w:val="single"/>
        </w:rPr>
        <w:t>Section 6.01    Events of Default.</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 otherwise provided for a particular Series of Securities by a Board Resolution, a supplemental indenture or an Officer’s Certificate, each of the following constitutes 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with respect to a Series of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93" w:name="ie474808c9f3d4f039bc0d4679f93d3df"/>
      <w:bookmarkEnd w:id="193"/>
      <w:r>
        <w:rPr>
          <w:rFonts w:ascii="Times New Roman;serif" w:hAnsi="Times New Roman;serif"/>
          <w:b w:val="false"/>
          <w:color w:val="000000"/>
          <w:sz w:val="24"/>
        </w:rPr>
        <w:t>(1)    the Company’s default in any payment of the principal amount of (or, in the case of Original Issue Discount Securities of that Series, the portion thereby specified in the terms of such Security), any Security of that Series when such amount becomes due and payable at Stated Maturity, upon acceleration, required redemption or otherwise;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94" w:name="i31b6453644b043b6a11d54e248380ab7"/>
      <w:bookmarkEnd w:id="194"/>
      <w:r>
        <w:rPr>
          <w:rFonts w:ascii="Times New Roman;serif" w:hAnsi="Times New Roman;serif"/>
          <w:b w:val="false"/>
          <w:color w:val="000000"/>
          <w:sz w:val="24"/>
        </w:rPr>
        <w:t>(2)    the Company’s failure to pay interest on any Security of that Series when such interest becomes due and payable, and such failure continues for a period of 30 days;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95" w:name="i1d02410843f9422c8a83184ed9fb4436"/>
      <w:bookmarkEnd w:id="195"/>
      <w:r>
        <w:rPr>
          <w:rFonts w:ascii="Times New Roman;serif" w:hAnsi="Times New Roman;serif"/>
          <w:b w:val="false"/>
          <w:color w:val="000000"/>
          <w:sz w:val="24"/>
        </w:rPr>
        <w:t>(3)    the Company fails to comply with Section 5.01;</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96" w:name="i52c748343c1a489baf6194843955b010"/>
      <w:bookmarkEnd w:id="196"/>
      <w:r>
        <w:rPr>
          <w:rFonts w:ascii="Times New Roman;serif" w:hAnsi="Times New Roman;serif"/>
          <w:b w:val="false"/>
          <w:color w:val="000000"/>
          <w:sz w:val="24"/>
        </w:rPr>
        <w:t>(4)    the Company fails to comply with any of its agreements contained in the Securities of that Series or this Indenture (other than those referred to in clause (1), (2) or (3) above) and such failure continues for 90 days after the notice specified below;</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197" w:name="i2c5050e7fc5f47f9b3e3999229c50237"/>
      <w:bookmarkEnd w:id="197"/>
      <w:r>
        <w:rPr>
          <w:rFonts w:ascii="Times New Roman;serif" w:hAnsi="Times New Roman;serif"/>
          <w:b w:val="false"/>
          <w:color w:val="000000"/>
          <w:sz w:val="24"/>
        </w:rPr>
        <w:t>(5)    the Company or any Significant Subsidiary pursuant to or within the meaning of any Bankruptcy Law:</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198" w:name="i33802cf665294a3cade9851290c157ed"/>
      <w:bookmarkEnd w:id="198"/>
      <w:r>
        <w:rPr>
          <w:rFonts w:ascii="Times New Roman;serif" w:hAnsi="Times New Roman;serif"/>
          <w:b w:val="false"/>
          <w:color w:val="000000"/>
          <w:sz w:val="24"/>
        </w:rPr>
        <w:t>(A)    commences a voluntary case;</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199" w:name="i1c123873bae343d993b11565b782c445"/>
      <w:bookmarkEnd w:id="199"/>
      <w:r>
        <w:rPr>
          <w:rFonts w:ascii="Times New Roman;serif" w:hAnsi="Times New Roman;serif"/>
          <w:b w:val="false"/>
          <w:color w:val="000000"/>
          <w:sz w:val="24"/>
        </w:rPr>
        <w:t>(B)    consents to the entry of an order for relief against it in an involuntary case;</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200" w:name="i30fdb369918d4b5eaebf09cf802fed9b"/>
      <w:bookmarkEnd w:id="200"/>
      <w:r>
        <w:rPr>
          <w:rFonts w:ascii="Times New Roman;serif" w:hAnsi="Times New Roman;serif"/>
          <w:b w:val="false"/>
          <w:color w:val="000000"/>
          <w:sz w:val="24"/>
        </w:rPr>
        <w:t>(C)    consents to the appointment of a Custodian of it or for any substantial part of its property;</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201" w:name="i6dfde53961a44317afc30f83ecdabe82"/>
      <w:bookmarkEnd w:id="201"/>
      <w:r>
        <w:rPr>
          <w:rFonts w:ascii="Times New Roman;serif" w:hAnsi="Times New Roman;serif"/>
          <w:b w:val="false"/>
          <w:color w:val="000000"/>
          <w:sz w:val="24"/>
        </w:rPr>
        <w:t>(D)    makes a general assignment for the benefit of its creditors; or takes any comparable action under any foreign laws relating to insolvency;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02" w:name="ida2652f290164012830e147a82bb9f16"/>
      <w:bookmarkEnd w:id="202"/>
      <w:r>
        <w:rPr>
          <w:rFonts w:ascii="Times New Roman;serif" w:hAnsi="Times New Roman;serif"/>
          <w:b w:val="false"/>
          <w:color w:val="000000"/>
          <w:sz w:val="24"/>
        </w:rPr>
        <w:t>(6)    a court of competent jurisdiction enters an order or decree under any Bankruptcy Law that:</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203" w:name="ieaeaac7811b54002912193e05eabc99a"/>
      <w:bookmarkEnd w:id="203"/>
      <w:r>
        <w:rPr>
          <w:rFonts w:ascii="Times New Roman;serif" w:hAnsi="Times New Roman;serif"/>
          <w:b w:val="false"/>
          <w:color w:val="000000"/>
          <w:sz w:val="24"/>
        </w:rPr>
        <w:t>(A)    is for relief against the Company or any Significant Subsidiary in an involuntary case;</w: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204" w:name="i2f606ad704524126917271974fbe349a"/>
      <w:bookmarkEnd w:id="204"/>
      <w:r>
        <w:rPr>
          <w:rFonts w:ascii="Times New Roman;serif" w:hAnsi="Times New Roman;serif"/>
          <w:b w:val="false"/>
          <w:color w:val="000000"/>
          <w:sz w:val="24"/>
        </w:rPr>
        <w:t>(B)    appoints a Custodian of the Company or any Significant Subsidiary or for any substantial part of its property; or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37845"/>
                <wp:effectExtent l="0" t="0" r="0" b="0"/>
                <wp:wrapNone/>
                <wp:docPr id="86" name="Frame8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880"/>
        <w:jc w:val="left"/>
        <w:rPr>
          <w:rFonts w:ascii="Times New Roman;serif" w:hAnsi="Times New Roman;serif"/>
          <w:b w:val="false"/>
          <w:color w:val="000000"/>
          <w:sz w:val="24"/>
        </w:rPr>
      </w:pPr>
      <w:bookmarkStart w:id="205" w:name="i59ffc49a126e4fdc881b07bc85556fb8"/>
      <w:bookmarkEnd w:id="205"/>
      <w:r>
        <w:rPr>
          <w:rFonts w:ascii="Times New Roman;serif" w:hAnsi="Times New Roman;serif"/>
          <w:b w:val="false"/>
          <w:color w:val="000000"/>
          <w:sz w:val="24"/>
        </w:rPr>
        <w:t>(C)    orders the winding up or liquidation of the Company or any Significant Subsidiary;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or any similar relief is granted under any foreign laws, and the order or decree remains unstayed and in effect for 90 days.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Bankruptcy Law</w:t>
      </w:r>
      <w:r>
        <w:rPr>
          <w:color w:val="000000"/>
        </w:rPr>
        <w:t xml:space="preserve">” </w:t>
      </w:r>
      <w:r>
        <w:rPr>
          <w:rFonts w:ascii="Times New Roman;serif" w:hAnsi="Times New Roman;serif"/>
          <w:b w:val="false"/>
          <w:color w:val="000000"/>
          <w:sz w:val="24"/>
        </w:rPr>
        <w:t>means Title 11, United States Code, or any similar Federal or state law for the relief of debtors. The term “</w:t>
      </w:r>
      <w:r>
        <w:rPr>
          <w:rFonts w:ascii="Times New Roman;serif" w:hAnsi="Times New Roman;serif"/>
          <w:b w:val="false"/>
          <w:color w:val="000000"/>
          <w:sz w:val="24"/>
          <w:u w:val="single"/>
        </w:rPr>
        <w:t>Custodian</w:t>
      </w:r>
      <w:r>
        <w:rPr>
          <w:color w:val="000000"/>
        </w:rPr>
        <w:t xml:space="preserve">” </w:t>
      </w:r>
      <w:r>
        <w:rPr>
          <w:rFonts w:ascii="Times New Roman;serif" w:hAnsi="Times New Roman;serif"/>
          <w:b w:val="false"/>
          <w:color w:val="000000"/>
          <w:sz w:val="24"/>
        </w:rPr>
        <w:t>means any receiver, trustee, assignee, liquidator, custodian or similar official under any Bankruptcy Law.</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Default under clause (4) above is not an Event of Default with respect to any Series of Securities until the Trustee or the holders of at least 30% in principal amount of the Securities of that Series notify the Company of the Default and the Company does not cure such Default within the time specified in clause (4) after receipt of such notice. Such notice must specify the Default, demand that it be remedied and state that such notice is a “</w:t>
      </w:r>
      <w:r>
        <w:rPr>
          <w:rFonts w:ascii="Times New Roman;serif" w:hAnsi="Times New Roman;serif"/>
          <w:b w:val="false"/>
          <w:color w:val="000000"/>
          <w:sz w:val="24"/>
          <w:u w:val="single"/>
        </w:rPr>
        <w:t>Notice of Default</w:t>
      </w:r>
      <w:r>
        <w:rPr>
          <w:rFonts w:ascii="Times New Roman;serif" w:hAnsi="Times New Roman;serif"/>
          <w:b w:val="false"/>
          <w:color w:val="000000"/>
          <w:sz w:val="24"/>
        </w:rPr>
        <w:t>.” Any Default for the failure to deliver any report within the time periods prescribed in Section 4.02 or to deliver any notice or certificate pursuant to any other provision of this Indenture shall be deemed to be cured upon the subsequent delivery of any such report, notice or certificate, even though such delivery is not within the prescribed period specified.</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06" w:name="i6eabb10ee1d44105af1aea6c3648d0b8"/>
      <w:bookmarkEnd w:id="206"/>
      <w:r>
        <w:rPr>
          <w:rFonts w:ascii="Times New Roman;serif" w:hAnsi="Times New Roman;serif"/>
          <w:b w:val="false"/>
          <w:color w:val="000000"/>
          <w:sz w:val="24"/>
          <w:u w:val="single"/>
        </w:rPr>
        <w:t>Section 6.02    Acceleration.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If an Event of Default with respect to any Series of Securities at the time outstanding (other than an Event of Default specified in Section 6.01(5) or (6) with respect to the Company) occurs and is continuing, the Trustee by notice to the Company, or the Holders of at least 30% in aggregate principal amount of the Securities of that Series by written notice to the Company and the Trustee, may declare the principal of (or, in the case of Original Issue Discount Securities of that Series, the portion thereby specified in the terms of such Security), and accrued and unpaid interest on, all the Securities of that Series to be due and payable. Upon such a declaration, such amounts shall be due and payable immediately. If an Event of Default specified in Section 6.01(5) or (6) with respect to the Company occurs and is continuing, the principal amount of (or, in the case of Original Issue Discount Securities of that Series, the portion thereby specified in the terms of such Security), and accrued and unpaid interest on, all the Securities of each Series shall ipso facto become and be immediately due and payable without any declaration or other act on the part of the Trustee or any Holders. The Holders of a majority in principal amount of the Securities of any Series, by written notice to the Trustee, may rescind any such acceleration of that Series of Securities and its consequences if the rescission would not conflict with any judgment or decree and if all existing Events of Default with respect to such Series have been cured or waived except nonpayment of the principal amount of (or, in the case of Original Issue Discount Securities of that Series, the portion thereby specified in the terms of such Security), and accrued and unpaid interest on, all Securities of that Series that has become due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37845"/>
                <wp:effectExtent l="0" t="0" r="0" b="0"/>
                <wp:wrapNone/>
                <wp:docPr id="87" name="Frame8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solely because of acceleration. No such rescission shall affect any subsequent Default or impair any right consequent thereto.</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07" w:name="ic7b0b4e2b7724c5a93b03738e137f2ce"/>
      <w:bookmarkEnd w:id="207"/>
      <w:r>
        <w:rPr>
          <w:rFonts w:ascii="Times New Roman;serif" w:hAnsi="Times New Roman;serif"/>
          <w:b w:val="false"/>
          <w:color w:val="000000"/>
          <w:sz w:val="24"/>
          <w:u w:val="single"/>
        </w:rPr>
        <w:t>Section 6.03    Other Remedies.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any Series of Securities occurs and is continuing, the Trustee may pursue any available remedy to collect the payment of principal of (or, in the case of Original Issue Discount Securities of that Series, the portion thereby specified in the terms of such Security), and accrued and unpaid interest on, the Securities of that Series or to enforce the performance of any provision of the Securities of that Series or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maintain a proceeding even if it does not possess any of the Securities of a Series or does not produce any of them in the proceeding. A delay or omission by the Trustee or any Holder in exercising any right or remedy accruing upon an Event of Default with respect to any Series of Securities shall not impair the right or remedy or constitute a waiver of or acquiescence in the Event of Default. No remedy is exclusive of any other remedy. All available remedies are cumulative.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08" w:name="i7bdf2c3f8f374f3da2acaa9fe5e3b4a7"/>
      <w:bookmarkEnd w:id="208"/>
      <w:r>
        <w:rPr>
          <w:rFonts w:ascii="Times New Roman;serif" w:hAnsi="Times New Roman;serif"/>
          <w:b w:val="false"/>
          <w:color w:val="000000"/>
          <w:sz w:val="24"/>
          <w:u w:val="single"/>
        </w:rPr>
        <w:t>Section 6.04    Waiver of Past Defaults.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Holders of a majority in principal amount of the Securities of any Series may, by written notice to the Trustee, waive an existing Default and its consequences except (a) a Default in the payment of the principal amount of (or, in the case of Original Issue Discount Securities of that Series, the portion thereby specified in the terms of such Security), premium, if any, and accrued and unpaid interest on a Security of that Series, (b) a Default arising from the failure to redeem or purchase any Security of that Series when required pursuant to the terms of this Indenture or (c) a Default in respect of a provision that under Section 9.02 cannot be amended without the consent of each Holder of that Series affected. When a Default is waived, it is deemed cured, but no such waiver shall extend to any subsequent or other Default or impair any consequent right.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09" w:name="i5d07aebed60a406488d2ef2c49ca5f12"/>
      <w:bookmarkEnd w:id="209"/>
      <w:r>
        <w:rPr>
          <w:rFonts w:ascii="Times New Roman;serif" w:hAnsi="Times New Roman;serif"/>
          <w:b w:val="false"/>
          <w:color w:val="000000"/>
          <w:sz w:val="24"/>
          <w:u w:val="single"/>
        </w:rPr>
        <w:t>Section 6.05    Control by Majority.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The Holders of a majority in principal amount of the Securities of any Series may direct the time, method and place of conducting any proceeding for any remedy available to the Trustee or of exercising any trust or power conferred on the Trustee with respect to that Series. However, the Trustee may refuse to follow any direction that conflicts with law or this Indenture or, subject to Section 7.01, that the Trustee determines is unduly prejudicial to the rights of any other Holder of that Series (it being understood that the Trustee does not have an affirmative duty to ascertain whether or not such direction is unduly prejudicial to the rights of any such other Holder) or that would involve the Trustee in personal liability;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Trustee may take any other action deemed proper by the Trustee that is not inconsistent with such direction. Prior to taking any action hereunder, the Trustee shall be entitled to indemnification satisfactory to it in its sole discretion against all costs, losses, liabilities and expenses caused by taking or not taking such action.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10" w:name="ic2cc09ba97d94028a96eb63689d2441d"/>
      <w:bookmarkEnd w:id="210"/>
      <w:r>
        <w:rPr>
          <w:rFonts w:ascii="Times New Roman;serif" w:hAnsi="Times New Roman;serif"/>
          <w:b w:val="false"/>
          <w:color w:val="000000"/>
          <w:sz w:val="24"/>
          <w:u w:val="single"/>
        </w:rPr>
        <w:t>Section 6.06    Limitation on Suits.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37845"/>
                <wp:effectExtent l="0" t="0" r="0" b="0"/>
                <wp:wrapNone/>
                <wp:docPr id="88" name="Frame8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Except to enforce the right to receive payment of principal of (or, in the case of Original Issue Discount Securities, the portion thereby specified in the terms of such Security), or accrued and unpaid interest on, a Security of any Series when due, no Holder of a Security of that Series shall have any right to institute, or to order or direct the Trustee to institute any proceeding, judicial or otherwise, or pursue any remedy with respect to this Indenture or the Securities of that Series unless: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11" w:name="i987c5ccba9964829ac10b01eb27e6220"/>
      <w:bookmarkEnd w:id="211"/>
      <w:r>
        <w:rPr>
          <w:rFonts w:ascii="Times New Roman;serif" w:hAnsi="Times New Roman;serif"/>
          <w:b w:val="false"/>
          <w:color w:val="000000"/>
          <w:sz w:val="24"/>
        </w:rPr>
        <w:t>(1)    the Holder has previously given the Trustee written notice that an Event of Default with respect to that Series is continuing;</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12" w:name="i1ed10396e44444278b2c89105bb70d91"/>
      <w:bookmarkEnd w:id="212"/>
      <w:r>
        <w:rPr>
          <w:rFonts w:ascii="Times New Roman;serif" w:hAnsi="Times New Roman;serif"/>
          <w:b w:val="false"/>
          <w:color w:val="000000"/>
          <w:sz w:val="24"/>
        </w:rPr>
        <w:t>(2)    the Holders of at least 30% in aggregate principal amount of the outstanding Securities of that Series make a written request to the Trustee to pursue the remedy;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13" w:name="ibe09953bd35843919e4fa3edbc632ee8"/>
      <w:bookmarkEnd w:id="213"/>
      <w:r>
        <w:rPr>
          <w:rFonts w:ascii="Times New Roman;serif" w:hAnsi="Times New Roman;serif"/>
          <w:b w:val="false"/>
          <w:color w:val="000000"/>
          <w:sz w:val="24"/>
        </w:rPr>
        <w:t>(3)    such Holder or Holders of that Series have offered the Trustee security or indemnity satisfactory to the Trustee against any loss, liability or expense;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14" w:name="i191fa91307f34c04a26a577c2ab4b463"/>
      <w:bookmarkEnd w:id="214"/>
      <w:r>
        <w:rPr>
          <w:rFonts w:ascii="Times New Roman;serif" w:hAnsi="Times New Roman;serif"/>
          <w:b w:val="false"/>
          <w:color w:val="000000"/>
          <w:sz w:val="24"/>
        </w:rPr>
        <w:t>(4)    the Trustee has not complied with such request within 60 days after the receipt of the request and the offer of security or indemnity;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15" w:name="ie1df3fded38f477e916e3b5037a98511"/>
      <w:bookmarkEnd w:id="215"/>
      <w:r>
        <w:rPr>
          <w:rFonts w:ascii="Times New Roman;serif" w:hAnsi="Times New Roman;serif"/>
          <w:b w:val="false"/>
          <w:color w:val="000000"/>
          <w:sz w:val="24"/>
        </w:rPr>
        <w:t>(5)    the Holders of a majority in aggregate principal amount of the outstanding Securities of that Series have not given the Trustee a direction inconsistent with such request during such 60-day period.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Holder of Securities of any Series may not use this Indenture to prejudice the rights of another Holder of that Series or to obtain a preference or priority over another Holder of that Series (it being understood that the Trustee does not have an affirmative duty to ascertain whether or not such use of this Indenture prejudices the rights of such Holder or obtains a preference or priority over such Holder).</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16" w:name="ifd9df805abc247ed8a26f0246d4cc7e4"/>
      <w:bookmarkEnd w:id="216"/>
      <w:r>
        <w:rPr>
          <w:rFonts w:ascii="Times New Roman;serif" w:hAnsi="Times New Roman;serif"/>
          <w:b w:val="false"/>
          <w:color w:val="000000"/>
          <w:sz w:val="24"/>
          <w:u w:val="single"/>
        </w:rPr>
        <w:t>Section 6.07    Rights of Holders to Receive Payment.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the right of any Holder to receive payment of principal of (or, in the case of Original Issuer Discount Securities, the portion thereby specified in the terms of such Security), or accrued and unpaid interest on, the Securities held by such Holder, on or after the respective due dates expressed in the Securities, or to bring suit for the enforcement of any such payment on or after such respective dates, shall not be impaired or affected without the consent of such Holder.</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17" w:name="i38852e07edaa4569b8edaa274441de5f"/>
      <w:bookmarkEnd w:id="217"/>
      <w:r>
        <w:rPr>
          <w:rFonts w:ascii="Times New Roman;serif" w:hAnsi="Times New Roman;serif"/>
          <w:b w:val="false"/>
          <w:color w:val="000000"/>
          <w:sz w:val="24"/>
          <w:u w:val="single"/>
        </w:rPr>
        <w:t>Section 6.08    Collection Suit by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 Event of Default specified in Section 6.01(1) or (2) occurs and is continuing, the Trustee may recover judgment in its own name and as trustee of an express trust against the Company for the whole amount then due and owing (together with interest on any unpaid interest to the extent lawful) and the amounts provided for in Section 7.07 to cover the costs and expenses of collection, including the reasonable compensation, expenses disbursement and advances of the Trustee, its agents and its counsel.</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37845"/>
                <wp:effectExtent l="0" t="0" r="0" b="0"/>
                <wp:wrapNone/>
                <wp:docPr id="89" name="Frame8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18" w:name="iffe7f4cabf0740448c3eb540d3e46aff"/>
      <w:bookmarkEnd w:id="218"/>
      <w:r>
        <w:rPr>
          <w:rFonts w:ascii="Times New Roman;serif" w:hAnsi="Times New Roman;serif"/>
          <w:b w:val="false"/>
          <w:color w:val="000000"/>
          <w:sz w:val="24"/>
          <w:u w:val="single"/>
        </w:rPr>
        <w:t>Section 6.09    Trustee May File Proofs of Claim.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file such proofs of claim and other papers or documents as may be necessary or advisable in order to have the claims of the Trustee and the Holders allowed in any judicial proceedings relative to the Company or any of its Subsidiaries, their creditors or their property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reasonable compensation, expenses, disbursements and advances of the Trustee, its agents and its counsel, and any other amounts due the Trustee under Section 7.07.</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19" w:name="idb0d00ad6bff48e2b047311e644392fa"/>
      <w:bookmarkEnd w:id="219"/>
      <w:r>
        <w:rPr>
          <w:rFonts w:ascii="Times New Roman;serif" w:hAnsi="Times New Roman;serif"/>
          <w:b w:val="false"/>
          <w:color w:val="000000"/>
          <w:sz w:val="24"/>
          <w:u w:val="single"/>
        </w:rPr>
        <w:t>Section 6.10    Priorities.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Trustee collects any money or property pursuant to this Article VI with respect to any Series of Securities, it shall pay out the money or property in the following order: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FIRST: to the Trustee for amounts due under Section 7.07;</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SECOND: Holders for amounts due and unpaid on the Securities of that Series for the principal amount of (or, in the case of Original Issue Discount Securities of that Series, the portion thereby specified in the terms of such Security), premium, if any, and accrued and unpaid interest, ratably, without preference or priority of any kind, according to the amounts due and payable on the Securities of that Series for the principal amount of (or, in the case of Original Issue Discount Securities of that Series, the portion thereby specified in the terms of such Security), premium, if any, and accrued and unpaid interest, respectively; and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THIRD: to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fix a record date and payment date for any payment to Holders pursuant to this Section. At least 15 days before such record date, the Company shall mail to each Holder and the Trustee a notice that states the record date, the payment date and the amount to be paid.</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20" w:name="ia5a7ee0898174658a08bba1febe514d2"/>
      <w:bookmarkEnd w:id="220"/>
      <w:r>
        <w:rPr>
          <w:rFonts w:ascii="Times New Roman;serif" w:hAnsi="Times New Roman;serif"/>
          <w:b w:val="false"/>
          <w:color w:val="000000"/>
          <w:sz w:val="24"/>
          <w:u w:val="single"/>
        </w:rPr>
        <w:t>Section 6.11    Undertaking for Costs.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pursuant to Section 6.07 or a suit by Holders of more than 10% in principal amount of the Securities of any Series.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21" w:name="i8a115254192d4e13989ee29651717ee8"/>
      <w:bookmarkEnd w:id="221"/>
      <w:r>
        <w:rPr>
          <w:rFonts w:ascii="Times New Roman;serif" w:hAnsi="Times New Roman;serif"/>
          <w:b w:val="false"/>
          <w:color w:val="000000"/>
          <w:sz w:val="24"/>
          <w:u w:val="single"/>
        </w:rPr>
        <w:t>Section 6.12    Waiver of Stay or Extension Laws.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37845"/>
                <wp:effectExtent l="0" t="0" r="0" b="0"/>
                <wp:wrapNone/>
                <wp:docPr id="90" name="Frame8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(to the extent it may lawfully do so) shall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shall not hinder, delay or impede the execution of any power herein granted to the Trustee, but shall suffer and permit the execution of every such power as though no such law had been enacted.</w:t>
      </w:r>
    </w:p>
    <w:p>
      <w:pPr>
        <w:pStyle w:val="TextBody"/>
        <w:bidi w:val="0"/>
        <w:spacing w:lineRule="auto" w:line="240" w:before="0" w:after="240"/>
        <w:jc w:val="center"/>
        <w:rPr>
          <w:rFonts w:ascii="Times New Roman;serif" w:hAnsi="Times New Roman;serif"/>
          <w:b w:val="false"/>
          <w:color w:val="000000"/>
          <w:sz w:val="24"/>
          <w:u w:val="single"/>
        </w:rPr>
      </w:pPr>
      <w:bookmarkStart w:id="222" w:name="i9d9b9e4446974ef8aa00b8c59d48763b"/>
      <w:bookmarkEnd w:id="222"/>
      <w:r>
        <w:rPr>
          <w:rFonts w:ascii="Times New Roman;serif" w:hAnsi="Times New Roman;serif"/>
          <w:b w:val="false"/>
          <w:color w:val="000000"/>
          <w:sz w:val="24"/>
          <w:u w:val="single"/>
        </w:rPr>
        <w:t>ARTICLE VII</w:t>
        <w:br/>
        <w:br/>
        <w:t>Trustee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23" w:name="ide71e1e81e6741d19a53e6b922c3fea4"/>
      <w:bookmarkEnd w:id="223"/>
      <w:r>
        <w:rPr>
          <w:rFonts w:ascii="Times New Roman;serif" w:hAnsi="Times New Roman;serif"/>
          <w:b w:val="false"/>
          <w:color w:val="000000"/>
          <w:sz w:val="24"/>
          <w:u w:val="single"/>
        </w:rPr>
        <w:t>Section 7.01    Duties of Trustee.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24" w:name="i256555c22fef4671875c2c151ba87329"/>
      <w:bookmarkEnd w:id="224"/>
      <w:r>
        <w:rPr>
          <w:rFonts w:ascii="Times New Roman;serif" w:hAnsi="Times New Roman;serif"/>
          <w:b w:val="false"/>
          <w:color w:val="000000"/>
          <w:sz w:val="24"/>
        </w:rPr>
        <w:t>(a)    If an Event of Default has occurred and is continuing with respect to any Series of Securities,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25" w:name="i2eec8b5b4c55462083f8d6cecfd2783e"/>
      <w:bookmarkEnd w:id="225"/>
      <w:r>
        <w:rPr>
          <w:rFonts w:ascii="Times New Roman;serif" w:hAnsi="Times New Roman;serif"/>
          <w:b w:val="false"/>
          <w:color w:val="000000"/>
          <w:sz w:val="24"/>
        </w:rPr>
        <w:t>(b)    Except during the continuance of an Event of Default with respect to any Series of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26" w:name="i7d45d7799c7143bd8b4bf599f0282250"/>
      <w:bookmarkEnd w:id="226"/>
      <w:r>
        <w:rPr>
          <w:rFonts w:ascii="Times New Roman;serif" w:hAnsi="Times New Roman;serif"/>
          <w:b w:val="false"/>
          <w:color w:val="000000"/>
          <w:sz w:val="24"/>
        </w:rPr>
        <w:t>(1)    the Trustee undertakes to perform such duties and only such duties as are specifically set forth in this Indenture with respect to the Securities of that Series, as modified or supplemented by a supplemental indenture and no implied covenants or obligations shall be read into this Indenture against the Trustee;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27" w:name="ifc05b2ea394e4fa8ba671603b0e517c5"/>
      <w:bookmarkEnd w:id="227"/>
      <w:r>
        <w:rPr>
          <w:rFonts w:ascii="Times New Roman;serif" w:hAnsi="Times New Roman;serif"/>
          <w:b w:val="false"/>
          <w:color w:val="000000"/>
          <w:sz w:val="24"/>
        </w:rPr>
        <w:t>(2)    in the absence of bad faith on its part, the Trustee may, with respect to the Securities of that Series, conclusively rely, as to the truth of the statements and the correctness of the opinions expressed therein, upon certificates or opinions furnished to the Trustee and conforming to the requirements of this Indenture. However, the Trustee shall examine the certificates (including Officer’s Certificates) and opinions (including Opinions of Counsel) to determine whether they conform to the requirements of this Indenture (but need not confirm or investigate the accuracy of any such opinion or certificates, including mathematical calculations or other facts stated therein).</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28" w:name="i406febe37168414282ae841c9a0aa80d"/>
      <w:bookmarkEnd w:id="228"/>
      <w:r>
        <w:rPr>
          <w:rFonts w:ascii="Times New Roman;serif" w:hAnsi="Times New Roman;serif"/>
          <w:b w:val="false"/>
          <w:color w:val="000000"/>
          <w:sz w:val="24"/>
        </w:rPr>
        <w:t>(c)    The Trustee may not be relieved from liability for its own negligent action, its own negligent failure to act or its own willful misconduct, except that: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29" w:name="i44fdd3fe90ee40d984640f719a73298a"/>
      <w:bookmarkEnd w:id="229"/>
      <w:r>
        <w:rPr>
          <w:rFonts w:ascii="Times New Roman;serif" w:hAnsi="Times New Roman;serif"/>
          <w:b w:val="false"/>
          <w:color w:val="000000"/>
          <w:sz w:val="24"/>
        </w:rPr>
        <w:t>(1)    this paragraph does not limit the effect of paragraph (b) of this Section;</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30" w:name="i92c8a288dd714bfc9b43878495f9f929"/>
      <w:bookmarkEnd w:id="230"/>
      <w:r>
        <w:rPr>
          <w:rFonts w:ascii="Times New Roman;serif" w:hAnsi="Times New Roman;serif"/>
          <w:b w:val="false"/>
          <w:color w:val="000000"/>
          <w:sz w:val="24"/>
        </w:rPr>
        <w:t>(2)    the Trustee shall not be liable for any error of judgment made in good faith by a Trust Officer unless it is proved that the Trustee was negligent in ascertaining the pertinent facts; and</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37845"/>
                <wp:effectExtent l="0" t="0" r="0" b="0"/>
                <wp:wrapNone/>
                <wp:docPr id="91" name="Frame8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31" w:name="i155235f827724308ae8691a0c987e0a3"/>
      <w:bookmarkEnd w:id="231"/>
      <w:r>
        <w:rPr>
          <w:rFonts w:ascii="Times New Roman;serif" w:hAnsi="Times New Roman;serif"/>
          <w:b w:val="false"/>
          <w:color w:val="000000"/>
          <w:sz w:val="24"/>
        </w:rPr>
        <w:t>(3)    the Trustee shall not be liable with respect to any action it takes or omits to take in good faith in accordance with a direction received by it pursuant to Section 6.05.</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2" w:name="i81e4ef5e9b944e4b86f0a6a9f2916c1b"/>
      <w:bookmarkEnd w:id="232"/>
      <w:r>
        <w:rPr>
          <w:rFonts w:ascii="Times New Roman;serif" w:hAnsi="Times New Roman;serif"/>
          <w:b w:val="false"/>
          <w:color w:val="000000"/>
          <w:sz w:val="24"/>
        </w:rPr>
        <w:t>(d)    Every provision of this Indenture that in any way relates to the Trustee is subject to paragraphs (a), (b), (c), (e) and (h) of this Section.</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3" w:name="iad07a142105443d5b445da0d16d06336"/>
      <w:bookmarkEnd w:id="233"/>
      <w:r>
        <w:rPr>
          <w:rFonts w:ascii="Times New Roman;serif" w:hAnsi="Times New Roman;serif"/>
          <w:b w:val="false"/>
          <w:color w:val="000000"/>
          <w:sz w:val="24"/>
        </w:rPr>
        <w:t>(e)    The Trustee may refuse to perform any duty or exercise any of its rights or powers under this Indenture unless it receives security and indemnity satisfactory to it against any costs, loss, liability or expense which might be incurred by it in performing such duty or exercising such right or power.</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4" w:name="i45d6ef17f2d74e91b5b551c13ad0a158"/>
      <w:bookmarkEnd w:id="234"/>
      <w:r>
        <w:rPr>
          <w:rFonts w:ascii="Times New Roman;serif" w:hAnsi="Times New Roman;serif"/>
          <w:b w:val="false"/>
          <w:color w:val="000000"/>
          <w:sz w:val="24"/>
        </w:rPr>
        <w:t>(f)    The Trustee shall not be liable for interest on any money received by it except as the Trustee may agree in writing with the Company. In the absence of written investment direction from the Company, the Trustee shall be entitled to invest any funds received in the U.S. Bank Money Market Deposit Account, any earnings on which shall be for the account of the Company. In no event shall the Trustee be liable for the selection of investments or for investment losses incurred thereon or for losses incurred as a result of the liquidation of any such investment prior to its maturity date, and the Trustee shall have no liability to invest or reinvest any amounts held hereunder in the absence of any written investment direction from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5" w:name="ie391cd12c1ae49ea801c447ec8785bf3"/>
      <w:bookmarkEnd w:id="235"/>
      <w:r>
        <w:rPr>
          <w:rFonts w:ascii="Times New Roman;serif" w:hAnsi="Times New Roman;serif"/>
          <w:b w:val="false"/>
          <w:color w:val="000000"/>
          <w:sz w:val="24"/>
        </w:rPr>
        <w:t>(g)    Money held in trust by the Trustee need not be segregated from other funds except to the extent required by law.</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6" w:name="ie8362702b95e4a5e825722076838f37e"/>
      <w:bookmarkEnd w:id="236"/>
      <w:r>
        <w:rPr>
          <w:rFonts w:ascii="Times New Roman;serif" w:hAnsi="Times New Roman;serif"/>
          <w:b w:val="false"/>
          <w:color w:val="000000"/>
          <w:sz w:val="24"/>
        </w:rPr>
        <w:t>(h)    No provision of this Indenture shall require the Trustee to expend or risk its own funds or otherwise incur financial liability in the performance of any of its duties hereunder or in the exercise of any of its rights or powers, if it shall have reasonable grounds to believe that repayment of such funds or adequate indemnity against such risk or liability is not reasonably assured to it.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7" w:name="i02d4c1a5f53847c0baf42734256aba04"/>
      <w:bookmarkEnd w:id="237"/>
      <w:r>
        <w:rPr>
          <w:rFonts w:ascii="Times New Roman;serif" w:hAnsi="Times New Roman;serif"/>
          <w:b w:val="false"/>
          <w:color w:val="000000"/>
          <w:sz w:val="24"/>
        </w:rPr>
        <w:t>(i)    Every provision of this Indenture relating to the conduct or affecting the liability of or affording protection to the Trustee shall be subject to the provisions of this Section and to the provisions of the Trust Indenture Act.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38" w:name="i94e02448e7644d53ba9fc94b8cd4a2e3"/>
      <w:bookmarkEnd w:id="238"/>
      <w:r>
        <w:rPr>
          <w:rFonts w:ascii="Times New Roman;serif" w:hAnsi="Times New Roman;serif"/>
          <w:b w:val="false"/>
          <w:color w:val="000000"/>
          <w:sz w:val="24"/>
        </w:rPr>
        <w:t>(j)    The Paying Agent, the Registrar and any authenticating agent shall be entitled to the protections and immunities as are set forth in paragraphs (e), (f), (g) and (h) of this Section and in Section 7.02, each with respect to the Trustee.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39" w:name="i2799fcb96f2b4249891aee838942471a"/>
      <w:bookmarkEnd w:id="239"/>
      <w:r>
        <w:rPr>
          <w:rFonts w:ascii="Times New Roman;serif" w:hAnsi="Times New Roman;serif"/>
          <w:b w:val="false"/>
          <w:color w:val="000000"/>
          <w:sz w:val="24"/>
          <w:u w:val="single"/>
        </w:rPr>
        <w:t>Section 7.02    Rights of Trustee.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0" w:name="ie1a55f818820497a937e3ab7b4172eb5"/>
      <w:bookmarkEnd w:id="240"/>
      <w:r>
        <w:rPr>
          <w:rFonts w:ascii="Times New Roman;serif" w:hAnsi="Times New Roman;serif"/>
          <w:b w:val="false"/>
          <w:color w:val="000000"/>
          <w:sz w:val="24"/>
        </w:rPr>
        <w:t>(a)    The Trustee may conclusively rely on and shall be protected in acting or refraining from acting upon any certificate, notice, order, instrument or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37845"/>
                <wp:effectExtent l="0" t="0" r="0" b="0"/>
                <wp:wrapNone/>
                <wp:docPr id="92" name="Frame9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1" w:name="i6c08a293c46b41908626b7c01deeb4eb"/>
      <w:bookmarkEnd w:id="241"/>
      <w:r>
        <w:rPr>
          <w:rFonts w:ascii="Times New Roman;serif" w:hAnsi="Times New Roman;serif"/>
          <w:b w:val="false"/>
          <w:color w:val="000000"/>
          <w:sz w:val="24"/>
        </w:rPr>
        <w:t>(b)    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2" w:name="i339696bdcbb24697bf51e5b4ef99bf3f"/>
      <w:bookmarkEnd w:id="242"/>
      <w:r>
        <w:rPr>
          <w:rFonts w:ascii="Times New Roman;serif" w:hAnsi="Times New Roman;serif"/>
          <w:b w:val="false"/>
          <w:color w:val="000000"/>
          <w:sz w:val="24"/>
        </w:rPr>
        <w:t>(c)    The Trustee may act through agents, custodians, nominees or attorneys and shall not be responsible for the misconduct or negligence of any agent, custodian, nominee or attorney appointed with due care. No Depositary shall be deemed an agent of the Trustee and the Trustee shall not be responsible for any act or omission by any Depositary.</w:t>
      </w:r>
    </w:p>
    <w:p>
      <w:pPr>
        <w:pStyle w:val="TextBody"/>
        <w:bidi w:val="0"/>
        <w:spacing w:lineRule="auto" w:line="288" w:before="0" w:after="240"/>
        <w:ind w:left="0" w:right="0" w:firstLine="1440"/>
        <w:jc w:val="left"/>
        <w:rPr/>
      </w:pPr>
      <w:bookmarkStart w:id="243" w:name="ib4604a1f4a5e4f0fb295ebc1d3ab8552"/>
      <w:bookmarkEnd w:id="243"/>
      <w:r>
        <w:rPr>
          <w:rFonts w:ascii="Times New Roman;serif" w:hAnsi="Times New Roman;serif"/>
          <w:b w:val="false"/>
          <w:color w:val="000000"/>
          <w:sz w:val="24"/>
        </w:rPr>
        <w:t xml:space="preserve">(d)    The Trustee shall not be liable for any action it takes, suffers to exist or omits to take in good faith which it believes to be authorized or within its rights or powers;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Trustee’s conduct does not constitute willful misconduct or negligence.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4" w:name="i0fc0f932780948ed82f61d3a012ecd9f"/>
      <w:bookmarkEnd w:id="244"/>
      <w:r>
        <w:rPr>
          <w:rFonts w:ascii="Times New Roman;serif" w:hAnsi="Times New Roman;serif"/>
          <w:b w:val="false"/>
          <w:color w:val="000000"/>
          <w:sz w:val="24"/>
        </w:rPr>
        <w:t>(e)    The Trustee may consult with counsel, and the advice or opinion of counsel with respect to legal matters relating to this Indenture and the Securities shall be full and complete authorization and protection from liability in respect to any action taken, omitted or suffered by it hereunder in good faith and in accordance with the advice or opinion of such counsel.</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5" w:name="i67baac45992d4ccea3e34c6c351749a5"/>
      <w:bookmarkEnd w:id="245"/>
      <w:r>
        <w:rPr>
          <w:rFonts w:ascii="Times New Roman;serif" w:hAnsi="Times New Roman;serif"/>
          <w:b w:val="false"/>
          <w:color w:val="000000"/>
          <w:sz w:val="24"/>
        </w:rPr>
        <w:t>(f)    The Trustee shall not be bound to make any investigation into the facts or matters stated in any resolution, certificate, statement, instrument, opinion, report, notice, request, consent, order, approval, bond, debenture, note or other paper or document.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6" w:name="i4aacf3648ba24bdd80eef65b7da52a0a"/>
      <w:bookmarkEnd w:id="246"/>
      <w:r>
        <w:rPr>
          <w:rFonts w:ascii="Times New Roman;serif" w:hAnsi="Times New Roman;serif"/>
          <w:b w:val="false"/>
          <w:color w:val="000000"/>
          <w:sz w:val="24"/>
        </w:rPr>
        <w:t>(g)    The Trustee shall not be deemed to have notice or charged with knowledge of any Default or Event of Default with respect to the Securities of any Series unless a Trust Officer of the Trustee has actual knowledge thereof or unless written notice of any event which is in fact such a default is received from the Company or any Holders of such Securities by the Trustee at the Corporate Trust Office of the Trustee, and such notice references such Securities and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7" w:name="ib96ef065a9bc4235889b7d1f8d416ede"/>
      <w:bookmarkEnd w:id="247"/>
      <w:r>
        <w:rPr>
          <w:rFonts w:ascii="Times New Roman;serif" w:hAnsi="Times New Roman;serif"/>
          <w:b w:val="false"/>
          <w:color w:val="000000"/>
          <w:sz w:val="24"/>
        </w:rPr>
        <w:t>(h)    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8" w:name="i01e27a74ce4d43fb97a3c1957efb3c71"/>
      <w:bookmarkEnd w:id="248"/>
      <w:r>
        <w:rPr>
          <w:rFonts w:ascii="Times New Roman;serif" w:hAnsi="Times New Roman;serif"/>
          <w:b w:val="false"/>
          <w:color w:val="000000"/>
          <w:sz w:val="24"/>
        </w:rPr>
        <w:t>(i)    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the Trustee in compliance with such request or direction.</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49" w:name="i43b9bf7440854ea695d451831729fa36"/>
      <w:bookmarkEnd w:id="249"/>
      <w:r>
        <w:rPr>
          <w:rFonts w:ascii="Times New Roman;serif" w:hAnsi="Times New Roman;serif"/>
          <w:b w:val="false"/>
          <w:color w:val="000000"/>
          <w:sz w:val="24"/>
        </w:rPr>
        <w:t>(j)    The Trustee may from time to time request that the Company deliver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37845"/>
                <wp:effectExtent l="0" t="0" r="0" b="0"/>
                <wp:wrapNone/>
                <wp:docPr id="93" name="Frame9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50" w:name="icd333b0515754e808cbc3c7838761184"/>
      <w:bookmarkEnd w:id="250"/>
      <w:r>
        <w:rPr>
          <w:rFonts w:ascii="Times New Roman;serif" w:hAnsi="Times New Roman;serif"/>
          <w:b w:val="false"/>
          <w:color w:val="000000"/>
          <w:sz w:val="24"/>
        </w:rPr>
        <w:t>(k)    The permissive right of the Trustee to take any action under this Indenture shall not be construed as a duty to so act.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51" w:name="ibcd7525241ca49be9d6ad0c1262625ca"/>
      <w:bookmarkEnd w:id="251"/>
      <w:r>
        <w:rPr>
          <w:rFonts w:ascii="Times New Roman;serif" w:hAnsi="Times New Roman;serif"/>
          <w:b w:val="false"/>
          <w:color w:val="000000"/>
          <w:sz w:val="24"/>
        </w:rPr>
        <w:t>(l)    In no event shall the Trustee be responsible or liable for special, indirect, or consequential loss or damage of any kind whatsoever (including loss of profit) irrespective of whether the Trustee has been advised of the likelihood of such loss or damage and regardless of the form of action.</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52" w:name="i9976f43ecb0349aba6501eb1738149e8"/>
      <w:bookmarkEnd w:id="252"/>
      <w:r>
        <w:rPr>
          <w:rFonts w:ascii="Times New Roman;serif" w:hAnsi="Times New Roman;serif"/>
          <w:b w:val="false"/>
          <w:color w:val="000000"/>
          <w:sz w:val="24"/>
        </w:rPr>
        <w:t>(m)    Any request or direction of the Company mentioned herein shall be sufficiently evidenced by a Company Order and any resolution of the Board of Directors may be sufficiently evidenced by a Board Resolution.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3" w:name="ie551e062b66242969b3737efa7e5cf5a"/>
      <w:bookmarkEnd w:id="253"/>
      <w:r>
        <w:rPr>
          <w:rFonts w:ascii="Times New Roman;serif" w:hAnsi="Times New Roman;serif"/>
          <w:b w:val="false"/>
          <w:color w:val="000000"/>
          <w:sz w:val="24"/>
          <w:u w:val="single"/>
        </w:rPr>
        <w:t>Section 7.03    Individual Rights of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in its individual or any other capacity may become the owner or pledgee of Securities and may otherwise deal with the Company or its Affiliates with the same rights it would have if it were not Trustee. However, in the event that the Trustee acquires any conflicting interest, it must either eliminate such conflict within 90 days, apply to the SEC for permission to continue or resign. Any Paying Agent, Registrar, co-Registrar or co-paying agent may do the same with like rights. However, the Trustee must comply with Sections 7.10 and 7.11.</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4" w:name="i16108f76be0f497899175ece77fffe2b"/>
      <w:bookmarkEnd w:id="254"/>
      <w:r>
        <w:rPr>
          <w:rFonts w:ascii="Times New Roman;serif" w:hAnsi="Times New Roman;serif"/>
          <w:b w:val="false"/>
          <w:color w:val="000000"/>
          <w:sz w:val="24"/>
          <w:u w:val="single"/>
        </w:rPr>
        <w:t>Section 7.04    Trustee’s Disclaimer.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shall not be responsible for and makes no representation as to the validity or adequacy of this Indenture or the Securities of any series, it shall not be accountable for the Company’s use of the proceeds from the Securities, it will not be responsible for the use or application of any money received by any Paying Agent (other than itself as Paying Agent) and it shall not be responsible for any statement of the Company in this Indenture or in any document issued in connection with the sale of the Securities or in the Securities other than the Trustee’s certificate of authentication.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5" w:name="i46271877fafb4254b72e4890943cf030"/>
      <w:bookmarkEnd w:id="255"/>
      <w:r>
        <w:rPr>
          <w:rFonts w:ascii="Times New Roman;serif" w:hAnsi="Times New Roman;serif"/>
          <w:b w:val="false"/>
          <w:color w:val="000000"/>
          <w:sz w:val="24"/>
          <w:u w:val="single"/>
        </w:rPr>
        <w:t>Section 7.05    Notice of Defaults.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 Default with respect to Securities of any Series occurs, is continuing and is actually known to a Trust Officer of the Trustee (as provided in Section 7.02(g)), the Trustee shall send to each Holder of Securities of that Series notice of the Default within 90 days after it is known to the Trustee (as provided in Section 7.02(g)). Except in the case of a Default with respect to Securities of any Series in payment of the principal amount of (or, in the case of Original Issue Discount Securities of that Series, the portion thereby specified in the terms of such Security), and accrued and unpaid interest on, any Security of that Series, the Trustee may withhold the notice if and for so long as a committee of its Trust Officers in good faith determines that withholding the notice is not opposed to the interests of the Holders.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6" w:name="ieb97a0a9b3c246f3a05c917712d93b2a"/>
      <w:bookmarkEnd w:id="256"/>
      <w:r>
        <w:rPr>
          <w:rFonts w:ascii="Times New Roman;serif" w:hAnsi="Times New Roman;serif"/>
          <w:b w:val="false"/>
          <w:color w:val="000000"/>
          <w:sz w:val="24"/>
          <w:u w:val="single"/>
        </w:rPr>
        <w:t>Section 7.06    Reports by Trustee to Holders.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37845"/>
                <wp:effectExtent l="0" t="0" r="0" b="0"/>
                <wp:wrapNone/>
                <wp:docPr id="94" name="Frame9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As promptly as practicable after each July 1 beginning with the July 1 after the issuance of Securities pursuant to this Indenture, and in any event prior to September 15 in each such year for so long as Securities remain outstanding, the Trustee shall mail to each Holder, as their names and addresses appear on the register kept by the Registrar, a brief report dated as of such reporting date that complies with Trust Indenture Act § 313(a). The Trustee also shall comply with Trust Indenture Act § 313(b). The Trustee shall promptly deliver to the Company a copy of any report it delivers to Holders pursuant to this Section 7.06.</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copy of each report at the time of its mailing to Holders shall be filed by the Trustee with the SEC and each stock exchange (if any) on which the Securities are listed. The Company agrees to notify promptly the Trustee whenever the Securities become listed or cease to be listed on any stock exchange and of any delisting thereof.</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7" w:name="i9220a96e169a4dff89f48cc5bdcbfa70"/>
      <w:bookmarkEnd w:id="257"/>
      <w:r>
        <w:rPr>
          <w:rFonts w:ascii="Times New Roman;serif" w:hAnsi="Times New Roman;serif"/>
          <w:b w:val="false"/>
          <w:color w:val="000000"/>
          <w:sz w:val="24"/>
          <w:u w:val="single"/>
        </w:rPr>
        <w:t>Section 7.07    Compensation and Indemnity.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pay to the Trustee from time to time reasonable compensation for its services as the Company and the Trustee shall from time to time agree in writing. The Trustee’s compensation shall not be limited by any law on compensation of a trustee of an express trust. The Company shall reimburse the Trustee upon request for all reasonable and documented out-of-pocket expenses incurred or made by it in accordance with the provisions of this Indenture, including costs of collection, costs of preparation and mailing of notices to Holders and reasonable costs of counsel retained by the Trustee or otherwise in addition to the compensation for its services. Such expenses shall include the reasonable compensation and expenses, disbursements and advances of the Trustee’s agents, counsel, accountants and experts.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indemnify the Trustee against any and all loss, damage, claim, suit, liability or expense, including attorneys’ fees, court costs and taxes (other than taxes based upon, measured or determined by the income of the Trustee) arising out of or incurred by it in connection with the acceptance and administration of this trust and the performance of its duties hereunder, including the costs and expenses of enforcing the Indenture (including this Section 7.07) and of defending itself against any claims (whether asserted by any Holder, the Company or otherwise). The Trustee shall notify the Company promptly of any claim for which it may seek indemnity. Failure by the Trustee to so notify the Company shall not relieve the Company of its obligations hereunder, except to the extent that the Company has been prejudiced by such failure. The Company shall defend the claim and the Trustee shall cooperate in the defense of any such claim.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have one separate counsel and the Company shall pay the reasonable and documented out-of-pocket fees and expenses of such counsel. The Company need not reimburse any expense or indemnify against any loss, liability or expense incurred by the Trustee through the Trustee’s own willful misconduct or negligence as determined by a final, non-appealable judgment of a court of competent jurisdiction. The Company need not pay for any settlement made without its consent, which consent shall not be unreasonably withheld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37845"/>
                <wp:effectExtent l="0" t="0" r="0" b="0"/>
                <wp:wrapNone/>
                <wp:docPr id="95" name="Frame9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To secure the Company’s payment obligations in this Section, the Trustee shall have a lien prior to the Securities on all money or property held or collected by the Trustee other than money or property held in trust to pay principal of and interest on particular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Company’s payment obligations pursuant to this Section shall survive the satisfaction or discharge of this Indenture, any rejection or termination of this Indenture under any bankruptcy law or the resignation or removal of the Trustee. When the Trustee incurs expenses after the occurrence of a Default specified in Section 6.01(5) or (6) with respect to the Company, the expenses are intended to constitute expenses of administration under the Bankruptcy Law.</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58" w:name="i4f9015b112ef4f21a31e48303a0497c4"/>
      <w:bookmarkEnd w:id="258"/>
      <w:r>
        <w:rPr>
          <w:rFonts w:ascii="Times New Roman;serif" w:hAnsi="Times New Roman;serif"/>
          <w:b w:val="false"/>
          <w:color w:val="000000"/>
          <w:sz w:val="24"/>
          <w:u w:val="single"/>
        </w:rPr>
        <w:t>Section 7.08    Replacement of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resign with respect to the Securities of any Series at any time upon 30 days’ written notice to the Company. The Holders of a majority in aggregate principal amount of the Securities of any Series outstanding may remove the Trustee upon 30 days’ written notice to the Trustee and may appoint a successor Trustee with respect to such Series of Securities, which successor Trustee shall be reasonably acceptable to the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at any time: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59" w:name="iebe879f0beb0434486a279fab710ae54"/>
      <w:bookmarkEnd w:id="259"/>
      <w:r>
        <w:rPr>
          <w:rFonts w:ascii="Times New Roman;serif" w:hAnsi="Times New Roman;serif"/>
          <w:b w:val="false"/>
          <w:color w:val="000000"/>
          <w:sz w:val="24"/>
        </w:rPr>
        <w:t>(1)    the Trustee fails to comply with Section 7.10;</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60" w:name="i9f057ec81f8d4193a31837cd2b8f3939"/>
      <w:bookmarkEnd w:id="260"/>
      <w:r>
        <w:rPr>
          <w:rFonts w:ascii="Times New Roman;serif" w:hAnsi="Times New Roman;serif"/>
          <w:b w:val="false"/>
          <w:color w:val="000000"/>
          <w:sz w:val="24"/>
        </w:rPr>
        <w:t>(2)    the Trustee is adjudged bankrupt or insolvent;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61" w:name="ibe788d22a1824a658975a9f07ce74a1d"/>
      <w:bookmarkEnd w:id="261"/>
      <w:r>
        <w:rPr>
          <w:rFonts w:ascii="Times New Roman;serif" w:hAnsi="Times New Roman;serif"/>
          <w:b w:val="false"/>
          <w:color w:val="000000"/>
          <w:sz w:val="24"/>
        </w:rPr>
        <w:t>(3)    a receiver or other public officer takes charge of the Trustee or its property;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62" w:name="i38ce53f252b747d79723460bb9e1bbf1"/>
      <w:bookmarkEnd w:id="262"/>
      <w:r>
        <w:rPr>
          <w:rFonts w:ascii="Times New Roman;serif" w:hAnsi="Times New Roman;serif"/>
          <w:b w:val="false"/>
          <w:color w:val="000000"/>
          <w:sz w:val="24"/>
        </w:rPr>
        <w:t xml:space="preserve">(4)    the Trustee otherwise becomes incapable of acting; </w:t>
      </w:r>
    </w:p>
    <w:p>
      <w:pPr>
        <w:pStyle w:val="TextBody"/>
        <w:bidi w:val="0"/>
        <w:spacing w:lineRule="auto" w:line="288" w:before="0" w:after="240"/>
        <w:jc w:val="left"/>
        <w:rPr/>
      </w:pPr>
      <w:bookmarkStart w:id="263" w:name="id69b14dfc9434203a8bb711f0c212d57"/>
      <w:bookmarkEnd w:id="263"/>
      <w:r>
        <w:rPr>
          <w:rFonts w:ascii="Times New Roman;serif" w:hAnsi="Times New Roman;serif"/>
          <w:b w:val="false"/>
          <w:color w:val="000000"/>
          <w:sz w:val="24"/>
        </w:rPr>
        <w:t xml:space="preserve">then, in any such case, (A) the Company may remove the Trustee with respect to all Securities or (B) subject to Section 6.11, Holders of 10% in aggregate principal amount of Securities of any series who have been </w:t>
      </w:r>
      <w:r>
        <w:rPr>
          <w:rFonts w:ascii="Times New Roman;serif" w:hAnsi="Times New Roman;serif"/>
          <w:b w:val="false"/>
          <w:i/>
          <w:color w:val="000000"/>
          <w:sz w:val="24"/>
        </w:rPr>
        <w:t xml:space="preserve">bona fide </w:t>
      </w:r>
      <w:r>
        <w:rPr>
          <w:rFonts w:ascii="Times New Roman;serif" w:hAnsi="Times New Roman;serif"/>
          <w:b w:val="false"/>
          <w:color w:val="000000"/>
          <w:sz w:val="24"/>
        </w:rPr>
        <w:t>Holders of such Securities of the Series for at least six months may, on behalf of themselves and all others similarly situated, petition any court of competent jurisdiction for the removal of the Trustee with respect to all Securities and the appointment of a successor Trustee or Trustees.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Trustee resigns, is removed by the Company or by the Holders of a majority in principal amount of the Securities of any Series and such Holders do not reasonably promptly appoint a successor Trustee, or if a vacancy exists in the office of Trustee for any reason (the Trustee in such event being referred to herein as the retiring Trustee), the Company shall promptly appoint a successor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subject to the lien in Section 7.07 herein. The successor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37845"/>
                <wp:effectExtent l="0" t="0" r="0" b="0"/>
                <wp:wrapNone/>
                <wp:docPr id="96" name="Frame9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Trustee shall mail a notice of its succession to Holders of that Series of Securities. The retiring Trustee shall promptly transfer all property held by it as Trustee to the successor Trustee, subject to the lien provided for in Section 7.07.</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 successor Trustee does not take office with respect to the Securities of that Series within 60 days after the retiring Trustee resigns or is removed, the retiring Trustee (at the Company’s expense) or the Holders of 10% in aggregate principal amount of the Securities of that Series may petition any court of competent jurisdiction for the appointment of a successor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Trustee fails to comply with Section 7.10, any Holder may petition any court of competent jurisdiction for the removal of the Trustee and the appointment of a successor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the replacement of the Trustee pursuant to this Section, the Company’s obligations under Section 7.07 shall continue for the benefit of the retiring Trustee.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64" w:name="i099ff65624b643f0b4b3949eae959995"/>
      <w:bookmarkEnd w:id="264"/>
      <w:r>
        <w:rPr>
          <w:rFonts w:ascii="Times New Roman;serif" w:hAnsi="Times New Roman;serif"/>
          <w:b w:val="false"/>
          <w:color w:val="000000"/>
          <w:sz w:val="24"/>
          <w:u w:val="single"/>
        </w:rPr>
        <w:t>Section 7.09    Successor Trustee by Merger.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corporation shall be otherwise qualified and eligible under this Article VII and § 310(a) of the Trust Indenture Act, without the execution or filing of any paper or any further act on the part of the parties hereto.</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In case at the time such successor or successors by merger, conversion or consolidation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certificate of the Trustee shall have.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65" w:name="i9400e5caae4d41b9a06c4cf6882db09b"/>
      <w:bookmarkEnd w:id="265"/>
      <w:r>
        <w:rPr>
          <w:rFonts w:ascii="Times New Roman;serif" w:hAnsi="Times New Roman;serif"/>
          <w:b w:val="false"/>
          <w:color w:val="000000"/>
          <w:sz w:val="24"/>
          <w:u w:val="single"/>
        </w:rPr>
        <w:t>Section 7.10    Eligibility; Disqualification.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The Trustee shall at all times satisfy the requirements of Trust Indenture Act § 310(a). The Trustee shall have a combined capital and surplus of at least $50,000,000 as set forth in its most recent published annual report of condition. The Trustee shall comply with the Trust Indenture Act § 310(b);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there shall be excluded from the operation of the Trust Indenture Act § 310(b)(1) any indenture or indentures under which other securities or certificates of interest or participation in other securities of the Company are outstanding if the requirements for such exclusion set forth in the Trust Indenture Act § 310(b)(1) are met.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66" w:name="i6ee53b6e85014a059e5e476e0b5fff14"/>
      <w:bookmarkEnd w:id="266"/>
      <w:r>
        <w:rPr>
          <w:rFonts w:ascii="Times New Roman;serif" w:hAnsi="Times New Roman;serif"/>
          <w:b w:val="false"/>
          <w:color w:val="000000"/>
          <w:sz w:val="24"/>
          <w:u w:val="single"/>
        </w:rPr>
        <w:t>Section 7.11    Preferential Collection of Claims Against Company.</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37845"/>
                <wp:effectExtent l="0" t="0" r="0" b="0"/>
                <wp:wrapNone/>
                <wp:docPr id="97" name="Frame9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67" w:name="i3431db7379b148f095841cceee3102a7"/>
      <w:bookmarkEnd w:id="267"/>
      <w:r>
        <w:rPr>
          <w:rFonts w:ascii="Times New Roman;serif" w:hAnsi="Times New Roman;serif"/>
          <w:b w:val="false"/>
          <w:color w:val="000000"/>
          <w:sz w:val="24"/>
          <w:u w:val="single"/>
        </w:rPr>
        <w:t>Section 7.12    Conflicting Interests.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To the extent permitted by the Trust Indenture Act, the Trustee shall not be deemed to have a conflicting interest by virtue of being a trustee under this Indenture with respect to Securities of more than one series.</w:t>
      </w:r>
    </w:p>
    <w:p>
      <w:pPr>
        <w:pStyle w:val="TextBody"/>
        <w:bidi w:val="0"/>
        <w:spacing w:lineRule="auto" w:line="240" w:before="0" w:after="240"/>
        <w:jc w:val="center"/>
        <w:rPr>
          <w:rFonts w:ascii="Times New Roman;serif" w:hAnsi="Times New Roman;serif"/>
          <w:b w:val="false"/>
          <w:color w:val="000000"/>
          <w:sz w:val="24"/>
          <w:u w:val="single"/>
        </w:rPr>
      </w:pPr>
      <w:bookmarkStart w:id="268" w:name="i94536dcfdc154b8bb656ccaab8f4aa15"/>
      <w:bookmarkEnd w:id="268"/>
      <w:r>
        <w:rPr>
          <w:rFonts w:ascii="Times New Roman;serif" w:hAnsi="Times New Roman;serif"/>
          <w:b w:val="false"/>
          <w:color w:val="000000"/>
          <w:sz w:val="24"/>
          <w:u w:val="single"/>
        </w:rPr>
        <w:t>ARTICLE VIII</w:t>
        <w:br/>
        <w:br/>
        <w:t>Discharge of Indenture; Defeasance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69" w:name="i946be3b6b72c4f3abbf0ca71c953bbcd"/>
      <w:bookmarkEnd w:id="269"/>
      <w:r>
        <w:rPr>
          <w:rFonts w:ascii="Times New Roman;serif" w:hAnsi="Times New Roman;serif"/>
          <w:b w:val="false"/>
          <w:color w:val="000000"/>
          <w:sz w:val="24"/>
          <w:u w:val="single"/>
        </w:rPr>
        <w:t>Section 8.01    Option to Effect Legal Defeasance or Covenant Defeasance.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may, at the option of its Board of Directors evidenced by resolutions set forth in an Officer’s Certificate, at any time, elect to have either Section 8.02 or 8.03 hereof be applied to all outstanding Securities of any Series upon compliance with the conditions set forth below in this Article VIII.</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otherwise provided for in a Board Resolution, a supplemental indenture or an Officer’s Certificate, when (a) the Company has delivered to the Trustee for cancellation all Securities of a Series or (b) all outstanding Securities of a Series not theretofore delivered to the Trustee for cancellation shall have become due and payable, or are by their terms to become due and payable within one year or are to be called for redemption within one year, and the Company shall have deposited with the Trustee as trust funds the entire amount sufficient to pay at Maturity or upon redemption of all outstanding Securities of the Series, and if, in either case, the Company shall also pay or cause to be paid all other sums payable under the Indenture by the Company, then the Indenture shall cease to be of further effect with respect to such Securities of such Series. The Trustee shall acknowledge satisfaction and discharge of the Indenture on demand of the Company accompanied by an Officer’s Certificate and an Opinion of Counsel stating that all conditions precedent to such satisfaction and discharge have been satisfied and at the cost and expense of the Company.</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70" w:name="ia14651a5cbe7438ea5bf69217fd9d20d"/>
      <w:bookmarkEnd w:id="270"/>
      <w:r>
        <w:rPr>
          <w:rFonts w:ascii="Times New Roman;serif" w:hAnsi="Times New Roman;serif"/>
          <w:b w:val="false"/>
          <w:color w:val="000000"/>
          <w:sz w:val="24"/>
          <w:u w:val="single"/>
        </w:rPr>
        <w:t>Section 8.02    Legal Defeasance and Discharge.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Company’s exercise under Section 8.01 hereof of the option applicable to this Section 8.02 with respect to any Series of Securities, the Company shall, subject to the satisfaction of the conditions set forth in Section 8.04 hereof, be deemed to have been discharged from its obligations with respect to all outstanding Securities of that Series on the date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37845"/>
                <wp:effectExtent l="0" t="0" r="0" b="0"/>
                <wp:wrapNone/>
                <wp:docPr id="98" name="Frame9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conditions set forth below are satisfied (hereinafter, “</w:t>
      </w:r>
      <w:r>
        <w:rPr>
          <w:rFonts w:ascii="Times New Roman;serif" w:hAnsi="Times New Roman;serif"/>
          <w:b w:val="false"/>
          <w:color w:val="000000"/>
          <w:sz w:val="24"/>
          <w:u w:val="single"/>
        </w:rPr>
        <w:t>Legal Defeasance</w:t>
      </w:r>
      <w:r>
        <w:rPr>
          <w:color w:val="000000"/>
        </w:rPr>
        <w:t>”</w:t>
      </w:r>
      <w:r>
        <w:rPr>
          <w:rFonts w:ascii="Times New Roman;serif" w:hAnsi="Times New Roman;serif"/>
          <w:b w:val="false"/>
          <w:color w:val="000000"/>
          <w:sz w:val="24"/>
        </w:rPr>
        <w:t>). For this purpose, Legal Defeasance means that the Company shall be deemed to have paid and discharged the entire Indebtedness represented by the outstanding Securities of that Series, which shall thereafter be deemed to be “outstanding” only for the purposes of Section 8.05 hereof and the other Sections of this Indenture referred to in (a) and (b) below, and to have satisfied all its other obligations under such Securities and this Indenture with respect to such Securities of such Series (and the Trustee, on demand of and at the expense of the Company and in sole reliance on an Opinion of Counsel and Officer’s Certificate, shall execute such instruments reasonably requested by the Company acknowledging the same), except for the following provisions which shall survive until otherwise terminated or discharged hereunder:</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1" w:name="i53b4a629ff0f43c8a6ea15de54c20ab6"/>
      <w:bookmarkEnd w:id="271"/>
      <w:r>
        <w:rPr>
          <w:rFonts w:ascii="Times New Roman;serif" w:hAnsi="Times New Roman;serif"/>
          <w:b w:val="false"/>
          <w:color w:val="000000"/>
          <w:sz w:val="24"/>
        </w:rPr>
        <w:t>(a)    the rights of Holders of outstanding Securities of that Series to receive solely from the trust fund described in Section 8.04 hereof, and as more fully set forth in such Section, payments in respect of the principal of (or, in the case of Original Issue Discount Securities of that Series, the portion thereby specified in the terms of such Security), and interest on, such Securities when such payments are due;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2" w:name="idae59080d4024b0e9304b921872f1b5d"/>
      <w:bookmarkEnd w:id="272"/>
      <w:r>
        <w:rPr>
          <w:rFonts w:ascii="Times New Roman;serif" w:hAnsi="Times New Roman;serif"/>
          <w:b w:val="false"/>
          <w:color w:val="000000"/>
          <w:sz w:val="24"/>
        </w:rPr>
        <w:t>(b)    the Company’s obligations with respect to such Securities of that Series under Article II;</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3" w:name="i55c05f625adb46378bc24cb04fd17080"/>
      <w:bookmarkEnd w:id="273"/>
      <w:r>
        <w:rPr>
          <w:rFonts w:ascii="Times New Roman;serif" w:hAnsi="Times New Roman;serif"/>
          <w:b w:val="false"/>
          <w:color w:val="000000"/>
          <w:sz w:val="24"/>
        </w:rPr>
        <w:t>(c)    the rights, powers, trusts, duties and immunities of the Trustee hereunder and the Company’s obligations in connection therewith including without limitation under Article VII herein; and</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4" w:name="ie870fabc350f4f31b77fd3f97b3a5d7e"/>
      <w:bookmarkEnd w:id="274"/>
      <w:r>
        <w:rPr>
          <w:rFonts w:ascii="Times New Roman;serif" w:hAnsi="Times New Roman;serif"/>
          <w:b w:val="false"/>
          <w:color w:val="000000"/>
          <w:sz w:val="24"/>
        </w:rPr>
        <w:t>(d)    this Article VIII.</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Subject to compliance with this Article VIII, the Company may exercise its option under this Section 8.02 notwithstanding the prior exercise of its option under Section 8.03 hereof.</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75" w:name="i37cf384f541148d7833489d9b78eae71"/>
      <w:bookmarkEnd w:id="275"/>
      <w:r>
        <w:rPr>
          <w:rFonts w:ascii="Times New Roman;serif" w:hAnsi="Times New Roman;serif"/>
          <w:b w:val="false"/>
          <w:color w:val="000000"/>
          <w:sz w:val="24"/>
          <w:u w:val="single"/>
        </w:rPr>
        <w:t>Section 8.03    Covenant Defeasance.</w:t>
      </w:r>
    </w:p>
    <w:p>
      <w:pPr>
        <w:pStyle w:val="TextBody"/>
        <w:bidi w:val="0"/>
        <w:spacing w:lineRule="auto" w:line="288" w:before="0" w:after="240"/>
        <w:ind w:left="0" w:right="0" w:firstLine="1440"/>
        <w:jc w:val="left"/>
        <w:rPr/>
      </w:pPr>
      <w:r>
        <w:rPr>
          <w:rFonts w:ascii="Times New Roman;serif" w:hAnsi="Times New Roman;serif"/>
          <w:b w:val="false"/>
          <w:color w:val="000000"/>
          <w:sz w:val="24"/>
        </w:rPr>
        <w:t>Upon the Company’s exercise under Section 8.01 hereof of the option applicable to this Section 8.03 with respect to any Series of Securities, the Company shall, subject to the satisfaction of the conditions set forth in Section 8.04 hereof, be released from its obligations under the covenants contained in a Board Resolution, a supplemental indenture or an Officer’s Certificate with respect to the outstanding Securities of that Series on and after the date the conditions set forth in Section 8.04 are satisfied (hereinafter, “</w:t>
      </w:r>
      <w:r>
        <w:rPr>
          <w:rFonts w:ascii="Times New Roman;serif" w:hAnsi="Times New Roman;serif"/>
          <w:b w:val="false"/>
          <w:color w:val="000000"/>
          <w:sz w:val="24"/>
          <w:u w:val="single"/>
        </w:rPr>
        <w:t>Covenant Defeasance</w:t>
      </w:r>
      <w:r>
        <w:rPr>
          <w:color w:val="000000"/>
        </w:rPr>
        <w:t>”</w:t>
      </w:r>
      <w:r>
        <w:rPr>
          <w:rFonts w:ascii="Times New Roman;serif" w:hAnsi="Times New Roman;serif"/>
          <w:b w:val="false"/>
          <w:color w:val="000000"/>
          <w:sz w:val="24"/>
        </w:rPr>
        <w:t xml:space="preserve">), and the Securities of that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Covenant Defeasance means that, with respect to the outstanding Securities of that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37845"/>
                <wp:effectExtent l="0" t="0" r="0" b="0"/>
                <wp:wrapNone/>
                <wp:docPr id="99" name="Frame9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document and such omission to comply shall not constitute a Default or an Event of Default with respect to such Securities under Section 6.01 hereof, but, except as specified above, the remainder of this Indenture and such Securities shall be unaffected thereby. In addition, upon the Company’s exercise under Section 8.01 hereof of the option applicable to this Section 8.03 hereof with respect to any Series of Securities, subject to the satisfaction of the conditions set forth in Section 8.04 hereof and Sections 6.01(3) and 6.01(4) hereof shall not constitute Events of Default with respect to such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76" w:name="i37e6e518bf5446aa9c4d029ea4799cfa"/>
      <w:bookmarkEnd w:id="276"/>
      <w:r>
        <w:rPr>
          <w:rFonts w:ascii="Times New Roman;serif" w:hAnsi="Times New Roman;serif"/>
          <w:b w:val="false"/>
          <w:color w:val="000000"/>
          <w:sz w:val="24"/>
          <w:u w:val="single"/>
        </w:rPr>
        <w:t>Section 8.04    Conditions to Legal or Covenant Defeasance.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following shall be the conditions to the application of either Section 8.02 or 8.03 hereof to the outstanding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order to exercise either Legal Defeasance or Covenant Defeasance with respect to any Series of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7" w:name="i3b70392e79cb4a43be685aacf71d1b06"/>
      <w:bookmarkEnd w:id="277"/>
      <w:r>
        <w:rPr>
          <w:rFonts w:ascii="Times New Roman;serif" w:hAnsi="Times New Roman;serif"/>
          <w:b w:val="false"/>
          <w:color w:val="000000"/>
          <w:sz w:val="24"/>
        </w:rPr>
        <w:t>(a)    the Company must irrevocably deposit with the Trustee, in trust, for the benefit of the Holders of that Series of Securities, cash in U.S. dollars (or the currency in which Securities of that Series is denominated), non-callable Government Securities, or a combination thereof, in such amounts as will be sufficient, in the opinion of a nationally recognized independent registered public accounting firm (as to which the Trustee is an addressee or otherwise entitled to rely), to pay the principal amount of (or, in the case of Original Issue Discount Securities of that Series, the portion thereby specified in the terms of such Security), premium, if any, and interest on, the outstanding Securities of that Series on the stated date for payment thereof or on the applicable redemption date, as the case may be;</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78" w:name="i9d1367bdc38e4bc59e95c35959c5c642"/>
      <w:bookmarkEnd w:id="278"/>
      <w:r>
        <w:rPr>
          <w:rFonts w:ascii="Times New Roman;serif" w:hAnsi="Times New Roman;serif"/>
          <w:b w:val="false"/>
          <w:color w:val="000000"/>
          <w:sz w:val="24"/>
        </w:rPr>
        <w:t>(b)    in the case of an election under Section 8.02 hereof, the Company shall have delivered to the Trustee an Opinion of Counsel in the United States confirming that: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79" w:name="i8c454baef0da43a192eaf7a07b95a8cf"/>
      <w:bookmarkEnd w:id="279"/>
      <w:r>
        <w:rPr>
          <w:rFonts w:ascii="Times New Roman;serif" w:hAnsi="Times New Roman;serif"/>
          <w:b w:val="false"/>
          <w:color w:val="000000"/>
          <w:sz w:val="24"/>
        </w:rPr>
        <w:t>(1)    the Company has received from, or there has been published by, the Internal Revenue Service, a ruling;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80" w:name="i77ebb6ce993f449bb06f0adcedbf6d16"/>
      <w:bookmarkEnd w:id="280"/>
      <w:r>
        <w:rPr>
          <w:rFonts w:ascii="Times New Roman;serif" w:hAnsi="Times New Roman;serif"/>
          <w:b w:val="false"/>
          <w:color w:val="000000"/>
          <w:sz w:val="24"/>
        </w:rPr>
        <w:t>(2)    since the issue date of that particular Series of Securities under this Indenture, there has been a change in the applicable federal income tax law,</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81" w:name="iacd69bb52543427ba59c448f56608312"/>
      <w:bookmarkEnd w:id="281"/>
      <w:r>
        <w:rPr>
          <w:rFonts w:ascii="Times New Roman;serif" w:hAnsi="Times New Roman;serif"/>
          <w:b w:val="false"/>
          <w:color w:val="000000"/>
          <w:sz w:val="24"/>
        </w:rPr>
        <w:t>(3)    in either case to the effect that, and based thereon such Opinion of Counsel shall confirm that, the Holders of the outstanding Securities of that Series will not recognize income, gain or loss for federal income tax purposes as a result of such Legal Defeasance and will be subject to federal income tax on the same amounts, in the same manner and at the same time as would have been the case if such Legal Defeasance had not occurred; in the case of an election under Section 8.03 hereof, the Company shall have delivered to the Trustee an Opinion of Counsel in the United States confirming that the Holders of the outstanding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37845"/>
                <wp:effectExtent l="0" t="0" r="0" b="0"/>
                <wp:wrapNone/>
                <wp:docPr id="100" name="Frame9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82" w:name="i9b420432273e45179a837b3c27e39bc5"/>
      <w:bookmarkEnd w:id="282"/>
      <w:r>
        <w:rPr>
          <w:rFonts w:ascii="Times New Roman;serif" w:hAnsi="Times New Roman;serif"/>
          <w:b w:val="false"/>
          <w:color w:val="000000"/>
          <w:sz w:val="24"/>
        </w:rPr>
        <w:t>(c)    no Default or Event of Default with respect to that Series of Securities shall have occurred and be continuing either: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83" w:name="ie5bb3cb69c554f6c9184eb4c28fe8c34"/>
      <w:bookmarkEnd w:id="283"/>
      <w:r>
        <w:rPr>
          <w:rFonts w:ascii="Times New Roman;serif" w:hAnsi="Times New Roman;serif"/>
          <w:b w:val="false"/>
          <w:color w:val="000000"/>
          <w:sz w:val="24"/>
        </w:rPr>
        <w:t>(1)    on the date of such deposit (other than a Default or Event of Default with respect to that Series of Securities resulting from the borrowing of funds to be applied to such deposit);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84" w:name="i317583bd72464566b9325ab606c9e2fc"/>
      <w:bookmarkEnd w:id="284"/>
      <w:r>
        <w:rPr>
          <w:rFonts w:ascii="Times New Roman;serif" w:hAnsi="Times New Roman;serif"/>
          <w:b w:val="false"/>
          <w:color w:val="000000"/>
          <w:sz w:val="24"/>
        </w:rPr>
        <w:t>(2)    insofar as Sections 6.01(5) or 6.01(6) hereof are concerned, at any time in the period ending on the 91st day after the date of deposit;</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85" w:name="i490b63267c3a4fdca25f4c84f5a3332d"/>
      <w:bookmarkEnd w:id="285"/>
      <w:r>
        <w:rPr>
          <w:rFonts w:ascii="Times New Roman;serif" w:hAnsi="Times New Roman;serif"/>
          <w:b w:val="false"/>
          <w:color w:val="000000"/>
          <w:sz w:val="24"/>
        </w:rPr>
        <w:t>(d)    such Legal Defeasance or Covenant Defeasance shall not result in a breach or violation of, or constitute a default under, any material agreement or instrument to which the Company or any of its Significant Subsidiaries are a party or by which the Company or any of its Significant Subsidiaries are bound;</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86" w:name="i4582a3a0fee140319a68c4f2a0e78cbe"/>
      <w:bookmarkEnd w:id="286"/>
      <w:r>
        <w:rPr>
          <w:rFonts w:ascii="Times New Roman;serif" w:hAnsi="Times New Roman;serif"/>
          <w:b w:val="false"/>
          <w:color w:val="000000"/>
          <w:sz w:val="24"/>
        </w:rPr>
        <w:t>(e)    the Company shall have delivered to the Trustee an Officer’s Certificate to the effect that the deposit was not made by the Company with the intent of preferring the Holders over other creditors of the Company with the intent of defeating, hindering, delaying or defrauding any creditors of the Company or others; and</w:t>
      </w:r>
    </w:p>
    <w:p>
      <w:pPr>
        <w:pStyle w:val="TextBody"/>
        <w:bidi w:val="0"/>
        <w:spacing w:lineRule="auto" w:line="288" w:before="0" w:after="240"/>
        <w:ind w:left="0" w:right="0" w:firstLine="1440"/>
        <w:jc w:val="left"/>
        <w:rPr>
          <w:rFonts w:ascii="Times New Roman;serif" w:hAnsi="Times New Roman;serif"/>
          <w:b w:val="false"/>
          <w:color w:val="000000"/>
          <w:sz w:val="24"/>
        </w:rPr>
      </w:pPr>
      <w:bookmarkStart w:id="287" w:name="i0598e50ba3484075af61a344c7d6786d"/>
      <w:bookmarkEnd w:id="287"/>
      <w:r>
        <w:rPr>
          <w:rFonts w:ascii="Times New Roman;serif" w:hAnsi="Times New Roman;serif"/>
          <w:b w:val="false"/>
          <w:color w:val="000000"/>
          <w:sz w:val="24"/>
        </w:rPr>
        <w:t>(f)    the Company shall have delivered to the Trustee an Officer’s Certificate and an Opinion of Counsel, each stating that all conditions precedent provided for or relating to the Legal Defeasance or the Covenant Defeasance have been complied with and that the defeasance is permitted by the Indenture.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88" w:name="id049d6a326ed4d8ba36e31482297c0bb"/>
      <w:bookmarkEnd w:id="288"/>
      <w:r>
        <w:rPr>
          <w:rFonts w:ascii="Times New Roman;serif" w:hAnsi="Times New Roman;serif"/>
          <w:b w:val="false"/>
          <w:color w:val="000000"/>
          <w:sz w:val="24"/>
          <w:u w:val="single"/>
        </w:rPr>
        <w:t>Section 8.05    Deposited Money and Government Securities to be Held in Trust; Other Miscellaneous Provisions.</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 to Section 8.06 hereof, all money and non-callable Government Securities (including the proceeds thereof) deposited with the Trustee (or other qualifying trustee, collectively for purposes of this Section 8.05,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pursuant to Section 8.04 hereof in respect of any outstanding Series of Securities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pay and indemnify the Trustee against any tax, fee or other charge imposed on or assessed against the cash or non-callable Government Securities deposited pursuant to Section 8.04 hereof or the principal and interest received in respect thereof.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Anything in this Article VIII to the contrary notwithstanding, the Trustee shall deliver or pay to the Company from time to time upon the request of the Company any money or non-callable Government Securities held by it as provided in Section 8.04 hereof which, in the opinion of a nationally recognized independent registered public accounting firm expressed in a written certification thereof delivered to the Trustee (which may be the opinion delivered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37845"/>
                <wp:effectExtent l="0" t="0" r="0" b="0"/>
                <wp:wrapNone/>
                <wp:docPr id="101" name="Frame9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8.04(c) hereof), are in excess of the amount thereof that would then be required to be deposited to effect an equivalent Legal Defeasance or Covenant Defeasance. The Trustee shall have no liability for any such release of funds.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89" w:name="id9bcb5e298bc4af7921623d770d273d6"/>
      <w:bookmarkEnd w:id="289"/>
      <w:r>
        <w:rPr>
          <w:rFonts w:ascii="Times New Roman;serif" w:hAnsi="Times New Roman;serif"/>
          <w:b w:val="false"/>
          <w:color w:val="000000"/>
          <w:sz w:val="24"/>
          <w:u w:val="single"/>
        </w:rPr>
        <w:t>Section 8.06    Repayment to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Subject to any applicable abandoned property law, the money deposited with the Trustee or any Paying Agent, or then held by the Company, in trust for the payment of the principal of, premium, if any, or interest on any Security and remaining unclaimed for two years (or as otherwise required by applicable law) after such principal, and premium, if any, or interest has become due and payable shall be paid to the Company on its request or (if then held by the Company) shall be discharged from such trust; and the Holder of such Security shall thereafter look only to the Company for payment thereof, and all liability of the Trustee or such Paying Agent with respect to such trust money, and all liability of the Company as trustee thereof, shall thereupon cease. Any unclaimed funds held by the Trustee pursuant to Section 8.06 shall be held uninvested and without any liability of or by the Trustee for interest.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90" w:name="ife8d71c70ed04a779574d0bafe2aeac2"/>
      <w:bookmarkEnd w:id="290"/>
      <w:r>
        <w:rPr>
          <w:rFonts w:ascii="Times New Roman;serif" w:hAnsi="Times New Roman;serif"/>
          <w:b w:val="false"/>
          <w:color w:val="000000"/>
          <w:sz w:val="24"/>
          <w:u w:val="single"/>
        </w:rPr>
        <w:t>Section 8.07    Reinstatement.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If the Trustee or Paying Agent is unable to apply any currency or non-callable Government Securities in accordance with Section 8.02 or 8.03 thereof, as the case may be,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Company makes any payment of principal of, premium, if any, or interest on any Security following the reinstatement of its obligations, the Company shall be subrogated to the rights of the Holders of such Securities to receive such payment from the money held by the Trustee or Paying Agent.</w:t>
      </w:r>
    </w:p>
    <w:p>
      <w:pPr>
        <w:pStyle w:val="TextBody"/>
        <w:bidi w:val="0"/>
        <w:spacing w:lineRule="auto" w:line="240" w:before="0" w:after="240"/>
        <w:jc w:val="center"/>
        <w:rPr>
          <w:rFonts w:ascii="Times New Roman;serif" w:hAnsi="Times New Roman;serif"/>
          <w:b w:val="false"/>
          <w:color w:val="000000"/>
          <w:sz w:val="24"/>
          <w:u w:val="single"/>
        </w:rPr>
      </w:pPr>
      <w:bookmarkStart w:id="291" w:name="ifee28ff32655461eb73e3e2bc3db0101"/>
      <w:bookmarkEnd w:id="291"/>
      <w:r>
        <w:rPr>
          <w:rFonts w:ascii="Times New Roman;serif" w:hAnsi="Times New Roman;serif"/>
          <w:b w:val="false"/>
          <w:color w:val="000000"/>
          <w:sz w:val="24"/>
          <w:u w:val="single"/>
        </w:rPr>
        <w:t>ARTICLE IX</w:t>
        <w:br/>
        <w:br/>
        <w:t>Amendments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292" w:name="i627acb7549a34cb58d85aae98ef6941c"/>
      <w:bookmarkEnd w:id="292"/>
      <w:r>
        <w:rPr>
          <w:rFonts w:ascii="Times New Roman;serif" w:hAnsi="Times New Roman;serif"/>
          <w:b w:val="false"/>
          <w:color w:val="000000"/>
          <w:sz w:val="24"/>
          <w:u w:val="single"/>
        </w:rPr>
        <w:t>Section 9.01    Without Consent of 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and the Trustee may amend this Indenture or the Securities without notice to or consent of any Holder: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3" w:name="ia10866ba9245436dafdd5e26bd0a6fe9"/>
      <w:bookmarkEnd w:id="293"/>
      <w:r>
        <w:rPr>
          <w:rFonts w:ascii="Times New Roman;serif" w:hAnsi="Times New Roman;serif"/>
          <w:b w:val="false"/>
          <w:color w:val="000000"/>
          <w:sz w:val="24"/>
        </w:rPr>
        <w:t>(1)    to cure any ambiguity, omission, defect or inconsistency;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4" w:name="i18de46cf09e34261b902f5cbfc30cd52"/>
      <w:bookmarkEnd w:id="294"/>
      <w:r>
        <w:rPr>
          <w:rFonts w:ascii="Times New Roman;serif" w:hAnsi="Times New Roman;serif"/>
          <w:b w:val="false"/>
          <w:color w:val="000000"/>
          <w:sz w:val="24"/>
        </w:rPr>
        <w:t xml:space="preserve">(2)    to surrender any right or power conferred upon the Company by this Indenture, to add to the covenants of the Company such further covenants, restrictions, conditions or provisions for the protection of the Holders of all or any Series of Securities as the Board of Directors of the Company shall consider to be for the protection of the Holders of such Securities, and to make the occurrence, or the occurrence and continuance, of a default in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37845"/>
                <wp:effectExtent l="0" t="0" r="0" b="0"/>
                <wp:wrapNone/>
                <wp:docPr id="102" name="Frame10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of any such additional covenants, restrictions, conditions or provisions a Default or an Event of Default under this Indenture;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any such additional covenant, restriction, condition or provision, such amendment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the Securities of any Series to waive such default;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5" w:name="i41b19d41fad14dd8974217e70f7fe712"/>
      <w:bookmarkEnd w:id="295"/>
      <w:r>
        <w:rPr>
          <w:rFonts w:ascii="Times New Roman;serif" w:hAnsi="Times New Roman;serif"/>
          <w:b w:val="false"/>
          <w:color w:val="000000"/>
          <w:sz w:val="24"/>
        </w:rPr>
        <w:t>(3)    to comply with Article V;</w:t>
      </w:r>
    </w:p>
    <w:p>
      <w:pPr>
        <w:pStyle w:val="TextBody"/>
        <w:bidi w:val="0"/>
        <w:spacing w:lineRule="auto" w:line="288" w:before="0" w:after="240"/>
        <w:ind w:left="0" w:right="0" w:firstLine="2160"/>
        <w:jc w:val="left"/>
        <w:rPr/>
      </w:pPr>
      <w:bookmarkStart w:id="296" w:name="id331deac4d514761b5e45ebb30a8017a"/>
      <w:bookmarkEnd w:id="296"/>
      <w:r>
        <w:rPr>
          <w:rFonts w:ascii="Times New Roman;serif" w:hAnsi="Times New Roman;serif"/>
          <w:b w:val="false"/>
          <w:color w:val="000000"/>
          <w:sz w:val="24"/>
        </w:rPr>
        <w:t xml:space="preserve">(4)    to provide for uncertificated Securities in addition to or in place of certificated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uncertificated Securities are issued in registered form for purposes of Section 163(f) of the Code or in a manner such that the uncertificated Securities are described in Section 163(f)(2)(B) of the Code and such determination is set forth in an Opinion of Counsel upon which the Trustee may rely;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7" w:name="ic81dcb1863c440d99f7a7fdb0f4d9429"/>
      <w:bookmarkEnd w:id="297"/>
      <w:r>
        <w:rPr>
          <w:rFonts w:ascii="Times New Roman;serif" w:hAnsi="Times New Roman;serif"/>
          <w:b w:val="false"/>
          <w:color w:val="000000"/>
          <w:sz w:val="24"/>
        </w:rPr>
        <w:t>(5)    to add Guarantees with respect to the Securities or to secure the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8" w:name="i7ffd4ce8a5d9491eafb2ab9f099072d5"/>
      <w:bookmarkEnd w:id="298"/>
      <w:r>
        <w:rPr>
          <w:rFonts w:ascii="Times New Roman;serif" w:hAnsi="Times New Roman;serif"/>
          <w:b w:val="false"/>
          <w:color w:val="000000"/>
          <w:sz w:val="24"/>
        </w:rPr>
        <w:t>(6)    to make any change that does not adversely affect in any material respect the rights of any Holder of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299" w:name="i1b6cf6b9d35b42ed9c0fc50ed54eb528"/>
      <w:bookmarkEnd w:id="299"/>
      <w:r>
        <w:rPr>
          <w:rFonts w:ascii="Times New Roman;serif" w:hAnsi="Times New Roman;serif"/>
          <w:b w:val="false"/>
          <w:color w:val="000000"/>
          <w:sz w:val="24"/>
        </w:rPr>
        <w:t>(7)    to 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 supplemental indenture and entitled to the benefit of such provision nor modify the rights of the Holders of any such Security with respect to the benefit of such provision or (B) become effective only when there is no such Security outstanding;</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0" w:name="i363ec5e4a3744234b9bd8ceb9f684a71"/>
      <w:bookmarkEnd w:id="300"/>
      <w:r>
        <w:rPr>
          <w:rFonts w:ascii="Times New Roman;serif" w:hAnsi="Times New Roman;serif"/>
          <w:b w:val="false"/>
          <w:color w:val="000000"/>
          <w:sz w:val="24"/>
        </w:rPr>
        <w:t>(8)    to evidence and provide for the acceptance of appointment by a successor or separate Trustee with respect to the Securities of one or more Series and to add to or change any of the provisions of this Indenture as shall be necessary to provide for or facilitate the administration of this Indenture by more than one Trustee;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1" w:name="ibf778d0dadf84973a4f49390e6f2bacb"/>
      <w:bookmarkEnd w:id="301"/>
      <w:r>
        <w:rPr>
          <w:rFonts w:ascii="Times New Roman;serif" w:hAnsi="Times New Roman;serif"/>
          <w:b w:val="false"/>
          <w:color w:val="000000"/>
          <w:sz w:val="24"/>
        </w:rPr>
        <w:t>(9)    in the case of subordinated Securities, to make any change in the provisions of this Indenture or any supplemental indenture relating to subordination that would limit or terminate the benefits available to any holder of senior Indebtedness under such provisions (but only if each such holder of senior Indebtedness consents to such change);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2" w:name="i66e2bf8021af4bd7aa53bc79a2bdf2bc"/>
      <w:bookmarkEnd w:id="302"/>
      <w:r>
        <w:rPr>
          <w:rFonts w:ascii="Times New Roman;serif" w:hAnsi="Times New Roman;serif"/>
          <w:b w:val="false"/>
          <w:color w:val="000000"/>
          <w:sz w:val="24"/>
        </w:rPr>
        <w:t>(10)    to comply with any requirements of the SEC in connection with qualifying, or maintaining the qualification of, this Indenture or any supplemental indenture under the Trust Indenture Act;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3" w:name="i28e982bbde194ab0beccfa0156940018"/>
      <w:bookmarkEnd w:id="303"/>
      <w:r>
        <w:rPr>
          <w:rFonts w:ascii="Times New Roman;serif" w:hAnsi="Times New Roman;serif"/>
          <w:b w:val="false"/>
          <w:color w:val="000000"/>
          <w:sz w:val="24"/>
        </w:rPr>
        <w:t>(11)    to conform any provision in this Indenture or the Securities to the description of any Securities in an offering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37845"/>
                <wp:effectExtent l="0" t="0" r="0" b="0"/>
                <wp:wrapNone/>
                <wp:docPr id="103" name="Frame10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left"/>
        <w:rPr/>
      </w:pPr>
      <w:bookmarkStart w:id="304" w:name="i634824ae78214a6b9c87a24c9628dcd6"/>
      <w:bookmarkEnd w:id="304"/>
      <w:r>
        <w:rPr>
          <w:rFonts w:ascii="Times New Roman;serif" w:hAnsi="Times New Roman;serif"/>
          <w:b w:val="false"/>
          <w:color w:val="000000"/>
          <w:sz w:val="24"/>
        </w:rPr>
        <w:t xml:space="preserve">(12)    to approve a particular form of any proposed amendment;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Holders consent to approve the substance of the proposed amendment to the extent required;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5" w:name="i7ad7bb4bf8094b0b80712e8f79875cb2"/>
      <w:bookmarkEnd w:id="305"/>
      <w:r>
        <w:rPr>
          <w:rFonts w:ascii="Times New Roman;serif" w:hAnsi="Times New Roman;serif"/>
          <w:b w:val="false"/>
          <w:color w:val="000000"/>
          <w:sz w:val="24"/>
        </w:rPr>
        <w:t>(13)    to provide for the issuance of additional debt securities of any series;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6" w:name="iaae1ea96e90c4f5b9ccffb287de779ac"/>
      <w:bookmarkEnd w:id="306"/>
      <w:r>
        <w:rPr>
          <w:rFonts w:ascii="Times New Roman;serif" w:hAnsi="Times New Roman;serif"/>
          <w:b w:val="false"/>
          <w:color w:val="000000"/>
          <w:sz w:val="24"/>
        </w:rPr>
        <w:t>(14)    to establish the form or terms of Securities and coupons of any Series pursuant to Article II;</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7" w:name="ifca30ce674ab4271a39f0cfbb8cbaf09"/>
      <w:bookmarkEnd w:id="307"/>
      <w:r>
        <w:rPr>
          <w:rFonts w:ascii="Times New Roman;serif" w:hAnsi="Times New Roman;serif"/>
          <w:b w:val="false"/>
          <w:color w:val="000000"/>
          <w:sz w:val="24"/>
        </w:rPr>
        <w:t>(15)    to comply with the rules of any applicable Depositary;</w:t>
      </w:r>
    </w:p>
    <w:p>
      <w:pPr>
        <w:pStyle w:val="TextBody"/>
        <w:bidi w:val="0"/>
        <w:spacing w:lineRule="auto" w:line="288" w:before="0" w:after="240"/>
        <w:ind w:left="0" w:right="0" w:firstLine="2160"/>
        <w:jc w:val="left"/>
        <w:rPr/>
      </w:pPr>
      <w:bookmarkStart w:id="308" w:name="i69bf9127de3b4e54928ad2b929192d95"/>
      <w:bookmarkEnd w:id="308"/>
      <w:r>
        <w:rPr>
          <w:rFonts w:ascii="Times New Roman;serif" w:hAnsi="Times New Roman;serif"/>
          <w:b w:val="false"/>
          <w:color w:val="000000"/>
          <w:sz w:val="24"/>
        </w:rPr>
        <w:t xml:space="preserve">(16)    to make any amendment to the provisions of this Indenture relating to the transfer and legending of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compliance with this Indenture as so amended would not result in Securities being transferred in violation of the Securities Act or any other applicable securities law and (b) such amendment does not materially and adversely affect the rights of Holders to transfer Securities;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09" w:name="i6f1efe1dfe2549f58efac9a9690669bf"/>
      <w:bookmarkEnd w:id="309"/>
      <w:r>
        <w:rPr>
          <w:rFonts w:ascii="Times New Roman;serif" w:hAnsi="Times New Roman;serif"/>
          <w:b w:val="false"/>
          <w:color w:val="000000"/>
          <w:sz w:val="24"/>
        </w:rPr>
        <w:t>(17)    to convey, transfer, assign, mortgage or pledge any property to or with the Trustee, or to make such other provisions in regard to matters or questions arising under this Indenture as shall not adversely affect, in any material respect, the interests of any Holders of Securities of any Series.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10" w:name="i3cdaa974eff94484b05eff9b451d4aa6"/>
      <w:bookmarkEnd w:id="310"/>
      <w:r>
        <w:rPr>
          <w:rFonts w:ascii="Times New Roman;serif" w:hAnsi="Times New Roman;serif"/>
          <w:b w:val="false"/>
          <w:color w:val="000000"/>
          <w:sz w:val="24"/>
          <w:u w:val="single"/>
        </w:rPr>
        <w:t>Section 9.02    With Consent of 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and the Trustee may amend this Indenture or the Securities of any Series without notice to any Holder but with the written consent of the Holders of at least a majority in principal amount of the Securities of any Series then outstanding and affected by such amendment (including consents obtained in connection with a purchase of, or tender offer or exchange for, the Securities) and any past default or compliance with any provisions may also be waived with the consent of the Holders of at least a majority in principal amount of the Securities of any Series then outstanding and affected. However, without the consent of each Holder affected thereby, an amendment or waiver may not: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1" w:name="i3ba4d7eba767401e8ffa2c405341af0b"/>
      <w:bookmarkEnd w:id="311"/>
      <w:r>
        <w:rPr>
          <w:rFonts w:ascii="Times New Roman;serif" w:hAnsi="Times New Roman;serif"/>
          <w:b w:val="false"/>
          <w:color w:val="000000"/>
          <w:sz w:val="24"/>
        </w:rPr>
        <w:t>(1)    reduce the percentage of the principal amount of the outstanding Securities of any Series, the consent of whose Holders is required for any amendment;</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2" w:name="i40c8d739ed4d4af8bc97905570475924"/>
      <w:bookmarkEnd w:id="312"/>
      <w:r>
        <w:rPr>
          <w:rFonts w:ascii="Times New Roman;serif" w:hAnsi="Times New Roman;serif"/>
          <w:b w:val="false"/>
          <w:color w:val="000000"/>
          <w:sz w:val="24"/>
        </w:rPr>
        <w:t>(2)    reduce the principal amount of, or interest on, or extend the Stated Maturity or interest payment periods of, any Security;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3" w:name="ib84e2325cc654a99aca71500a353a843"/>
      <w:bookmarkEnd w:id="313"/>
      <w:r>
        <w:rPr>
          <w:rFonts w:ascii="Times New Roman;serif" w:hAnsi="Times New Roman;serif"/>
          <w:b w:val="false"/>
          <w:color w:val="000000"/>
          <w:sz w:val="24"/>
        </w:rPr>
        <w:t>(3)    change the provisions applicable to the redemption of any Security;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4" w:name="i41a04563539a4749bc5f8722ef3eded8"/>
      <w:bookmarkEnd w:id="314"/>
      <w:r>
        <w:rPr>
          <w:rFonts w:ascii="Times New Roman;serif" w:hAnsi="Times New Roman;serif"/>
          <w:b w:val="false"/>
          <w:color w:val="000000"/>
          <w:sz w:val="24"/>
        </w:rPr>
        <w:t>(4)    make any Security payable in money or securities other than those stated in the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37845"/>
                <wp:effectExtent l="0" t="0" r="0" b="0"/>
                <wp:wrapNone/>
                <wp:docPr id="104" name="Frame10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5" w:name="i38ccefa258504a30ad78e4015002f63a"/>
      <w:bookmarkEnd w:id="315"/>
      <w:r>
        <w:rPr>
          <w:rFonts w:ascii="Times New Roman;serif" w:hAnsi="Times New Roman;serif"/>
          <w:b w:val="false"/>
          <w:color w:val="000000"/>
          <w:sz w:val="24"/>
        </w:rPr>
        <w:t>(5)    impair the right of any Holder of the Securities to receive payment of principal of and interest on such Holder’s Securities on or after the due dates therefor or to institute suit for the enforcement of any payment on or with respect to such Holder’s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6" w:name="ib8f7516558da4c26a9d202d12e858f1d"/>
      <w:bookmarkEnd w:id="316"/>
      <w:r>
        <w:rPr>
          <w:rFonts w:ascii="Times New Roman;serif" w:hAnsi="Times New Roman;serif"/>
          <w:b w:val="false"/>
          <w:color w:val="000000"/>
          <w:sz w:val="24"/>
        </w:rPr>
        <w:t>(6)    except as otherwise provided pursuant to Article VIII under this Indenture, release any security or Guarantee that may have been granted with respect to any Security;</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7" w:name="ifd8ccefd75194cecbfca7f9c0b2f2464"/>
      <w:bookmarkEnd w:id="317"/>
      <w:r>
        <w:rPr>
          <w:rFonts w:ascii="Times New Roman;serif" w:hAnsi="Times New Roman;serif"/>
          <w:b w:val="false"/>
          <w:color w:val="000000"/>
          <w:sz w:val="24"/>
        </w:rPr>
        <w:t>(7)    in the case of any subordinated Securities, or coupons appertaining thereto, make any change in the provisions of this Indenture relating to subordination that adversely affects the rights of any Holder under such provisions (including any contractual subordination of senior unsubordinated debt securities);</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8" w:name="i4c0453e68fe14791814c2143acdcc7c5"/>
      <w:bookmarkEnd w:id="318"/>
      <w:r>
        <w:rPr>
          <w:rFonts w:ascii="Times New Roman;serif" w:hAnsi="Times New Roman;serif"/>
          <w:b w:val="false"/>
          <w:color w:val="000000"/>
          <w:sz w:val="24"/>
        </w:rPr>
        <w:t>(8)    expressly subordinate the Securities to any other Indebtedness of the company or its Subsidiaries; or</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19" w:name="iaf6ca0f79ce841638f94b463f95ec0a5"/>
      <w:bookmarkEnd w:id="319"/>
      <w:r>
        <w:rPr>
          <w:rFonts w:ascii="Times New Roman;serif" w:hAnsi="Times New Roman;serif"/>
          <w:b w:val="false"/>
          <w:color w:val="000000"/>
          <w:sz w:val="24"/>
        </w:rPr>
        <w:t>(9)    make any change in Section 6.04 or 6.07 or the second sentence of this Section.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Holders under this Section to approve the particular form of any proposed amendment, but it shall be sufficient if such consent approves the substance thereof.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After an amendment under this Section becomes effective, the Company shall send to all affected Holders a notice briefly describing such amendment. The failure to give such notice to all Holders, or any defect therein, shall not impair or affect the validity of an amendment under this Section.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0" w:name="icebf6825489d41bf812286e9b5c6534c"/>
      <w:bookmarkEnd w:id="320"/>
      <w:r>
        <w:rPr>
          <w:rFonts w:ascii="Times New Roman;serif" w:hAnsi="Times New Roman;serif"/>
          <w:b w:val="false"/>
          <w:color w:val="000000"/>
          <w:sz w:val="24"/>
          <w:u w:val="single"/>
        </w:rPr>
        <w:t>Section 9.03    Compliance with Trust Indenture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Every amendment to this Indenture or the Securities shall comply with the Trust Indenture Act as then in effect.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1" w:name="ibd2dff8f1d9046829120f2afc55b8a6b"/>
      <w:bookmarkEnd w:id="321"/>
      <w:r>
        <w:rPr>
          <w:rFonts w:ascii="Times New Roman;serif" w:hAnsi="Times New Roman;serif"/>
          <w:b w:val="false"/>
          <w:color w:val="000000"/>
          <w:sz w:val="24"/>
          <w:u w:val="single"/>
        </w:rPr>
        <w:t>Section 9.04    Revocation and Effect of Consents and Waivers.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consent to an amendment or a waiver by a Holder of a Security shall bind the Holder and every subsequent Holder of that Security or portion of the Security that evidences the same debt as the consenting Holder’s Security, even if notation of the consent or waiver is not made on the Security. However, any such Holder or subsequent Holder may revoke the consent or waiver as to such Holder’s Security or portion of the Security if the Trustee receives the notice of revocation before the date the amendment or waiver becomes effective. After an amendment or waiver becomes effective with respect to Securities, it shall bind every Holder of such Securities. An amendment or waiver becomes effective upon the execution of such amendment or waiver by the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but shall not be obligated to, fix a record date for the purpose of determining the Holders entitled to give their consent or take any other action described above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37845"/>
                <wp:effectExtent l="0" t="0" r="0" b="0"/>
                <wp:wrapNone/>
                <wp:docPr id="105" name="Frame10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take any such action, whether or not such Persons continue to be Holders after such record date. No such consent shall be valid or effective for more than 120 days after such record date.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2" w:name="i053ad3c8f95645979e9bb971f3696824"/>
      <w:bookmarkEnd w:id="322"/>
      <w:r>
        <w:rPr>
          <w:rFonts w:ascii="Times New Roman;serif" w:hAnsi="Times New Roman;serif"/>
          <w:b w:val="false"/>
          <w:color w:val="000000"/>
          <w:sz w:val="24"/>
          <w:u w:val="single"/>
        </w:rPr>
        <w:t>Section 9.05    Notation on or Exchange of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 amendment changes the terms of a Security, the Trustee may require the Holder of the Security to deliver it to the Trustee. The Trustee may place an appropriate notation on the Security regarding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to issue a new Security shall not affect the validity of such amendment.</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3" w:name="i3ac6705c1b1a4cb281076868e166fcd1"/>
      <w:bookmarkEnd w:id="323"/>
      <w:r>
        <w:rPr>
          <w:rFonts w:ascii="Times New Roman;serif" w:hAnsi="Times New Roman;serif"/>
          <w:b w:val="false"/>
          <w:color w:val="000000"/>
          <w:sz w:val="24"/>
          <w:u w:val="single"/>
        </w:rPr>
        <w:t>Section 9.06    Trustee To Sign Amendments.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the written request of the Company, the Trustee shall sign any amendment authorized pursuant to this Article IX if the amendment does not adversely affect the rights, duties, liabilities or immunities of the Trustee. If it does, the Trustee may but need not sign it. In signing such amendment the Trustee shall be entitled to receive indemnity reasonably satisfactory to it and to receive, and (subject to Section 7.01) shall be provided, and fully protected in relying upon, an Officer’s Certificate and an Opinion of Counsel stating that such amendment is authorized or permitted by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the execution of any supplemental indenture under this Article IX, this Indenture shall be modified in accordance therewith, and such supplemental Indenture shall form a part of this Indenture for all purposes; and every Holder theretofore or thereafter authenticated and delivered hereunder shall be bound thereby.</w:t>
      </w:r>
    </w:p>
    <w:p>
      <w:pPr>
        <w:pStyle w:val="TextBody"/>
        <w:bidi w:val="0"/>
        <w:spacing w:lineRule="auto" w:line="240" w:before="0" w:after="240"/>
        <w:jc w:val="center"/>
        <w:rPr>
          <w:rFonts w:ascii="Times New Roman;serif" w:hAnsi="Times New Roman;serif"/>
          <w:b w:val="false"/>
          <w:color w:val="000000"/>
          <w:sz w:val="24"/>
          <w:u w:val="single"/>
        </w:rPr>
      </w:pPr>
      <w:bookmarkStart w:id="324" w:name="i7e6120f2df1b4efa98e0c717a1fc41df"/>
      <w:bookmarkEnd w:id="324"/>
      <w:r>
        <w:rPr>
          <w:rFonts w:ascii="Times New Roman;serif" w:hAnsi="Times New Roman;serif"/>
          <w:b w:val="false"/>
          <w:color w:val="000000"/>
          <w:sz w:val="24"/>
          <w:u w:val="single"/>
        </w:rPr>
        <w:t>ARTICLE X</w:t>
        <w:br/>
        <w:br/>
        <w:t>Miscellaneous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5" w:name="i1585da24a5b84062b1d572496118ea11"/>
      <w:bookmarkEnd w:id="325"/>
      <w:r>
        <w:rPr>
          <w:rFonts w:ascii="Times New Roman;serif" w:hAnsi="Times New Roman;serif"/>
          <w:b w:val="false"/>
          <w:color w:val="000000"/>
          <w:sz w:val="24"/>
          <w:u w:val="single"/>
        </w:rPr>
        <w:t>Section 10.01    Trust Indenture Act Controls.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any provision of this Indenture limits, qualifies or conflicts with the duties imposed by, or with another provision which is required to be included in this Indenture by the Trust Indenture Act, the duty or provision required by the Trust Indenture Act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6" w:name="i8e37b60aace04ddfa4632e35e75a3df0"/>
      <w:bookmarkEnd w:id="326"/>
      <w:r>
        <w:rPr>
          <w:rFonts w:ascii="Times New Roman;serif" w:hAnsi="Times New Roman;serif"/>
          <w:b w:val="false"/>
          <w:color w:val="000000"/>
          <w:sz w:val="24"/>
          <w:u w:val="single"/>
        </w:rPr>
        <w:t>Section 10.02    Notices.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37845"/>
                <wp:effectExtent l="0" t="0" r="0" b="0"/>
                <wp:wrapNone/>
                <wp:docPr id="106" name="Frame10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otherwise provided here in, any notice or communication shall be in writing (including facsimile and electronic communications in PDF format) and delivered in person or mailed by first-class mail addressed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If to the Company</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Rackspace Technology, Inc. </w:t>
        <w:br/>
        <w:t>19122 US Highway 281 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128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San Antonio, Texas 78258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 ]</w:t>
        <w:br/>
        <w:br/>
        <w:t>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1285 Avenue of the Americas </w:t>
        <w:br/>
        <w:t xml:space="preserve">New York, NY 10019-6064 </w:t>
        <w:br/>
        <w:t>Attention: Brian M. Janson, Esq.</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Facsimile Number: 212-757-3990</w:t>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If to the Trustee</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or the Trustee by notice to the other may designate additional or different addresses for subsequent notices or communications.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Any notice or communication mailed to a Holder shall be mailed to the Holder at the Holder’s address as it appears on the registration books of the Registrar and shall be sufficiently given if so mailed within the time prescribed. Notwithstanding the foregoing, as long as the Securities of a Series are issued in whole or in part in the form of a Global Security, notices to be given to the Holders of such Series shall be given to the Depositary, in accordance with its applicable policies as in effect from time to time.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Failure to send a notice or communication to a Holder or any defect in it shall not affect its sufficiency with respect to other Holders. If a notice or communication is sent in the manner provided above, within the time prescribed, it is duly given, whether or not the addressee receives it.</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If the Company sends a notice or communication to Holders, it shall send a copy to the Trustee and each Agent at the same time. The Trustee agrees to accept and act upon instructions and directions pursuant to this Indenture sent by unsecured e-mail, pdf, facsimile transmission or other similar unsecured electronic methods;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37845"/>
                <wp:effectExtent l="0" t="0" r="0" b="0"/>
                <wp:wrapNone/>
                <wp:docPr id="107" name="Frame10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deleted from the listing;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further that, the sending party assumes any and all risks of using such unsecured delivery methods, including without limitation any risks of interception, disclosure or delivery errors and failures.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or any Security, where this Indenture or any Security provides for notice of any event (including any notice of redemption) to a Holder of Global Securities (whether by mail or otherwise), such notice shall be sufficiently given if given to the Depositary for such Security (or its designee), pursuant to the customary procedures of the Depositary.</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7" w:name="i0eb851a8006d4e76b7fa0e48359b51bc"/>
      <w:bookmarkEnd w:id="327"/>
      <w:r>
        <w:rPr>
          <w:rFonts w:ascii="Times New Roman;serif" w:hAnsi="Times New Roman;serif"/>
          <w:b w:val="false"/>
          <w:color w:val="000000"/>
          <w:sz w:val="24"/>
          <w:u w:val="single"/>
        </w:rPr>
        <w:t>Section 10.03    Communication by Holders with Other 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Holders may communicate pursuant to Trust Indenture Act § 312(b) with other Holders with respect to their rights under this Indenture or the Securities. The Company, the Trustee, the Registrar and anyone else shall have the protection of Trust Indenture Act § 312(c).</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28" w:name="i0248e29145ac47c692485bd9700363aa"/>
      <w:bookmarkEnd w:id="328"/>
      <w:r>
        <w:rPr>
          <w:rFonts w:ascii="Times New Roman;serif" w:hAnsi="Times New Roman;serif"/>
          <w:b w:val="false"/>
          <w:color w:val="000000"/>
          <w:sz w:val="24"/>
          <w:u w:val="single"/>
        </w:rPr>
        <w:t>Section 10.04    Certificate and Opinion as to Conditions Precedent.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Upon any request or application by the Company to the Trustee to take or refrain from taking any action under this Indenture, the Company shall furnish to the Trustee: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29" w:name="i15627cdc4fc24a7cae4f292413009454"/>
      <w:bookmarkEnd w:id="329"/>
      <w:r>
        <w:rPr>
          <w:rFonts w:ascii="Times New Roman;serif" w:hAnsi="Times New Roman;serif"/>
          <w:b w:val="false"/>
          <w:color w:val="000000"/>
          <w:sz w:val="24"/>
        </w:rPr>
        <w:t>(1)    an Officer’s Certificate in form and substance reasonably satisfactory to the Trustee stating that, in the opinion of the signers, all conditions precedent, if any, provided for in this Indenture relating to the proposed action have been complied with;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30" w:name="i3ec11d8c03df4031a96dfc8b0c8061f5"/>
      <w:bookmarkEnd w:id="330"/>
      <w:r>
        <w:rPr>
          <w:rFonts w:ascii="Times New Roman;serif" w:hAnsi="Times New Roman;serif"/>
          <w:b w:val="false"/>
          <w:color w:val="000000"/>
          <w:sz w:val="24"/>
        </w:rPr>
        <w:t>(2)    an Opinion of Counsel in form and substance reasonably satisfactory to the Trustee stating that, in the opinion of such counsel, all such conditions precedent have been complied with.</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31" w:name="ib3ea5366facb4be8b539a3aca541dbab"/>
      <w:bookmarkEnd w:id="331"/>
      <w:r>
        <w:rPr>
          <w:rFonts w:ascii="Times New Roman;serif" w:hAnsi="Times New Roman;serif"/>
          <w:b w:val="false"/>
          <w:color w:val="000000"/>
          <w:sz w:val="24"/>
          <w:u w:val="single"/>
        </w:rPr>
        <w:t>Section 10.05    Statements Required in Certificate or Opinion.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Each certificate or opinion with respect to compliance with a covenant or condition provided for in this Indenture shall include:</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32" w:name="i099f0fa1cf7f4b9e9d12913931ab64f5"/>
      <w:bookmarkEnd w:id="332"/>
      <w:r>
        <w:rPr>
          <w:rFonts w:ascii="Times New Roman;serif" w:hAnsi="Times New Roman;serif"/>
          <w:b w:val="false"/>
          <w:color w:val="000000"/>
          <w:sz w:val="24"/>
        </w:rPr>
        <w:t>(1)    a statement that the individual making such certificate or opinion has read such covenant or condition;</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33" w:name="i095545ffa4754b47ba62ed3a90135ef0"/>
      <w:bookmarkEnd w:id="333"/>
      <w:r>
        <w:rPr>
          <w:rFonts w:ascii="Times New Roman;serif" w:hAnsi="Times New Roman;serif"/>
          <w:b w:val="false"/>
          <w:color w:val="000000"/>
          <w:sz w:val="24"/>
        </w:rPr>
        <w:t>(2)    a brief statement as to the nature and scope of the examination or investigation upon which the statements or opinions contained in such certificate or opinion are based;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34" w:name="ibc74e9ef7a624a2991ce1718d3e7707d"/>
      <w:bookmarkEnd w:id="334"/>
      <w:r>
        <w:rPr>
          <w:rFonts w:ascii="Times New Roman;serif" w:hAnsi="Times New Roman;serif"/>
          <w:b w:val="false"/>
          <w:color w:val="000000"/>
          <w:sz w:val="24"/>
        </w:rPr>
        <w:t>(3)    a statement that, in the opinion of such individual, he has made such examination or investigation as is necessary to enable him to express an informed opinion as to whether or not such covenant or condition has been complied with; and</w:t>
      </w:r>
    </w:p>
    <w:p>
      <w:pPr>
        <w:pStyle w:val="TextBody"/>
        <w:bidi w:val="0"/>
        <w:spacing w:lineRule="auto" w:line="288" w:before="0" w:after="240"/>
        <w:ind w:left="0" w:right="0" w:firstLine="2160"/>
        <w:jc w:val="left"/>
        <w:rPr>
          <w:rFonts w:ascii="Times New Roman;serif" w:hAnsi="Times New Roman;serif"/>
          <w:b w:val="false"/>
          <w:color w:val="000000"/>
          <w:sz w:val="24"/>
        </w:rPr>
      </w:pPr>
      <w:bookmarkStart w:id="335" w:name="i27cc5d360630471d8be0cddbd04ede0a"/>
      <w:bookmarkEnd w:id="335"/>
      <w:r>
        <w:rPr>
          <w:rFonts w:ascii="Times New Roman;serif" w:hAnsi="Times New Roman;serif"/>
          <w:b w:val="false"/>
          <w:color w:val="000000"/>
          <w:sz w:val="24"/>
        </w:rPr>
        <w:t>(4)    a statement as to whether or not, in the opinion of such individual, such covenant or condition has been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37845"/>
                <wp:effectExtent l="0" t="0" r="0" b="0"/>
                <wp:wrapNone/>
                <wp:docPr id="108" name="Frame10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36" w:name="i3abeeedbd4d643eb9ef8927255218fa2"/>
      <w:bookmarkEnd w:id="336"/>
      <w:r>
        <w:rPr>
          <w:rFonts w:ascii="Times New Roman;serif" w:hAnsi="Times New Roman;serif"/>
          <w:b w:val="false"/>
          <w:color w:val="000000"/>
          <w:sz w:val="24"/>
          <w:u w:val="single"/>
        </w:rPr>
        <w:t>Section 10.06    When Securities Disregarded.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Securities have concurred in any direction, waiver or consent, Securities owned by the Company or by any Person directly or indirectly controlling or controlled by or under direct or indirect common control with the Company shall be disregarded and deemed not to be outstanding, except that, for the purpose of determining whether the Trustee shall be protected in relying on any such direction, waiver or consent, only Securities which a Trust Officer actually knows are so owned shall be so disregarded. Subject to the foregoing, only Securities outstanding at the time shall be considered in any such determination.</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37" w:name="i5a0bc26613dd46849681ab63ff7f4cf2"/>
      <w:bookmarkEnd w:id="337"/>
      <w:r>
        <w:rPr>
          <w:rFonts w:ascii="Times New Roman;serif" w:hAnsi="Times New Roman;serif"/>
          <w:b w:val="false"/>
          <w:color w:val="000000"/>
          <w:sz w:val="24"/>
          <w:u w:val="single"/>
        </w:rPr>
        <w:t>Section 10.07    Rules by Trustee, Paying Agent and Registrar.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 meeting of Holders. The Registrar and the Paying Agent may make reasonable rules for their functions.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38" w:name="i4d89cffabcb34dba8b9e5ac054d9d4ca"/>
      <w:bookmarkEnd w:id="338"/>
      <w:r>
        <w:rPr>
          <w:rFonts w:ascii="Times New Roman;serif" w:hAnsi="Times New Roman;serif"/>
          <w:b w:val="false"/>
          <w:color w:val="000000"/>
          <w:sz w:val="24"/>
          <w:u w:val="single"/>
        </w:rPr>
        <w:t>Section 10.08    Legal Holidays.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 payment date is a Legal Holiday, payment shall be made on the next succeeding day that is not a Legal Holiday, and no interest shall accrue for the intervening period. If a regular record date is a Legal Holiday, the record date shall not be affected.</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39" w:name="ib8a3b71d3e0e4e388249097f838d2345"/>
      <w:bookmarkEnd w:id="339"/>
      <w:r>
        <w:rPr>
          <w:rFonts w:ascii="Times New Roman;serif" w:hAnsi="Times New Roman;serif"/>
          <w:b w:val="false"/>
          <w:color w:val="000000"/>
          <w:sz w:val="24"/>
          <w:u w:val="single"/>
        </w:rPr>
        <w:t>Section 10.09    Governing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INDENTURE AND THE SECURITIES SHALL BE GOVERNED BY, AND CONSTRUED IN ACCORDANCE WITH, THE LAWS OF THE STATE OF NEW YORK.</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0" w:name="i04b02edce9b34339b9ff370b57236255"/>
      <w:bookmarkEnd w:id="340"/>
      <w:r>
        <w:rPr>
          <w:rFonts w:ascii="Times New Roman;serif" w:hAnsi="Times New Roman;serif"/>
          <w:b w:val="false"/>
          <w:color w:val="000000"/>
          <w:sz w:val="24"/>
          <w:u w:val="single"/>
        </w:rPr>
        <w:t>Section 10.10    No Recourse Against Others.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director, officer, employee or stockholder, as such, of the Company shall not have any liability for any obligations of the Company under the Securities or this Indenture or for any claim based on, in respect of or by reason of such obligations or their creation. By accepting a Security, each Holder shall waive and release all such liability. The waiver and release shall be part of the consideration for the issue of the Securities.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1" w:name="i8ef1dae9f6f341f69bcdae807aaa184b"/>
      <w:bookmarkEnd w:id="341"/>
      <w:r>
        <w:rPr>
          <w:rFonts w:ascii="Times New Roman;serif" w:hAnsi="Times New Roman;serif"/>
          <w:b w:val="false"/>
          <w:color w:val="000000"/>
          <w:sz w:val="24"/>
          <w:u w:val="single"/>
        </w:rPr>
        <w:t>Section 10.11    Successors.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agreements of the Company in this Indenture and the Securities shall bind its successors and assigns. All agreements of the Trustee in this Indenture shall bind its successors.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2" w:name="id9aaef1b359b4279902b06f58f4709ff"/>
      <w:bookmarkEnd w:id="342"/>
      <w:r>
        <w:rPr>
          <w:rFonts w:ascii="Times New Roman;serif" w:hAnsi="Times New Roman;serif"/>
          <w:b w:val="false"/>
          <w:color w:val="000000"/>
          <w:sz w:val="24"/>
          <w:u w:val="single"/>
        </w:rPr>
        <w:t>Section 10.12    Multiple Originals.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parties may sign any number of copies of this Indenture. Each signed copy shall be an original, but all of them together represent the same agreement. One signed copy is enough to prove this Indenture. The exchange of copies of this Indenture and of signature pages by facsimile or PDF transmission shall constitute effective execution and delivery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37845"/>
                <wp:effectExtent l="0" t="0" r="0" b="0"/>
                <wp:wrapNone/>
                <wp:docPr id="109" name="Frame10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Indenture as to the parties hereto and may be used in lieu of the original Indenture and signature pages for all purposes.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3" w:name="i73bde2e411344b2881335f7b83861c6f"/>
      <w:bookmarkEnd w:id="343"/>
      <w:r>
        <w:rPr>
          <w:rFonts w:ascii="Times New Roman;serif" w:hAnsi="Times New Roman;serif"/>
          <w:b w:val="false"/>
          <w:color w:val="000000"/>
          <w:sz w:val="24"/>
          <w:u w:val="single"/>
        </w:rPr>
        <w:t>Section 10.13    Table of Contents; Headings.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4" w:name="i6930be03b6664674ba8791404493a49d"/>
      <w:bookmarkEnd w:id="344"/>
      <w:r>
        <w:rPr>
          <w:rFonts w:ascii="Times New Roman;serif" w:hAnsi="Times New Roman;serif"/>
          <w:b w:val="false"/>
          <w:color w:val="000000"/>
          <w:sz w:val="24"/>
          <w:u w:val="single"/>
        </w:rPr>
        <w:t>Section 10.14    Severability.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any provision in this Indenture is deemed unenforceable, it shall not affect the validity or enforceability of any other provision set forth herein, or of the Indenture as a whole.</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5" w:name="i9224170be24649ba8fa80edb9da83501"/>
      <w:bookmarkEnd w:id="345"/>
      <w:r>
        <w:rPr>
          <w:rFonts w:ascii="Times New Roman;serif" w:hAnsi="Times New Roman;serif"/>
          <w:b w:val="false"/>
          <w:color w:val="000000"/>
          <w:sz w:val="24"/>
          <w:u w:val="single"/>
        </w:rPr>
        <w:t>Section 10.15    Waiver of Jury Trial , Consent to Jurisdiction.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Each of the Company and the Trustee hereby irrevocably waives, to the fullest extent permitted by applicable law, any and all right to trial by jury in any legal proceeding arising out of this Indenture, the Securities or the transactions contemplated thereby.</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serif" w:hAnsi="Times New Roman;serif"/>
          <w:b w:val="false"/>
          <w:color w:val="000000"/>
          <w:sz w:val="24"/>
          <w:u w:val="single"/>
        </w:rPr>
        <w:t>Specified Courts</w:t>
      </w:r>
      <w:r>
        <w:rPr>
          <w:color w:val="000000"/>
        </w:rPr>
        <w:t>”</w:t>
      </w:r>
      <w:r>
        <w:rPr>
          <w:rFonts w:ascii="Times New Roman;serif" w:hAnsi="Times New Roman;serif"/>
          <w:b w:val="false"/>
          <w:color w:val="000000"/>
          <w:sz w:val="24"/>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6" w:name="i0ccf69acb17140d3a126add4eb9a085c"/>
      <w:bookmarkEnd w:id="346"/>
      <w:r>
        <w:rPr>
          <w:rFonts w:ascii="Times New Roman;serif" w:hAnsi="Times New Roman;serif"/>
          <w:b w:val="false"/>
          <w:color w:val="000000"/>
          <w:sz w:val="24"/>
          <w:u w:val="single"/>
        </w:rPr>
        <w:t>Section 10.16    Force Majeure.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lineRule="auto" w:line="240" w:before="0" w:after="240"/>
        <w:ind w:left="0" w:right="0" w:firstLine="720"/>
        <w:jc w:val="left"/>
        <w:rPr>
          <w:rFonts w:ascii="Times New Roman;serif" w:hAnsi="Times New Roman;serif"/>
          <w:b w:val="false"/>
          <w:color w:val="000000"/>
          <w:sz w:val="24"/>
          <w:u w:val="single"/>
        </w:rPr>
      </w:pPr>
      <w:bookmarkStart w:id="347" w:name="i413937bded87459b97025b11e1ebd6c7"/>
      <w:bookmarkEnd w:id="347"/>
      <w:r>
        <w:rPr>
          <w:rFonts w:ascii="Times New Roman;serif" w:hAnsi="Times New Roman;serif"/>
          <w:b w:val="false"/>
          <w:color w:val="000000"/>
          <w:sz w:val="24"/>
          <w:u w:val="single"/>
        </w:rPr>
        <w:t>Section 10.17    U.S.A. PATRIOT Act.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37845"/>
                <wp:effectExtent l="0" t="0" r="0" b="0"/>
                <wp:wrapNone/>
                <wp:docPr id="110" name="Frame10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the Indenture agree that they will provide the Trustee with such information as it may request in order for the Trustee to satisfy the requirements of the U.S.A. PATRIOT Act.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37845"/>
                <wp:effectExtent l="0" t="0" r="0" b="0"/>
                <wp:wrapNone/>
                <wp:docPr id="111" name="Frame10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Indenture to be duly executed as of the date first written above.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RACKSPACE TECHNOLOGY, INC.</w:t>
      </w:r>
    </w:p>
    <w:p>
      <w:pPr>
        <w:pStyle w:val="TextBody"/>
        <w:bidi w:val="0"/>
        <w:spacing w:lineRule="auto" w:line="288" w:before="0" w:after="480"/>
        <w:ind w:left="0" w:right="0" w:hanging="432"/>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Name:</w:t>
        <w:br/>
        <w:t>Title: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 ], </w:t>
        <w:br/>
        <w:t>as Trustee</w:t>
      </w:r>
    </w:p>
    <w:p>
      <w:pPr>
        <w:pStyle w:val="TextBody"/>
        <w:bidi w:val="0"/>
        <w:spacing w:lineRule="auto" w:line="288" w:before="0" w:after="480"/>
        <w:ind w:left="0" w:right="0" w:hanging="432"/>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Name:</w:t>
        <w:b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37845"/>
                <wp:effectExtent l="0" t="0" r="0" b="0"/>
                <wp:wrapNone/>
                <wp:docPr id="112" name="Frame11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Indenture]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consent to the use of our reports dated March 6, 2026, with respect to the consolidated financial statements of Rackspace Technology, Inc. and subsidiaries, and the effectiveness of internal control over financial reporting, incorporated herein by reference, and to the reference to our firm under the heading “Experts” in the prospectus.</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San Antonio, Texas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July 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240"/>
        <w:jc w:val="center"/>
        <w:rPr>
          <w:rFonts w:ascii="Georgia;serif" w:hAnsi="Georgia;serif"/>
          <w:b w:val="false"/>
          <w:color w:val="000000"/>
          <w:sz w:val="22"/>
        </w:rPr>
      </w:pPr>
      <w:r>
        <w:rPr>
          <w:rFonts w:ascii="Georgia;serif" w:hAnsi="Georgia;serif"/>
          <w:b w:val="false"/>
          <w:color w:val="000000"/>
          <w:sz w:val="22"/>
        </w:rPr>
        <w:t>CONSENT OF INDEPENDENT REGISTERED PUBLIC ACCOUNTING FIRM</w:t>
      </w:r>
    </w:p>
    <w:p>
      <w:pPr>
        <w:pStyle w:val="TextBody"/>
        <w:bidi w:val="0"/>
        <w:spacing w:lineRule="auto" w:line="268" w:before="0" w:after="0"/>
        <w:jc w:val="left"/>
        <w:rPr>
          <w:rFonts w:ascii="Georgia;serif" w:hAnsi="Georgia;serif"/>
          <w:b w:val="false"/>
          <w:color w:val="000000"/>
          <w:sz w:val="22"/>
        </w:rPr>
      </w:pPr>
      <w:r>
        <w:rPr>
          <w:rFonts w:ascii="Georgia;serif" w:hAnsi="Georgia;serif"/>
          <w:b w:val="false"/>
          <w:color w:val="000000"/>
          <w:sz w:val="22"/>
        </w:rPr>
        <w:t>We hereby consent to the incorporation by reference in this Registration Statement on Form S-3 of Rackspace Technology, Inc. of our report dated March 20, 2025 relating to the financial statements, which appears in Rackspace Technology, Inc.'s Annual Report on Form 10-K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40" w:before="0" w:after="0"/>
        <w:jc w:val="left"/>
        <w:rPr>
          <w:rFonts w:ascii="Georgia;serif" w:hAnsi="Georgia;serif"/>
          <w:b w:val="false"/>
          <w:color w:val="000000"/>
          <w:sz w:val="22"/>
        </w:rPr>
      </w:pPr>
      <w:r>
        <w:rPr>
          <w:rFonts w:ascii="Georgia;serif" w:hAnsi="Georgia;serif"/>
          <w:b w:val="false"/>
          <w:color w:val="000000"/>
          <w:sz w:val="22"/>
        </w:rPr>
        <w:t>/s/ PricewaterhouseCoopers LLP</w:t>
      </w:r>
    </w:p>
    <w:p>
      <w:pPr>
        <w:pStyle w:val="TextBody"/>
        <w:bidi w:val="0"/>
        <w:spacing w:lineRule="auto" w:line="240" w:before="0" w:after="0"/>
        <w:jc w:val="left"/>
        <w:rPr>
          <w:rFonts w:ascii="Georgia;serif" w:hAnsi="Georgia;serif"/>
          <w:b w:val="false"/>
          <w:color w:val="000000"/>
          <w:sz w:val="22"/>
        </w:rPr>
      </w:pPr>
      <w:r>
        <w:rPr>
          <w:rFonts w:ascii="Georgia;serif" w:hAnsi="Georgia;serif"/>
          <w:b w:val="false"/>
          <w:color w:val="000000"/>
          <w:sz w:val="22"/>
        </w:rPr>
        <w:t>Austin, Texas</w:t>
      </w:r>
    </w:p>
    <w:p>
      <w:pPr>
        <w:pStyle w:val="TextBody"/>
        <w:bidi w:val="0"/>
        <w:spacing w:lineRule="auto" w:line="240"/>
        <w:jc w:val="left"/>
        <w:rPr>
          <w:rFonts w:ascii="Georgia;serif" w:hAnsi="Georgia;serif"/>
          <w:b w:val="false"/>
          <w:color w:val="000000"/>
          <w:sz w:val="22"/>
        </w:rPr>
      </w:pPr>
      <w:r>
        <w:rPr>
          <w:rFonts w:ascii="Georgia;serif" w:hAnsi="Georgia;serif"/>
          <w:b w:val="false"/>
          <w:color w:val="000000"/>
          <w:sz w:val="22"/>
        </w:rPr>
        <w:t>July 9,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810019/000181001926000015/rxt-20251231.htm" TargetMode="External"/><Relationship Id="rId4" Type="http://schemas.openxmlformats.org/officeDocument/2006/relationships/hyperlink" Target="https://www.sec.gov/Archives/edgar/data/0001810019/000181001926000032/rxt-20260430.htm" TargetMode="External"/><Relationship Id="rId5" Type="http://schemas.openxmlformats.org/officeDocument/2006/relationships/hyperlink" Target="https://www.sec.gov/Archives/edgar/data/1810019/000181001926000044/rxt-20260331.htm" TargetMode="External"/><Relationship Id="rId6" Type="http://schemas.openxmlformats.org/officeDocument/2006/relationships/hyperlink" Target="https://www.sec.gov/Archives/edgar/data/0001810019/000181001926000021/rxt-20260331.htm" TargetMode="External"/><Relationship Id="rId7" Type="http://schemas.openxmlformats.org/officeDocument/2006/relationships/hyperlink" Target="https://www.sec.gov/Archives/edgar/data/0001810019/000181001926000058/rxt-20260610.htm" TargetMode="External"/><Relationship Id="rId8" Type="http://schemas.openxmlformats.org/officeDocument/2006/relationships/hyperlink" Target="https://www.sec.gov/Archives/edgar/data/0001810019/000181001926000059/rxt-20260616.htm" TargetMode="External"/><Relationship Id="rId9" Type="http://schemas.openxmlformats.org/officeDocument/2006/relationships/hyperlink" Target="https://www.sec.gov/Archives/edgar/data/0001810019/000181001926000061/rxt-20260618.htm" TargetMode="External"/><Relationship Id="rId10" Type="http://schemas.openxmlformats.org/officeDocument/2006/relationships/hyperlink" Target="https://www.sec.gov/Archives/edgar/data/1810019/000181001921000038/rxt42q42020.htm" TargetMode="External"/><Relationship Id="rId11" Type="http://schemas.openxmlformats.org/officeDocument/2006/relationships/image" Target="media/image1.png"/><Relationship Id="rId12" Type="http://schemas.openxmlformats.org/officeDocument/2006/relationships/hyperlink" Target="https://www.sec.gov/Archives/edgar/data/1810019/000119312520209647/d36076dex31.htm" TargetMode="External"/><Relationship Id="rId13" Type="http://schemas.openxmlformats.org/officeDocument/2006/relationships/hyperlink" Target="https://www.sec.gov/Archives/edgar/data/1810019/000119312520209647/d36076dex32.htm" TargetMode="External"/><Relationship Id="rId14" Type="http://schemas.openxmlformats.org/officeDocument/2006/relationships/hyperlink" Target="https://www.sec.gov/Archives/edgar/data/1810019/000119312520213058/d10215d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48122</Words>
  <Characters>249416</Characters>
  <CharactersWithSpaces>297209</CharactersWithSpaces>
  <Paragraphs>1821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