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3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61" w:lineRule="exact"/>
        <w:rPr>
          <w:sz w:val="24"/>
          <w:szCs w:val="24"/>
          <w:color w:val="auto"/>
        </w:rPr>
      </w:pPr>
    </w:p>
    <w:p>
      <w:pPr>
        <w:ind w:left="600" w:hanging="389"/>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90" w:lineRule="exact"/>
        <w:rPr>
          <w:rFonts w:ascii="MS PGothic" w:cs="MS PGothic" w:eastAsia="MS PGothic" w:hAnsi="MS PGothic"/>
          <w:sz w:val="18"/>
          <w:szCs w:val="18"/>
          <w:color w:val="auto"/>
        </w:rPr>
      </w:pPr>
    </w:p>
    <w:p>
      <w:pPr>
        <w:ind w:left="386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quarterly period ended June 30, 2023.</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89" w:lineRule="exact"/>
        <w:rPr>
          <w:sz w:val="24"/>
          <w:szCs w:val="24"/>
          <w:color w:val="auto"/>
        </w:rPr>
      </w:pPr>
    </w:p>
    <w:p>
      <w:pPr>
        <w:ind w:left="600" w:hanging="389"/>
        <w:spacing w:after="0"/>
        <w:tabs>
          <w:tab w:leader="none" w:pos="60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94" w:lineRule="exact"/>
        <w:rPr>
          <w:rFonts w:ascii="MS PGothic" w:cs="MS PGothic" w:eastAsia="MS PGothic" w:hAnsi="MS PGothic"/>
          <w:sz w:val="18"/>
          <w:szCs w:val="18"/>
          <w:color w:val="auto"/>
        </w:rPr>
      </w:pPr>
    </w:p>
    <w:p>
      <w:pPr>
        <w:ind w:left="3860"/>
        <w:spacing w:after="0"/>
        <w:rPr>
          <w:rFonts w:ascii="MS PGothic" w:cs="MS PGothic" w:eastAsia="MS PGothic" w:hAnsi="MS PGothic"/>
          <w:sz w:val="18"/>
          <w:szCs w:val="18"/>
          <w:color w:val="auto"/>
        </w:rPr>
      </w:pPr>
      <w:r>
        <w:rPr>
          <w:rFonts w:ascii="Arial" w:cs="Arial" w:eastAsia="Arial" w:hAnsi="Arial"/>
          <w:sz w:val="18"/>
          <w:szCs w:val="18"/>
          <w:color w:val="auto"/>
        </w:rPr>
        <w:t>For the transition period from ______ to ______.</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001-39420</w:t>
      </w:r>
    </w:p>
    <w:p>
      <w:pPr>
        <w:spacing w:after="0" w:line="236"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RACKSPACE TECHNOLOGY, INC.</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3390900</wp:posOffset>
            </wp:positionH>
            <wp:positionV relativeFrom="paragraph">
              <wp:posOffset>158750</wp:posOffset>
            </wp:positionV>
            <wp:extent cx="360045" cy="4546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0045" cy="454660"/>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ind w:left="20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81-3369925</w:t>
      </w:r>
    </w:p>
    <w:p>
      <w:pPr>
        <w:spacing w:after="0" w:line="72" w:lineRule="exact"/>
        <w:rPr>
          <w:sz w:val="24"/>
          <w:szCs w:val="24"/>
          <w:color w:val="auto"/>
        </w:rPr>
      </w:pPr>
    </w:p>
    <w:p>
      <w:pPr>
        <w:sectPr>
          <w:pgSz w:w="11900" w:h="16838" w:orient="portrait"/>
          <w:cols w:equalWidth="0" w:num="2">
            <w:col w:w="7620" w:space="720"/>
            <w:col w:w="2900"/>
          </w:cols>
          <w:pgMar w:left="320" w:top="1273" w:right="339" w:bottom="1440" w:gutter="0" w:footer="0" w:header="0"/>
          <w:type w:val="continuous"/>
        </w:sectPr>
      </w:pPr>
    </w:p>
    <w:p>
      <w:pPr>
        <w:ind w:left="120"/>
        <w:spacing w:after="0"/>
        <w:rPr>
          <w:sz w:val="20"/>
          <w:szCs w:val="20"/>
          <w:color w:val="auto"/>
        </w:rPr>
      </w:pPr>
      <w:r>
        <w:rPr>
          <w:rFonts w:ascii="Arial" w:cs="Arial" w:eastAsia="Arial" w:hAnsi="Arial"/>
          <w:sz w:val="16"/>
          <w:szCs w:val="16"/>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(I.R.S. Employer Identification No.)</w:t>
      </w:r>
    </w:p>
    <w:p>
      <w:pPr>
        <w:spacing w:after="0" w:line="127" w:lineRule="exact"/>
        <w:rPr>
          <w:sz w:val="24"/>
          <w:szCs w:val="24"/>
          <w:color w:val="auto"/>
        </w:rPr>
      </w:pPr>
    </w:p>
    <w:p>
      <w:pPr>
        <w:sectPr>
          <w:pgSz w:w="11900" w:h="16838" w:orient="portrait"/>
          <w:cols w:equalWidth="0" w:num="2">
            <w:col w:w="6680" w:space="720"/>
            <w:col w:w="3840"/>
          </w:cols>
          <w:pgMar w:left="320" w:top="1273"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1 Fanatical Place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City of Windcrest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Antonio, Texas 78218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 including zip code)</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1-800-961-4454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3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00" w:type="dxa"/>
            <w:vAlign w:val="bottom"/>
            <w:gridSpan w:val="3"/>
          </w:tcPr>
          <w:p>
            <w:pPr>
              <w:spacing w:after="0"/>
              <w:rPr>
                <w:sz w:val="20"/>
                <w:szCs w:val="20"/>
                <w:color w:val="auto"/>
              </w:rPr>
            </w:pPr>
            <w:r>
              <w:rPr>
                <w:rFonts w:ascii="Arial" w:cs="Arial" w:eastAsia="Arial" w:hAnsi="Arial"/>
                <w:sz w:val="18"/>
                <w:szCs w:val="18"/>
                <w:color w:val="auto"/>
                <w:w w:val="93"/>
              </w:rPr>
              <w:t>Securities registered pursuant to Section 12(b) of the Act:</w:t>
            </w:r>
          </w:p>
        </w:tc>
        <w:tc>
          <w:tcPr>
            <w:tcW w:w="2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80" w:type="dxa"/>
            <w:vAlign w:val="bottom"/>
          </w:tcPr>
          <w:p>
            <w:pPr>
              <w:spacing w:after="0"/>
              <w:rPr>
                <w:sz w:val="20"/>
                <w:szCs w:val="20"/>
                <w:color w:val="auto"/>
              </w:rPr>
            </w:pPr>
          </w:p>
        </w:tc>
      </w:tr>
      <w:tr>
        <w:trPr>
          <w:trHeight w:val="283"/>
        </w:trPr>
        <w:tc>
          <w:tcPr>
            <w:tcW w:w="4300" w:type="dxa"/>
            <w:vAlign w:val="bottom"/>
            <w:gridSpan w:val="3"/>
          </w:tcPr>
          <w:p>
            <w:pPr>
              <w:jc w:val="center"/>
              <w:ind w:right="780"/>
              <w:spacing w:after="0"/>
              <w:rPr>
                <w:sz w:val="20"/>
                <w:szCs w:val="20"/>
                <w:color w:val="auto"/>
              </w:rPr>
            </w:pPr>
            <w:r>
              <w:rPr>
                <w:rFonts w:ascii="Arial" w:cs="Arial" w:eastAsia="Arial" w:hAnsi="Arial"/>
                <w:sz w:val="18"/>
                <w:szCs w:val="18"/>
                <w:b w:val="1"/>
                <w:bCs w:val="1"/>
                <w:color w:val="auto"/>
                <w:w w:val="87"/>
              </w:rPr>
              <w:t>Title of each class</w:t>
            </w:r>
          </w:p>
        </w:tc>
        <w:tc>
          <w:tcPr>
            <w:tcW w:w="2440" w:type="dxa"/>
            <w:vAlign w:val="bottom"/>
          </w:tcPr>
          <w:p>
            <w:pPr>
              <w:jc w:val="center"/>
              <w:ind w:right="570"/>
              <w:spacing w:after="0"/>
              <w:rPr>
                <w:sz w:val="20"/>
                <w:szCs w:val="20"/>
                <w:color w:val="auto"/>
              </w:rPr>
            </w:pPr>
            <w:r>
              <w:rPr>
                <w:rFonts w:ascii="Arial" w:cs="Arial" w:eastAsia="Arial" w:hAnsi="Arial"/>
                <w:sz w:val="18"/>
                <w:szCs w:val="18"/>
                <w:b w:val="1"/>
                <w:bCs w:val="1"/>
                <w:color w:val="auto"/>
                <w:w w:val="89"/>
              </w:rPr>
              <w:t>Trading Symbol(s)</w:t>
            </w:r>
          </w:p>
        </w:tc>
        <w:tc>
          <w:tcPr>
            <w:tcW w:w="120" w:type="dxa"/>
            <w:vAlign w:val="bottom"/>
          </w:tcPr>
          <w:p>
            <w:pPr>
              <w:spacing w:after="0"/>
              <w:rPr>
                <w:sz w:val="24"/>
                <w:szCs w:val="24"/>
                <w:color w:val="auto"/>
              </w:rPr>
            </w:pPr>
          </w:p>
        </w:tc>
        <w:tc>
          <w:tcPr>
            <w:tcW w:w="43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440" w:type="dxa"/>
            <w:vAlign w:val="bottom"/>
            <w:tcBorders>
              <w:top w:val="single" w:sz="8" w:color="auto"/>
            </w:tcBorders>
          </w:tcPr>
          <w:p>
            <w:pPr>
              <w:jc w:val="center"/>
              <w:ind w:right="590"/>
              <w:spacing w:after="0"/>
              <w:rPr>
                <w:sz w:val="20"/>
                <w:szCs w:val="20"/>
                <w:color w:val="auto"/>
              </w:rPr>
            </w:pPr>
            <w:r>
              <w:rPr>
                <w:rFonts w:ascii="Arial" w:cs="Arial" w:eastAsia="Arial" w:hAnsi="Arial"/>
                <w:sz w:val="18"/>
                <w:szCs w:val="18"/>
                <w:color w:val="auto"/>
                <w:w w:val="99"/>
              </w:rPr>
              <w:t>RXT</w:t>
            </w:r>
          </w:p>
        </w:tc>
        <w:tc>
          <w:tcPr>
            <w:tcW w:w="120" w:type="dxa"/>
            <w:vAlign w:val="bottom"/>
          </w:tcPr>
          <w:p>
            <w:pPr>
              <w:spacing w:after="0"/>
              <w:rPr>
                <w:sz w:val="19"/>
                <w:szCs w:val="19"/>
                <w:color w:val="auto"/>
              </w:rPr>
            </w:pPr>
          </w:p>
        </w:tc>
        <w:tc>
          <w:tcPr>
            <w:tcW w:w="4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322" w:lineRule="exact"/>
        <w:rPr>
          <w:sz w:val="24"/>
          <w:szCs w:val="24"/>
          <w:color w:val="auto"/>
        </w:rPr>
      </w:pPr>
    </w:p>
    <w:p>
      <w:pPr>
        <w:ind w:right="60" w:firstLine="486"/>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3" w:lineRule="exact"/>
        <w:rPr>
          <w:sz w:val="24"/>
          <w:szCs w:val="24"/>
          <w:color w:val="auto"/>
        </w:rPr>
      </w:pPr>
    </w:p>
    <w:p>
      <w:pPr>
        <w:jc w:val="both"/>
        <w:ind w:right="60" w:firstLine="486"/>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708025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type w:val="continuous"/>
        </w:sectPr>
      </w:pPr>
    </w:p>
    <w:bookmarkStart w:id="1" w:name="page2"/>
    <w:bookmarkEnd w:id="1"/>
    <w:p>
      <w:pPr>
        <w:ind w:right="20" w:firstLine="486"/>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9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6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jc w:val="center"/>
              <w:ind w:left="2570"/>
              <w:spacing w:after="0"/>
              <w:rPr>
                <w:sz w:val="20"/>
                <w:szCs w:val="20"/>
                <w:color w:val="auto"/>
              </w:rPr>
            </w:pPr>
            <w:r>
              <w:rPr>
                <w:rFonts w:ascii="Arial" w:cs="Arial" w:eastAsia="Arial" w:hAnsi="Arial"/>
                <w:sz w:val="18"/>
                <w:szCs w:val="18"/>
                <w:color w:val="auto"/>
                <w:w w:val="92"/>
              </w:rPr>
              <w:t>Accelerated filer</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1980" w:type="dxa"/>
            <w:vAlign w:val="bottom"/>
          </w:tcPr>
          <w:p>
            <w:pPr>
              <w:spacing w:after="0"/>
              <w:rPr>
                <w:sz w:val="20"/>
                <w:szCs w:val="20"/>
                <w:color w:val="auto"/>
              </w:rPr>
            </w:pPr>
            <w:r>
              <w:rPr>
                <w:rFonts w:ascii="Arial" w:cs="Arial" w:eastAsia="Arial" w:hAnsi="Arial"/>
                <w:sz w:val="18"/>
                <w:szCs w:val="18"/>
                <w:color w:val="auto"/>
              </w:rPr>
              <w:t>Non-accelerated filer</w:t>
            </w:r>
          </w:p>
        </w:tc>
        <w:tc>
          <w:tcPr>
            <w:tcW w:w="346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jc w:val="center"/>
              <w:ind w:left="2570"/>
              <w:spacing w:after="0"/>
              <w:rPr>
                <w:sz w:val="20"/>
                <w:szCs w:val="20"/>
                <w:color w:val="auto"/>
              </w:rPr>
            </w:pPr>
            <w:r>
              <w:rPr>
                <w:rFonts w:ascii="Arial" w:cs="Arial" w:eastAsia="Arial" w:hAnsi="Arial"/>
                <w:sz w:val="18"/>
                <w:szCs w:val="18"/>
                <w:color w:val="auto"/>
                <w:w w:val="91"/>
              </w:rPr>
              <w:t>Smaller reporting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9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140" w:type="dxa"/>
            <w:vAlign w:val="bottom"/>
          </w:tcPr>
          <w:p>
            <w:pPr>
              <w:jc w:val="center"/>
              <w:ind w:left="2570"/>
              <w:spacing w:after="0"/>
              <w:rPr>
                <w:sz w:val="20"/>
                <w:szCs w:val="20"/>
                <w:color w:val="auto"/>
              </w:rPr>
            </w:pPr>
            <w:r>
              <w:rPr>
                <w:rFonts w:ascii="Arial" w:cs="Arial" w:eastAsia="Arial" w:hAnsi="Arial"/>
                <w:sz w:val="18"/>
                <w:szCs w:val="18"/>
                <w:color w:val="auto"/>
                <w:w w:val="91"/>
              </w:rPr>
              <w:t>Emerging growth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95" w:lineRule="exact"/>
        <w:rPr>
          <w:sz w:val="20"/>
          <w:szCs w:val="20"/>
          <w:color w:val="auto"/>
        </w:rPr>
      </w:pPr>
    </w:p>
    <w:p>
      <w:pPr>
        <w:ind w:firstLine="486"/>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6" w:lineRule="exact"/>
        <w:rPr>
          <w:sz w:val="20"/>
          <w:szCs w:val="20"/>
          <w:color w:val="auto"/>
        </w:rPr>
      </w:pPr>
    </w:p>
    <w:p>
      <w:pPr>
        <w:ind w:left="50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On August 3, 2023, 215,891,394 shares of the registrant's common stock, par value $0.01 per share,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584835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RACKSPACE TECHNOLOGY,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10340" w:type="dxa"/>
            <w:vAlign w:val="bottom"/>
            <w:gridSpan w:val="15"/>
          </w:tcPr>
          <w:p>
            <w:pPr>
              <w:spacing w:after="0"/>
              <w:rPr>
                <w:sz w:val="20"/>
                <w:szCs w:val="20"/>
                <w:color w:val="auto"/>
              </w:rPr>
            </w:pPr>
            <w:r>
              <w:rPr>
                <w:rFonts w:ascii="Arial" w:cs="Arial" w:eastAsia="Arial" w:hAnsi="Arial"/>
                <w:sz w:val="18"/>
                <w:szCs w:val="18"/>
                <w:b w:val="1"/>
                <w:bCs w:val="1"/>
                <w:color w:val="auto"/>
              </w:rPr>
              <w:t>Part I - Financial Information</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200" w:type="dxa"/>
            <w:vAlign w:val="bottom"/>
            <w:gridSpan w:val="13"/>
          </w:tcPr>
          <w:p>
            <w:pPr>
              <w:spacing w:after="0"/>
              <w:rPr>
                <w:sz w:val="20"/>
                <w:szCs w:val="20"/>
                <w:color w:val="auto"/>
              </w:rPr>
            </w:pPr>
            <w:r>
              <w:rPr>
                <w:rFonts w:ascii="Arial" w:cs="Arial" w:eastAsia="Arial" w:hAnsi="Arial"/>
                <w:sz w:val="18"/>
                <w:szCs w:val="18"/>
                <w:color w:val="auto"/>
              </w:rPr>
              <w:t>Financial Statements:</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190"/>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940" w:type="dxa"/>
            <w:vAlign w:val="bottom"/>
            <w:gridSpan w:val="10"/>
          </w:tcPr>
          <w:p>
            <w:pPr>
              <w:spacing w:after="0" w:line="190" w:lineRule="exact"/>
              <w:rPr>
                <w:sz w:val="20"/>
                <w:szCs w:val="20"/>
                <w:color w:val="auto"/>
              </w:rPr>
            </w:pPr>
            <w:r>
              <w:rPr>
                <w:rFonts w:ascii="Arial" w:cs="Arial" w:eastAsia="Arial" w:hAnsi="Arial"/>
                <w:sz w:val="18"/>
                <w:szCs w:val="18"/>
                <w:color w:val="0000FF"/>
                <w:w w:val="88"/>
              </w:rPr>
              <w:t>Unaudited Condensed Consolidated Balance Sheets as of December 31, 2022 and June 30, 2023</w:t>
            </w:r>
          </w:p>
        </w:tc>
        <w:tc>
          <w:tcPr>
            <w:tcW w:w="2260" w:type="dxa"/>
            <w:vAlign w:val="bottom"/>
            <w:gridSpan w:val="3"/>
          </w:tcPr>
          <w:p>
            <w:pPr>
              <w:spacing w:after="0"/>
              <w:rPr>
                <w:sz w:val="16"/>
                <w:szCs w:val="16"/>
                <w:color w:val="auto"/>
              </w:rPr>
            </w:pPr>
          </w:p>
        </w:tc>
        <w:tc>
          <w:tcPr>
            <w:tcW w:w="540" w:type="dxa"/>
            <w:vAlign w:val="bottom"/>
            <w:gridSpan w:val="2"/>
          </w:tcPr>
          <w:p>
            <w:pPr>
              <w:jc w:val="center"/>
              <w:ind w:left="370"/>
              <w:spacing w:after="0" w:line="190" w:lineRule="exact"/>
              <w:rPr>
                <w:sz w:val="20"/>
                <w:szCs w:val="20"/>
                <w:color w:val="auto"/>
              </w:rPr>
            </w:pPr>
            <w:r>
              <w:rPr>
                <w:rFonts w:ascii="Arial" w:cs="Arial" w:eastAsia="Arial" w:hAnsi="Arial"/>
                <w:sz w:val="18"/>
                <w:szCs w:val="18"/>
                <w:color w:val="0000FF"/>
                <w:w w:val="79"/>
              </w:rPr>
              <w:t>3</w:t>
            </w:r>
          </w:p>
        </w:tc>
        <w:tc>
          <w:tcPr>
            <w:tcW w:w="3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0" w:type="dxa"/>
            <w:vAlign w:val="bottom"/>
            <w:gridSpan w:val="13"/>
          </w:tcPr>
          <w:p>
            <w:pPr>
              <w:spacing w:after="0"/>
              <w:rPr>
                <w:sz w:val="20"/>
                <w:szCs w:val="20"/>
                <w:color w:val="auto"/>
              </w:rPr>
            </w:pPr>
            <w:r>
              <w:rPr>
                <w:rFonts w:ascii="Arial" w:cs="Arial" w:eastAsia="Arial" w:hAnsi="Arial"/>
                <w:sz w:val="18"/>
                <w:szCs w:val="18"/>
                <w:color w:val="0000FF"/>
                <w:w w:val="89"/>
              </w:rPr>
              <w:t>Unaudited Condensed Consolidated Statements of Comprehensive Loss for the Three and Six Months Ended June 30, 2022 and</w:t>
            </w:r>
          </w:p>
        </w:tc>
        <w:tc>
          <w:tcPr>
            <w:tcW w:w="540" w:type="dxa"/>
            <w:vAlign w:val="bottom"/>
            <w:gridSpan w:val="2"/>
          </w:tcPr>
          <w:p>
            <w:pPr>
              <w:jc w:val="center"/>
              <w:ind w:left="370"/>
              <w:spacing w:after="0"/>
              <w:rPr>
                <w:sz w:val="20"/>
                <w:szCs w:val="20"/>
                <w:color w:val="auto"/>
              </w:rPr>
            </w:pPr>
            <w:r>
              <w:rPr>
                <w:rFonts w:ascii="Arial" w:cs="Arial" w:eastAsia="Arial" w:hAnsi="Arial"/>
                <w:sz w:val="18"/>
                <w:szCs w:val="18"/>
                <w:color w:val="0000FF"/>
                <w:w w:val="79"/>
              </w:rPr>
              <w:t>4</w:t>
            </w:r>
          </w:p>
        </w:tc>
        <w:tc>
          <w:tcPr>
            <w:tcW w:w="340" w:type="dxa"/>
            <w:vAlign w:val="bottom"/>
          </w:tcPr>
          <w:p>
            <w:pPr>
              <w:spacing w:after="0"/>
              <w:rPr>
                <w:sz w:val="19"/>
                <w:szCs w:val="19"/>
                <w:color w:val="auto"/>
              </w:rPr>
            </w:pPr>
          </w:p>
        </w:tc>
      </w:tr>
      <w:tr>
        <w:trPr>
          <w:trHeight w:val="155"/>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200" w:type="dxa"/>
            <w:vAlign w:val="bottom"/>
            <w:tcBorders>
              <w:top w:val="single" w:sz="8" w:color="0000FF"/>
            </w:tcBorders>
            <w:gridSpan w:val="13"/>
          </w:tcPr>
          <w:p>
            <w:pPr>
              <w:spacing w:after="0" w:line="156" w:lineRule="exact"/>
              <w:rPr>
                <w:sz w:val="20"/>
                <w:szCs w:val="20"/>
                <w:color w:val="auto"/>
              </w:rPr>
            </w:pPr>
            <w:r>
              <w:rPr>
                <w:rFonts w:ascii="Arial" w:cs="Arial" w:eastAsia="Arial" w:hAnsi="Arial"/>
                <w:sz w:val="18"/>
                <w:szCs w:val="18"/>
                <w:color w:val="0000FF"/>
              </w:rPr>
              <w:t>June 30, 2023</w:t>
            </w:r>
          </w:p>
        </w:tc>
        <w:tc>
          <w:tcPr>
            <w:tcW w:w="46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4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20" w:type="dxa"/>
            <w:vAlign w:val="bottom"/>
            <w:gridSpan w:val="11"/>
          </w:tcPr>
          <w:p>
            <w:pPr>
              <w:spacing w:after="0"/>
              <w:rPr>
                <w:sz w:val="20"/>
                <w:szCs w:val="20"/>
                <w:color w:val="auto"/>
              </w:rPr>
            </w:pPr>
            <w:r>
              <w:rPr>
                <w:rFonts w:ascii="Arial" w:cs="Arial" w:eastAsia="Arial" w:hAnsi="Arial"/>
                <w:sz w:val="18"/>
                <w:szCs w:val="18"/>
                <w:color w:val="0000FF"/>
                <w:w w:val="89"/>
              </w:rPr>
              <w:t>Unaudited Condensed Consolidated Statements of Cash Flows for the Six Months Ended June 30, 2022 and June 30, 2023</w:t>
            </w:r>
          </w:p>
        </w:tc>
        <w:tc>
          <w:tcPr>
            <w:tcW w:w="380" w:type="dxa"/>
            <w:vAlign w:val="bottom"/>
            <w:gridSpan w:val="2"/>
          </w:tcPr>
          <w:p>
            <w:pPr>
              <w:spacing w:after="0"/>
              <w:rPr>
                <w:sz w:val="18"/>
                <w:szCs w:val="18"/>
                <w:color w:val="auto"/>
              </w:rPr>
            </w:pPr>
          </w:p>
        </w:tc>
        <w:tc>
          <w:tcPr>
            <w:tcW w:w="540" w:type="dxa"/>
            <w:vAlign w:val="bottom"/>
            <w:gridSpan w:val="2"/>
          </w:tcPr>
          <w:p>
            <w:pPr>
              <w:jc w:val="center"/>
              <w:ind w:left="370"/>
              <w:spacing w:after="0"/>
              <w:rPr>
                <w:sz w:val="20"/>
                <w:szCs w:val="20"/>
                <w:color w:val="auto"/>
              </w:rPr>
            </w:pPr>
            <w:r>
              <w:rPr>
                <w:rFonts w:ascii="Arial" w:cs="Arial" w:eastAsia="Arial" w:hAnsi="Arial"/>
                <w:sz w:val="18"/>
                <w:szCs w:val="18"/>
                <w:color w:val="0000FF"/>
                <w:w w:val="79"/>
              </w:rPr>
              <w:t>5</w:t>
            </w:r>
          </w:p>
        </w:tc>
        <w:tc>
          <w:tcPr>
            <w:tcW w:w="3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0" w:type="dxa"/>
            <w:vAlign w:val="bottom"/>
            <w:gridSpan w:val="13"/>
          </w:tcPr>
          <w:p>
            <w:pPr>
              <w:spacing w:after="0"/>
              <w:rPr>
                <w:sz w:val="20"/>
                <w:szCs w:val="20"/>
                <w:color w:val="auto"/>
              </w:rPr>
            </w:pPr>
            <w:r>
              <w:rPr>
                <w:rFonts w:ascii="Arial" w:cs="Arial" w:eastAsia="Arial" w:hAnsi="Arial"/>
                <w:sz w:val="18"/>
                <w:szCs w:val="18"/>
                <w:color w:val="0000FF"/>
                <w:w w:val="89"/>
              </w:rPr>
              <w:t>Unaudited Condensed Consolidated Statements of Stockholders' Equity for the Three and Six Months Ended June 30, 2022 and</w:t>
            </w:r>
          </w:p>
        </w:tc>
        <w:tc>
          <w:tcPr>
            <w:tcW w:w="540" w:type="dxa"/>
            <w:vAlign w:val="bottom"/>
            <w:gridSpan w:val="2"/>
          </w:tcPr>
          <w:p>
            <w:pPr>
              <w:jc w:val="center"/>
              <w:ind w:left="370"/>
              <w:spacing w:after="0"/>
              <w:rPr>
                <w:sz w:val="20"/>
                <w:szCs w:val="20"/>
                <w:color w:val="auto"/>
              </w:rPr>
            </w:pPr>
            <w:r>
              <w:rPr>
                <w:rFonts w:ascii="Arial" w:cs="Arial" w:eastAsia="Arial" w:hAnsi="Arial"/>
                <w:sz w:val="18"/>
                <w:szCs w:val="18"/>
                <w:color w:val="0000FF"/>
                <w:w w:val="79"/>
              </w:rPr>
              <w:t>7</w:t>
            </w:r>
          </w:p>
        </w:tc>
        <w:tc>
          <w:tcPr>
            <w:tcW w:w="340" w:type="dxa"/>
            <w:vAlign w:val="bottom"/>
          </w:tcPr>
          <w:p>
            <w:pPr>
              <w:spacing w:after="0"/>
              <w:rPr>
                <w:sz w:val="19"/>
                <w:szCs w:val="19"/>
                <w:color w:val="auto"/>
              </w:rPr>
            </w:pPr>
          </w:p>
        </w:tc>
      </w:tr>
      <w:tr>
        <w:trPr>
          <w:trHeight w:val="155"/>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180" w:type="dxa"/>
            <w:vAlign w:val="bottom"/>
            <w:tcBorders>
              <w:top w:val="single" w:sz="8" w:color="0000FF"/>
            </w:tcBorders>
            <w:gridSpan w:val="12"/>
          </w:tcPr>
          <w:p>
            <w:pPr>
              <w:spacing w:after="0" w:line="156" w:lineRule="exact"/>
              <w:rPr>
                <w:sz w:val="20"/>
                <w:szCs w:val="20"/>
                <w:color w:val="auto"/>
              </w:rPr>
            </w:pPr>
            <w:r>
              <w:rPr>
                <w:rFonts w:ascii="Arial" w:cs="Arial" w:eastAsia="Arial" w:hAnsi="Arial"/>
                <w:sz w:val="18"/>
                <w:szCs w:val="18"/>
                <w:color w:val="0000FF"/>
              </w:rPr>
              <w:t>June 30, 2023</w:t>
            </w: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4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60" w:type="dxa"/>
            <w:vAlign w:val="bottom"/>
            <w:gridSpan w:val="8"/>
          </w:tcPr>
          <w:p>
            <w:pPr>
              <w:spacing w:after="0"/>
              <w:rPr>
                <w:sz w:val="20"/>
                <w:szCs w:val="20"/>
                <w:color w:val="auto"/>
              </w:rPr>
            </w:pPr>
            <w:r>
              <w:rPr>
                <w:rFonts w:ascii="Arial" w:cs="Arial" w:eastAsia="Arial" w:hAnsi="Arial"/>
                <w:sz w:val="18"/>
                <w:szCs w:val="18"/>
                <w:color w:val="0000FF"/>
                <w:w w:val="89"/>
              </w:rPr>
              <w:t>Notes to the Unaudited Condensed Consolidated Financial Statements</w:t>
            </w:r>
          </w:p>
        </w:tc>
        <w:tc>
          <w:tcPr>
            <w:tcW w:w="4140" w:type="dxa"/>
            <w:vAlign w:val="bottom"/>
            <w:gridSpan w:val="5"/>
          </w:tcPr>
          <w:p>
            <w:pPr>
              <w:spacing w:after="0"/>
              <w:rPr>
                <w:sz w:val="18"/>
                <w:szCs w:val="18"/>
                <w:color w:val="auto"/>
              </w:rPr>
            </w:pPr>
          </w:p>
        </w:tc>
        <w:tc>
          <w:tcPr>
            <w:tcW w:w="540" w:type="dxa"/>
            <w:vAlign w:val="bottom"/>
            <w:gridSpan w:val="2"/>
          </w:tcPr>
          <w:p>
            <w:pPr>
              <w:jc w:val="center"/>
              <w:ind w:left="370"/>
              <w:spacing w:after="0"/>
              <w:rPr>
                <w:sz w:val="20"/>
                <w:szCs w:val="20"/>
                <w:color w:val="auto"/>
              </w:rPr>
            </w:pPr>
            <w:r>
              <w:rPr>
                <w:rFonts w:ascii="Arial" w:cs="Arial" w:eastAsia="Arial" w:hAnsi="Arial"/>
                <w:sz w:val="18"/>
                <w:szCs w:val="18"/>
                <w:color w:val="0000FF"/>
                <w:w w:val="79"/>
              </w:rPr>
              <w:t>9</w:t>
            </w:r>
          </w:p>
        </w:tc>
        <w:tc>
          <w:tcPr>
            <w:tcW w:w="3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200" w:type="dxa"/>
            <w:vAlign w:val="bottom"/>
            <w:gridSpan w:val="13"/>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540" w:type="dxa"/>
            <w:vAlign w:val="bottom"/>
            <w:gridSpan w:val="2"/>
          </w:tcPr>
          <w:p>
            <w:pPr>
              <w:jc w:val="center"/>
              <w:ind w:left="270"/>
              <w:spacing w:after="0"/>
              <w:rPr>
                <w:sz w:val="20"/>
                <w:szCs w:val="20"/>
                <w:color w:val="auto"/>
              </w:rPr>
            </w:pPr>
            <w:r>
              <w:rPr>
                <w:rFonts w:ascii="Arial" w:cs="Arial" w:eastAsia="Arial" w:hAnsi="Arial"/>
                <w:sz w:val="18"/>
                <w:szCs w:val="18"/>
                <w:color w:val="0000FF"/>
                <w:w w:val="89"/>
              </w:rPr>
              <w:t>29</w:t>
            </w:r>
          </w:p>
        </w:tc>
        <w:tc>
          <w:tcPr>
            <w:tcW w:w="3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6420" w:type="dxa"/>
            <w:vAlign w:val="bottom"/>
            <w:gridSpan w:val="9"/>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2780" w:type="dxa"/>
            <w:vAlign w:val="bottom"/>
            <w:gridSpan w:val="4"/>
          </w:tcPr>
          <w:p>
            <w:pPr>
              <w:spacing w:after="0"/>
              <w:rPr>
                <w:sz w:val="18"/>
                <w:szCs w:val="18"/>
                <w:color w:val="auto"/>
              </w:rPr>
            </w:pPr>
          </w:p>
        </w:tc>
        <w:tc>
          <w:tcPr>
            <w:tcW w:w="540" w:type="dxa"/>
            <w:vAlign w:val="bottom"/>
            <w:gridSpan w:val="2"/>
          </w:tcPr>
          <w:p>
            <w:pPr>
              <w:jc w:val="center"/>
              <w:ind w:left="270"/>
              <w:spacing w:after="0"/>
              <w:rPr>
                <w:sz w:val="20"/>
                <w:szCs w:val="20"/>
                <w:color w:val="auto"/>
              </w:rPr>
            </w:pPr>
            <w:r>
              <w:rPr>
                <w:rFonts w:ascii="Arial" w:cs="Arial" w:eastAsia="Arial" w:hAnsi="Arial"/>
                <w:sz w:val="18"/>
                <w:szCs w:val="18"/>
                <w:color w:val="0000FF"/>
                <w:w w:val="89"/>
              </w:rPr>
              <w:t>53</w:t>
            </w:r>
          </w:p>
        </w:tc>
        <w:tc>
          <w:tcPr>
            <w:tcW w:w="3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4860" w:type="dxa"/>
            <w:vAlign w:val="bottom"/>
            <w:gridSpan w:val="6"/>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340" w:type="dxa"/>
            <w:vAlign w:val="bottom"/>
            <w:gridSpan w:val="7"/>
          </w:tcPr>
          <w:p>
            <w:pPr>
              <w:spacing w:after="0"/>
              <w:rPr>
                <w:sz w:val="20"/>
                <w:szCs w:val="20"/>
                <w:color w:val="auto"/>
              </w:rPr>
            </w:pPr>
            <w:r>
              <w:rPr>
                <w:rFonts w:ascii="Arial" w:cs="Arial" w:eastAsia="Arial" w:hAnsi="Arial"/>
                <w:sz w:val="18"/>
                <w:szCs w:val="18"/>
                <w:color w:val="0000FF"/>
              </w:rPr>
              <w:t>Controls and Procedures</w:t>
            </w:r>
          </w:p>
        </w:tc>
        <w:tc>
          <w:tcPr>
            <w:tcW w:w="4860" w:type="dxa"/>
            <w:vAlign w:val="bottom"/>
            <w:gridSpan w:val="6"/>
          </w:tcPr>
          <w:p>
            <w:pPr>
              <w:spacing w:after="0"/>
              <w:rPr>
                <w:sz w:val="18"/>
                <w:szCs w:val="18"/>
                <w:color w:val="auto"/>
              </w:rPr>
            </w:pPr>
          </w:p>
        </w:tc>
        <w:tc>
          <w:tcPr>
            <w:tcW w:w="540" w:type="dxa"/>
            <w:vAlign w:val="bottom"/>
            <w:gridSpan w:val="2"/>
          </w:tcPr>
          <w:p>
            <w:pPr>
              <w:jc w:val="center"/>
              <w:ind w:left="270"/>
              <w:spacing w:after="0"/>
              <w:rPr>
                <w:sz w:val="20"/>
                <w:szCs w:val="20"/>
                <w:color w:val="auto"/>
              </w:rPr>
            </w:pPr>
            <w:r>
              <w:rPr>
                <w:rFonts w:ascii="Arial" w:cs="Arial" w:eastAsia="Arial" w:hAnsi="Arial"/>
                <w:sz w:val="18"/>
                <w:szCs w:val="18"/>
                <w:color w:val="0000FF"/>
                <w:w w:val="89"/>
              </w:rPr>
              <w:t>54</w:t>
            </w:r>
          </w:p>
        </w:tc>
        <w:tc>
          <w:tcPr>
            <w:tcW w:w="3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860" w:type="dxa"/>
            <w:vAlign w:val="bottom"/>
            <w:gridSpan w:val="6"/>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r>
      <w:tr>
        <w:trPr>
          <w:trHeight w:val="492"/>
        </w:trPr>
        <w:tc>
          <w:tcPr>
            <w:tcW w:w="20" w:type="dxa"/>
            <w:vAlign w:val="bottom"/>
          </w:tcPr>
          <w:p>
            <w:pPr>
              <w:spacing w:after="0"/>
              <w:rPr>
                <w:sz w:val="24"/>
                <w:szCs w:val="24"/>
                <w:color w:val="auto"/>
              </w:rPr>
            </w:pPr>
          </w:p>
        </w:tc>
        <w:tc>
          <w:tcPr>
            <w:tcW w:w="10340" w:type="dxa"/>
            <w:vAlign w:val="bottom"/>
            <w:gridSpan w:val="15"/>
          </w:tcPr>
          <w:p>
            <w:pPr>
              <w:spacing w:after="0"/>
              <w:rPr>
                <w:sz w:val="20"/>
                <w:szCs w:val="20"/>
                <w:color w:val="auto"/>
              </w:rPr>
            </w:pPr>
            <w:r>
              <w:rPr>
                <w:rFonts w:ascii="Arial" w:cs="Arial" w:eastAsia="Arial" w:hAnsi="Arial"/>
                <w:sz w:val="18"/>
                <w:szCs w:val="18"/>
                <w:b w:val="1"/>
                <w:bCs w:val="1"/>
                <w:color w:val="auto"/>
              </w:rPr>
              <w:t>Part II - Other Information</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90"/>
        </w:trPr>
        <w:tc>
          <w:tcPr>
            <w:tcW w:w="20" w:type="dxa"/>
            <w:vAlign w:val="bottom"/>
          </w:tcPr>
          <w:p>
            <w:pPr>
              <w:spacing w:after="0"/>
              <w:rPr>
                <w:sz w:val="16"/>
                <w:szCs w:val="16"/>
                <w:color w:val="auto"/>
              </w:rPr>
            </w:pPr>
          </w:p>
        </w:tc>
        <w:tc>
          <w:tcPr>
            <w:tcW w:w="1140" w:type="dxa"/>
            <w:vAlign w:val="bottom"/>
            <w:gridSpan w:val="2"/>
          </w:tcPr>
          <w:p>
            <w:pPr>
              <w:spacing w:after="0" w:line="190" w:lineRule="exact"/>
              <w:rPr>
                <w:sz w:val="20"/>
                <w:szCs w:val="20"/>
                <w:color w:val="auto"/>
              </w:rPr>
            </w:pPr>
            <w:r>
              <w:rPr>
                <w:rFonts w:ascii="Arial" w:cs="Arial" w:eastAsia="Arial" w:hAnsi="Arial"/>
                <w:sz w:val="18"/>
                <w:szCs w:val="18"/>
                <w:color w:val="auto"/>
              </w:rPr>
              <w:t>Item 1.</w:t>
            </w:r>
          </w:p>
        </w:tc>
        <w:tc>
          <w:tcPr>
            <w:tcW w:w="1320" w:type="dxa"/>
            <w:vAlign w:val="bottom"/>
            <w:gridSpan w:val="4"/>
          </w:tcPr>
          <w:p>
            <w:pPr>
              <w:spacing w:after="0" w:line="190" w:lineRule="exact"/>
              <w:rPr>
                <w:sz w:val="20"/>
                <w:szCs w:val="20"/>
                <w:color w:val="auto"/>
              </w:rPr>
            </w:pPr>
            <w:r>
              <w:rPr>
                <w:rFonts w:ascii="Arial" w:cs="Arial" w:eastAsia="Arial" w:hAnsi="Arial"/>
                <w:sz w:val="18"/>
                <w:szCs w:val="18"/>
                <w:color w:val="0000FF"/>
                <w:w w:val="85"/>
              </w:rPr>
              <w:t>Legal Proceedings</w:t>
            </w:r>
          </w:p>
        </w:tc>
        <w:tc>
          <w:tcPr>
            <w:tcW w:w="7880" w:type="dxa"/>
            <w:vAlign w:val="bottom"/>
            <w:gridSpan w:val="9"/>
          </w:tcPr>
          <w:p>
            <w:pPr>
              <w:spacing w:after="0"/>
              <w:rPr>
                <w:sz w:val="16"/>
                <w:szCs w:val="16"/>
                <w:color w:val="auto"/>
              </w:rPr>
            </w:pPr>
          </w:p>
        </w:tc>
        <w:tc>
          <w:tcPr>
            <w:tcW w:w="540" w:type="dxa"/>
            <w:vAlign w:val="bottom"/>
            <w:gridSpan w:val="2"/>
          </w:tcPr>
          <w:p>
            <w:pPr>
              <w:jc w:val="center"/>
              <w:ind w:left="270"/>
              <w:spacing w:after="0" w:line="190" w:lineRule="exact"/>
              <w:rPr>
                <w:sz w:val="20"/>
                <w:szCs w:val="20"/>
                <w:color w:val="auto"/>
              </w:rPr>
            </w:pPr>
            <w:r>
              <w:rPr>
                <w:rFonts w:ascii="Arial" w:cs="Arial" w:eastAsia="Arial" w:hAnsi="Arial"/>
                <w:sz w:val="18"/>
                <w:szCs w:val="18"/>
                <w:color w:val="0000FF"/>
                <w:w w:val="89"/>
              </w:rPr>
              <w:t>55</w:t>
            </w:r>
          </w:p>
        </w:tc>
        <w:tc>
          <w:tcPr>
            <w:tcW w:w="3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320" w:type="dxa"/>
            <w:vAlign w:val="bottom"/>
            <w:gridSpan w:val="4"/>
          </w:tcPr>
          <w:p>
            <w:pPr>
              <w:spacing w:after="0"/>
              <w:rPr>
                <w:sz w:val="20"/>
                <w:szCs w:val="20"/>
                <w:color w:val="auto"/>
              </w:rPr>
            </w:pPr>
            <w:r>
              <w:rPr>
                <w:rFonts w:ascii="Arial" w:cs="Arial" w:eastAsia="Arial" w:hAnsi="Arial"/>
                <w:sz w:val="18"/>
                <w:szCs w:val="18"/>
                <w:color w:val="0000FF"/>
              </w:rPr>
              <w:t>Risk Factors</w:t>
            </w:r>
          </w:p>
        </w:tc>
        <w:tc>
          <w:tcPr>
            <w:tcW w:w="7880" w:type="dxa"/>
            <w:vAlign w:val="bottom"/>
            <w:gridSpan w:val="9"/>
          </w:tcPr>
          <w:p>
            <w:pPr>
              <w:spacing w:after="0"/>
              <w:rPr>
                <w:sz w:val="19"/>
                <w:szCs w:val="19"/>
                <w:color w:val="auto"/>
              </w:rPr>
            </w:pPr>
          </w:p>
        </w:tc>
        <w:tc>
          <w:tcPr>
            <w:tcW w:w="540" w:type="dxa"/>
            <w:vAlign w:val="bottom"/>
            <w:gridSpan w:val="2"/>
          </w:tcPr>
          <w:p>
            <w:pPr>
              <w:jc w:val="center"/>
              <w:ind w:left="270"/>
              <w:spacing w:after="0"/>
              <w:rPr>
                <w:sz w:val="20"/>
                <w:szCs w:val="20"/>
                <w:color w:val="auto"/>
              </w:rPr>
            </w:pPr>
            <w:r>
              <w:rPr>
                <w:rFonts w:ascii="Arial" w:cs="Arial" w:eastAsia="Arial" w:hAnsi="Arial"/>
                <w:sz w:val="18"/>
                <w:szCs w:val="18"/>
                <w:color w:val="0000FF"/>
                <w:w w:val="89"/>
              </w:rPr>
              <w:t>55</w:t>
            </w:r>
          </w:p>
        </w:tc>
        <w:tc>
          <w:tcPr>
            <w:tcW w:w="3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860" w:type="dxa"/>
            <w:vAlign w:val="bottom"/>
            <w:gridSpan w:val="6"/>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200" w:type="dxa"/>
            <w:vAlign w:val="bottom"/>
            <w:gridSpan w:val="13"/>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540" w:type="dxa"/>
            <w:vAlign w:val="bottom"/>
            <w:gridSpan w:val="2"/>
          </w:tcPr>
          <w:p>
            <w:pPr>
              <w:jc w:val="center"/>
              <w:ind w:left="270"/>
              <w:spacing w:after="0"/>
              <w:rPr>
                <w:sz w:val="20"/>
                <w:szCs w:val="20"/>
                <w:color w:val="auto"/>
              </w:rPr>
            </w:pPr>
            <w:r>
              <w:rPr>
                <w:rFonts w:ascii="Arial" w:cs="Arial" w:eastAsia="Arial" w:hAnsi="Arial"/>
                <w:sz w:val="18"/>
                <w:szCs w:val="18"/>
                <w:color w:val="0000FF"/>
                <w:w w:val="89"/>
              </w:rPr>
              <w:t>55</w:t>
            </w:r>
          </w:p>
        </w:tc>
        <w:tc>
          <w:tcPr>
            <w:tcW w:w="3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40" w:type="dxa"/>
            <w:vAlign w:val="bottom"/>
            <w:gridSpan w:val="7"/>
          </w:tcPr>
          <w:p>
            <w:pPr>
              <w:spacing w:after="0"/>
              <w:rPr>
                <w:sz w:val="20"/>
                <w:szCs w:val="20"/>
                <w:color w:val="auto"/>
              </w:rPr>
            </w:pPr>
            <w:r>
              <w:rPr>
                <w:rFonts w:ascii="Arial" w:cs="Arial" w:eastAsia="Arial" w:hAnsi="Arial"/>
                <w:sz w:val="18"/>
                <w:szCs w:val="18"/>
                <w:color w:val="0000FF"/>
              </w:rPr>
              <w:t>Defaults Upon Senior Securities</w:t>
            </w:r>
          </w:p>
        </w:tc>
        <w:tc>
          <w:tcPr>
            <w:tcW w:w="4860" w:type="dxa"/>
            <w:vAlign w:val="bottom"/>
            <w:gridSpan w:val="6"/>
          </w:tcPr>
          <w:p>
            <w:pPr>
              <w:spacing w:after="0"/>
              <w:rPr>
                <w:sz w:val="18"/>
                <w:szCs w:val="18"/>
                <w:color w:val="auto"/>
              </w:rPr>
            </w:pPr>
          </w:p>
        </w:tc>
        <w:tc>
          <w:tcPr>
            <w:tcW w:w="540" w:type="dxa"/>
            <w:vAlign w:val="bottom"/>
            <w:gridSpan w:val="2"/>
          </w:tcPr>
          <w:p>
            <w:pPr>
              <w:jc w:val="center"/>
              <w:ind w:left="270"/>
              <w:spacing w:after="0"/>
              <w:rPr>
                <w:sz w:val="20"/>
                <w:szCs w:val="20"/>
                <w:color w:val="auto"/>
              </w:rPr>
            </w:pPr>
            <w:r>
              <w:rPr>
                <w:rFonts w:ascii="Arial" w:cs="Arial" w:eastAsia="Arial" w:hAnsi="Arial"/>
                <w:sz w:val="18"/>
                <w:szCs w:val="18"/>
                <w:color w:val="0000FF"/>
                <w:w w:val="89"/>
              </w:rPr>
              <w:t>55</w:t>
            </w:r>
          </w:p>
        </w:tc>
        <w:tc>
          <w:tcPr>
            <w:tcW w:w="3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320" w:type="dxa"/>
            <w:vAlign w:val="bottom"/>
            <w:gridSpan w:val="6"/>
          </w:tcPr>
          <w:p>
            <w:pPr>
              <w:spacing w:after="0"/>
              <w:rPr>
                <w:sz w:val="20"/>
                <w:szCs w:val="20"/>
                <w:color w:val="auto"/>
              </w:rPr>
            </w:pPr>
            <w:r>
              <w:rPr>
                <w:rFonts w:ascii="Arial" w:cs="Arial" w:eastAsia="Arial" w:hAnsi="Arial"/>
                <w:sz w:val="18"/>
                <w:szCs w:val="18"/>
                <w:color w:val="0000FF"/>
              </w:rPr>
              <w:t>Mine Safety Disclosures</w:t>
            </w:r>
          </w:p>
        </w:tc>
        <w:tc>
          <w:tcPr>
            <w:tcW w:w="6880" w:type="dxa"/>
            <w:vAlign w:val="bottom"/>
            <w:gridSpan w:val="7"/>
          </w:tcPr>
          <w:p>
            <w:pPr>
              <w:spacing w:after="0"/>
              <w:rPr>
                <w:sz w:val="19"/>
                <w:szCs w:val="19"/>
                <w:color w:val="auto"/>
              </w:rPr>
            </w:pPr>
          </w:p>
        </w:tc>
        <w:tc>
          <w:tcPr>
            <w:tcW w:w="540" w:type="dxa"/>
            <w:vAlign w:val="bottom"/>
            <w:gridSpan w:val="2"/>
          </w:tcPr>
          <w:p>
            <w:pPr>
              <w:jc w:val="center"/>
              <w:ind w:left="270"/>
              <w:spacing w:after="0"/>
              <w:rPr>
                <w:sz w:val="20"/>
                <w:szCs w:val="20"/>
                <w:color w:val="auto"/>
              </w:rPr>
            </w:pPr>
            <w:r>
              <w:rPr>
                <w:rFonts w:ascii="Arial" w:cs="Arial" w:eastAsia="Arial" w:hAnsi="Arial"/>
                <w:sz w:val="18"/>
                <w:szCs w:val="18"/>
                <w:color w:val="0000FF"/>
                <w:w w:val="89"/>
              </w:rPr>
              <w:t>55</w:t>
            </w:r>
          </w:p>
        </w:tc>
        <w:tc>
          <w:tcPr>
            <w:tcW w:w="3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320" w:type="dxa"/>
            <w:vAlign w:val="bottom"/>
            <w:gridSpan w:val="4"/>
          </w:tcPr>
          <w:p>
            <w:pPr>
              <w:spacing w:after="0"/>
              <w:rPr>
                <w:sz w:val="20"/>
                <w:szCs w:val="20"/>
                <w:color w:val="auto"/>
              </w:rPr>
            </w:pPr>
            <w:r>
              <w:rPr>
                <w:rFonts w:ascii="Arial" w:cs="Arial" w:eastAsia="Arial" w:hAnsi="Arial"/>
                <w:sz w:val="18"/>
                <w:szCs w:val="18"/>
                <w:color w:val="0000FF"/>
                <w:w w:val="91"/>
              </w:rPr>
              <w:t>Other Information</w:t>
            </w:r>
          </w:p>
        </w:tc>
        <w:tc>
          <w:tcPr>
            <w:tcW w:w="440" w:type="dxa"/>
            <w:vAlign w:val="bottom"/>
          </w:tcPr>
          <w:p>
            <w:pPr>
              <w:spacing w:after="0"/>
              <w:rPr>
                <w:sz w:val="18"/>
                <w:szCs w:val="18"/>
                <w:color w:val="auto"/>
              </w:rPr>
            </w:pPr>
          </w:p>
        </w:tc>
        <w:tc>
          <w:tcPr>
            <w:tcW w:w="7440" w:type="dxa"/>
            <w:vAlign w:val="bottom"/>
            <w:gridSpan w:val="8"/>
          </w:tcPr>
          <w:p>
            <w:pPr>
              <w:spacing w:after="0"/>
              <w:rPr>
                <w:sz w:val="18"/>
                <w:szCs w:val="18"/>
                <w:color w:val="auto"/>
              </w:rPr>
            </w:pPr>
          </w:p>
        </w:tc>
        <w:tc>
          <w:tcPr>
            <w:tcW w:w="540" w:type="dxa"/>
            <w:vAlign w:val="bottom"/>
            <w:gridSpan w:val="2"/>
          </w:tcPr>
          <w:p>
            <w:pPr>
              <w:jc w:val="center"/>
              <w:ind w:left="270"/>
              <w:spacing w:after="0"/>
              <w:rPr>
                <w:sz w:val="20"/>
                <w:szCs w:val="20"/>
                <w:color w:val="auto"/>
              </w:rPr>
            </w:pPr>
            <w:r>
              <w:rPr>
                <w:rFonts w:ascii="Arial" w:cs="Arial" w:eastAsia="Arial" w:hAnsi="Arial"/>
                <w:sz w:val="18"/>
                <w:szCs w:val="18"/>
                <w:color w:val="0000FF"/>
                <w:w w:val="89"/>
              </w:rPr>
              <w:t>56</w:t>
            </w:r>
          </w:p>
        </w:tc>
        <w:tc>
          <w:tcPr>
            <w:tcW w:w="3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7880" w:type="dxa"/>
            <w:vAlign w:val="bottom"/>
            <w:gridSpan w:val="9"/>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600" w:type="dxa"/>
            <w:vAlign w:val="bottom"/>
          </w:tcPr>
          <w:p>
            <w:pPr>
              <w:spacing w:after="0"/>
              <w:rPr>
                <w:sz w:val="20"/>
                <w:szCs w:val="20"/>
                <w:color w:val="auto"/>
              </w:rPr>
            </w:pPr>
            <w:r>
              <w:rPr>
                <w:rFonts w:ascii="Arial" w:cs="Arial" w:eastAsia="Arial" w:hAnsi="Arial"/>
                <w:sz w:val="18"/>
                <w:szCs w:val="18"/>
                <w:color w:val="0000FF"/>
                <w:w w:val="91"/>
              </w:rPr>
              <w:t>Exhibits</w:t>
            </w:r>
          </w:p>
        </w:tc>
        <w:tc>
          <w:tcPr>
            <w:tcW w:w="720" w:type="dxa"/>
            <w:vAlign w:val="bottom"/>
            <w:gridSpan w:val="3"/>
          </w:tcPr>
          <w:p>
            <w:pPr>
              <w:spacing w:after="0"/>
              <w:rPr>
                <w:sz w:val="18"/>
                <w:szCs w:val="18"/>
                <w:color w:val="auto"/>
              </w:rPr>
            </w:pPr>
          </w:p>
        </w:tc>
        <w:tc>
          <w:tcPr>
            <w:tcW w:w="7880" w:type="dxa"/>
            <w:vAlign w:val="bottom"/>
            <w:gridSpan w:val="9"/>
          </w:tcPr>
          <w:p>
            <w:pPr>
              <w:spacing w:after="0"/>
              <w:rPr>
                <w:sz w:val="18"/>
                <w:szCs w:val="18"/>
                <w:color w:val="auto"/>
              </w:rPr>
            </w:pPr>
          </w:p>
        </w:tc>
        <w:tc>
          <w:tcPr>
            <w:tcW w:w="540" w:type="dxa"/>
            <w:vAlign w:val="bottom"/>
            <w:gridSpan w:val="2"/>
          </w:tcPr>
          <w:p>
            <w:pPr>
              <w:jc w:val="center"/>
              <w:ind w:left="270"/>
              <w:spacing w:after="0"/>
              <w:rPr>
                <w:sz w:val="20"/>
                <w:szCs w:val="20"/>
                <w:color w:val="auto"/>
              </w:rPr>
            </w:pPr>
            <w:r>
              <w:rPr>
                <w:rFonts w:ascii="Arial" w:cs="Arial" w:eastAsia="Arial" w:hAnsi="Arial"/>
                <w:sz w:val="18"/>
                <w:szCs w:val="18"/>
                <w:color w:val="0000FF"/>
                <w:w w:val="89"/>
              </w:rPr>
              <w:t>57</w:t>
            </w:r>
          </w:p>
        </w:tc>
        <w:tc>
          <w:tcPr>
            <w:tcW w:w="3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gridSpan w:val="2"/>
          </w:tcPr>
          <w:p>
            <w:pPr>
              <w:jc w:val="center"/>
              <w:ind w:left="270"/>
              <w:spacing w:after="0"/>
              <w:rPr>
                <w:sz w:val="20"/>
                <w:szCs w:val="20"/>
                <w:color w:val="auto"/>
              </w:rPr>
            </w:pPr>
            <w:r>
              <w:rPr>
                <w:rFonts w:ascii="Arial" w:cs="Arial" w:eastAsia="Arial" w:hAnsi="Arial"/>
                <w:sz w:val="18"/>
                <w:szCs w:val="18"/>
                <w:color w:val="0000FF"/>
                <w:w w:val="89"/>
              </w:rPr>
              <w:t>58</w:t>
            </w:r>
          </w:p>
        </w:tc>
        <w:tc>
          <w:tcPr>
            <w:tcW w:w="340" w:type="dxa"/>
            <w:vAlign w:val="bottom"/>
          </w:tcPr>
          <w:p>
            <w:pPr>
              <w:spacing w:after="0"/>
              <w:rPr>
                <w:sz w:val="24"/>
                <w:szCs w:val="24"/>
                <w:color w:val="auto"/>
              </w:rPr>
            </w:pPr>
          </w:p>
        </w:tc>
      </w:tr>
      <w:tr>
        <w:trPr>
          <w:trHeight w:val="1040"/>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56"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i w:val="1"/>
          <w:iCs w:val="1"/>
          <w:color w:val="auto"/>
        </w:rPr>
        <w:t>This Quarterly Report on Form 10-Q for the quarterly period ended June 30, 2023 (this "Quarterly Report") contains certain information that may constitute "forward-looking statements" within the meaning of the U.S. Private Securities Litigation Reform Act of 1995. While we have specifically identified certain information as being forward-looking in the context of its presentation, we caution you that all statements contained in this report that are not clearly historical in nature, including statements regarding anticipated financial performance, management's plans and objectives for future operations, business prospects, market conditions, and other matters are forward-looking. Forward-looking statements are contained principally in the sections of this report entitled "Risk Factors," and "Management's Discussion and Analysis of Financial Condition and Results of Operations." Without limiting the generality of the preceding sentence, any time we use the words "expects," "intends," "will," "anticipates," "believes," "confident," "continue," "propose," "seeks," "could," "may," "should," "estimates," "forecasts," "might," "goals," "objectives," "targets," "planned," "projects," and similar expressions, we intend to clearly express that the information deals with possible future events and is forward-looking in nature. However, the absence of these words or similar expressions does not mean that a statement is not forward-looking.</w:t>
      </w:r>
    </w:p>
    <w:p>
      <w:pPr>
        <w:spacing w:after="0" w:line="212" w:lineRule="exact"/>
        <w:rPr>
          <w:sz w:val="20"/>
          <w:szCs w:val="20"/>
          <w:color w:val="auto"/>
        </w:rPr>
      </w:pPr>
    </w:p>
    <w:p>
      <w:pPr>
        <w:ind w:right="20" w:firstLine="486"/>
        <w:spacing w:after="0" w:line="259" w:lineRule="auto"/>
        <w:rPr>
          <w:sz w:val="20"/>
          <w:szCs w:val="20"/>
          <w:color w:val="auto"/>
        </w:rPr>
      </w:pPr>
      <w:r>
        <w:rPr>
          <w:rFonts w:ascii="Arial" w:cs="Arial" w:eastAsia="Arial" w:hAnsi="Arial"/>
          <w:sz w:val="17"/>
          <w:szCs w:val="17"/>
          <w:i w:val="1"/>
          <w:iCs w:val="1"/>
          <w:color w:val="auto"/>
        </w:rPr>
        <w:t>Forward-looking information involves risks, uncertainties, and other factors that could cause actual results to differ materially from those expressed or implied in, or reasonably inferred from, such statements, and the risks and uncertainties disclosed or referenced under the heading "Risk Factors" in our Annual Report on Form 10-K for the year ended December 31, 2022. Therefore, caution should be taken not to place undue reliance on any such forward-looking statements. Much of the information in this report that looks toward future performance of the company is based on various factors and important assumptions about future events that may or may not actually occur. As a result, our operations and financial results in the future could differ materially and substantially from those we have discussed in the forward-looking statements included in this Quarterly Report. We assume no obligation (and specifically disclaim any such obligation) to publicly update or revise any forward-looking statements, whether as a result of new information, future events, or otherwise, except as required by law.</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TRADEMARKS, TRADE NAMES AND SERVICE MARKS</w:t>
      </w:r>
    </w:p>
    <w:p>
      <w:pPr>
        <w:spacing w:after="0" w:line="256" w:lineRule="exact"/>
        <w:rPr>
          <w:sz w:val="20"/>
          <w:szCs w:val="20"/>
          <w:color w:val="auto"/>
        </w:rPr>
      </w:pPr>
    </w:p>
    <w:p>
      <w:pPr>
        <w:ind w:right="40" w:firstLine="486"/>
        <w:spacing w:after="0" w:line="239" w:lineRule="auto"/>
        <w:rPr>
          <w:sz w:val="20"/>
          <w:szCs w:val="20"/>
          <w:color w:val="auto"/>
        </w:rPr>
      </w:pPr>
      <w:r>
        <w:rPr>
          <w:rFonts w:ascii="Arial" w:cs="Arial" w:eastAsia="Arial" w:hAnsi="Arial"/>
          <w:sz w:val="17"/>
          <w:szCs w:val="17"/>
          <w:i w:val="1"/>
          <w:iCs w:val="1"/>
          <w:color w:val="auto"/>
        </w:rPr>
        <w:t>"Rackspace," "Rackspace Technology," "Fanatical," "Fanatical Experience," "Rackspace Fabric," "Rackspace Data Freedom," "Rackspace Services for VMware Cloud</w:t>
      </w:r>
      <w:r>
        <w:rPr>
          <w:rFonts w:ascii="Arial" w:cs="Arial" w:eastAsia="Arial" w:hAnsi="Arial"/>
          <w:sz w:val="22"/>
          <w:szCs w:val="22"/>
          <w:i w:val="1"/>
          <w:iCs w:val="1"/>
          <w:color w:val="auto"/>
          <w:vertAlign w:val="superscript"/>
        </w:rPr>
        <w:t>TM</w:t>
      </w:r>
      <w:r>
        <w:rPr>
          <w:rFonts w:ascii="Arial" w:cs="Arial" w:eastAsia="Arial" w:hAnsi="Arial"/>
          <w:sz w:val="17"/>
          <w:szCs w:val="17"/>
          <w:i w:val="1"/>
          <w:iCs w:val="1"/>
          <w:color w:val="auto"/>
        </w:rPr>
        <w:t>" and "My Rackspace" are registered or unregistered trademarks of Rackspace US, Inc. in the United States and/or other countries. OpenStack</w:t>
      </w:r>
      <w:r>
        <w:rPr>
          <w:rFonts w:ascii="Arial" w:cs="Arial" w:eastAsia="Arial" w:hAnsi="Arial"/>
          <w:sz w:val="22"/>
          <w:szCs w:val="22"/>
          <w:i w:val="1"/>
          <w:iCs w:val="1"/>
          <w:color w:val="auto"/>
          <w:vertAlign w:val="superscript"/>
        </w:rPr>
        <w:t>®</w:t>
      </w:r>
      <w:r>
        <w:rPr>
          <w:rFonts w:ascii="Arial" w:cs="Arial" w:eastAsia="Arial" w:hAnsi="Arial"/>
          <w:sz w:val="17"/>
          <w:szCs w:val="17"/>
          <w:i w:val="1"/>
          <w:iCs w:val="1"/>
          <w:color w:val="auto"/>
        </w:rPr>
        <w:t xml:space="preserve"> is a registered trademark of OpenStack, LLC and OpenStack Foundation in the United States. Solely for convenience, trademarks, trade names and service marks referred to in this Quarterly Report may appear without the ® or ™ symbols, but such references are not intended to indicate, in any way, that we will not assert, to the fullest extent under applicable law, our rights or the rights of the applicable licensor to these trademarks, trade names and service marks. Other trademarks, trade names and service marks appearing in this Quarterly Report are the property of their respective holders. We do not intend our use or display of other companies' trade names, trademarks or service marks to imply a relationship with, or endorsement or sponsorship of us by, any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718185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PART I – FINANCIAL INFORMATION</w:t>
      </w:r>
    </w:p>
    <w:p>
      <w:pPr>
        <w:spacing w:after="0" w:line="104"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ITEM 1 - FINANCIAL STATEMENTS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RACKSPACE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b w:val="1"/>
                <w:bCs w:val="1"/>
                <w:color w:val="auto"/>
                <w:w w:val="96"/>
              </w:rPr>
              <w:t>December 31,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ind w:right="359"/>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210"/>
        </w:trPr>
        <w:tc>
          <w:tcPr>
            <w:tcW w:w="8200" w:type="dxa"/>
            <w:vAlign w:val="bottom"/>
          </w:tcPr>
          <w:p>
            <w:pPr>
              <w:ind w:left="20"/>
              <w:spacing w:after="0"/>
              <w:rPr>
                <w:sz w:val="20"/>
                <w:szCs w:val="20"/>
                <w:color w:val="auto"/>
              </w:rPr>
            </w:pPr>
            <w:r>
              <w:rPr>
                <w:rFonts w:ascii="Arial" w:cs="Arial" w:eastAsia="Arial" w:hAnsi="Arial"/>
                <w:sz w:val="14"/>
                <w:szCs w:val="14"/>
                <w:color w:val="auto"/>
              </w:rPr>
              <w:t>(In millions, except per share data)</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12"/>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assets: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00" w:type="dxa"/>
            <w:vAlign w:val="bottom"/>
          </w:tcPr>
          <w:p>
            <w:pPr>
              <w:ind w:left="22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228.4</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159.9</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5"/>
              </w:rPr>
              <w:t>Accounts receivable, net of allowance for credit losses and accrued customer credits of $24.6 and $22.9, respectively</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543.8</w:t>
            </w:r>
          </w:p>
        </w:tc>
        <w:tc>
          <w:tcPr>
            <w:tcW w:w="0" w:type="dxa"/>
            <w:vAlign w:val="bottom"/>
          </w:tcPr>
          <w:p>
            <w:pPr>
              <w:spacing w:after="0"/>
              <w:rPr>
                <w:sz w:val="1"/>
                <w:szCs w:val="1"/>
                <w:color w:val="auto"/>
              </w:rPr>
            </w:pPr>
          </w:p>
        </w:tc>
      </w:tr>
      <w:tr>
        <w:trPr>
          <w:trHeight w:val="213"/>
        </w:trPr>
        <w:tc>
          <w:tcPr>
            <w:tcW w:w="8200" w:type="dxa"/>
            <w:vAlign w:val="bottom"/>
          </w:tcPr>
          <w:p>
            <w:pPr>
              <w:ind w:left="220"/>
              <w:spacing w:after="0"/>
              <w:rPr>
                <w:sz w:val="20"/>
                <w:szCs w:val="20"/>
                <w:color w:val="auto"/>
              </w:rPr>
            </w:pPr>
            <w:r>
              <w:rPr>
                <w:rFonts w:ascii="Arial" w:cs="Arial" w:eastAsia="Arial" w:hAnsi="Arial"/>
                <w:sz w:val="16"/>
                <w:szCs w:val="16"/>
                <w:color w:val="auto"/>
              </w:rPr>
              <w:t>Prepaid expenses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97.3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90.0</w:t>
            </w:r>
          </w:p>
        </w:tc>
        <w:tc>
          <w:tcPr>
            <w:tcW w:w="0" w:type="dxa"/>
            <w:vAlign w:val="bottom"/>
          </w:tcPr>
          <w:p>
            <w:pPr>
              <w:spacing w:after="0"/>
              <w:rPr>
                <w:sz w:val="1"/>
                <w:szCs w:val="1"/>
                <w:color w:val="auto"/>
              </w:rPr>
            </w:pPr>
          </w:p>
        </w:tc>
      </w:tr>
      <w:tr>
        <w:trPr>
          <w:trHeight w:val="219"/>
        </w:trPr>
        <w:tc>
          <w:tcPr>
            <w:tcW w:w="8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125.3</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119.8</w:t>
            </w:r>
          </w:p>
        </w:tc>
        <w:tc>
          <w:tcPr>
            <w:tcW w:w="0" w:type="dxa"/>
            <w:vAlign w:val="bottom"/>
          </w:tcPr>
          <w:p>
            <w:pPr>
              <w:spacing w:after="0"/>
              <w:rPr>
                <w:sz w:val="1"/>
                <w:szCs w:val="1"/>
                <w:color w:val="auto"/>
              </w:rPr>
            </w:pPr>
          </w:p>
        </w:tc>
      </w:tr>
      <w:tr>
        <w:trPr>
          <w:trHeight w:val="207"/>
        </w:trPr>
        <w:tc>
          <w:tcPr>
            <w:tcW w:w="8200" w:type="dxa"/>
            <w:vAlign w:val="bottom"/>
          </w:tcPr>
          <w:p>
            <w:pPr>
              <w:ind w:left="360"/>
              <w:spacing w:after="0"/>
              <w:rPr>
                <w:sz w:val="20"/>
                <w:szCs w:val="20"/>
                <w:color w:val="auto"/>
              </w:rPr>
            </w:pPr>
            <w:r>
              <w:rPr>
                <w:rFonts w:ascii="Arial" w:cs="Arial" w:eastAsia="Arial" w:hAnsi="Arial"/>
                <w:sz w:val="16"/>
                <w:szCs w:val="16"/>
                <w:color w:val="auto"/>
              </w:rPr>
              <w:t>Total current assets</w:t>
            </w: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1,073.2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913.5</w:t>
            </w:r>
          </w:p>
        </w:tc>
        <w:tc>
          <w:tcPr>
            <w:tcW w:w="0" w:type="dxa"/>
            <w:vAlign w:val="bottom"/>
          </w:tcPr>
          <w:p>
            <w:pPr>
              <w:spacing w:after="0"/>
              <w:rPr>
                <w:sz w:val="1"/>
                <w:szCs w:val="1"/>
                <w:color w:val="auto"/>
              </w:rPr>
            </w:pPr>
          </w:p>
        </w:tc>
      </w:tr>
      <w:tr>
        <w:trPr>
          <w:trHeight w:val="152"/>
        </w:trPr>
        <w:tc>
          <w:tcPr>
            <w:tcW w:w="8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8200" w:type="dxa"/>
            <w:vAlign w:val="bottom"/>
          </w:tcPr>
          <w:p>
            <w:pPr>
              <w:ind w:left="140"/>
              <w:spacing w:after="0"/>
              <w:rPr>
                <w:sz w:val="20"/>
                <w:szCs w:val="20"/>
                <w:color w:val="auto"/>
              </w:rPr>
            </w:pPr>
            <w:r>
              <w:rPr>
                <w:rFonts w:ascii="Arial" w:cs="Arial" w:eastAsia="Arial" w:hAnsi="Arial"/>
                <w:sz w:val="16"/>
                <w:szCs w:val="16"/>
                <w:color w:val="auto"/>
              </w:rPr>
              <w:t>Property, equipment and software, net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628.3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641.4</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Goodwill, net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2,155.1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1,617.5</w:t>
            </w:r>
          </w:p>
        </w:tc>
        <w:tc>
          <w:tcPr>
            <w:tcW w:w="0" w:type="dxa"/>
            <w:vAlign w:val="bottom"/>
          </w:tcPr>
          <w:p>
            <w:pPr>
              <w:spacing w:after="0"/>
              <w:rPr>
                <w:sz w:val="1"/>
                <w:szCs w:val="1"/>
                <w:color w:val="auto"/>
              </w:rPr>
            </w:pPr>
          </w:p>
        </w:tc>
      </w:tr>
      <w:tr>
        <w:trPr>
          <w:trHeight w:val="213"/>
        </w:trPr>
        <w:tc>
          <w:tcPr>
            <w:tcW w:w="8200" w:type="dxa"/>
            <w:vAlign w:val="bottom"/>
          </w:tcPr>
          <w:p>
            <w:pPr>
              <w:ind w:left="140"/>
              <w:spacing w:after="0"/>
              <w:rPr>
                <w:sz w:val="20"/>
                <w:szCs w:val="20"/>
                <w:color w:val="auto"/>
              </w:rPr>
            </w:pPr>
            <w:r>
              <w:rPr>
                <w:rFonts w:ascii="Arial" w:cs="Arial" w:eastAsia="Arial" w:hAnsi="Arial"/>
                <w:sz w:val="16"/>
                <w:szCs w:val="16"/>
                <w:color w:val="auto"/>
              </w:rPr>
              <w:t>Intangible assets, net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1,236.0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1,155.0</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right-of-use assets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137.8</w:t>
            </w:r>
          </w:p>
        </w:tc>
        <w:tc>
          <w:tcPr>
            <w:tcW w:w="0" w:type="dxa"/>
            <w:vAlign w:val="bottom"/>
          </w:tcPr>
          <w:p>
            <w:pPr>
              <w:spacing w:after="0"/>
              <w:rPr>
                <w:sz w:val="1"/>
                <w:szCs w:val="1"/>
                <w:color w:val="auto"/>
              </w:rPr>
            </w:pPr>
          </w:p>
        </w:tc>
      </w:tr>
      <w:tr>
        <w:trPr>
          <w:trHeight w:val="216"/>
        </w:trPr>
        <w:tc>
          <w:tcPr>
            <w:tcW w:w="8200" w:type="dxa"/>
            <w:vAlign w:val="bottom"/>
          </w:tcPr>
          <w:p>
            <w:pPr>
              <w:ind w:left="140"/>
              <w:spacing w:after="0"/>
              <w:rPr>
                <w:sz w:val="20"/>
                <w:szCs w:val="20"/>
                <w:color w:val="auto"/>
              </w:rPr>
            </w:pPr>
            <w:r>
              <w:rPr>
                <w:rFonts w:ascii="Arial" w:cs="Arial" w:eastAsia="Arial" w:hAnsi="Arial"/>
                <w:sz w:val="16"/>
                <w:szCs w:val="16"/>
                <w:color w:val="auto"/>
              </w:rPr>
              <w:t>Other non-current assets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226.1</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199.3</w:t>
            </w:r>
          </w:p>
        </w:tc>
        <w:tc>
          <w:tcPr>
            <w:tcW w:w="0" w:type="dxa"/>
            <w:vAlign w:val="bottom"/>
          </w:tcPr>
          <w:p>
            <w:pPr>
              <w:spacing w:after="0"/>
              <w:rPr>
                <w:sz w:val="1"/>
                <w:szCs w:val="1"/>
                <w:color w:val="auto"/>
              </w:rPr>
            </w:pPr>
          </w:p>
        </w:tc>
      </w:tr>
      <w:tr>
        <w:trPr>
          <w:trHeight w:val="229"/>
        </w:trPr>
        <w:tc>
          <w:tcPr>
            <w:tcW w:w="82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5,456.7</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4,664.5</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8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00" w:type="dxa"/>
            <w:vAlign w:val="bottom"/>
          </w:tcPr>
          <w:p>
            <w:pPr>
              <w:ind w:left="140"/>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 and accrued expenses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447.3</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397.0</w:t>
            </w:r>
          </w:p>
        </w:tc>
        <w:tc>
          <w:tcPr>
            <w:tcW w:w="0" w:type="dxa"/>
            <w:vAlign w:val="bottom"/>
          </w:tcPr>
          <w:p>
            <w:pPr>
              <w:spacing w:after="0"/>
              <w:rPr>
                <w:sz w:val="1"/>
                <w:szCs w:val="1"/>
                <w:color w:val="auto"/>
              </w:rPr>
            </w:pPr>
          </w:p>
        </w:tc>
      </w:tr>
      <w:tr>
        <w:trPr>
          <w:trHeight w:val="213"/>
        </w:trPr>
        <w:tc>
          <w:tcPr>
            <w:tcW w:w="8200" w:type="dxa"/>
            <w:vAlign w:val="bottom"/>
          </w:tcPr>
          <w:p>
            <w:pPr>
              <w:ind w:left="220"/>
              <w:spacing w:after="0"/>
              <w:rPr>
                <w:sz w:val="20"/>
                <w:szCs w:val="20"/>
                <w:color w:val="auto"/>
              </w:rPr>
            </w:pPr>
            <w:r>
              <w:rPr>
                <w:rFonts w:ascii="Arial" w:cs="Arial" w:eastAsia="Arial" w:hAnsi="Arial"/>
                <w:sz w:val="16"/>
                <w:szCs w:val="16"/>
                <w:color w:val="auto"/>
              </w:rPr>
              <w:t>Accrued compensation and benefits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95.3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72.4</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revenue</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73.5</w:t>
            </w:r>
          </w:p>
        </w:tc>
        <w:tc>
          <w:tcPr>
            <w:tcW w:w="0" w:type="dxa"/>
            <w:vAlign w:val="bottom"/>
          </w:tcPr>
          <w:p>
            <w:pPr>
              <w:spacing w:after="0"/>
              <w:rPr>
                <w:sz w:val="1"/>
                <w:szCs w:val="1"/>
                <w:color w:val="auto"/>
              </w:rPr>
            </w:pPr>
          </w:p>
        </w:tc>
      </w:tr>
      <w:tr>
        <w:trPr>
          <w:trHeight w:val="213"/>
        </w:trPr>
        <w:tc>
          <w:tcPr>
            <w:tcW w:w="8200" w:type="dxa"/>
            <w:vAlign w:val="bottom"/>
          </w:tcPr>
          <w:p>
            <w:pPr>
              <w:ind w:left="220"/>
              <w:spacing w:after="0"/>
              <w:rPr>
                <w:sz w:val="20"/>
                <w:szCs w:val="20"/>
                <w:color w:val="auto"/>
              </w:rPr>
            </w:pPr>
            <w:r>
              <w:rPr>
                <w:rFonts w:ascii="Arial" w:cs="Arial" w:eastAsia="Arial" w:hAnsi="Arial"/>
                <w:sz w:val="16"/>
                <w:szCs w:val="16"/>
                <w:color w:val="auto"/>
              </w:rPr>
              <w:t>Debt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23.0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23.0</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interest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213"/>
        </w:trPr>
        <w:tc>
          <w:tcPr>
            <w:tcW w:w="8200" w:type="dxa"/>
            <w:vAlign w:val="bottom"/>
          </w:tcPr>
          <w:p>
            <w:pPr>
              <w:ind w:left="220"/>
              <w:spacing w:after="0"/>
              <w:rPr>
                <w:sz w:val="20"/>
                <w:szCs w:val="20"/>
                <w:color w:val="auto"/>
              </w:rPr>
            </w:pPr>
            <w:r>
              <w:rPr>
                <w:rFonts w:ascii="Arial" w:cs="Arial" w:eastAsia="Arial" w:hAnsi="Arial"/>
                <w:sz w:val="16"/>
                <w:szCs w:val="16"/>
                <w:color w:val="auto"/>
              </w:rPr>
              <w:t>Operating lease liabilities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67.5</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Finance lease liabilities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67.1</w:t>
            </w:r>
          </w:p>
        </w:tc>
        <w:tc>
          <w:tcPr>
            <w:tcW w:w="0" w:type="dxa"/>
            <w:vAlign w:val="bottom"/>
          </w:tcPr>
          <w:p>
            <w:pPr>
              <w:spacing w:after="0"/>
              <w:rPr>
                <w:sz w:val="1"/>
                <w:szCs w:val="1"/>
                <w:color w:val="auto"/>
              </w:rPr>
            </w:pPr>
          </w:p>
        </w:tc>
      </w:tr>
      <w:tr>
        <w:trPr>
          <w:trHeight w:val="213"/>
        </w:trPr>
        <w:tc>
          <w:tcPr>
            <w:tcW w:w="8200" w:type="dxa"/>
            <w:vAlign w:val="bottom"/>
          </w:tcPr>
          <w:p>
            <w:pPr>
              <w:ind w:left="220"/>
              <w:spacing w:after="0"/>
              <w:rPr>
                <w:sz w:val="20"/>
                <w:szCs w:val="20"/>
                <w:color w:val="auto"/>
              </w:rPr>
            </w:pPr>
            <w:r>
              <w:rPr>
                <w:rFonts w:ascii="Arial" w:cs="Arial" w:eastAsia="Arial" w:hAnsi="Arial"/>
                <w:sz w:val="16"/>
                <w:szCs w:val="16"/>
                <w:color w:val="auto"/>
              </w:rPr>
              <w:t>Financing obligations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w:t>
            </w:r>
          </w:p>
        </w:tc>
        <w:tc>
          <w:tcPr>
            <w:tcW w:w="0" w:type="dxa"/>
            <w:vAlign w:val="bottom"/>
          </w:tcPr>
          <w:p>
            <w:pPr>
              <w:spacing w:after="0"/>
              <w:rPr>
                <w:sz w:val="1"/>
                <w:szCs w:val="1"/>
                <w:color w:val="auto"/>
              </w:rPr>
            </w:pPr>
          </w:p>
        </w:tc>
      </w:tr>
      <w:tr>
        <w:trPr>
          <w:trHeight w:val="207"/>
        </w:trPr>
        <w:tc>
          <w:tcPr>
            <w:tcW w:w="8200" w:type="dxa"/>
            <w:vAlign w:val="bottom"/>
          </w:tcPr>
          <w:p>
            <w:pPr>
              <w:ind w:left="360"/>
              <w:spacing w:after="0"/>
              <w:rPr>
                <w:sz w:val="20"/>
                <w:szCs w:val="20"/>
                <w:color w:val="auto"/>
              </w:rPr>
            </w:pPr>
            <w:r>
              <w:rPr>
                <w:rFonts w:ascii="Arial" w:cs="Arial" w:eastAsia="Arial" w:hAnsi="Arial"/>
                <w:sz w:val="16"/>
                <w:szCs w:val="16"/>
                <w:color w:val="auto"/>
              </w:rPr>
              <w:t>Total current liabilities</w:t>
            </w: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856.5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776.3</w:t>
            </w:r>
          </w:p>
        </w:tc>
        <w:tc>
          <w:tcPr>
            <w:tcW w:w="0" w:type="dxa"/>
            <w:vAlign w:val="bottom"/>
          </w:tcPr>
          <w:p>
            <w:pPr>
              <w:spacing w:after="0"/>
              <w:rPr>
                <w:sz w:val="1"/>
                <w:szCs w:val="1"/>
                <w:color w:val="auto"/>
              </w:rPr>
            </w:pPr>
          </w:p>
        </w:tc>
      </w:tr>
      <w:tr>
        <w:trPr>
          <w:trHeight w:val="138"/>
        </w:trPr>
        <w:tc>
          <w:tcPr>
            <w:tcW w:w="8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8200" w:type="dxa"/>
            <w:vAlign w:val="bottom"/>
          </w:tcPr>
          <w:p>
            <w:pPr>
              <w:ind w:left="140"/>
              <w:spacing w:after="0"/>
              <w:rPr>
                <w:sz w:val="20"/>
                <w:szCs w:val="20"/>
                <w:color w:val="auto"/>
              </w:rPr>
            </w:pPr>
            <w:r>
              <w:rPr>
                <w:rFonts w:ascii="Arial" w:cs="Arial" w:eastAsia="Arial" w:hAnsi="Arial"/>
                <w:sz w:val="16"/>
                <w:szCs w:val="16"/>
                <w:color w:val="auto"/>
              </w:rPr>
              <w:t>Non-current liabilities: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Debt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3,295.4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3,174.4</w:t>
            </w:r>
          </w:p>
        </w:tc>
        <w:tc>
          <w:tcPr>
            <w:tcW w:w="0" w:type="dxa"/>
            <w:vAlign w:val="bottom"/>
          </w:tcPr>
          <w:p>
            <w:pPr>
              <w:spacing w:after="0"/>
              <w:rPr>
                <w:sz w:val="1"/>
                <w:szCs w:val="1"/>
                <w:color w:val="auto"/>
              </w:rPr>
            </w:pPr>
          </w:p>
        </w:tc>
      </w:tr>
      <w:tr>
        <w:trPr>
          <w:trHeight w:val="213"/>
        </w:trPr>
        <w:tc>
          <w:tcPr>
            <w:tcW w:w="8200" w:type="dxa"/>
            <w:vAlign w:val="bottom"/>
          </w:tcPr>
          <w:p>
            <w:pPr>
              <w:ind w:left="220"/>
              <w:spacing w:after="0"/>
              <w:rPr>
                <w:sz w:val="20"/>
                <w:szCs w:val="20"/>
                <w:color w:val="auto"/>
              </w:rPr>
            </w:pPr>
            <w:r>
              <w:rPr>
                <w:rFonts w:ascii="Arial" w:cs="Arial" w:eastAsia="Arial" w:hAnsi="Arial"/>
                <w:sz w:val="16"/>
                <w:szCs w:val="16"/>
                <w:color w:val="auto"/>
              </w:rPr>
              <w:t>Operating lease liabilities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84.8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88.6</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Finance lease liabilities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332.7</w:t>
            </w:r>
          </w:p>
        </w:tc>
        <w:tc>
          <w:tcPr>
            <w:tcW w:w="0" w:type="dxa"/>
            <w:vAlign w:val="bottom"/>
          </w:tcPr>
          <w:p>
            <w:pPr>
              <w:spacing w:after="0"/>
              <w:rPr>
                <w:sz w:val="1"/>
                <w:szCs w:val="1"/>
                <w:color w:val="auto"/>
              </w:rPr>
            </w:pPr>
          </w:p>
        </w:tc>
      </w:tr>
      <w:tr>
        <w:trPr>
          <w:trHeight w:val="213"/>
        </w:trPr>
        <w:tc>
          <w:tcPr>
            <w:tcW w:w="8200" w:type="dxa"/>
            <w:vAlign w:val="bottom"/>
          </w:tcPr>
          <w:p>
            <w:pPr>
              <w:ind w:left="220"/>
              <w:spacing w:after="0"/>
              <w:rPr>
                <w:sz w:val="20"/>
                <w:szCs w:val="20"/>
                <w:color w:val="auto"/>
              </w:rPr>
            </w:pPr>
            <w:r>
              <w:rPr>
                <w:rFonts w:ascii="Arial" w:cs="Arial" w:eastAsia="Arial" w:hAnsi="Arial"/>
                <w:sz w:val="16"/>
                <w:szCs w:val="16"/>
                <w:color w:val="auto"/>
              </w:rPr>
              <w:t>Financing obligations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47.6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47.9</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113.0</w:t>
            </w:r>
          </w:p>
        </w:tc>
        <w:tc>
          <w:tcPr>
            <w:tcW w:w="0" w:type="dxa"/>
            <w:vAlign w:val="bottom"/>
          </w:tcPr>
          <w:p>
            <w:pPr>
              <w:spacing w:after="0"/>
              <w:rPr>
                <w:sz w:val="1"/>
                <w:szCs w:val="1"/>
                <w:color w:val="auto"/>
              </w:rPr>
            </w:pPr>
          </w:p>
        </w:tc>
      </w:tr>
      <w:tr>
        <w:trPr>
          <w:trHeight w:val="216"/>
        </w:trPr>
        <w:tc>
          <w:tcPr>
            <w:tcW w:w="8200" w:type="dxa"/>
            <w:vAlign w:val="bottom"/>
          </w:tcPr>
          <w:p>
            <w:pPr>
              <w:ind w:left="220"/>
              <w:spacing w:after="0"/>
              <w:rPr>
                <w:sz w:val="20"/>
                <w:szCs w:val="20"/>
                <w:color w:val="auto"/>
              </w:rPr>
            </w:pPr>
            <w:r>
              <w:rPr>
                <w:rFonts w:ascii="Arial" w:cs="Arial" w:eastAsia="Arial" w:hAnsi="Arial"/>
                <w:sz w:val="16"/>
                <w:szCs w:val="16"/>
                <w:color w:val="auto"/>
              </w:rPr>
              <w:t>Other non-current liabilities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105.7</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99.7</w:t>
            </w:r>
          </w:p>
        </w:tc>
        <w:tc>
          <w:tcPr>
            <w:tcW w:w="0" w:type="dxa"/>
            <w:vAlign w:val="bottom"/>
          </w:tcPr>
          <w:p>
            <w:pPr>
              <w:spacing w:after="0"/>
              <w:rPr>
                <w:sz w:val="1"/>
                <w:szCs w:val="1"/>
                <w:color w:val="auto"/>
              </w:rPr>
            </w:pPr>
          </w:p>
        </w:tc>
      </w:tr>
      <w:tr>
        <w:trPr>
          <w:trHeight w:val="209"/>
        </w:trPr>
        <w:tc>
          <w:tcPr>
            <w:tcW w:w="82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liabilities</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4,827.2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4,632.6</w:t>
            </w:r>
          </w:p>
        </w:tc>
        <w:tc>
          <w:tcPr>
            <w:tcW w:w="0" w:type="dxa"/>
            <w:vAlign w:val="bottom"/>
          </w:tcPr>
          <w:p>
            <w:pPr>
              <w:spacing w:after="0"/>
              <w:rPr>
                <w:sz w:val="1"/>
                <w:szCs w:val="1"/>
                <w:color w:val="auto"/>
              </w:rPr>
            </w:pPr>
          </w:p>
        </w:tc>
      </w:tr>
      <w:tr>
        <w:trPr>
          <w:trHeight w:val="149"/>
        </w:trPr>
        <w:tc>
          <w:tcPr>
            <w:tcW w:w="8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Commitments and Contingencies (Note 7)</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8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Stockholders' equity:</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00" w:type="dxa"/>
            <w:vAlign w:val="bottom"/>
          </w:tcPr>
          <w:p>
            <w:pPr>
              <w:ind w:left="220"/>
              <w:spacing w:after="0"/>
              <w:rPr>
                <w:sz w:val="20"/>
                <w:szCs w:val="20"/>
                <w:color w:val="auto"/>
              </w:rPr>
            </w:pPr>
            <w:r>
              <w:rPr>
                <w:rFonts w:ascii="Arial" w:cs="Arial" w:eastAsia="Arial" w:hAnsi="Arial"/>
                <w:sz w:val="16"/>
                <w:szCs w:val="16"/>
                <w:color w:val="auto"/>
              </w:rPr>
              <w:t>Preferred stock, $0.01 par value per share: 5.0 shares authorized; no shares issued or outstanding</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8200" w:type="dxa"/>
            <w:vAlign w:val="bottom"/>
            <w:shd w:val="clear" w:color="auto" w:fill="CCEEFF"/>
          </w:tcPr>
          <w:p>
            <w:pPr>
              <w:ind w:left="220"/>
              <w:spacing w:after="0" w:line="169" w:lineRule="exact"/>
              <w:rPr>
                <w:sz w:val="20"/>
                <w:szCs w:val="20"/>
                <w:color w:val="auto"/>
              </w:rPr>
            </w:pPr>
            <w:r>
              <w:rPr>
                <w:rFonts w:ascii="Arial" w:cs="Arial" w:eastAsia="Arial" w:hAnsi="Arial"/>
                <w:sz w:val="16"/>
                <w:szCs w:val="16"/>
                <w:color w:val="auto"/>
                <w:w w:val="94"/>
              </w:rPr>
              <w:t>Common stock, $0.01 par value per share: 1,495.0 shares authorized; 215.7 and 218.8 shares issued; 212.6 and 215.7</w:t>
            </w:r>
          </w:p>
        </w:tc>
        <w:tc>
          <w:tcPr>
            <w:tcW w:w="18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2"/>
        </w:trPr>
        <w:tc>
          <w:tcPr>
            <w:tcW w:w="8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shares outstanding, respectively</w:t>
            </w:r>
          </w:p>
        </w:tc>
        <w:tc>
          <w:tcPr>
            <w:tcW w:w="18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00" w:type="dxa"/>
            <w:vAlign w:val="bottom"/>
          </w:tcPr>
          <w:p>
            <w:pPr>
              <w:ind w:left="220"/>
              <w:spacing w:after="0"/>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2,573.3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2,607.4</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Accumulated other comprehensive income</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78.9</w:t>
            </w:r>
          </w:p>
        </w:tc>
        <w:tc>
          <w:tcPr>
            <w:tcW w:w="0" w:type="dxa"/>
            <w:vAlign w:val="bottom"/>
          </w:tcPr>
          <w:p>
            <w:pPr>
              <w:spacing w:after="0"/>
              <w:rPr>
                <w:sz w:val="1"/>
                <w:szCs w:val="1"/>
                <w:color w:val="auto"/>
              </w:rPr>
            </w:pPr>
          </w:p>
        </w:tc>
      </w:tr>
      <w:tr>
        <w:trPr>
          <w:trHeight w:val="213"/>
        </w:trPr>
        <w:tc>
          <w:tcPr>
            <w:tcW w:w="8200" w:type="dxa"/>
            <w:vAlign w:val="bottom"/>
          </w:tcPr>
          <w:p>
            <w:pPr>
              <w:ind w:left="220"/>
              <w:spacing w:after="0"/>
              <w:rPr>
                <w:sz w:val="20"/>
                <w:szCs w:val="20"/>
                <w:color w:val="auto"/>
              </w:rPr>
            </w:pPr>
            <w:r>
              <w:rPr>
                <w:rFonts w:ascii="Arial" w:cs="Arial" w:eastAsia="Arial" w:hAnsi="Arial"/>
                <w:sz w:val="16"/>
                <w:szCs w:val="16"/>
                <w:color w:val="auto"/>
              </w:rPr>
              <w:t>Accumulated deficit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(1,986.4)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(2,625.6)</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Treasury stock, at cost; 3.1 shares held</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0" w:type="dxa"/>
            <w:vAlign w:val="bottom"/>
          </w:tcPr>
          <w:p>
            <w:pPr>
              <w:spacing w:after="0"/>
              <w:rPr>
                <w:sz w:val="1"/>
                <w:szCs w:val="1"/>
                <w:color w:val="auto"/>
              </w:rPr>
            </w:pPr>
          </w:p>
        </w:tc>
      </w:tr>
      <w:tr>
        <w:trPr>
          <w:trHeight w:val="207"/>
        </w:trPr>
        <w:tc>
          <w:tcPr>
            <w:tcW w:w="820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629.5</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w:t>
            </w:r>
          </w:p>
        </w:tc>
        <w:tc>
          <w:tcPr>
            <w:tcW w:w="0" w:type="dxa"/>
            <w:vAlign w:val="bottom"/>
          </w:tcPr>
          <w:p>
            <w:pPr>
              <w:spacing w:after="0"/>
              <w:rPr>
                <w:sz w:val="1"/>
                <w:szCs w:val="1"/>
                <w:color w:val="auto"/>
              </w:rPr>
            </w:pPr>
          </w:p>
        </w:tc>
      </w:tr>
      <w:tr>
        <w:trPr>
          <w:trHeight w:val="232"/>
        </w:trPr>
        <w:tc>
          <w:tcPr>
            <w:tcW w:w="8200" w:type="dxa"/>
            <w:vAlign w:val="bottom"/>
            <w:shd w:val="clear" w:color="auto" w:fill="CCEEFF"/>
          </w:tcPr>
          <w:p>
            <w:pPr>
              <w:ind w:left="560"/>
              <w:spacing w:after="0"/>
              <w:rPr>
                <w:sz w:val="20"/>
                <w:szCs w:val="20"/>
                <w:color w:val="auto"/>
              </w:rPr>
            </w:pPr>
            <w:r>
              <w:rPr>
                <w:rFonts w:ascii="Arial" w:cs="Arial" w:eastAsia="Arial" w:hAnsi="Arial"/>
                <w:sz w:val="16"/>
                <w:szCs w:val="16"/>
                <w:color w:val="auto"/>
              </w:rPr>
              <w:t>Total liabilities and stockholders' equity</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5,456.7</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4,664.5</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RACKSPACE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6"/>
                <w:szCs w:val="16"/>
                <w:b w:val="1"/>
                <w:bCs w:val="1"/>
                <w:color w:val="auto"/>
              </w:rPr>
              <w:t>Three Months Ended June 30,</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619"/>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10"/>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per share data)</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12"/>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772.2</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746.3</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1,547.7</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1,505.0</w:t>
            </w:r>
          </w:p>
        </w:tc>
        <w:tc>
          <w:tcPr>
            <w:tcW w:w="0" w:type="dxa"/>
            <w:vAlign w:val="bottom"/>
          </w:tcPr>
          <w:p>
            <w:pPr>
              <w:spacing w:after="0"/>
              <w:rPr>
                <w:sz w:val="1"/>
                <w:szCs w:val="1"/>
                <w:color w:val="auto"/>
              </w:rPr>
            </w:pPr>
          </w:p>
        </w:tc>
      </w:tr>
      <w:tr>
        <w:trPr>
          <w:trHeight w:val="213"/>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(548.2)</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(593.2)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(1,097.7)</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(1,182.3)</w:t>
            </w:r>
          </w:p>
        </w:tc>
        <w:tc>
          <w:tcPr>
            <w:tcW w:w="0" w:type="dxa"/>
            <w:vAlign w:val="bottom"/>
          </w:tcPr>
          <w:p>
            <w:pPr>
              <w:spacing w:after="0"/>
              <w:rPr>
                <w:sz w:val="1"/>
                <w:szCs w:val="1"/>
                <w:color w:val="auto"/>
              </w:rPr>
            </w:pPr>
          </w:p>
        </w:tc>
      </w:tr>
      <w:tr>
        <w:trPr>
          <w:trHeight w:val="213"/>
        </w:trPr>
        <w:tc>
          <w:tcPr>
            <w:tcW w:w="4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Gross profit</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322.7</w:t>
            </w:r>
          </w:p>
        </w:tc>
        <w:tc>
          <w:tcPr>
            <w:tcW w:w="0" w:type="dxa"/>
            <w:vAlign w:val="bottom"/>
          </w:tcPr>
          <w:p>
            <w:pPr>
              <w:spacing w:after="0"/>
              <w:rPr>
                <w:sz w:val="1"/>
                <w:szCs w:val="1"/>
                <w:color w:val="auto"/>
              </w:rPr>
            </w:pPr>
          </w:p>
        </w:tc>
      </w:tr>
      <w:tr>
        <w:trPr>
          <w:trHeight w:val="213"/>
        </w:trPr>
        <w:tc>
          <w:tcPr>
            <w:tcW w:w="458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(220.0)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(216.9)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(425.1)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(424.4)</w:t>
            </w:r>
          </w:p>
        </w:tc>
        <w:tc>
          <w:tcPr>
            <w:tcW w:w="0" w:type="dxa"/>
            <w:vAlign w:val="bottom"/>
          </w:tcPr>
          <w:p>
            <w:pPr>
              <w:spacing w:after="0"/>
              <w:rPr>
                <w:sz w:val="1"/>
                <w:szCs w:val="1"/>
                <w:color w:val="auto"/>
              </w:rPr>
            </w:pPr>
          </w:p>
        </w:tc>
      </w:tr>
      <w:tr>
        <w:trPr>
          <w:trHeight w:val="205"/>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Impairment of goodwill</w:t>
            </w:r>
          </w:p>
        </w:tc>
        <w:tc>
          <w:tcPr>
            <w:tcW w:w="3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(543.1)</w:t>
            </w:r>
          </w:p>
        </w:tc>
        <w:tc>
          <w:tcPr>
            <w:tcW w:w="0" w:type="dxa"/>
            <w:vAlign w:val="bottom"/>
          </w:tcPr>
          <w:p>
            <w:pPr>
              <w:spacing w:after="0"/>
              <w:rPr>
                <w:sz w:val="1"/>
                <w:szCs w:val="1"/>
                <w:color w:val="auto"/>
              </w:rPr>
            </w:pPr>
          </w:p>
        </w:tc>
      </w:tr>
      <w:tr>
        <w:trPr>
          <w:trHeight w:val="207"/>
        </w:trPr>
        <w:tc>
          <w:tcPr>
            <w:tcW w:w="4580" w:type="dxa"/>
            <w:vAlign w:val="bottom"/>
          </w:tcPr>
          <w:p>
            <w:pPr>
              <w:ind w:left="360"/>
              <w:spacing w:after="0"/>
              <w:rPr>
                <w:sz w:val="20"/>
                <w:szCs w:val="20"/>
                <w:color w:val="auto"/>
              </w:rPr>
            </w:pPr>
            <w:r>
              <w:rPr>
                <w:rFonts w:ascii="Arial" w:cs="Arial" w:eastAsia="Arial" w:hAnsi="Arial"/>
                <w:sz w:val="16"/>
                <w:szCs w:val="16"/>
                <w:color w:val="auto"/>
              </w:rPr>
              <w:t>Income (loss) from operations</w:t>
            </w:r>
          </w:p>
        </w:tc>
        <w:tc>
          <w:tcPr>
            <w:tcW w:w="3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(63.8)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24.9</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(644.8)</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8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(50.5)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(57.3)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(100.6)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(114.2)</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Gain (loss) on investments, net</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3"/>
        </w:trPr>
        <w:tc>
          <w:tcPr>
            <w:tcW w:w="4580" w:type="dxa"/>
            <w:vAlign w:val="bottom"/>
          </w:tcPr>
          <w:p>
            <w:pPr>
              <w:ind w:left="140"/>
              <w:spacing w:after="0"/>
              <w:rPr>
                <w:sz w:val="20"/>
                <w:szCs w:val="20"/>
                <w:color w:val="auto"/>
              </w:rPr>
            </w:pPr>
            <w:r>
              <w:rPr>
                <w:rFonts w:ascii="Arial" w:cs="Arial" w:eastAsia="Arial" w:hAnsi="Arial"/>
                <w:sz w:val="16"/>
                <w:szCs w:val="16"/>
                <w:color w:val="auto"/>
              </w:rPr>
              <w:t>Gain on debt extinguishment</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94.9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107.7</w:t>
            </w:r>
          </w:p>
        </w:tc>
        <w:tc>
          <w:tcPr>
            <w:tcW w:w="0" w:type="dxa"/>
            <w:vAlign w:val="bottom"/>
          </w:tcPr>
          <w:p>
            <w:pPr>
              <w:spacing w:after="0"/>
              <w:rPr>
                <w:sz w:val="1"/>
                <w:szCs w:val="1"/>
                <w:color w:val="auto"/>
              </w:rPr>
            </w:pPr>
          </w:p>
        </w:tc>
      </w:tr>
      <w:tr>
        <w:trPr>
          <w:trHeight w:val="219"/>
        </w:trPr>
        <w:tc>
          <w:tcPr>
            <w:tcW w:w="4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Other income (expense), net</w:t>
            </w: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09"/>
        </w:trPr>
        <w:tc>
          <w:tcPr>
            <w:tcW w:w="4580" w:type="dxa"/>
            <w:vAlign w:val="bottom"/>
          </w:tcPr>
          <w:p>
            <w:pPr>
              <w:ind w:left="220"/>
              <w:spacing w:after="0"/>
              <w:rPr>
                <w:sz w:val="20"/>
                <w:szCs w:val="20"/>
                <w:color w:val="auto"/>
              </w:rPr>
            </w:pPr>
            <w:r>
              <w:rPr>
                <w:rFonts w:ascii="Arial" w:cs="Arial" w:eastAsia="Arial" w:hAnsi="Arial"/>
                <w:sz w:val="16"/>
                <w:szCs w:val="16"/>
                <w:color w:val="auto"/>
              </w:rPr>
              <w:t>Total other income (expense)</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(56.6)</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(110.4)</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0"/>
        </w:trPr>
        <w:tc>
          <w:tcPr>
            <w:tcW w:w="4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Loss before income taxes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(648.8)</w:t>
            </w:r>
          </w:p>
        </w:tc>
        <w:tc>
          <w:tcPr>
            <w:tcW w:w="0" w:type="dxa"/>
            <w:vAlign w:val="bottom"/>
          </w:tcPr>
          <w:p>
            <w:pPr>
              <w:spacing w:after="0"/>
              <w:rPr>
                <w:sz w:val="1"/>
                <w:szCs w:val="1"/>
                <w:color w:val="auto"/>
              </w:rPr>
            </w:pPr>
          </w:p>
        </w:tc>
      </w:tr>
      <w:tr>
        <w:trPr>
          <w:trHeight w:val="216"/>
        </w:trPr>
        <w:tc>
          <w:tcPr>
            <w:tcW w:w="4580" w:type="dxa"/>
            <w:vAlign w:val="bottom"/>
          </w:tcPr>
          <w:p>
            <w:pPr>
              <w:ind w:left="20"/>
              <w:spacing w:after="0"/>
              <w:rPr>
                <w:sz w:val="20"/>
                <w:szCs w:val="20"/>
                <w:color w:val="auto"/>
              </w:rPr>
            </w:pPr>
            <w:r>
              <w:rPr>
                <w:rFonts w:ascii="Arial" w:cs="Arial" w:eastAsia="Arial" w:hAnsi="Arial"/>
                <w:sz w:val="16"/>
                <w:szCs w:val="16"/>
                <w:color w:val="auto"/>
              </w:rPr>
              <w:t>Benefit (provision) for income taxes</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Net loss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(639.2)</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80" w:type="dxa"/>
            <w:vAlign w:val="bottom"/>
          </w:tcPr>
          <w:p>
            <w:pPr>
              <w:ind w:left="140"/>
              <w:spacing w:after="0"/>
              <w:rPr>
                <w:sz w:val="20"/>
                <w:szCs w:val="20"/>
                <w:color w:val="auto"/>
              </w:rPr>
            </w:pPr>
            <w:r>
              <w:rPr>
                <w:rFonts w:ascii="Arial" w:cs="Arial" w:eastAsia="Arial" w:hAnsi="Arial"/>
                <w:sz w:val="16"/>
                <w:szCs w:val="16"/>
                <w:color w:val="auto"/>
              </w:rPr>
              <w:t>Foreign currency translation adjustments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(18.2)</w:t>
            </w:r>
          </w:p>
        </w:tc>
        <w:tc>
          <w:tcPr>
            <w:tcW w:w="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2.8</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(22.8)</w:t>
            </w:r>
          </w:p>
        </w:tc>
        <w:tc>
          <w:tcPr>
            <w:tcW w:w="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Unrealized gain on derivative contracts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166"/>
        </w:trPr>
        <w:tc>
          <w:tcPr>
            <w:tcW w:w="4580" w:type="dxa"/>
            <w:vAlign w:val="bottom"/>
          </w:tcPr>
          <w:p>
            <w:pPr>
              <w:ind w:left="140"/>
              <w:spacing w:after="0" w:line="166" w:lineRule="exact"/>
              <w:rPr>
                <w:sz w:val="20"/>
                <w:szCs w:val="20"/>
                <w:color w:val="auto"/>
              </w:rPr>
            </w:pPr>
            <w:r>
              <w:rPr>
                <w:rFonts w:ascii="Arial" w:cs="Arial" w:eastAsia="Arial" w:hAnsi="Arial"/>
                <w:sz w:val="16"/>
                <w:szCs w:val="16"/>
                <w:color w:val="auto"/>
              </w:rPr>
              <w:t>Amount reclassified from accumulated other comprehensive</w:t>
            </w:r>
          </w:p>
        </w:tc>
        <w:tc>
          <w:tcPr>
            <w:tcW w:w="34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199"/>
        </w:trPr>
        <w:tc>
          <w:tcPr>
            <w:tcW w:w="4580" w:type="dxa"/>
            <w:vAlign w:val="bottom"/>
          </w:tcPr>
          <w:p>
            <w:pPr>
              <w:ind w:left="140"/>
              <w:spacing w:after="0"/>
              <w:rPr>
                <w:sz w:val="20"/>
                <w:szCs w:val="20"/>
                <w:color w:val="auto"/>
              </w:rPr>
            </w:pPr>
            <w:r>
              <w:rPr>
                <w:rFonts w:ascii="Arial" w:cs="Arial" w:eastAsia="Arial" w:hAnsi="Arial"/>
                <w:sz w:val="16"/>
                <w:szCs w:val="16"/>
                <w:color w:val="auto"/>
              </w:rPr>
              <w:t>income (loss) to earnings</w:t>
            </w: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Other comprehensive income (loss)</w:t>
            </w: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10"/>
        </w:trPr>
        <w:tc>
          <w:tcPr>
            <w:tcW w:w="4580" w:type="dxa"/>
            <w:vAlign w:val="bottom"/>
          </w:tcPr>
          <w:p>
            <w:pPr>
              <w:ind w:left="480"/>
              <w:spacing w:after="0"/>
              <w:rPr>
                <w:sz w:val="20"/>
                <w:szCs w:val="20"/>
                <w:color w:val="auto"/>
              </w:rPr>
            </w:pPr>
            <w:r>
              <w:rPr>
                <w:rFonts w:ascii="Arial" w:cs="Arial" w:eastAsia="Arial" w:hAnsi="Arial"/>
                <w:sz w:val="16"/>
                <w:szCs w:val="16"/>
                <w:color w:val="auto"/>
              </w:rPr>
              <w:t>Comprehensive loss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(44.4)</w:t>
            </w:r>
          </w:p>
        </w:tc>
        <w:tc>
          <w:tcPr>
            <w:tcW w:w="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(11.9)</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(40.9)</w:t>
            </w:r>
          </w:p>
        </w:tc>
        <w:tc>
          <w:tcPr>
            <w:tcW w:w="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(631.7)</w:t>
            </w:r>
          </w:p>
        </w:tc>
        <w:tc>
          <w:tcPr>
            <w:tcW w:w="0" w:type="dxa"/>
            <w:vAlign w:val="bottom"/>
          </w:tcPr>
          <w:p>
            <w:pPr>
              <w:spacing w:after="0"/>
              <w:rPr>
                <w:sz w:val="1"/>
                <w:szCs w:val="1"/>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5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580" w:type="dxa"/>
            <w:vAlign w:val="bottom"/>
          </w:tcPr>
          <w:p>
            <w:pPr>
              <w:ind w:left="40"/>
              <w:spacing w:after="0"/>
              <w:rPr>
                <w:sz w:val="20"/>
                <w:szCs w:val="20"/>
                <w:color w:val="auto"/>
              </w:rPr>
            </w:pPr>
            <w:r>
              <w:rPr>
                <w:rFonts w:ascii="Arial" w:cs="Arial" w:eastAsia="Arial" w:hAnsi="Arial"/>
                <w:sz w:val="16"/>
                <w:szCs w:val="16"/>
                <w:color w:val="auto"/>
              </w:rPr>
              <w:t>Net loss per share:</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5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Basic and diluted</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(0.19)</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(0.13)</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(0.38)</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Weighted average number of shares outstanding:</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58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Basic and diluted</w:t>
            </w:r>
          </w:p>
        </w:tc>
        <w:tc>
          <w:tcPr>
            <w:tcW w:w="3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214.2</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RACKSPACE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 w:lineRule="exact"/>
        <w:rPr>
          <w:sz w:val="20"/>
          <w:szCs w:val="20"/>
          <w:color w:val="auto"/>
        </w:rPr>
      </w:pPr>
    </w:p>
    <w:p>
      <w:pPr>
        <w:ind w:left="8640"/>
        <w:spacing w:after="0"/>
        <w:rPr>
          <w:sz w:val="20"/>
          <w:szCs w:val="20"/>
          <w:color w:val="auto"/>
        </w:rPr>
      </w:pPr>
      <w:r>
        <w:rPr>
          <w:rFonts w:ascii="Arial" w:cs="Arial" w:eastAsia="Arial" w:hAnsi="Arial"/>
          <w:sz w:val="16"/>
          <w:szCs w:val="16"/>
          <w:b w:val="1"/>
          <w:bCs w:val="1"/>
          <w:color w:val="auto"/>
        </w:rPr>
        <w:t>Six Months Ended June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2023</w:t>
            </w:r>
          </w:p>
        </w:tc>
      </w:tr>
      <w:tr>
        <w:trPr>
          <w:trHeight w:val="212"/>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3"/>
        </w:trPr>
        <w:tc>
          <w:tcPr>
            <w:tcW w:w="7940" w:type="dxa"/>
            <w:vAlign w:val="bottom"/>
          </w:tcPr>
          <w:p>
            <w:pPr>
              <w:ind w:left="140"/>
              <w:spacing w:after="0"/>
              <w:rPr>
                <w:sz w:val="20"/>
                <w:szCs w:val="20"/>
                <w:color w:val="auto"/>
              </w:rPr>
            </w:pPr>
            <w:r>
              <w:rPr>
                <w:rFonts w:ascii="Arial" w:cs="Arial" w:eastAsia="Arial" w:hAnsi="Arial"/>
                <w:sz w:val="16"/>
                <w:szCs w:val="16"/>
                <w:color w:val="auto"/>
              </w:rPr>
              <w:t>Net loss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(79.1)</w:t>
            </w:r>
          </w:p>
        </w:tc>
        <w:tc>
          <w:tcPr>
            <w:tcW w:w="5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(639.2)</w:t>
            </w:r>
          </w:p>
        </w:tc>
      </w:tr>
      <w:tr>
        <w:trPr>
          <w:trHeight w:val="219"/>
        </w:trPr>
        <w:tc>
          <w:tcPr>
            <w:tcW w:w="7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794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199.8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192.4</w:t>
            </w:r>
          </w:p>
        </w:tc>
      </w:tr>
      <w:tr>
        <w:trPr>
          <w:trHeight w:val="219"/>
        </w:trPr>
        <w:tc>
          <w:tcPr>
            <w:tcW w:w="7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operating right-of-use assets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w:t>
            </w:r>
          </w:p>
        </w:tc>
      </w:tr>
      <w:tr>
        <w:trPr>
          <w:trHeight w:val="213"/>
        </w:trPr>
        <w:tc>
          <w:tcPr>
            <w:tcW w:w="7940" w:type="dxa"/>
            <w:vAlign w:val="bottom"/>
          </w:tcPr>
          <w:p>
            <w:pPr>
              <w:ind w:left="220"/>
              <w:spacing w:after="0"/>
              <w:rPr>
                <w:sz w:val="20"/>
                <w:szCs w:val="20"/>
                <w:color w:val="auto"/>
              </w:rPr>
            </w:pPr>
            <w:r>
              <w:rPr>
                <w:rFonts w:ascii="Arial" w:cs="Arial" w:eastAsia="Arial" w:hAnsi="Arial"/>
                <w:sz w:val="16"/>
                <w:szCs w:val="16"/>
                <w:color w:val="auto"/>
              </w:rPr>
              <w:t>Deferred income taxes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(17.0)</w:t>
            </w:r>
          </w:p>
        </w:tc>
      </w:tr>
      <w:tr>
        <w:trPr>
          <w:trHeight w:val="219"/>
        </w:trPr>
        <w:tc>
          <w:tcPr>
            <w:tcW w:w="7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Share-based compensation expense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w:t>
            </w:r>
          </w:p>
        </w:tc>
      </w:tr>
      <w:tr>
        <w:trPr>
          <w:trHeight w:val="213"/>
        </w:trPr>
        <w:tc>
          <w:tcPr>
            <w:tcW w:w="7940" w:type="dxa"/>
            <w:vAlign w:val="bottom"/>
          </w:tcPr>
          <w:p>
            <w:pPr>
              <w:ind w:left="220"/>
              <w:spacing w:after="0"/>
              <w:rPr>
                <w:sz w:val="20"/>
                <w:szCs w:val="20"/>
                <w:color w:val="auto"/>
              </w:rPr>
            </w:pPr>
            <w:r>
              <w:rPr>
                <w:rFonts w:ascii="Arial" w:cs="Arial" w:eastAsia="Arial" w:hAnsi="Arial"/>
                <w:sz w:val="16"/>
                <w:szCs w:val="16"/>
                <w:color w:val="auto"/>
              </w:rPr>
              <w:t>Impairment of goodwill</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543.1</w:t>
            </w:r>
          </w:p>
        </w:tc>
      </w:tr>
      <w:tr>
        <w:trPr>
          <w:trHeight w:val="219"/>
        </w:trPr>
        <w:tc>
          <w:tcPr>
            <w:tcW w:w="7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Gain on debt extinguishment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(107.7)</w:t>
            </w:r>
          </w:p>
        </w:tc>
      </w:tr>
      <w:tr>
        <w:trPr>
          <w:trHeight w:val="213"/>
        </w:trPr>
        <w:tc>
          <w:tcPr>
            <w:tcW w:w="7940" w:type="dxa"/>
            <w:vAlign w:val="bottom"/>
          </w:tcPr>
          <w:p>
            <w:pPr>
              <w:ind w:left="220"/>
              <w:spacing w:after="0"/>
              <w:rPr>
                <w:sz w:val="20"/>
                <w:szCs w:val="20"/>
                <w:color w:val="auto"/>
              </w:rPr>
            </w:pPr>
            <w:r>
              <w:rPr>
                <w:rFonts w:ascii="Arial" w:cs="Arial" w:eastAsia="Arial" w:hAnsi="Arial"/>
                <w:sz w:val="16"/>
                <w:szCs w:val="16"/>
                <w:color w:val="auto"/>
              </w:rPr>
              <w:t>Unrealized loss on derivative contracts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7.7</w:t>
            </w:r>
          </w:p>
        </w:tc>
      </w:tr>
      <w:tr>
        <w:trPr>
          <w:trHeight w:val="219"/>
        </w:trPr>
        <w:tc>
          <w:tcPr>
            <w:tcW w:w="7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(Gain) loss on investments, net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13"/>
        </w:trPr>
        <w:tc>
          <w:tcPr>
            <w:tcW w:w="7940" w:type="dxa"/>
            <w:vAlign w:val="bottom"/>
          </w:tcPr>
          <w:p>
            <w:pPr>
              <w:ind w:left="220"/>
              <w:spacing w:after="0"/>
              <w:rPr>
                <w:sz w:val="20"/>
                <w:szCs w:val="20"/>
                <w:color w:val="auto"/>
              </w:rPr>
            </w:pPr>
            <w:r>
              <w:rPr>
                <w:rFonts w:ascii="Arial" w:cs="Arial" w:eastAsia="Arial" w:hAnsi="Arial"/>
                <w:sz w:val="16"/>
                <w:szCs w:val="16"/>
                <w:color w:val="auto"/>
              </w:rPr>
              <w:t>Provision for bad debts and accrued customer credits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19"/>
        </w:trPr>
        <w:tc>
          <w:tcPr>
            <w:tcW w:w="7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debt issuance costs and debt discount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13"/>
        </w:trPr>
        <w:tc>
          <w:tcPr>
            <w:tcW w:w="7940" w:type="dxa"/>
            <w:vAlign w:val="bottom"/>
          </w:tcPr>
          <w:p>
            <w:pPr>
              <w:ind w:left="220"/>
              <w:spacing w:after="0"/>
              <w:rPr>
                <w:sz w:val="20"/>
                <w:szCs w:val="20"/>
                <w:color w:val="auto"/>
              </w:rPr>
            </w:pPr>
            <w:r>
              <w:rPr>
                <w:rFonts w:ascii="Arial" w:cs="Arial" w:eastAsia="Arial" w:hAnsi="Arial"/>
                <w:sz w:val="16"/>
                <w:szCs w:val="16"/>
                <w:color w:val="auto"/>
              </w:rPr>
              <w:t>Other operating activities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7940" w:type="dxa"/>
            <w:vAlign w:val="bottom"/>
          </w:tcPr>
          <w:p>
            <w:pPr>
              <w:ind w:left="360"/>
              <w:spacing w:after="0"/>
              <w:rPr>
                <w:sz w:val="20"/>
                <w:szCs w:val="20"/>
                <w:color w:val="auto"/>
              </w:rPr>
            </w:pPr>
            <w:r>
              <w:rPr>
                <w:rFonts w:ascii="Arial" w:cs="Arial" w:eastAsia="Arial" w:hAnsi="Arial"/>
                <w:sz w:val="16"/>
                <w:szCs w:val="16"/>
                <w:color w:val="auto"/>
              </w:rPr>
              <w:t>Accounts receivable</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74.7</w:t>
            </w:r>
          </w:p>
        </w:tc>
      </w:tr>
      <w:tr>
        <w:trPr>
          <w:trHeight w:val="219"/>
        </w:trPr>
        <w:tc>
          <w:tcPr>
            <w:tcW w:w="7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Prepaid expenses and other current assets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r>
      <w:tr>
        <w:trPr>
          <w:trHeight w:val="213"/>
        </w:trPr>
        <w:tc>
          <w:tcPr>
            <w:tcW w:w="7940" w:type="dxa"/>
            <w:vAlign w:val="bottom"/>
          </w:tcPr>
          <w:p>
            <w:pPr>
              <w:ind w:left="360"/>
              <w:spacing w:after="0"/>
              <w:rPr>
                <w:sz w:val="20"/>
                <w:szCs w:val="20"/>
                <w:color w:val="auto"/>
              </w:rPr>
            </w:pPr>
            <w:r>
              <w:rPr>
                <w:rFonts w:ascii="Arial" w:cs="Arial" w:eastAsia="Arial" w:hAnsi="Arial"/>
                <w:sz w:val="16"/>
                <w:szCs w:val="16"/>
                <w:color w:val="auto"/>
              </w:rPr>
              <w:t>Accounts payable, accrued expenses, and other current liabilities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(101.2)</w:t>
            </w:r>
          </w:p>
        </w:tc>
      </w:tr>
      <w:tr>
        <w:trPr>
          <w:trHeight w:val="219"/>
        </w:trPr>
        <w:tc>
          <w:tcPr>
            <w:tcW w:w="7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revenue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r>
      <w:tr>
        <w:trPr>
          <w:trHeight w:val="213"/>
        </w:trPr>
        <w:tc>
          <w:tcPr>
            <w:tcW w:w="7940" w:type="dxa"/>
            <w:vAlign w:val="bottom"/>
          </w:tcPr>
          <w:p>
            <w:pPr>
              <w:ind w:left="360"/>
              <w:spacing w:after="0"/>
              <w:rPr>
                <w:sz w:val="20"/>
                <w:szCs w:val="20"/>
                <w:color w:val="auto"/>
              </w:rPr>
            </w:pPr>
            <w:r>
              <w:rPr>
                <w:rFonts w:ascii="Arial" w:cs="Arial" w:eastAsia="Arial" w:hAnsi="Arial"/>
                <w:sz w:val="16"/>
                <w:szCs w:val="16"/>
                <w:color w:val="auto"/>
              </w:rPr>
              <w:t>Operating lease liabilities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(32.1)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(30.8)</w:t>
            </w:r>
          </w:p>
        </w:tc>
      </w:tr>
      <w:tr>
        <w:trPr>
          <w:trHeight w:val="219"/>
        </w:trPr>
        <w:tc>
          <w:tcPr>
            <w:tcW w:w="7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non-current assets and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w:t>
            </w:r>
          </w:p>
        </w:tc>
      </w:tr>
      <w:tr>
        <w:trPr>
          <w:trHeight w:val="207"/>
        </w:trPr>
        <w:tc>
          <w:tcPr>
            <w:tcW w:w="7940" w:type="dxa"/>
            <w:vAlign w:val="bottom"/>
          </w:tcPr>
          <w:p>
            <w:pPr>
              <w:ind w:left="48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148.5</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35.9</w:t>
            </w:r>
          </w:p>
        </w:tc>
      </w:tr>
      <w:tr>
        <w:trPr>
          <w:trHeight w:val="219"/>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7940" w:type="dxa"/>
            <w:vAlign w:val="bottom"/>
          </w:tcPr>
          <w:p>
            <w:pPr>
              <w:ind w:left="140"/>
              <w:spacing w:after="0"/>
              <w:rPr>
                <w:sz w:val="20"/>
                <w:szCs w:val="20"/>
                <w:color w:val="auto"/>
              </w:rPr>
            </w:pPr>
            <w:r>
              <w:rPr>
                <w:rFonts w:ascii="Arial" w:cs="Arial" w:eastAsia="Arial" w:hAnsi="Arial"/>
                <w:sz w:val="16"/>
                <w:szCs w:val="16"/>
                <w:color w:val="auto"/>
              </w:rPr>
              <w:t>Purchases of property, equipment and software</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(46.4)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(35.5)</w:t>
            </w:r>
          </w:p>
        </w:tc>
      </w:tr>
      <w:tr>
        <w:trPr>
          <w:trHeight w:val="233"/>
        </w:trPr>
        <w:tc>
          <w:tcPr>
            <w:tcW w:w="7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Acquisitions, net of cash acquired</w:t>
            </w: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9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investing activities</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r>
      <w:tr>
        <w:trPr>
          <w:trHeight w:val="213"/>
        </w:trPr>
        <w:tc>
          <w:tcPr>
            <w:tcW w:w="79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Net cash used in investing activities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w:t>
            </w: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7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employee stock plans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r>
      <w:tr>
        <w:trPr>
          <w:trHeight w:val="213"/>
        </w:trPr>
        <w:tc>
          <w:tcPr>
            <w:tcW w:w="7940" w:type="dxa"/>
            <w:vAlign w:val="bottom"/>
          </w:tcPr>
          <w:p>
            <w:pPr>
              <w:ind w:left="140"/>
              <w:spacing w:after="0"/>
              <w:rPr>
                <w:sz w:val="20"/>
                <w:szCs w:val="20"/>
                <w:color w:val="auto"/>
              </w:rPr>
            </w:pPr>
            <w:r>
              <w:rPr>
                <w:rFonts w:ascii="Arial" w:cs="Arial" w:eastAsia="Arial" w:hAnsi="Arial"/>
                <w:sz w:val="16"/>
                <w:szCs w:val="16"/>
                <w:color w:val="auto"/>
              </w:rPr>
              <w:t>Shares of common stock repurchased</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borrowings under long-term debt arrangements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r>
      <w:tr>
        <w:trPr>
          <w:trHeight w:val="213"/>
        </w:trPr>
        <w:tc>
          <w:tcPr>
            <w:tcW w:w="7940" w:type="dxa"/>
            <w:vAlign w:val="bottom"/>
          </w:tcPr>
          <w:p>
            <w:pPr>
              <w:ind w:left="140"/>
              <w:spacing w:after="0"/>
              <w:rPr>
                <w:sz w:val="20"/>
                <w:szCs w:val="20"/>
                <w:color w:val="auto"/>
              </w:rPr>
            </w:pPr>
            <w:r>
              <w:rPr>
                <w:rFonts w:ascii="Arial" w:cs="Arial" w:eastAsia="Arial" w:hAnsi="Arial"/>
                <w:sz w:val="16"/>
                <w:szCs w:val="16"/>
                <w:color w:val="auto"/>
              </w:rPr>
              <w:t>Payments on long-term debt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(67.0)</w:t>
            </w:r>
          </w:p>
        </w:tc>
      </w:tr>
      <w:tr>
        <w:trPr>
          <w:trHeight w:val="219"/>
        </w:trPr>
        <w:tc>
          <w:tcPr>
            <w:tcW w:w="7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Payments on financing component of interest rate swap</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r>
      <w:tr>
        <w:trPr>
          <w:trHeight w:val="213"/>
        </w:trPr>
        <w:tc>
          <w:tcPr>
            <w:tcW w:w="7940" w:type="dxa"/>
            <w:vAlign w:val="bottom"/>
          </w:tcPr>
          <w:p>
            <w:pPr>
              <w:ind w:left="140"/>
              <w:spacing w:after="0"/>
              <w:rPr>
                <w:sz w:val="20"/>
                <w:szCs w:val="20"/>
                <w:color w:val="auto"/>
              </w:rPr>
            </w:pPr>
            <w:r>
              <w:rPr>
                <w:rFonts w:ascii="Arial" w:cs="Arial" w:eastAsia="Arial" w:hAnsi="Arial"/>
                <w:sz w:val="16"/>
                <w:szCs w:val="16"/>
                <w:color w:val="auto"/>
              </w:rPr>
              <w:t>Principal payments of finance lease liabilities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(32.3)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(39.1)</w:t>
            </w:r>
          </w:p>
        </w:tc>
      </w:tr>
      <w:tr>
        <w:trPr>
          <w:trHeight w:val="219"/>
        </w:trPr>
        <w:tc>
          <w:tcPr>
            <w:tcW w:w="7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Principal payments of financing obligations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r>
      <w:tr>
        <w:trPr>
          <w:trHeight w:val="213"/>
        </w:trPr>
        <w:tc>
          <w:tcPr>
            <w:tcW w:w="79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financing activities</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9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Net cash used in financing activities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w:t>
            </w:r>
          </w:p>
        </w:tc>
      </w:tr>
      <w:tr>
        <w:trPr>
          <w:trHeight w:val="213"/>
        </w:trPr>
        <w:tc>
          <w:tcPr>
            <w:tcW w:w="794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r>
      <w:tr>
        <w:trPr>
          <w:trHeight w:val="212"/>
        </w:trPr>
        <w:tc>
          <w:tcPr>
            <w:tcW w:w="79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Decrease in cash, cash equivalents, and restricted cash</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w:t>
            </w:r>
          </w:p>
        </w:tc>
      </w:tr>
      <w:tr>
        <w:trPr>
          <w:trHeight w:val="213"/>
        </w:trPr>
        <w:tc>
          <w:tcPr>
            <w:tcW w:w="794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Cash, cash equivalents, and restricted cash at beginning of period</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275.4</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231.4</w:t>
            </w:r>
          </w:p>
        </w:tc>
      </w:tr>
      <w:tr>
        <w:trPr>
          <w:trHeight w:val="233"/>
        </w:trPr>
        <w:tc>
          <w:tcPr>
            <w:tcW w:w="79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Cash, cash equivalents, and restricted cash at end of period</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263.8</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163.0</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6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3"/>
        </w:trPr>
        <w:tc>
          <w:tcPr>
            <w:tcW w:w="7940" w:type="dxa"/>
            <w:vAlign w:val="bottom"/>
          </w:tcPr>
          <w:p>
            <w:pPr>
              <w:ind w:left="140"/>
              <w:spacing w:after="0"/>
              <w:rPr>
                <w:sz w:val="20"/>
                <w:szCs w:val="20"/>
                <w:color w:val="auto"/>
              </w:rPr>
            </w:pPr>
            <w:r>
              <w:rPr>
                <w:rFonts w:ascii="Arial" w:cs="Arial" w:eastAsia="Arial" w:hAnsi="Arial"/>
                <w:sz w:val="16"/>
                <w:szCs w:val="16"/>
                <w:color w:val="auto"/>
              </w:rPr>
              <w:t>Cash payments for interest, net of amount capitalized</w:t>
            </w:r>
          </w:p>
        </w:tc>
        <w:tc>
          <w:tcPr>
            <w:tcW w:w="660" w:type="dxa"/>
            <w:vAlign w:val="bottom"/>
          </w:tcPr>
          <w:p>
            <w:pPr>
              <w:jc w:val="right"/>
              <w:ind w:right="4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84.6</w:t>
            </w:r>
          </w:p>
        </w:tc>
        <w:tc>
          <w:tcPr>
            <w:tcW w:w="76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113.6</w:t>
            </w:r>
          </w:p>
        </w:tc>
      </w:tr>
      <w:tr>
        <w:trPr>
          <w:trHeight w:val="219"/>
        </w:trPr>
        <w:tc>
          <w:tcPr>
            <w:tcW w:w="7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payments for income taxes, net of refunds</w:t>
            </w:r>
          </w:p>
        </w:tc>
        <w:tc>
          <w:tcPr>
            <w:tcW w:w="66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76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r>
      <w:tr>
        <w:trPr>
          <w:trHeight w:val="54"/>
        </w:trPr>
        <w:tc>
          <w:tcPr>
            <w:tcW w:w="7940" w:type="dxa"/>
            <w:vAlign w:val="bottom"/>
          </w:tcPr>
          <w:p>
            <w:pPr>
              <w:spacing w:after="0"/>
              <w:rPr>
                <w:sz w:val="4"/>
                <w:szCs w:val="4"/>
                <w:color w:val="auto"/>
              </w:rPr>
            </w:pPr>
          </w:p>
        </w:tc>
        <w:tc>
          <w:tcPr>
            <w:tcW w:w="6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16"/>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Non-cash Investing and Financing Activities</w:t>
            </w:r>
          </w:p>
        </w:tc>
        <w:tc>
          <w:tcPr>
            <w:tcW w:w="6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3"/>
        </w:trPr>
        <w:tc>
          <w:tcPr>
            <w:tcW w:w="7940" w:type="dxa"/>
            <w:vAlign w:val="bottom"/>
          </w:tcPr>
          <w:p>
            <w:pPr>
              <w:ind w:left="140"/>
              <w:spacing w:after="0"/>
              <w:rPr>
                <w:sz w:val="20"/>
                <w:szCs w:val="20"/>
                <w:color w:val="auto"/>
              </w:rPr>
            </w:pPr>
            <w:r>
              <w:rPr>
                <w:rFonts w:ascii="Arial" w:cs="Arial" w:eastAsia="Arial" w:hAnsi="Arial"/>
                <w:sz w:val="16"/>
                <w:szCs w:val="16"/>
                <w:color w:val="auto"/>
              </w:rPr>
              <w:t>Acquisition of property, equipment and software by finance leases</w:t>
            </w:r>
          </w:p>
        </w:tc>
        <w:tc>
          <w:tcPr>
            <w:tcW w:w="660" w:type="dxa"/>
            <w:vAlign w:val="bottom"/>
          </w:tcPr>
          <w:p>
            <w:pPr>
              <w:jc w:val="right"/>
              <w:ind w:right="4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9.3</w:t>
            </w:r>
          </w:p>
        </w:tc>
        <w:tc>
          <w:tcPr>
            <w:tcW w:w="76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63.2</w:t>
            </w:r>
          </w:p>
        </w:tc>
      </w:tr>
      <w:tr>
        <w:trPr>
          <w:trHeight w:val="219"/>
        </w:trPr>
        <w:tc>
          <w:tcPr>
            <w:tcW w:w="7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 of property, equipment and software by financing obligations</w:t>
            </w:r>
          </w:p>
        </w:tc>
        <w:tc>
          <w:tcPr>
            <w:tcW w:w="6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r>
      <w:tr>
        <w:trPr>
          <w:trHeight w:val="216"/>
        </w:trPr>
        <w:tc>
          <w:tcPr>
            <w:tcW w:w="7940" w:type="dxa"/>
            <w:vAlign w:val="bottom"/>
          </w:tcPr>
          <w:p>
            <w:pPr>
              <w:ind w:left="140"/>
              <w:spacing w:after="0"/>
              <w:rPr>
                <w:sz w:val="20"/>
                <w:szCs w:val="20"/>
                <w:color w:val="auto"/>
              </w:rPr>
            </w:pPr>
            <w:r>
              <w:rPr>
                <w:rFonts w:ascii="Arial" w:cs="Arial" w:eastAsia="Arial" w:hAnsi="Arial"/>
                <w:sz w:val="16"/>
                <w:szCs w:val="16"/>
                <w:color w:val="auto"/>
              </w:rPr>
              <w:t>Increase in property, equipment and software accrued in liabilities</w:t>
            </w:r>
          </w:p>
        </w:tc>
        <w:tc>
          <w:tcPr>
            <w:tcW w:w="6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r>
      <w:tr>
        <w:trPr>
          <w:trHeight w:val="209"/>
        </w:trPr>
        <w:tc>
          <w:tcPr>
            <w:tcW w:w="7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Non-cash purchases of property, equipment and software</w:t>
            </w:r>
          </w:p>
        </w:tc>
        <w:tc>
          <w:tcPr>
            <w:tcW w:w="66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76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80.7</w:t>
            </w:r>
          </w:p>
        </w:tc>
      </w:tr>
    </w:tbl>
    <w:p>
      <w:pPr>
        <w:spacing w:after="0" w:line="323"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to the total of such amounts shown on the Condensed Consolidated Statements of Cash Flows.</w:t>
      </w:r>
    </w:p>
    <w:p>
      <w:pPr>
        <w:spacing w:after="0" w:line="238" w:lineRule="exact"/>
        <w:rPr>
          <w:sz w:val="20"/>
          <w:szCs w:val="20"/>
          <w:color w:val="auto"/>
        </w:rPr>
      </w:pPr>
    </w:p>
    <w:p>
      <w:pPr>
        <w:ind w:left="8640"/>
        <w:spacing w:after="0"/>
        <w:rPr>
          <w:sz w:val="20"/>
          <w:szCs w:val="20"/>
          <w:color w:val="auto"/>
        </w:rPr>
      </w:pPr>
      <w:r>
        <w:rPr>
          <w:rFonts w:ascii="Arial" w:cs="Arial" w:eastAsia="Arial" w:hAnsi="Arial"/>
          <w:sz w:val="16"/>
          <w:szCs w:val="16"/>
          <w:b w:val="1"/>
          <w:bCs w:val="1"/>
          <w:color w:val="auto"/>
        </w:rPr>
        <w:t>Six Months Ended June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2023</w:t>
            </w:r>
          </w:p>
        </w:tc>
      </w:tr>
      <w:tr>
        <w:trPr>
          <w:trHeight w:val="212"/>
        </w:trPr>
        <w:tc>
          <w:tcPr>
            <w:tcW w:w="7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261.3</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159.9</w:t>
            </w:r>
          </w:p>
        </w:tc>
      </w:tr>
      <w:tr>
        <w:trPr>
          <w:trHeight w:val="213"/>
        </w:trPr>
        <w:tc>
          <w:tcPr>
            <w:tcW w:w="79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Restricted cash included in other non-current assets</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r>
      <w:tr>
        <w:trPr>
          <w:trHeight w:val="233"/>
        </w:trPr>
        <w:tc>
          <w:tcPr>
            <w:tcW w:w="79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Total cash, cash equivalents, and restricted cash shown in the statement of cash flows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263.8</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163.0</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RACKSPACE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2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680" w:type="dxa"/>
            <w:vAlign w:val="bottom"/>
            <w:gridSpan w:val="4"/>
            <w:vMerge w:val="restart"/>
          </w:tcPr>
          <w:p>
            <w:pPr>
              <w:jc w:val="right"/>
              <w:ind w:right="219"/>
              <w:spacing w:after="0"/>
              <w:rPr>
                <w:sz w:val="20"/>
                <w:szCs w:val="20"/>
                <w:color w:val="auto"/>
              </w:rPr>
            </w:pPr>
            <w:r>
              <w:rPr>
                <w:rFonts w:ascii="Arial" w:cs="Arial" w:eastAsia="Arial" w:hAnsi="Arial"/>
                <w:sz w:val="16"/>
                <w:szCs w:val="16"/>
                <w:b w:val="1"/>
                <w:bCs w:val="1"/>
                <w:color w:val="auto"/>
              </w:rPr>
              <w:t>Common Stock</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w w:val="94"/>
              </w:rPr>
              <w:t>Additional</w:t>
            </w:r>
          </w:p>
        </w:tc>
        <w:tc>
          <w:tcPr>
            <w:tcW w:w="120" w:type="dxa"/>
            <w:vAlign w:val="bottom"/>
          </w:tcPr>
          <w:p>
            <w:pPr>
              <w:spacing w:after="0"/>
              <w:rPr>
                <w:sz w:val="16"/>
                <w:szCs w:val="16"/>
                <w:color w:val="auto"/>
              </w:rPr>
            </w:pPr>
          </w:p>
        </w:tc>
        <w:tc>
          <w:tcPr>
            <w:tcW w:w="14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Accumulated Other</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gridSpan w:val="4"/>
            <w:vMerge w:val="restart"/>
          </w:tcPr>
          <w:p>
            <w:pPr>
              <w:jc w:val="right"/>
              <w:spacing w:after="0"/>
              <w:rPr>
                <w:sz w:val="20"/>
                <w:szCs w:val="20"/>
                <w:color w:val="auto"/>
              </w:rPr>
            </w:pPr>
            <w:r>
              <w:rPr>
                <w:rFonts w:ascii="Arial" w:cs="Arial" w:eastAsia="Arial" w:hAnsi="Arial"/>
                <w:sz w:val="16"/>
                <w:szCs w:val="16"/>
                <w:b w:val="1"/>
                <w:bCs w:val="1"/>
                <w:color w:val="auto"/>
                <w:w w:val="90"/>
              </w:rPr>
              <w:t>Treasury Stock, at Cost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center"/>
              <w:ind w:right="59"/>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53"/>
        </w:trPr>
        <w:tc>
          <w:tcPr>
            <w:tcW w:w="2220" w:type="dxa"/>
            <w:vAlign w:val="bottom"/>
            <w:vMerge w:val="continue"/>
          </w:tcPr>
          <w:p>
            <w:pPr>
              <w:spacing w:after="0"/>
              <w:rPr>
                <w:sz w:val="12"/>
                <w:szCs w:val="12"/>
                <w:color w:val="auto"/>
              </w:rPr>
            </w:pPr>
          </w:p>
        </w:tc>
        <w:tc>
          <w:tcPr>
            <w:tcW w:w="1680" w:type="dxa"/>
            <w:vAlign w:val="bottom"/>
            <w:tcBorders>
              <w:bottom w:val="single" w:sz="8" w:color="auto"/>
            </w:tcBorders>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ind w:right="179"/>
              <w:spacing w:after="0" w:line="142" w:lineRule="exact"/>
              <w:rPr>
                <w:sz w:val="20"/>
                <w:szCs w:val="20"/>
                <w:color w:val="auto"/>
              </w:rPr>
            </w:pPr>
            <w:r>
              <w:rPr>
                <w:rFonts w:ascii="Arial" w:cs="Arial" w:eastAsia="Arial" w:hAnsi="Arial"/>
                <w:sz w:val="16"/>
                <w:szCs w:val="16"/>
                <w:b w:val="1"/>
                <w:bCs w:val="1"/>
                <w:color w:val="auto"/>
              </w:rPr>
              <w:t>Paid-In</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jc w:val="center"/>
              <w:ind w:right="39"/>
              <w:spacing w:after="0" w:line="142" w:lineRule="exact"/>
              <w:rPr>
                <w:sz w:val="20"/>
                <w:szCs w:val="20"/>
                <w:color w:val="auto"/>
              </w:rPr>
            </w:pPr>
            <w:r>
              <w:rPr>
                <w:rFonts w:ascii="Arial" w:cs="Arial" w:eastAsia="Arial" w:hAnsi="Arial"/>
                <w:sz w:val="16"/>
                <w:szCs w:val="16"/>
                <w:b w:val="1"/>
                <w:bCs w:val="1"/>
                <w:color w:val="auto"/>
                <w:w w:val="89"/>
              </w:rPr>
              <w:t>Comprehensive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60"/>
              <w:spacing w:after="0" w:line="142" w:lineRule="exact"/>
              <w:rPr>
                <w:sz w:val="20"/>
                <w:szCs w:val="20"/>
                <w:color w:val="auto"/>
              </w:rPr>
            </w:pPr>
            <w:r>
              <w:rPr>
                <w:rFonts w:ascii="Arial" w:cs="Arial" w:eastAsia="Arial" w:hAnsi="Arial"/>
                <w:sz w:val="16"/>
                <w:szCs w:val="16"/>
                <w:b w:val="1"/>
                <w:bCs w:val="1"/>
                <w:color w:val="auto"/>
                <w:w w:val="89"/>
              </w:rPr>
              <w:t>Accumulated</w:t>
            </w:r>
          </w:p>
        </w:tc>
        <w:tc>
          <w:tcPr>
            <w:tcW w:w="1660" w:type="dxa"/>
            <w:vAlign w:val="bottom"/>
            <w:tcBorders>
              <w:bottom w:val="single" w:sz="8" w:color="auto"/>
            </w:tcBorders>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79"/>
              <w:spacing w:after="0" w:line="142" w:lineRule="exact"/>
              <w:rPr>
                <w:sz w:val="20"/>
                <w:szCs w:val="20"/>
                <w:color w:val="auto"/>
              </w:rPr>
            </w:pPr>
            <w:r>
              <w:rPr>
                <w:rFonts w:ascii="Arial" w:cs="Arial" w:eastAsia="Arial" w:hAnsi="Arial"/>
                <w:sz w:val="16"/>
                <w:szCs w:val="16"/>
                <w:b w:val="1"/>
                <w:bCs w:val="1"/>
                <w:color w:val="auto"/>
                <w:w w:val="89"/>
              </w:rPr>
              <w:t>Stockholders'</w:t>
            </w:r>
          </w:p>
        </w:tc>
        <w:tc>
          <w:tcPr>
            <w:tcW w:w="0" w:type="dxa"/>
            <w:vAlign w:val="bottom"/>
          </w:tcPr>
          <w:p>
            <w:pPr>
              <w:spacing w:after="0"/>
              <w:rPr>
                <w:sz w:val="1"/>
                <w:szCs w:val="1"/>
                <w:color w:val="auto"/>
              </w:rPr>
            </w:pPr>
          </w:p>
        </w:tc>
      </w:tr>
      <w:tr>
        <w:trPr>
          <w:trHeight w:val="207"/>
        </w:trPr>
        <w:tc>
          <w:tcPr>
            <w:tcW w:w="2220" w:type="dxa"/>
            <w:vAlign w:val="bottom"/>
          </w:tcPr>
          <w:p>
            <w:pPr>
              <w:spacing w:after="0"/>
              <w:rPr>
                <w:sz w:val="17"/>
                <w:szCs w:val="17"/>
                <w:color w:val="auto"/>
              </w:rPr>
            </w:pP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5"/>
              </w:rPr>
              <w:t>Amount</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Capital</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2"/>
              </w:rPr>
              <w:t>Income</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3"/>
              </w:rPr>
              <w:t>Deficit</w:t>
            </w:r>
          </w:p>
        </w:tc>
        <w:tc>
          <w:tcPr>
            <w:tcW w:w="120" w:type="dxa"/>
            <w:vAlign w:val="bottom"/>
          </w:tcPr>
          <w:p>
            <w:pPr>
              <w:spacing w:after="0"/>
              <w:rPr>
                <w:sz w:val="17"/>
                <w:szCs w:val="17"/>
                <w:color w:val="auto"/>
              </w:rPr>
            </w:pP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2"/>
              </w:rPr>
              <w:t>Amount</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212"/>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2022</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2,517.5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(1,220.1)</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1,344.3</w:t>
            </w:r>
          </w:p>
        </w:tc>
        <w:tc>
          <w:tcPr>
            <w:tcW w:w="0" w:type="dxa"/>
            <w:vAlign w:val="bottom"/>
          </w:tcPr>
          <w:p>
            <w:pPr>
              <w:spacing w:after="0"/>
              <w:rPr>
                <w:sz w:val="1"/>
                <w:szCs w:val="1"/>
                <w:color w:val="auto"/>
              </w:rPr>
            </w:pPr>
          </w:p>
        </w:tc>
      </w:tr>
      <w:tr>
        <w:trPr>
          <w:trHeight w:val="166"/>
        </w:trPr>
        <w:tc>
          <w:tcPr>
            <w:tcW w:w="2220" w:type="dxa"/>
            <w:vAlign w:val="bottom"/>
          </w:tcPr>
          <w:p>
            <w:pPr>
              <w:ind w:left="140"/>
              <w:spacing w:after="0" w:line="166" w:lineRule="exact"/>
              <w:rPr>
                <w:sz w:val="20"/>
                <w:szCs w:val="20"/>
                <w:color w:val="auto"/>
              </w:rPr>
            </w:pPr>
            <w:r>
              <w:rPr>
                <w:rFonts w:ascii="Arial" w:cs="Arial" w:eastAsia="Arial" w:hAnsi="Arial"/>
                <w:sz w:val="16"/>
                <w:szCs w:val="16"/>
                <w:color w:val="auto"/>
                <w:w w:val="98"/>
              </w:rPr>
              <w:t>Exercise of stock options and</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restart"/>
          </w:tcPr>
          <w:p>
            <w:pPr>
              <w:ind w:left="880"/>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9"/>
        </w:trPr>
        <w:tc>
          <w:tcPr>
            <w:tcW w:w="2220" w:type="dxa"/>
            <w:vAlign w:val="bottom"/>
          </w:tcPr>
          <w:p>
            <w:pPr>
              <w:ind w:left="140"/>
              <w:spacing w:after="0"/>
              <w:rPr>
                <w:sz w:val="20"/>
                <w:szCs w:val="20"/>
                <w:color w:val="auto"/>
              </w:rPr>
            </w:pPr>
            <w:r>
              <w:rPr>
                <w:rFonts w:ascii="Arial" w:cs="Arial" w:eastAsia="Arial" w:hAnsi="Arial"/>
                <w:sz w:val="16"/>
                <w:szCs w:val="16"/>
                <w:color w:val="auto"/>
              </w:rPr>
              <w:t>release of stock awards</w:t>
            </w: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22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Issuance of shares from</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2"/>
        </w:trPr>
        <w:tc>
          <w:tcPr>
            <w:tcW w:w="222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1"/>
              </w:rPr>
              <w:t>Employee Stock Purchase Plan</w:t>
            </w: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220" w:type="dxa"/>
            <w:vAlign w:val="bottom"/>
          </w:tcPr>
          <w:p>
            <w:pPr>
              <w:ind w:left="140"/>
              <w:spacing w:after="0" w:line="166" w:lineRule="exact"/>
              <w:rPr>
                <w:sz w:val="20"/>
                <w:szCs w:val="20"/>
                <w:color w:val="auto"/>
              </w:rPr>
            </w:pPr>
            <w:r>
              <w:rPr>
                <w:rFonts w:ascii="Arial" w:cs="Arial" w:eastAsia="Arial" w:hAnsi="Arial"/>
                <w:sz w:val="16"/>
                <w:szCs w:val="16"/>
                <w:color w:val="auto"/>
              </w:rPr>
              <w:t>Share-based compensation</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23.1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restart"/>
          </w:tcPr>
          <w:p>
            <w:pPr>
              <w:ind w:left="880"/>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209"/>
        </w:trPr>
        <w:tc>
          <w:tcPr>
            <w:tcW w:w="2220" w:type="dxa"/>
            <w:vAlign w:val="bottom"/>
          </w:tcPr>
          <w:p>
            <w:pPr>
              <w:ind w:left="140"/>
              <w:spacing w:after="0"/>
              <w:rPr>
                <w:sz w:val="20"/>
                <w:szCs w:val="20"/>
                <w:color w:val="auto"/>
              </w:rPr>
            </w:pPr>
            <w:r>
              <w:rPr>
                <w:rFonts w:ascii="Arial" w:cs="Arial" w:eastAsia="Arial" w:hAnsi="Arial"/>
                <w:sz w:val="16"/>
                <w:szCs w:val="16"/>
                <w:color w:val="auto"/>
              </w:rPr>
              <w:t>expense</w:t>
            </w: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0" w:type="dxa"/>
            <w:vAlign w:val="bottom"/>
          </w:tcPr>
          <w:p>
            <w:pPr>
              <w:spacing w:after="0"/>
              <w:rPr>
                <w:sz w:val="1"/>
                <w:szCs w:val="1"/>
                <w:color w:val="auto"/>
              </w:rPr>
            </w:pPr>
          </w:p>
        </w:tc>
      </w:tr>
      <w:tr>
        <w:trPr>
          <w:trHeight w:val="213"/>
        </w:trPr>
        <w:tc>
          <w:tcPr>
            <w:tcW w:w="2220" w:type="dxa"/>
            <w:vAlign w:val="bottom"/>
          </w:tcPr>
          <w:p>
            <w:pPr>
              <w:ind w:left="140"/>
              <w:spacing w:after="0"/>
              <w:rPr>
                <w:sz w:val="20"/>
                <w:szCs w:val="20"/>
                <w:color w:val="auto"/>
              </w:rPr>
            </w:pPr>
            <w:r>
              <w:rPr>
                <w:rFonts w:ascii="Arial" w:cs="Arial" w:eastAsia="Arial" w:hAnsi="Arial"/>
                <w:sz w:val="16"/>
                <w:szCs w:val="16"/>
                <w:color w:val="auto"/>
              </w:rPr>
              <w:t>Other comprehensive loss</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9"/>
        </w:trPr>
        <w:tc>
          <w:tcPr>
            <w:tcW w:w="2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w w:val="97"/>
              </w:rPr>
              <w:t>Repurchase of common stock</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0" w:type="dxa"/>
            <w:vAlign w:val="bottom"/>
          </w:tcPr>
          <w:p>
            <w:pPr>
              <w:spacing w:after="0"/>
              <w:rPr>
                <w:sz w:val="1"/>
                <w:szCs w:val="1"/>
                <w:color w:val="auto"/>
              </w:rPr>
            </w:pPr>
          </w:p>
        </w:tc>
      </w:tr>
      <w:tr>
        <w:trPr>
          <w:trHeight w:val="209"/>
        </w:trPr>
        <w:tc>
          <w:tcPr>
            <w:tcW w:w="2220" w:type="dxa"/>
            <w:vAlign w:val="bottom"/>
          </w:tcPr>
          <w:p>
            <w:pPr>
              <w:ind w:left="20"/>
              <w:spacing w:after="0"/>
              <w:rPr>
                <w:sz w:val="20"/>
                <w:szCs w:val="20"/>
                <w:color w:val="auto"/>
              </w:rPr>
            </w:pPr>
            <w:r>
              <w:rPr>
                <w:rFonts w:ascii="Arial" w:cs="Arial" w:eastAsia="Arial" w:hAnsi="Arial"/>
                <w:sz w:val="16"/>
                <w:szCs w:val="16"/>
                <w:b w:val="1"/>
                <w:bCs w:val="1"/>
                <w:color w:val="auto"/>
              </w:rPr>
              <w:t>Balance at June 30, 2022</w:t>
            </w:r>
          </w:p>
        </w:tc>
        <w:tc>
          <w:tcPr>
            <w:tcW w:w="740" w:type="dxa"/>
            <w:vAlign w:val="bottom"/>
          </w:tcPr>
          <w:p>
            <w:pPr>
              <w:jc w:val="right"/>
              <w:spacing w:after="0"/>
              <w:rPr>
                <w:sz w:val="20"/>
                <w:szCs w:val="20"/>
                <w:color w:val="auto"/>
              </w:rPr>
            </w:pPr>
            <w:r>
              <w:rPr>
                <w:rFonts w:ascii="Arial" w:cs="Arial" w:eastAsia="Arial" w:hAnsi="Arial"/>
                <w:sz w:val="16"/>
                <w:szCs w:val="16"/>
                <w:color w:val="auto"/>
              </w:rPr>
              <w:t>213.5</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2.1</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2,542.9</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45.1</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(1,260.7)</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3.1</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(31.0)</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1,298.4</w:t>
            </w:r>
          </w:p>
        </w:tc>
        <w:tc>
          <w:tcPr>
            <w:tcW w:w="0" w:type="dxa"/>
            <w:vAlign w:val="bottom"/>
          </w:tcPr>
          <w:p>
            <w:pPr>
              <w:spacing w:after="0"/>
              <w:rPr>
                <w:sz w:val="1"/>
                <w:szCs w:val="1"/>
                <w:color w:val="auto"/>
              </w:rPr>
            </w:pPr>
          </w:p>
        </w:tc>
      </w:tr>
      <w:tr>
        <w:trPr>
          <w:trHeight w:val="21"/>
        </w:trPr>
        <w:tc>
          <w:tcPr>
            <w:tcW w:w="2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2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680" w:type="dxa"/>
            <w:vAlign w:val="bottom"/>
            <w:gridSpan w:val="4"/>
            <w:vMerge w:val="restart"/>
          </w:tcPr>
          <w:p>
            <w:pPr>
              <w:jc w:val="right"/>
              <w:ind w:right="219"/>
              <w:spacing w:after="0"/>
              <w:rPr>
                <w:sz w:val="20"/>
                <w:szCs w:val="20"/>
                <w:color w:val="auto"/>
              </w:rPr>
            </w:pPr>
            <w:r>
              <w:rPr>
                <w:rFonts w:ascii="Arial" w:cs="Arial" w:eastAsia="Arial" w:hAnsi="Arial"/>
                <w:sz w:val="16"/>
                <w:szCs w:val="16"/>
                <w:b w:val="1"/>
                <w:bCs w:val="1"/>
                <w:color w:val="auto"/>
              </w:rPr>
              <w:t>Common Stock</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w w:val="94"/>
              </w:rPr>
              <w:t>Additional</w:t>
            </w:r>
          </w:p>
        </w:tc>
        <w:tc>
          <w:tcPr>
            <w:tcW w:w="120" w:type="dxa"/>
            <w:vAlign w:val="bottom"/>
          </w:tcPr>
          <w:p>
            <w:pPr>
              <w:spacing w:after="0"/>
              <w:rPr>
                <w:sz w:val="16"/>
                <w:szCs w:val="16"/>
                <w:color w:val="auto"/>
              </w:rPr>
            </w:pPr>
          </w:p>
        </w:tc>
        <w:tc>
          <w:tcPr>
            <w:tcW w:w="14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Accumulated Other</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gridSpan w:val="4"/>
            <w:vMerge w:val="restart"/>
          </w:tcPr>
          <w:p>
            <w:pPr>
              <w:jc w:val="right"/>
              <w:spacing w:after="0"/>
              <w:rPr>
                <w:sz w:val="20"/>
                <w:szCs w:val="20"/>
                <w:color w:val="auto"/>
              </w:rPr>
            </w:pPr>
            <w:r>
              <w:rPr>
                <w:rFonts w:ascii="Arial" w:cs="Arial" w:eastAsia="Arial" w:hAnsi="Arial"/>
                <w:sz w:val="16"/>
                <w:szCs w:val="16"/>
                <w:b w:val="1"/>
                <w:bCs w:val="1"/>
                <w:color w:val="auto"/>
                <w:w w:val="90"/>
              </w:rPr>
              <w:t>Treasury Stock, at Cost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center"/>
              <w:ind w:right="59"/>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53"/>
        </w:trPr>
        <w:tc>
          <w:tcPr>
            <w:tcW w:w="2220" w:type="dxa"/>
            <w:vAlign w:val="bottom"/>
            <w:vMerge w:val="continue"/>
          </w:tcPr>
          <w:p>
            <w:pPr>
              <w:spacing w:after="0"/>
              <w:rPr>
                <w:sz w:val="12"/>
                <w:szCs w:val="12"/>
                <w:color w:val="auto"/>
              </w:rPr>
            </w:pPr>
          </w:p>
        </w:tc>
        <w:tc>
          <w:tcPr>
            <w:tcW w:w="1680" w:type="dxa"/>
            <w:vAlign w:val="bottom"/>
            <w:tcBorders>
              <w:bottom w:val="single" w:sz="8" w:color="auto"/>
            </w:tcBorders>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ind w:right="179"/>
              <w:spacing w:after="0" w:line="142" w:lineRule="exact"/>
              <w:rPr>
                <w:sz w:val="20"/>
                <w:szCs w:val="20"/>
                <w:color w:val="auto"/>
              </w:rPr>
            </w:pPr>
            <w:r>
              <w:rPr>
                <w:rFonts w:ascii="Arial" w:cs="Arial" w:eastAsia="Arial" w:hAnsi="Arial"/>
                <w:sz w:val="16"/>
                <w:szCs w:val="16"/>
                <w:b w:val="1"/>
                <w:bCs w:val="1"/>
                <w:color w:val="auto"/>
              </w:rPr>
              <w:t>Paid-In</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jc w:val="center"/>
              <w:ind w:right="39"/>
              <w:spacing w:after="0" w:line="142" w:lineRule="exact"/>
              <w:rPr>
                <w:sz w:val="20"/>
                <w:szCs w:val="20"/>
                <w:color w:val="auto"/>
              </w:rPr>
            </w:pPr>
            <w:r>
              <w:rPr>
                <w:rFonts w:ascii="Arial" w:cs="Arial" w:eastAsia="Arial" w:hAnsi="Arial"/>
                <w:sz w:val="16"/>
                <w:szCs w:val="16"/>
                <w:b w:val="1"/>
                <w:bCs w:val="1"/>
                <w:color w:val="auto"/>
                <w:w w:val="89"/>
              </w:rPr>
              <w:t>Comprehensive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60"/>
              <w:spacing w:after="0" w:line="142" w:lineRule="exact"/>
              <w:rPr>
                <w:sz w:val="20"/>
                <w:szCs w:val="20"/>
                <w:color w:val="auto"/>
              </w:rPr>
            </w:pPr>
            <w:r>
              <w:rPr>
                <w:rFonts w:ascii="Arial" w:cs="Arial" w:eastAsia="Arial" w:hAnsi="Arial"/>
                <w:sz w:val="16"/>
                <w:szCs w:val="16"/>
                <w:b w:val="1"/>
                <w:bCs w:val="1"/>
                <w:color w:val="auto"/>
                <w:w w:val="89"/>
              </w:rPr>
              <w:t>Accumulated</w:t>
            </w:r>
          </w:p>
        </w:tc>
        <w:tc>
          <w:tcPr>
            <w:tcW w:w="1660" w:type="dxa"/>
            <w:vAlign w:val="bottom"/>
            <w:tcBorders>
              <w:bottom w:val="single" w:sz="8" w:color="auto"/>
            </w:tcBorders>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79"/>
              <w:spacing w:after="0" w:line="142" w:lineRule="exact"/>
              <w:rPr>
                <w:sz w:val="20"/>
                <w:szCs w:val="20"/>
                <w:color w:val="auto"/>
              </w:rPr>
            </w:pPr>
            <w:r>
              <w:rPr>
                <w:rFonts w:ascii="Arial" w:cs="Arial" w:eastAsia="Arial" w:hAnsi="Arial"/>
                <w:sz w:val="16"/>
                <w:szCs w:val="16"/>
                <w:b w:val="1"/>
                <w:bCs w:val="1"/>
                <w:color w:val="auto"/>
                <w:w w:val="89"/>
              </w:rPr>
              <w:t>Stockholders'</w:t>
            </w:r>
          </w:p>
        </w:tc>
        <w:tc>
          <w:tcPr>
            <w:tcW w:w="0" w:type="dxa"/>
            <w:vAlign w:val="bottom"/>
          </w:tcPr>
          <w:p>
            <w:pPr>
              <w:spacing w:after="0"/>
              <w:rPr>
                <w:sz w:val="1"/>
                <w:szCs w:val="1"/>
                <w:color w:val="auto"/>
              </w:rPr>
            </w:pPr>
          </w:p>
        </w:tc>
      </w:tr>
      <w:tr>
        <w:trPr>
          <w:trHeight w:val="207"/>
        </w:trPr>
        <w:tc>
          <w:tcPr>
            <w:tcW w:w="2220" w:type="dxa"/>
            <w:vAlign w:val="bottom"/>
          </w:tcPr>
          <w:p>
            <w:pPr>
              <w:spacing w:after="0"/>
              <w:rPr>
                <w:sz w:val="17"/>
                <w:szCs w:val="17"/>
                <w:color w:val="auto"/>
              </w:rPr>
            </w:pP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5"/>
              </w:rPr>
              <w:t>Amount</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Capital</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2"/>
              </w:rPr>
              <w:t>Income</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3"/>
              </w:rPr>
              <w:t>Deficit</w:t>
            </w:r>
          </w:p>
        </w:tc>
        <w:tc>
          <w:tcPr>
            <w:tcW w:w="120" w:type="dxa"/>
            <w:vAlign w:val="bottom"/>
          </w:tcPr>
          <w:p>
            <w:pPr>
              <w:spacing w:after="0"/>
              <w:rPr>
                <w:sz w:val="17"/>
                <w:szCs w:val="17"/>
                <w:color w:val="auto"/>
              </w:rPr>
            </w:pP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212"/>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w w:val="95"/>
              </w:rPr>
              <w:t>Balance at December 31, 2021</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(1,181.6)</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1,327.4</w:t>
            </w:r>
          </w:p>
        </w:tc>
        <w:tc>
          <w:tcPr>
            <w:tcW w:w="0" w:type="dxa"/>
            <w:vAlign w:val="bottom"/>
          </w:tcPr>
          <w:p>
            <w:pPr>
              <w:spacing w:after="0"/>
              <w:rPr>
                <w:sz w:val="1"/>
                <w:szCs w:val="1"/>
                <w:color w:val="auto"/>
              </w:rPr>
            </w:pPr>
          </w:p>
        </w:tc>
      </w:tr>
      <w:tr>
        <w:trPr>
          <w:trHeight w:val="166"/>
        </w:trPr>
        <w:tc>
          <w:tcPr>
            <w:tcW w:w="2220" w:type="dxa"/>
            <w:vAlign w:val="bottom"/>
          </w:tcPr>
          <w:p>
            <w:pPr>
              <w:ind w:left="140"/>
              <w:spacing w:after="0" w:line="166" w:lineRule="exact"/>
              <w:rPr>
                <w:sz w:val="20"/>
                <w:szCs w:val="20"/>
                <w:color w:val="auto"/>
              </w:rPr>
            </w:pPr>
            <w:r>
              <w:rPr>
                <w:rFonts w:ascii="Arial" w:cs="Arial" w:eastAsia="Arial" w:hAnsi="Arial"/>
                <w:sz w:val="16"/>
                <w:szCs w:val="16"/>
                <w:color w:val="auto"/>
                <w:w w:val="98"/>
              </w:rPr>
              <w:t>Exercise of stock options and</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restart"/>
          </w:tcPr>
          <w:p>
            <w:pPr>
              <w:ind w:left="880"/>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restart"/>
          </w:tcPr>
          <w:p>
            <w:pPr>
              <w:ind w:left="5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09"/>
        </w:trPr>
        <w:tc>
          <w:tcPr>
            <w:tcW w:w="2220" w:type="dxa"/>
            <w:vAlign w:val="bottom"/>
          </w:tcPr>
          <w:p>
            <w:pPr>
              <w:ind w:left="140"/>
              <w:spacing w:after="0"/>
              <w:rPr>
                <w:sz w:val="20"/>
                <w:szCs w:val="20"/>
                <w:color w:val="auto"/>
              </w:rPr>
            </w:pPr>
            <w:r>
              <w:rPr>
                <w:rFonts w:ascii="Arial" w:cs="Arial" w:eastAsia="Arial" w:hAnsi="Arial"/>
                <w:sz w:val="16"/>
                <w:szCs w:val="16"/>
                <w:color w:val="auto"/>
              </w:rPr>
              <w:t>release of stock awards</w:t>
            </w: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22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Issuance of shares from</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2"/>
        </w:trPr>
        <w:tc>
          <w:tcPr>
            <w:tcW w:w="222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1"/>
              </w:rPr>
              <w:t>Employee Stock Purchase Plan</w:t>
            </w: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220" w:type="dxa"/>
            <w:vAlign w:val="bottom"/>
          </w:tcPr>
          <w:p>
            <w:pPr>
              <w:ind w:left="140"/>
              <w:spacing w:after="0" w:line="166" w:lineRule="exact"/>
              <w:rPr>
                <w:sz w:val="20"/>
                <w:szCs w:val="20"/>
                <w:color w:val="auto"/>
              </w:rPr>
            </w:pPr>
            <w:r>
              <w:rPr>
                <w:rFonts w:ascii="Arial" w:cs="Arial" w:eastAsia="Arial" w:hAnsi="Arial"/>
                <w:sz w:val="16"/>
                <w:szCs w:val="16"/>
                <w:color w:val="auto"/>
              </w:rPr>
              <w:t>Share-based compensation</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40.1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restart"/>
          </w:tcPr>
          <w:p>
            <w:pPr>
              <w:ind w:left="880"/>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restart"/>
          </w:tcPr>
          <w:p>
            <w:pPr>
              <w:ind w:left="5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40.1</w:t>
            </w:r>
          </w:p>
        </w:tc>
        <w:tc>
          <w:tcPr>
            <w:tcW w:w="0" w:type="dxa"/>
            <w:vAlign w:val="bottom"/>
          </w:tcPr>
          <w:p>
            <w:pPr>
              <w:spacing w:after="0"/>
              <w:rPr>
                <w:sz w:val="1"/>
                <w:szCs w:val="1"/>
                <w:color w:val="auto"/>
              </w:rPr>
            </w:pPr>
          </w:p>
        </w:tc>
      </w:tr>
      <w:tr>
        <w:trPr>
          <w:trHeight w:val="209"/>
        </w:trPr>
        <w:tc>
          <w:tcPr>
            <w:tcW w:w="2220" w:type="dxa"/>
            <w:vAlign w:val="bottom"/>
          </w:tcPr>
          <w:p>
            <w:pPr>
              <w:ind w:left="140"/>
              <w:spacing w:after="0"/>
              <w:rPr>
                <w:sz w:val="20"/>
                <w:szCs w:val="20"/>
                <w:color w:val="auto"/>
              </w:rPr>
            </w:pPr>
            <w:r>
              <w:rPr>
                <w:rFonts w:ascii="Arial" w:cs="Arial" w:eastAsia="Arial" w:hAnsi="Arial"/>
                <w:sz w:val="16"/>
                <w:szCs w:val="16"/>
                <w:color w:val="auto"/>
              </w:rPr>
              <w:t>expense</w:t>
            </w: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w:t>
            </w:r>
          </w:p>
        </w:tc>
        <w:tc>
          <w:tcPr>
            <w:tcW w:w="0" w:type="dxa"/>
            <w:vAlign w:val="bottom"/>
          </w:tcPr>
          <w:p>
            <w:pPr>
              <w:spacing w:after="0"/>
              <w:rPr>
                <w:sz w:val="1"/>
                <w:szCs w:val="1"/>
                <w:color w:val="auto"/>
              </w:rPr>
            </w:pPr>
          </w:p>
        </w:tc>
      </w:tr>
      <w:tr>
        <w:trPr>
          <w:trHeight w:val="213"/>
        </w:trPr>
        <w:tc>
          <w:tcPr>
            <w:tcW w:w="2220" w:type="dxa"/>
            <w:vAlign w:val="bottom"/>
          </w:tcPr>
          <w:p>
            <w:pPr>
              <w:ind w:left="140"/>
              <w:spacing w:after="0"/>
              <w:rPr>
                <w:sz w:val="20"/>
                <w:szCs w:val="20"/>
                <w:color w:val="auto"/>
              </w:rPr>
            </w:pPr>
            <w:r>
              <w:rPr>
                <w:rFonts w:ascii="Arial" w:cs="Arial" w:eastAsia="Arial" w:hAnsi="Arial"/>
                <w:sz w:val="16"/>
                <w:szCs w:val="16"/>
                <w:color w:val="auto"/>
                <w:w w:val="98"/>
              </w:rPr>
              <w:t>Other comprehensive income</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38.2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ind w:left="5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38.2</w:t>
            </w:r>
          </w:p>
        </w:tc>
        <w:tc>
          <w:tcPr>
            <w:tcW w:w="0" w:type="dxa"/>
            <w:vAlign w:val="bottom"/>
          </w:tcPr>
          <w:p>
            <w:pPr>
              <w:spacing w:after="0"/>
              <w:rPr>
                <w:sz w:val="1"/>
                <w:szCs w:val="1"/>
                <w:color w:val="auto"/>
              </w:rPr>
            </w:pPr>
          </w:p>
        </w:tc>
      </w:tr>
      <w:tr>
        <w:trPr>
          <w:trHeight w:val="219"/>
        </w:trPr>
        <w:tc>
          <w:tcPr>
            <w:tcW w:w="2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w w:val="97"/>
              </w:rPr>
              <w:t>Repurchase of common stock</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0" w:type="dxa"/>
            <w:vAlign w:val="bottom"/>
          </w:tcPr>
          <w:p>
            <w:pPr>
              <w:spacing w:after="0"/>
              <w:rPr>
                <w:sz w:val="1"/>
                <w:szCs w:val="1"/>
                <w:color w:val="auto"/>
              </w:rPr>
            </w:pPr>
          </w:p>
        </w:tc>
      </w:tr>
      <w:tr>
        <w:trPr>
          <w:trHeight w:val="210"/>
        </w:trPr>
        <w:tc>
          <w:tcPr>
            <w:tcW w:w="2220" w:type="dxa"/>
            <w:vAlign w:val="bottom"/>
          </w:tcPr>
          <w:p>
            <w:pPr>
              <w:ind w:left="20"/>
              <w:spacing w:after="0"/>
              <w:rPr>
                <w:sz w:val="20"/>
                <w:szCs w:val="20"/>
                <w:color w:val="auto"/>
              </w:rPr>
            </w:pPr>
            <w:r>
              <w:rPr>
                <w:rFonts w:ascii="Arial" w:cs="Arial" w:eastAsia="Arial" w:hAnsi="Arial"/>
                <w:sz w:val="16"/>
                <w:szCs w:val="16"/>
                <w:b w:val="1"/>
                <w:bCs w:val="1"/>
                <w:color w:val="auto"/>
              </w:rPr>
              <w:t>Balance at June 30, 2022</w:t>
            </w:r>
          </w:p>
        </w:tc>
        <w:tc>
          <w:tcPr>
            <w:tcW w:w="740" w:type="dxa"/>
            <w:vAlign w:val="bottom"/>
          </w:tcPr>
          <w:p>
            <w:pPr>
              <w:jc w:val="right"/>
              <w:spacing w:after="0"/>
              <w:rPr>
                <w:sz w:val="20"/>
                <w:szCs w:val="20"/>
                <w:color w:val="auto"/>
              </w:rPr>
            </w:pPr>
            <w:r>
              <w:rPr>
                <w:rFonts w:ascii="Arial" w:cs="Arial" w:eastAsia="Arial" w:hAnsi="Arial"/>
                <w:sz w:val="16"/>
                <w:szCs w:val="16"/>
                <w:color w:val="auto"/>
              </w:rPr>
              <w:t>213.5</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2.1</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2,542.9</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45.1</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(1,260.7)</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3.1</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(31.0)</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1,298.4</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2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680" w:type="dxa"/>
            <w:vAlign w:val="bottom"/>
            <w:gridSpan w:val="5"/>
            <w:vMerge w:val="restart"/>
          </w:tcPr>
          <w:p>
            <w:pPr>
              <w:jc w:val="right"/>
              <w:ind w:right="219"/>
              <w:spacing w:after="0"/>
              <w:rPr>
                <w:sz w:val="20"/>
                <w:szCs w:val="20"/>
                <w:color w:val="auto"/>
              </w:rPr>
            </w:pPr>
            <w:r>
              <w:rPr>
                <w:rFonts w:ascii="Arial" w:cs="Arial" w:eastAsia="Arial" w:hAnsi="Arial"/>
                <w:sz w:val="16"/>
                <w:szCs w:val="16"/>
                <w:b w:val="1"/>
                <w:bCs w:val="1"/>
                <w:color w:val="auto"/>
              </w:rPr>
              <w:t>Common Stock</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center"/>
              <w:ind w:right="39"/>
              <w:spacing w:after="0"/>
              <w:rPr>
                <w:sz w:val="20"/>
                <w:szCs w:val="20"/>
                <w:color w:val="auto"/>
              </w:rPr>
            </w:pPr>
            <w:r>
              <w:rPr>
                <w:rFonts w:ascii="Arial" w:cs="Arial" w:eastAsia="Arial" w:hAnsi="Arial"/>
                <w:sz w:val="16"/>
                <w:szCs w:val="16"/>
                <w:b w:val="1"/>
                <w:bCs w:val="1"/>
                <w:color w:val="auto"/>
                <w:w w:val="94"/>
              </w:rPr>
              <w:t>Additional</w:t>
            </w:r>
          </w:p>
        </w:tc>
        <w:tc>
          <w:tcPr>
            <w:tcW w:w="120" w:type="dxa"/>
            <w:vAlign w:val="bottom"/>
          </w:tcPr>
          <w:p>
            <w:pPr>
              <w:spacing w:after="0"/>
              <w:rPr>
                <w:sz w:val="16"/>
                <w:szCs w:val="16"/>
                <w:color w:val="auto"/>
              </w:rPr>
            </w:pPr>
          </w:p>
        </w:tc>
        <w:tc>
          <w:tcPr>
            <w:tcW w:w="14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Accumulated Other</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6"/>
            <w:vMerge w:val="restart"/>
          </w:tcPr>
          <w:p>
            <w:pPr>
              <w:jc w:val="right"/>
              <w:spacing w:after="0"/>
              <w:rPr>
                <w:sz w:val="20"/>
                <w:szCs w:val="20"/>
                <w:color w:val="auto"/>
              </w:rPr>
            </w:pPr>
            <w:r>
              <w:rPr>
                <w:rFonts w:ascii="Arial" w:cs="Arial" w:eastAsia="Arial" w:hAnsi="Arial"/>
                <w:sz w:val="16"/>
                <w:szCs w:val="16"/>
                <w:b w:val="1"/>
                <w:bCs w:val="1"/>
                <w:color w:val="auto"/>
                <w:w w:val="90"/>
              </w:rPr>
              <w:t>Treasury Stock, at Cost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center"/>
              <w:ind w:right="59"/>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153"/>
        </w:trPr>
        <w:tc>
          <w:tcPr>
            <w:tcW w:w="2220" w:type="dxa"/>
            <w:vAlign w:val="bottom"/>
            <w:vMerge w:val="continue"/>
          </w:tcPr>
          <w:p>
            <w:pPr>
              <w:spacing w:after="0"/>
              <w:rPr>
                <w:sz w:val="12"/>
                <w:szCs w:val="12"/>
                <w:color w:val="auto"/>
              </w:rPr>
            </w:pPr>
          </w:p>
        </w:tc>
        <w:tc>
          <w:tcPr>
            <w:tcW w:w="1680" w:type="dxa"/>
            <w:vAlign w:val="bottom"/>
            <w:tcBorders>
              <w:bottom w:val="single" w:sz="8" w:color="auto"/>
            </w:tcBorders>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39"/>
              <w:spacing w:after="0" w:line="142" w:lineRule="exact"/>
              <w:rPr>
                <w:sz w:val="20"/>
                <w:szCs w:val="20"/>
                <w:color w:val="auto"/>
              </w:rPr>
            </w:pPr>
            <w:r>
              <w:rPr>
                <w:rFonts w:ascii="Arial" w:cs="Arial" w:eastAsia="Arial" w:hAnsi="Arial"/>
                <w:sz w:val="16"/>
                <w:szCs w:val="16"/>
                <w:b w:val="1"/>
                <w:bCs w:val="1"/>
                <w:color w:val="auto"/>
              </w:rPr>
              <w:t>Paid-In</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jc w:val="center"/>
              <w:ind w:right="79"/>
              <w:spacing w:after="0" w:line="142" w:lineRule="exact"/>
              <w:rPr>
                <w:sz w:val="20"/>
                <w:szCs w:val="20"/>
                <w:color w:val="auto"/>
              </w:rPr>
            </w:pPr>
            <w:r>
              <w:rPr>
                <w:rFonts w:ascii="Arial" w:cs="Arial" w:eastAsia="Arial" w:hAnsi="Arial"/>
                <w:sz w:val="16"/>
                <w:szCs w:val="16"/>
                <w:b w:val="1"/>
                <w:bCs w:val="1"/>
                <w:color w:val="auto"/>
                <w:w w:val="89"/>
              </w:rPr>
              <w:t>Comprehensive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tcPr>
          <w:p>
            <w:pPr>
              <w:jc w:val="center"/>
              <w:ind w:right="240"/>
              <w:spacing w:after="0" w:line="142" w:lineRule="exact"/>
              <w:rPr>
                <w:sz w:val="20"/>
                <w:szCs w:val="20"/>
                <w:color w:val="auto"/>
              </w:rPr>
            </w:pPr>
            <w:r>
              <w:rPr>
                <w:rFonts w:ascii="Arial" w:cs="Arial" w:eastAsia="Arial" w:hAnsi="Arial"/>
                <w:sz w:val="16"/>
                <w:szCs w:val="16"/>
                <w:b w:val="1"/>
                <w:bCs w:val="1"/>
                <w:color w:val="auto"/>
                <w:w w:val="91"/>
              </w:rPr>
              <w:t>Accumulated</w:t>
            </w:r>
          </w:p>
        </w:tc>
        <w:tc>
          <w:tcPr>
            <w:tcW w:w="1660" w:type="dxa"/>
            <w:vAlign w:val="bottom"/>
            <w:tcBorders>
              <w:bottom w:val="single" w:sz="8" w:color="auto"/>
            </w:tcBorders>
            <w:gridSpan w:val="6"/>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center"/>
              <w:ind w:right="59"/>
              <w:spacing w:after="0" w:line="142" w:lineRule="exact"/>
              <w:rPr>
                <w:sz w:val="20"/>
                <w:szCs w:val="20"/>
                <w:color w:val="auto"/>
              </w:rPr>
            </w:pPr>
            <w:r>
              <w:rPr>
                <w:rFonts w:ascii="Arial" w:cs="Arial" w:eastAsia="Arial" w:hAnsi="Arial"/>
                <w:sz w:val="16"/>
                <w:szCs w:val="16"/>
                <w:b w:val="1"/>
                <w:bCs w:val="1"/>
                <w:color w:val="auto"/>
                <w:w w:val="89"/>
              </w:rPr>
              <w:t>Stockholders'</w:t>
            </w:r>
          </w:p>
        </w:tc>
        <w:tc>
          <w:tcPr>
            <w:tcW w:w="0" w:type="dxa"/>
            <w:vAlign w:val="bottom"/>
          </w:tcPr>
          <w:p>
            <w:pPr>
              <w:spacing w:after="0"/>
              <w:rPr>
                <w:sz w:val="1"/>
                <w:szCs w:val="1"/>
                <w:color w:val="auto"/>
              </w:rPr>
            </w:pPr>
          </w:p>
        </w:tc>
      </w:tr>
      <w:tr>
        <w:trPr>
          <w:trHeight w:val="207"/>
        </w:trPr>
        <w:tc>
          <w:tcPr>
            <w:tcW w:w="222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Shares</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2"/>
              </w:rPr>
              <w:t>Amount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3"/>
              </w:rPr>
              <w:t>Capital</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2"/>
              </w:rPr>
              <w:t>Income</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3"/>
              </w:rPr>
              <w:t>Deficit</w:t>
            </w:r>
          </w:p>
        </w:tc>
        <w:tc>
          <w:tcPr>
            <w:tcW w:w="120" w:type="dxa"/>
            <w:vAlign w:val="bottom"/>
            <w:tcBorders>
              <w:bottom w:val="single" w:sz="8" w:color="CCEEFF"/>
            </w:tcBorders>
            <w:gridSpan w:val="2"/>
          </w:tcPr>
          <w:p>
            <w:pPr>
              <w:spacing w:after="0"/>
              <w:rPr>
                <w:sz w:val="17"/>
                <w:szCs w:val="17"/>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Shares</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Amount</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212"/>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2023</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218.1</w:t>
            </w: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2,588.0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(2,598.4)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24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166"/>
        </w:trPr>
        <w:tc>
          <w:tcPr>
            <w:tcW w:w="2220" w:type="dxa"/>
            <w:vAlign w:val="bottom"/>
          </w:tcPr>
          <w:p>
            <w:pPr>
              <w:ind w:left="140"/>
              <w:spacing w:after="0" w:line="166" w:lineRule="exact"/>
              <w:rPr>
                <w:sz w:val="20"/>
                <w:szCs w:val="20"/>
                <w:color w:val="auto"/>
              </w:rPr>
            </w:pPr>
            <w:r>
              <w:rPr>
                <w:rFonts w:ascii="Arial" w:cs="Arial" w:eastAsia="Arial" w:hAnsi="Arial"/>
                <w:sz w:val="16"/>
                <w:szCs w:val="16"/>
                <w:color w:val="auto"/>
                <w:w w:val="98"/>
              </w:rPr>
              <w:t>Exercise of stock options and</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0.3</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vMerge w:val="restart"/>
          </w:tcPr>
          <w:p>
            <w:pPr>
              <w:ind w:left="900"/>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ind w:left="4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220" w:type="dxa"/>
            <w:vAlign w:val="bottom"/>
          </w:tcPr>
          <w:p>
            <w:pPr>
              <w:ind w:left="140"/>
              <w:spacing w:after="0"/>
              <w:rPr>
                <w:sz w:val="20"/>
                <w:szCs w:val="20"/>
                <w:color w:val="auto"/>
              </w:rPr>
            </w:pPr>
            <w:r>
              <w:rPr>
                <w:rFonts w:ascii="Arial" w:cs="Arial" w:eastAsia="Arial" w:hAnsi="Arial"/>
                <w:sz w:val="16"/>
                <w:szCs w:val="16"/>
                <w:color w:val="auto"/>
              </w:rPr>
              <w:t>release of stock awards</w:t>
            </w:r>
          </w:p>
        </w:tc>
        <w:tc>
          <w:tcPr>
            <w:tcW w:w="7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22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Issuance of shares from</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3"/>
            <w:vMerge w:val="restart"/>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12"/>
        </w:trPr>
        <w:tc>
          <w:tcPr>
            <w:tcW w:w="222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1"/>
              </w:rPr>
              <w:t>Employee Stock Purchase Plan</w:t>
            </w:r>
          </w:p>
        </w:tc>
        <w:tc>
          <w:tcPr>
            <w:tcW w:w="72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3"/>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220" w:type="dxa"/>
            <w:vAlign w:val="bottom"/>
          </w:tcPr>
          <w:p>
            <w:pPr>
              <w:ind w:left="140"/>
              <w:spacing w:after="0" w:line="166" w:lineRule="exact"/>
              <w:rPr>
                <w:sz w:val="20"/>
                <w:szCs w:val="20"/>
                <w:color w:val="auto"/>
              </w:rPr>
            </w:pPr>
            <w:r>
              <w:rPr>
                <w:rFonts w:ascii="Arial" w:cs="Arial" w:eastAsia="Arial" w:hAnsi="Arial"/>
                <w:sz w:val="16"/>
                <w:szCs w:val="16"/>
                <w:color w:val="auto"/>
              </w:rPr>
              <w:t>Share-based compensation</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20" w:type="dxa"/>
            <w:vAlign w:val="bottom"/>
          </w:tcPr>
          <w:p>
            <w:pPr>
              <w:ind w:left="140"/>
              <w:spacing w:after="0" w:line="162" w:lineRule="exact"/>
              <w:rPr>
                <w:sz w:val="20"/>
                <w:szCs w:val="20"/>
                <w:color w:val="auto"/>
              </w:rPr>
            </w:pPr>
            <w:r>
              <w:rPr>
                <w:rFonts w:ascii="Arial" w:cs="Arial" w:eastAsia="Arial" w:hAnsi="Arial"/>
                <w:sz w:val="16"/>
                <w:szCs w:val="16"/>
                <w:color w:val="auto"/>
              </w:rPr>
              <w:t>expense for equity classified</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18.6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vMerge w:val="restart"/>
          </w:tcPr>
          <w:p>
            <w:pPr>
              <w:ind w:left="900"/>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ind w:left="4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209"/>
        </w:trPr>
        <w:tc>
          <w:tcPr>
            <w:tcW w:w="2220" w:type="dxa"/>
            <w:vAlign w:val="bottom"/>
          </w:tcPr>
          <w:p>
            <w:pPr>
              <w:ind w:left="140"/>
              <w:spacing w:after="0"/>
              <w:rPr>
                <w:sz w:val="20"/>
                <w:szCs w:val="20"/>
                <w:color w:val="auto"/>
              </w:rPr>
            </w:pPr>
            <w:r>
              <w:rPr>
                <w:rFonts w:ascii="Arial" w:cs="Arial" w:eastAsia="Arial" w:hAnsi="Arial"/>
                <w:sz w:val="16"/>
                <w:szCs w:val="16"/>
                <w:color w:val="auto"/>
              </w:rPr>
              <w:t>awards</w:t>
            </w:r>
          </w:p>
        </w:tc>
        <w:tc>
          <w:tcPr>
            <w:tcW w:w="7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0" w:type="dxa"/>
            <w:vAlign w:val="bottom"/>
          </w:tcPr>
          <w:p>
            <w:pPr>
              <w:spacing w:after="0"/>
              <w:rPr>
                <w:sz w:val="1"/>
                <w:szCs w:val="1"/>
                <w:color w:val="auto"/>
              </w:rPr>
            </w:pPr>
          </w:p>
        </w:tc>
      </w:tr>
      <w:tr>
        <w:trPr>
          <w:trHeight w:val="203"/>
        </w:trPr>
        <w:tc>
          <w:tcPr>
            <w:tcW w:w="2220" w:type="dxa"/>
            <w:vAlign w:val="bottom"/>
          </w:tcPr>
          <w:p>
            <w:pPr>
              <w:ind w:left="140"/>
              <w:spacing w:after="0"/>
              <w:rPr>
                <w:sz w:val="20"/>
                <w:szCs w:val="20"/>
                <w:color w:val="auto"/>
              </w:rPr>
            </w:pPr>
            <w:r>
              <w:rPr>
                <w:rFonts w:ascii="Arial" w:cs="Arial" w:eastAsia="Arial" w:hAnsi="Arial"/>
                <w:sz w:val="16"/>
                <w:szCs w:val="16"/>
                <w:color w:val="auto"/>
                <w:w w:val="98"/>
              </w:rPr>
              <w:t>Other comprehensive income</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ind w:left="900"/>
              <w:spacing w:after="0"/>
              <w:rPr>
                <w:sz w:val="20"/>
                <w:szCs w:val="20"/>
                <w:color w:val="auto"/>
              </w:rPr>
            </w:pPr>
            <w:r>
              <w:rPr>
                <w:rFonts w:ascii="Arial" w:cs="Arial" w:eastAsia="Arial" w:hAnsi="Arial"/>
                <w:sz w:val="16"/>
                <w:szCs w:val="16"/>
                <w:color w:val="auto"/>
              </w:rPr>
              <w:t>—</w:t>
            </w:r>
          </w:p>
        </w:tc>
        <w:tc>
          <w:tcPr>
            <w:tcW w:w="120" w:type="dxa"/>
            <w:vAlign w:val="bottom"/>
            <w:gridSpan w:val="2"/>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29"/>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30, 2023</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218.8</w:t>
            </w: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2,607.4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(2,625.6)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24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6"/>
        </w:trPr>
        <w:tc>
          <w:tcPr>
            <w:tcW w:w="222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680" w:type="dxa"/>
            <w:vAlign w:val="bottom"/>
            <w:gridSpan w:val="5"/>
            <w:vMerge w:val="restart"/>
          </w:tcPr>
          <w:p>
            <w:pPr>
              <w:jc w:val="right"/>
              <w:ind w:right="219"/>
              <w:spacing w:after="0"/>
              <w:rPr>
                <w:sz w:val="20"/>
                <w:szCs w:val="20"/>
                <w:color w:val="auto"/>
              </w:rPr>
            </w:pPr>
            <w:r>
              <w:rPr>
                <w:rFonts w:ascii="Arial" w:cs="Arial" w:eastAsia="Arial" w:hAnsi="Arial"/>
                <w:sz w:val="16"/>
                <w:szCs w:val="16"/>
                <w:b w:val="1"/>
                <w:bCs w:val="1"/>
                <w:color w:val="auto"/>
              </w:rPr>
              <w:t>Common Stock</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center"/>
              <w:ind w:right="39"/>
              <w:spacing w:after="0"/>
              <w:rPr>
                <w:sz w:val="20"/>
                <w:szCs w:val="20"/>
                <w:color w:val="auto"/>
              </w:rPr>
            </w:pPr>
            <w:r>
              <w:rPr>
                <w:rFonts w:ascii="Arial" w:cs="Arial" w:eastAsia="Arial" w:hAnsi="Arial"/>
                <w:sz w:val="16"/>
                <w:szCs w:val="16"/>
                <w:b w:val="1"/>
                <w:bCs w:val="1"/>
                <w:color w:val="auto"/>
                <w:w w:val="94"/>
              </w:rPr>
              <w:t>Additional</w:t>
            </w:r>
          </w:p>
        </w:tc>
        <w:tc>
          <w:tcPr>
            <w:tcW w:w="120" w:type="dxa"/>
            <w:vAlign w:val="bottom"/>
          </w:tcPr>
          <w:p>
            <w:pPr>
              <w:spacing w:after="0"/>
              <w:rPr>
                <w:sz w:val="24"/>
                <w:szCs w:val="24"/>
                <w:color w:val="auto"/>
              </w:rPr>
            </w:pPr>
          </w:p>
        </w:tc>
        <w:tc>
          <w:tcPr>
            <w:tcW w:w="14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Accumulated Other</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6"/>
            <w:vMerge w:val="restart"/>
          </w:tcPr>
          <w:p>
            <w:pPr>
              <w:jc w:val="right"/>
              <w:spacing w:after="0"/>
              <w:rPr>
                <w:sz w:val="20"/>
                <w:szCs w:val="20"/>
                <w:color w:val="auto"/>
              </w:rPr>
            </w:pPr>
            <w:r>
              <w:rPr>
                <w:rFonts w:ascii="Arial" w:cs="Arial" w:eastAsia="Arial" w:hAnsi="Arial"/>
                <w:sz w:val="16"/>
                <w:szCs w:val="16"/>
                <w:b w:val="1"/>
                <w:bCs w:val="1"/>
                <w:color w:val="auto"/>
                <w:w w:val="90"/>
              </w:rPr>
              <w:t>Treasury Stock, at Cost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jc w:val="center"/>
              <w:ind w:right="59"/>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118"/>
        </w:trPr>
        <w:tc>
          <w:tcPr>
            <w:tcW w:w="2220" w:type="dxa"/>
            <w:vAlign w:val="bottom"/>
            <w:vMerge w:val="continue"/>
          </w:tcPr>
          <w:p>
            <w:pPr>
              <w:spacing w:after="0"/>
              <w:rPr>
                <w:sz w:val="10"/>
                <w:szCs w:val="10"/>
                <w:color w:val="auto"/>
              </w:rPr>
            </w:pPr>
          </w:p>
        </w:tc>
        <w:tc>
          <w:tcPr>
            <w:tcW w:w="1680" w:type="dxa"/>
            <w:vAlign w:val="bottom"/>
            <w:tcBorders>
              <w:bottom w:val="single" w:sz="8" w:color="auto"/>
            </w:tcBorders>
            <w:gridSpan w:val="5"/>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vMerge w:val="restart"/>
          </w:tcPr>
          <w:p>
            <w:pPr>
              <w:jc w:val="center"/>
              <w:ind w:right="19"/>
              <w:spacing w:after="0" w:line="162" w:lineRule="exact"/>
              <w:rPr>
                <w:sz w:val="20"/>
                <w:szCs w:val="20"/>
                <w:color w:val="auto"/>
              </w:rPr>
            </w:pPr>
            <w:r>
              <w:rPr>
                <w:rFonts w:ascii="Arial" w:cs="Arial" w:eastAsia="Arial" w:hAnsi="Arial"/>
                <w:sz w:val="16"/>
                <w:szCs w:val="16"/>
                <w:b w:val="1"/>
                <w:bCs w:val="1"/>
                <w:color w:val="auto"/>
                <w:w w:val="97"/>
              </w:rPr>
              <w:t>Paid-In</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vMerge w:val="restart"/>
          </w:tcPr>
          <w:p>
            <w:pPr>
              <w:jc w:val="center"/>
              <w:ind w:right="79"/>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3"/>
            <w:vMerge w:val="restart"/>
          </w:tcPr>
          <w:p>
            <w:pPr>
              <w:jc w:val="center"/>
              <w:ind w:right="240"/>
              <w:spacing w:after="0" w:line="162" w:lineRule="exact"/>
              <w:rPr>
                <w:sz w:val="20"/>
                <w:szCs w:val="20"/>
                <w:color w:val="auto"/>
              </w:rPr>
            </w:pPr>
            <w:r>
              <w:rPr>
                <w:rFonts w:ascii="Arial" w:cs="Arial" w:eastAsia="Arial" w:hAnsi="Arial"/>
                <w:sz w:val="16"/>
                <w:szCs w:val="16"/>
                <w:b w:val="1"/>
                <w:bCs w:val="1"/>
                <w:color w:val="auto"/>
                <w:w w:val="91"/>
              </w:rPr>
              <w:t>Accumulated</w:t>
            </w:r>
          </w:p>
        </w:tc>
        <w:tc>
          <w:tcPr>
            <w:tcW w:w="1660" w:type="dxa"/>
            <w:vAlign w:val="bottom"/>
            <w:tcBorders>
              <w:bottom w:val="single" w:sz="8" w:color="auto"/>
            </w:tcBorders>
            <w:gridSpan w:val="6"/>
            <w:vMerge w:val="continue"/>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vMerge w:val="restart"/>
          </w:tcPr>
          <w:p>
            <w:pPr>
              <w:jc w:val="center"/>
              <w:ind w:right="59"/>
              <w:spacing w:after="0" w:line="162" w:lineRule="exact"/>
              <w:rPr>
                <w:sz w:val="20"/>
                <w:szCs w:val="20"/>
                <w:color w:val="auto"/>
              </w:rPr>
            </w:pPr>
            <w:r>
              <w:rPr>
                <w:rFonts w:ascii="Arial" w:cs="Arial" w:eastAsia="Arial" w:hAnsi="Arial"/>
                <w:sz w:val="16"/>
                <w:szCs w:val="16"/>
                <w:b w:val="1"/>
                <w:bCs w:val="1"/>
                <w:color w:val="auto"/>
                <w:w w:val="89"/>
              </w:rPr>
              <w:t>Stockholders'</w:t>
            </w:r>
          </w:p>
        </w:tc>
        <w:tc>
          <w:tcPr>
            <w:tcW w:w="0" w:type="dxa"/>
            <w:vAlign w:val="bottom"/>
          </w:tcPr>
          <w:p>
            <w:pPr>
              <w:spacing w:after="0"/>
              <w:rPr>
                <w:sz w:val="1"/>
                <w:szCs w:val="1"/>
                <w:color w:val="auto"/>
              </w:rPr>
            </w:pPr>
          </w:p>
        </w:tc>
      </w:tr>
      <w:tr>
        <w:trPr>
          <w:trHeight w:val="23"/>
        </w:trPr>
        <w:tc>
          <w:tcPr>
            <w:tcW w:w="2220" w:type="dxa"/>
            <w:vAlign w:val="bottom"/>
          </w:tcPr>
          <w:p>
            <w:pPr>
              <w:spacing w:after="0"/>
              <w:rPr>
                <w:sz w:val="2"/>
                <w:szCs w:val="2"/>
                <w:color w:val="auto"/>
              </w:rPr>
            </w:pPr>
          </w:p>
        </w:tc>
        <w:tc>
          <w:tcPr>
            <w:tcW w:w="7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Shares</w:t>
            </w: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92"/>
              </w:rPr>
              <w:t>Amount</w:t>
            </w: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3"/>
            <w:vMerge w:val="continue"/>
          </w:tcPr>
          <w:p>
            <w:pPr>
              <w:spacing w:after="0"/>
              <w:rPr>
                <w:sz w:val="2"/>
                <w:szCs w:val="2"/>
                <w:color w:val="auto"/>
              </w:rPr>
            </w:pPr>
          </w:p>
        </w:tc>
        <w:tc>
          <w:tcPr>
            <w:tcW w:w="7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Shares</w:t>
            </w: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2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3"/>
              </w:rPr>
              <w:t>Capital</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89"/>
              </w:rPr>
              <w:t>Income</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3"/>
              </w:rPr>
              <w:t>Deficit</w:t>
            </w: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212"/>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w w:val="95"/>
              </w:rPr>
              <w:t>Balance at December 31, 2022</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215.7</w:t>
            </w: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2,573.3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(1,986.4)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24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629.5</w:t>
            </w:r>
          </w:p>
        </w:tc>
        <w:tc>
          <w:tcPr>
            <w:tcW w:w="0" w:type="dxa"/>
            <w:vAlign w:val="bottom"/>
          </w:tcPr>
          <w:p>
            <w:pPr>
              <w:spacing w:after="0"/>
              <w:rPr>
                <w:sz w:val="1"/>
                <w:szCs w:val="1"/>
                <w:color w:val="auto"/>
              </w:rPr>
            </w:pPr>
          </w:p>
        </w:tc>
      </w:tr>
      <w:tr>
        <w:trPr>
          <w:trHeight w:val="166"/>
        </w:trPr>
        <w:tc>
          <w:tcPr>
            <w:tcW w:w="2220" w:type="dxa"/>
            <w:vAlign w:val="bottom"/>
          </w:tcPr>
          <w:p>
            <w:pPr>
              <w:ind w:left="140"/>
              <w:spacing w:after="0" w:line="166" w:lineRule="exact"/>
              <w:rPr>
                <w:sz w:val="20"/>
                <w:szCs w:val="20"/>
                <w:color w:val="auto"/>
              </w:rPr>
            </w:pPr>
            <w:r>
              <w:rPr>
                <w:rFonts w:ascii="Arial" w:cs="Arial" w:eastAsia="Arial" w:hAnsi="Arial"/>
                <w:sz w:val="16"/>
                <w:szCs w:val="16"/>
                <w:color w:val="auto"/>
                <w:w w:val="98"/>
              </w:rPr>
              <w:t>Exercise of stock options and</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2.7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vMerge w:val="restart"/>
          </w:tcPr>
          <w:p>
            <w:pPr>
              <w:ind w:left="900"/>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ind w:left="4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220" w:type="dxa"/>
            <w:vAlign w:val="bottom"/>
          </w:tcPr>
          <w:p>
            <w:pPr>
              <w:ind w:left="140"/>
              <w:spacing w:after="0"/>
              <w:rPr>
                <w:sz w:val="20"/>
                <w:szCs w:val="20"/>
                <w:color w:val="auto"/>
              </w:rPr>
            </w:pPr>
            <w:r>
              <w:rPr>
                <w:rFonts w:ascii="Arial" w:cs="Arial" w:eastAsia="Arial" w:hAnsi="Arial"/>
                <w:sz w:val="16"/>
                <w:szCs w:val="16"/>
                <w:color w:val="auto"/>
              </w:rPr>
              <w:t>release of stock awards</w:t>
            </w:r>
          </w:p>
        </w:tc>
        <w:tc>
          <w:tcPr>
            <w:tcW w:w="7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22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Issuance of shares from</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3"/>
            <w:vMerge w:val="restart"/>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12"/>
        </w:trPr>
        <w:tc>
          <w:tcPr>
            <w:tcW w:w="222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1"/>
              </w:rPr>
              <w:t>Employee Stock Purchase Plan</w:t>
            </w:r>
          </w:p>
        </w:tc>
        <w:tc>
          <w:tcPr>
            <w:tcW w:w="72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3"/>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220" w:type="dxa"/>
            <w:vAlign w:val="bottom"/>
          </w:tcPr>
          <w:p>
            <w:pPr>
              <w:ind w:left="140"/>
              <w:spacing w:after="0" w:line="166" w:lineRule="exact"/>
              <w:rPr>
                <w:sz w:val="20"/>
                <w:szCs w:val="20"/>
                <w:color w:val="auto"/>
              </w:rPr>
            </w:pPr>
            <w:r>
              <w:rPr>
                <w:rFonts w:ascii="Arial" w:cs="Arial" w:eastAsia="Arial" w:hAnsi="Arial"/>
                <w:sz w:val="16"/>
                <w:szCs w:val="16"/>
                <w:color w:val="auto"/>
              </w:rPr>
              <w:t>Share-based compensation</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20" w:type="dxa"/>
            <w:vAlign w:val="bottom"/>
          </w:tcPr>
          <w:p>
            <w:pPr>
              <w:ind w:left="140"/>
              <w:spacing w:after="0" w:line="162" w:lineRule="exact"/>
              <w:rPr>
                <w:sz w:val="20"/>
                <w:szCs w:val="20"/>
                <w:color w:val="auto"/>
              </w:rPr>
            </w:pPr>
            <w:r>
              <w:rPr>
                <w:rFonts w:ascii="Arial" w:cs="Arial" w:eastAsia="Arial" w:hAnsi="Arial"/>
                <w:sz w:val="16"/>
                <w:szCs w:val="16"/>
                <w:color w:val="auto"/>
              </w:rPr>
              <w:t>expense for equity classified</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33.3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vMerge w:val="restart"/>
          </w:tcPr>
          <w:p>
            <w:pPr>
              <w:ind w:left="900"/>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ind w:left="4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33.3</w:t>
            </w:r>
          </w:p>
        </w:tc>
        <w:tc>
          <w:tcPr>
            <w:tcW w:w="0" w:type="dxa"/>
            <w:vAlign w:val="bottom"/>
          </w:tcPr>
          <w:p>
            <w:pPr>
              <w:spacing w:after="0"/>
              <w:rPr>
                <w:sz w:val="1"/>
                <w:szCs w:val="1"/>
                <w:color w:val="auto"/>
              </w:rPr>
            </w:pPr>
          </w:p>
        </w:tc>
      </w:tr>
      <w:tr>
        <w:trPr>
          <w:trHeight w:val="209"/>
        </w:trPr>
        <w:tc>
          <w:tcPr>
            <w:tcW w:w="2220" w:type="dxa"/>
            <w:vAlign w:val="bottom"/>
          </w:tcPr>
          <w:p>
            <w:pPr>
              <w:ind w:left="140"/>
              <w:spacing w:after="0"/>
              <w:rPr>
                <w:sz w:val="20"/>
                <w:szCs w:val="20"/>
                <w:color w:val="auto"/>
              </w:rPr>
            </w:pPr>
            <w:r>
              <w:rPr>
                <w:rFonts w:ascii="Arial" w:cs="Arial" w:eastAsia="Arial" w:hAnsi="Arial"/>
                <w:sz w:val="16"/>
                <w:szCs w:val="16"/>
                <w:color w:val="auto"/>
              </w:rPr>
              <w:t>awards</w:t>
            </w:r>
          </w:p>
        </w:tc>
        <w:tc>
          <w:tcPr>
            <w:tcW w:w="7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(639.2)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(639.2)</w:t>
            </w:r>
          </w:p>
        </w:tc>
        <w:tc>
          <w:tcPr>
            <w:tcW w:w="0" w:type="dxa"/>
            <w:vAlign w:val="bottom"/>
          </w:tcPr>
          <w:p>
            <w:pPr>
              <w:spacing w:after="0"/>
              <w:rPr>
                <w:sz w:val="1"/>
                <w:szCs w:val="1"/>
                <w:color w:val="auto"/>
              </w:rPr>
            </w:pPr>
          </w:p>
        </w:tc>
      </w:tr>
      <w:tr>
        <w:trPr>
          <w:trHeight w:val="203"/>
        </w:trPr>
        <w:tc>
          <w:tcPr>
            <w:tcW w:w="2220" w:type="dxa"/>
            <w:vAlign w:val="bottom"/>
          </w:tcPr>
          <w:p>
            <w:pPr>
              <w:ind w:left="140"/>
              <w:spacing w:after="0"/>
              <w:rPr>
                <w:sz w:val="20"/>
                <w:szCs w:val="20"/>
                <w:color w:val="auto"/>
              </w:rPr>
            </w:pPr>
            <w:r>
              <w:rPr>
                <w:rFonts w:ascii="Arial" w:cs="Arial" w:eastAsia="Arial" w:hAnsi="Arial"/>
                <w:sz w:val="16"/>
                <w:szCs w:val="16"/>
                <w:color w:val="auto"/>
                <w:w w:val="98"/>
              </w:rPr>
              <w:t>Other comprehensive income</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ind w:left="9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30"/>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30, 2023</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218.8</w:t>
            </w: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2,607.4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(2,625.6)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24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RACKSPACE TECHNOLOGY,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Company Overview, Basis of Presentation, and 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Operations and Basis of Presentation</w:t>
      </w:r>
    </w:p>
    <w:p>
      <w:pPr>
        <w:spacing w:after="0" w:line="252" w:lineRule="exact"/>
        <w:rPr>
          <w:sz w:val="20"/>
          <w:szCs w:val="20"/>
          <w:color w:val="auto"/>
        </w:rPr>
      </w:pPr>
    </w:p>
    <w:p>
      <w:pPr>
        <w:ind w:right="320" w:firstLine="486"/>
        <w:spacing w:after="0" w:line="257" w:lineRule="auto"/>
        <w:rPr>
          <w:sz w:val="20"/>
          <w:szCs w:val="20"/>
          <w:color w:val="auto"/>
        </w:rPr>
      </w:pPr>
      <w:r>
        <w:rPr>
          <w:rFonts w:ascii="Arial" w:cs="Arial" w:eastAsia="Arial" w:hAnsi="Arial"/>
          <w:sz w:val="18"/>
          <w:szCs w:val="18"/>
          <w:color w:val="auto"/>
        </w:rPr>
        <w:t>Rackspace Technology, Inc. ("Rackspace Technology") is a Delaware corporation controlled by investment funds affiliated with Apollo Global Management, Inc. and its subsidiaries ("Apollo"). Rackspace Technology was formed on July 21, 2016 but had no assets, liabilities or operating results until November 3, 2016 when Rackspace Hosting, Inc. (now named Rackspace Technology Global, Inc., or "Rackspace Technology Global"), a global provider of modern information technology-as-a-service, was acquired by Inception Parent, Inc., a wholly-owned entity indirectly owned by Rackspace Technology (the "Rackspace Acquisition").</w:t>
      </w:r>
    </w:p>
    <w:p>
      <w:pPr>
        <w:spacing w:after="0" w:line="215"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Rackspace Technology Global commenced operations in 1998 as a limited partnership, and was incorporated in Delaware in March 2000. Rackspace Technology serves as the holding company for Rackspace Technology Global and does not engage in any material business or operations other than those related to its indirect ownership of the capital stock of Rackspace Technology Global and its subsidiaries or business or operations otherwise customarily undertaken by a holding company.</w:t>
      </w:r>
    </w:p>
    <w:p>
      <w:pPr>
        <w:spacing w:after="0" w:line="214"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color w:val="auto"/>
        </w:rPr>
        <w:t>For ease of reference, the terms "we," "our company," "the company," "us," or "our" as used in this report refer to Rackspace Technology and its consolidated subsidiaries.</w:t>
      </w:r>
    </w:p>
    <w:p>
      <w:pPr>
        <w:spacing w:after="0" w:line="197" w:lineRule="exact"/>
        <w:rPr>
          <w:sz w:val="20"/>
          <w:szCs w:val="20"/>
          <w:color w:val="auto"/>
        </w:rPr>
      </w:pPr>
    </w:p>
    <w:p>
      <w:pPr>
        <w:jc w:val="both"/>
        <w:ind w:right="180" w:firstLine="486"/>
        <w:spacing w:after="0" w:line="311" w:lineRule="auto"/>
        <w:rPr>
          <w:sz w:val="20"/>
          <w:szCs w:val="20"/>
          <w:color w:val="auto"/>
        </w:rPr>
      </w:pPr>
      <w:r>
        <w:rPr>
          <w:rFonts w:ascii="Arial" w:cs="Arial" w:eastAsia="Arial" w:hAnsi="Arial"/>
          <w:sz w:val="16"/>
          <w:szCs w:val="16"/>
          <w:color w:val="auto"/>
        </w:rPr>
        <w:t>Effective on January 1, 2023, we reorganized around a two-business unit operating model, Public Cloud and Private Cloud. This two-business unit operating model ensures increased focus, delivery, and service quality for our customers. Beginning in 2023, we changed our segment reporting to reflect this reorganization under two reportable segments: Public Cloud and Private Cloud. See Note 14, "Segment Reporting" for more information.</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unaudited condensed consolidated financial statements include the accounts of Rackspace Technology, Inc. and our wholly-owned subsidiaries.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Intercompany transactions and balances have been eliminated in consolidation.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252"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The unaudited condensed consolidated financial statements as of June 30, 2023, and for the three and six months ended June 30, 2022 and 2023, have been prepared in accordance with accounting principles generally accepted in the United States of America ("GAAP") for interim financial information. Accordingly, certain financial information and disclosures required for financial statements prepared under GAAP have been omitted in accordance with the Securities and Exchange Commission ("SEC") disclosure rules and regulations that permit reduced disclosure for interim periods. These unaudited interim condensed consolidated financial statements should be read in conjunction with the audited consolidated financial statements and the related notes thereto included in our Annual Report on Form 10-K for the year ended December 31, 2022 as filed with the SEC on March 16, 2023 ("Annual Report"). The unaudited interim condensed consolidated financial statements have been prepared on the same basis as the audited consolidated financial statements included in our Annual Report and, in the opinion of management, reflect all adjustments, which include normal recurring adjustments, necessary for a fair statement of our financial position as of June 30, 2023, our results of operations and stockholders' equity for the three and six months ended June 30, 2022 and 2023, and our cash flows for the six months ended June 30, 2022 and 2023.</w:t>
      </w:r>
    </w:p>
    <w:p>
      <w:pPr>
        <w:spacing w:after="0" w:line="212"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The results of operations for the three and six months ended June 30, 2023 are not necessarily indicative of the results of operations to be expected for the year ending December 31, 2023, or for any other interim period, or for any other future year.</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80" w:firstLine="486"/>
        <w:spacing w:after="0" w:line="291" w:lineRule="auto"/>
        <w:rPr>
          <w:sz w:val="20"/>
          <w:szCs w:val="20"/>
          <w:color w:val="auto"/>
        </w:rPr>
      </w:pPr>
      <w:r>
        <w:rPr>
          <w:rFonts w:ascii="Arial" w:cs="Arial" w:eastAsia="Arial" w:hAnsi="Arial"/>
          <w:sz w:val="16"/>
          <w:szCs w:val="16"/>
          <w:color w:val="auto"/>
        </w:rPr>
        <w:t>The preparation of condensed consolidated financial statements in conformity with GAAP requires us to make estimates and assumptions that affect the reported amounts of assets and liabilities, revenue and expenses, and related disclosures of contingent assets and liabilities in the condensed consolidated financial statements and accompanying notes. On an ongoing basis, we evaluate our estimates, including those related to the allowance for credit losses, useful lives of property, equipment and software, software capitalization, incremental borrowing rates for lease liability measurement, fair values of intangible assets and reporting units, useful lives of intangible assets, share-based compensation, contingencies, and income taxes, among others. We base our estimates on historical experience and on various other assumptions that we believe to be reasonable, the results of which form the basis for making judgments about the carrying values of assets and liabilities. Actual results could differ from our estimates.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Overview</w:t>
      </w:r>
    </w:p>
    <w:p>
      <w:pPr>
        <w:spacing w:after="0" w:line="252"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We are a highly leveraged company. As of June 30, 2023, we had $3,183.5 million aggregate principal amount outstanding under the first lien term loan facility (the "Term Loan Facility"), 5.375% Senior Notes due 2028 (the "5.375% Senior Notes"), and 3.50% Senior Secured Notes due 2028 (the "3.50% Senior Secured Notes"). We primarily finance our operations and capital expenditures with internally-generated cash from operations and hardware leases, and if necessary, borrowings under a revolving credit facility (the "Revolving Credit Facility"). As of June 30, 2023, the Revolving Credit Facility provided for up to $375.0 million of borrowings, $50.0 million of which was drawn as of June 30, 2023. Our primary uses of cash are working capital requirements, debt service requirements and capital expenditures. Based on our current level of operations and available cash and cash equivalents of $159.9 million as of June 30, 2023, we believe our sources will provide sufficient liquidity over at least the next twelve months. We cannot provide assurance, however, that our business will generate sufficient cash flows from operations or that future borrowings will be available to us under the Revolving Credit Facility or from other sources in an amount sufficient to enable us to pay our indebtedness or to fund our other liquidity needs. Our ability to do so depends on prevailing economic conditions and other factors, many of which are beyond our control.</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 and Estimates</w:t>
      </w:r>
    </w:p>
    <w:p>
      <w:pPr>
        <w:spacing w:after="0" w:line="252" w:lineRule="exact"/>
        <w:rPr>
          <w:sz w:val="20"/>
          <w:szCs w:val="20"/>
          <w:color w:val="auto"/>
        </w:rPr>
      </w:pPr>
    </w:p>
    <w:p>
      <w:pPr>
        <w:ind w:right="100" w:firstLine="486"/>
        <w:spacing w:after="0" w:line="342" w:lineRule="auto"/>
        <w:rPr>
          <w:sz w:val="20"/>
          <w:szCs w:val="20"/>
          <w:color w:val="auto"/>
        </w:rPr>
      </w:pPr>
      <w:r>
        <w:rPr>
          <w:rFonts w:ascii="Arial" w:cs="Arial" w:eastAsia="Arial" w:hAnsi="Arial"/>
          <w:sz w:val="16"/>
          <w:szCs w:val="16"/>
          <w:color w:val="auto"/>
        </w:rPr>
        <w:t>Our Annual Report includes an additional discussion of the significant accounting policies and estimates used in the preparation of our consolidated financial statements. There were no material changes to our significant accounting policies and estimates during the six months ended June 30, 2023.</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Indefinite-Lived Intangible Assets and Long-Lived Assets</w:t>
      </w:r>
    </w:p>
    <w:p>
      <w:pPr>
        <w:spacing w:after="0" w:line="252"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Goodwill represents the excess of the purchase price over the fair value of identifiable net assets of businesses acquired. Our indefinite-lived intangible asset consists of our Rackspace trade name, which was recorded at fair value on our balance sheet at the date of the Rackspace Acquisition. Goodwill and indefinite-lived intangible assets are not amortized but are subject to impairment testing on an annual basis as of October 1st or more frequently if events or circumstances indicate a potential impairment. These events or circumstances could include a significant change in the business climate, regulatory environment, established business plans, operating performance indicators or competition. Potential impairment indicators may also include, but are not limited to, (i) significant changes to estimates and assumptions used in the most recent annual or interim impairment testing, (ii) downward revisions to internal forecasts, and the magnitude thereof, (iii) declines in our market capitalization below our book value, and the magnitude and duration of those declines, (iv) a reorganization resulting in a change to our operating segments, and (v) other macroeconomic factors, such as increases in interest rates that may affect the weighted average cost of capital, volatility in the equity and debt markets, or fluctuations in foreign currency exchange rates that may negatively impact our reported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On January 1, 2023, as a result of the reorganization of our business around a two-business unit operating model, we changed our reportable segments to Private Cloud and Public Cloud. Our prior Multicloud Services segment has been separated into its public and private cloud components and the offerings previously reported in our Apps &amp; Cross Platform segment have been reassigned to either the Public Cloud or Private Cloud segment based on the nature of the offering. Our prior OpenStack Public Cloud segment is included in Private Cloud. As a result of the segment change, we allocated the goodwill of our former Multicloud Services and Apps &amp; Cross Platform reporting units to the Public Cloud and Private Cloud reporting units based on their relative fair value. OpenStack Public Cloud remains a separate reporting unit for goodwill purposes. Due to the change in our segment reporting and the allocation of goodwill, we completed a quantitative goodwill impairment analysis both prior and subsequent to the aforementioned change. The results of the quantitative goodwill impairment analysis performed as of December 31, 2022 prior to the change indicated an impairment within our former Apps &amp; Cross Platform reporting unit, and we recorded a non-cash impairment charge of $129.3 million in the fourth quarter of 2022 as described in our Annual Report. We reassigned goodwill to the updated reporting units using a relative fair value approach. The results of the quantitative goodwill impairment analysis performed as of January 1, 2023 subsequent to the reorganization indicated an impairment within our Private Cloud reporting unit, and we recorded a non-cash impairment charge of $270.8 million in the first quarter of 2023.</w:t>
      </w:r>
    </w:p>
    <w:p>
      <w:pPr>
        <w:spacing w:after="0" w:line="206" w:lineRule="exact"/>
        <w:rPr>
          <w:sz w:val="20"/>
          <w:szCs w:val="20"/>
          <w:color w:val="auto"/>
        </w:rPr>
      </w:pPr>
    </w:p>
    <w:p>
      <w:pPr>
        <w:ind w:right="40" w:firstLine="486"/>
        <w:spacing w:after="0" w:line="293" w:lineRule="auto"/>
        <w:rPr>
          <w:sz w:val="20"/>
          <w:szCs w:val="20"/>
          <w:color w:val="auto"/>
        </w:rPr>
      </w:pPr>
      <w:r>
        <w:rPr>
          <w:rFonts w:ascii="Arial" w:cs="Arial" w:eastAsia="Arial" w:hAnsi="Arial"/>
          <w:sz w:val="16"/>
          <w:szCs w:val="16"/>
          <w:color w:val="auto"/>
        </w:rPr>
        <w:t>During the first quarter of 2023, we experienced a sustained decline in our stock price resulting in our market capitalization being less than the carrying value of our combined reporting units. As of March 31, 2023, we assessed several events and circumstances that could affect the significant inputs used to determine the fair value of our reporting units, including the significance of the amount, if any, of excess carrying value over fair value, consistency of operating margins and cash flows, budgeted-to-actual performance for the first three months of the year, overall change in economic climate, changes in the industry and competitive environment, and earnings quality and sustainability. After considering all available evidence in our evaluation of goodwill impairment indicators, we determined it appropriate to perform an interim quantitative assessment of our reporting units as of March 31, 2023.</w:t>
      </w:r>
    </w:p>
    <w:p>
      <w:pPr>
        <w:spacing w:after="0" w:line="191"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Goodwill is tested for impairment at the reporting unit level. A reporting unit is an operating segment or one level below an operating segment (referred to as a component). We allocate goodwill to reporting units based on the reporting unit expected to benefit from the business combination. Assets and liabilities are assigned to each of our reporting units if they are employed by a reporting unit and are considered in the determination of the reporting unit fair value. Certain assets and liabilities are shared by multiple reporting units, and thus, are allocated to each reporting unit based on the relative size of a reporting unit, primarily based on revenue. We have two reporting units with goodwill: Public Cloud and Private Cloud. Goodwill allocated to our third reporting unit, OpenStack Public Cloud, was fully impaired during the fourth quarter of 2021.</w:t>
      </w:r>
    </w:p>
    <w:p>
      <w:pPr>
        <w:spacing w:after="0" w:line="205" w:lineRule="exact"/>
        <w:rPr>
          <w:sz w:val="20"/>
          <w:szCs w:val="20"/>
          <w:color w:val="auto"/>
        </w:rPr>
      </w:pPr>
    </w:p>
    <w:p>
      <w:pPr>
        <w:ind w:right="100" w:firstLine="486"/>
        <w:spacing w:after="0" w:line="291" w:lineRule="auto"/>
        <w:rPr>
          <w:sz w:val="20"/>
          <w:szCs w:val="20"/>
          <w:color w:val="auto"/>
        </w:rPr>
      </w:pPr>
      <w:r>
        <w:rPr>
          <w:rFonts w:ascii="Arial" w:cs="Arial" w:eastAsia="Arial" w:hAnsi="Arial"/>
          <w:sz w:val="16"/>
          <w:szCs w:val="16"/>
          <w:color w:val="auto"/>
        </w:rPr>
        <w:t>For the interim quantitative goodwill impairment analyses performed as of January 1, 2023 and March 31, 2023, we compare the fair values of each of our reporting units to their respective carrying amounts. The fair values of each of our reporting units were derived using the income approach, specifically the discounted cash flow method. The discounted cash flow models reflect our assumptions regarding revenue growth rates, projected gross profit margins, risk-adjusted discount rates, terminal period growth rates, economic and market trends and other expectations about the anticipated operating results of our reporting units. As part of the goodwill impairment test, we also consider our market capitalization in assessing the reasonableness of the combined fair values estimated for our reporting units, including OpenStack Public Cloud. Goodwill impairment is measured as the excess of a reporting unit's carrying amount over its fair value, not to exceed the carrying amount of goodwill for that reporting unit.</w:t>
      </w:r>
    </w:p>
    <w:p>
      <w:pPr>
        <w:spacing w:after="0" w:line="193" w:lineRule="exact"/>
        <w:rPr>
          <w:sz w:val="20"/>
          <w:szCs w:val="20"/>
          <w:color w:val="auto"/>
        </w:rPr>
      </w:pPr>
    </w:p>
    <w:p>
      <w:pPr>
        <w:ind w:right="20" w:firstLine="486"/>
        <w:spacing w:after="0" w:line="279" w:lineRule="auto"/>
        <w:rPr>
          <w:sz w:val="20"/>
          <w:szCs w:val="20"/>
          <w:color w:val="auto"/>
        </w:rPr>
      </w:pPr>
      <w:r>
        <w:rPr>
          <w:rFonts w:ascii="Arial" w:cs="Arial" w:eastAsia="Arial" w:hAnsi="Arial"/>
          <w:sz w:val="17"/>
          <w:szCs w:val="17"/>
          <w:color w:val="auto"/>
        </w:rPr>
        <w:t>The results of our quantitative goodwill impairment analyses as of January 1, 2023 and March 31, 2023 indicated an impairment of goodwill within our Private Cloud reporting unit, and we recorded non-cash impairment charges of $270.8 million and $272.3 million, respectively, within "Impairment of goodwill" in our Condensed Consolidated Statements of Comprehensive Loss in the first quarter of 2023. As of March 31, 2023, the Public Cloud reporting unit was determined to have a fair value that exceeded its carrying value by approximately 14%.</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Note 5, "Goodwill and Intangible Assets" for more information.</w:t>
      </w:r>
    </w:p>
    <w:p>
      <w:pPr>
        <w:spacing w:after="0" w:line="252" w:lineRule="exact"/>
        <w:rPr>
          <w:sz w:val="20"/>
          <w:szCs w:val="20"/>
          <w:color w:val="auto"/>
        </w:rPr>
      </w:pPr>
    </w:p>
    <w:p>
      <w:pPr>
        <w:jc w:val="both"/>
        <w:ind w:right="60" w:firstLine="486"/>
        <w:spacing w:after="0" w:line="263" w:lineRule="auto"/>
        <w:rPr>
          <w:sz w:val="20"/>
          <w:szCs w:val="20"/>
          <w:color w:val="auto"/>
        </w:rPr>
      </w:pPr>
      <w:r>
        <w:rPr>
          <w:rFonts w:ascii="Arial" w:cs="Arial" w:eastAsia="Arial" w:hAnsi="Arial"/>
          <w:sz w:val="18"/>
          <w:szCs w:val="18"/>
          <w:color w:val="auto"/>
        </w:rPr>
        <w:t>Our indefinite-lived intangible asset is tested for impairment at the consolidated level. In evaluating the recoverability of the Rackspace trade name, we compare the fair value of the asset to its carrying amount to determine potential impairment. Our estimate of the fair value of the Rackspace trade name is derived using the income approach, specifically the relief-from-royalty method.</w:t>
      </w:r>
    </w:p>
    <w:p>
      <w:pPr>
        <w:spacing w:after="0" w:line="211"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We performed a quantitative assessment of our indefinite-lived intangible asset prior to testing our goodwill for impairment as of January 1, 2023 and March 31, 2023 which did not indicate any impairment of the Rackspace trade name.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The fair value determination of our reporting units and our indefinite-lived intangible asset is judgmental in nature and requires the use of significant estimates and assumptions that are sensitive to changes. Assumptions include estimation of the royalty rate, estimation of future revenue and projected margins, which are dependent on internal cash flow forecasts, estimation of the terminal growth rates and capital spending, and determination of discount rates. As a result, there can be no assurance that the estimates and assumptions made for purposes of the quantitative goodwill and indefinite-lived intangible impairment tests will prove to be an accurate prediction of future results. Examples of events or circumstances that could reasonably be expected to negatively affect the underlying key assumptions and ultimately impact the estimated fair value of our reporting units may include such items as: (i) volatility in the equity and debt markets or other macroeconomic factors, (ii) an increase in the weighted-average cost of capital due to further increases in interest rates, (iii) decrease in future cash flows due to lower than expected sales, or (iv) fluctuations in foreign currency exchange rates that may negatively impact our reported results of operations. Accordingly, if our current cash flow assumptions are not realized, we experience further sustained declines in our stock price or market capitalization, or increases in costs of capital, it is possible that an additional impairment charge may be recorded in the future, which could be material.</w:t>
      </w:r>
    </w:p>
    <w:p>
      <w:pPr>
        <w:spacing w:after="0" w:line="209"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Long-lived assets, including operating and finance lease assets, are reviewed for impairment whenever events or changes in circumstances indicate that the carrying amount of an asset may not be recoverable. Recoverability of assets is measured at the asset group level. If the carrying amount of an asset group exceeds its estimated undiscounted future cash flows, then an impairment charge is recognized in the amount that an asset group's carrying amount exceeds its fair value.</w:t>
      </w:r>
    </w:p>
    <w:p>
      <w:pPr>
        <w:spacing w:after="0" w:line="214"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We performed recoverability tests of our long-lived assets in conjunction with the goodwill impairment analyses as of January 1, 2023 and March 31, 2023 which did not result in any impairment charges.</w:t>
      </w:r>
    </w:p>
    <w:p>
      <w:pPr>
        <w:spacing w:after="0" w:line="197" w:lineRule="exact"/>
        <w:rPr>
          <w:sz w:val="20"/>
          <w:szCs w:val="20"/>
          <w:color w:val="auto"/>
        </w:rPr>
      </w:pPr>
    </w:p>
    <w:p>
      <w:pPr>
        <w:ind w:right="140" w:firstLine="486"/>
        <w:spacing w:after="0" w:line="286" w:lineRule="auto"/>
        <w:rPr>
          <w:sz w:val="20"/>
          <w:szCs w:val="20"/>
          <w:color w:val="auto"/>
        </w:rPr>
      </w:pPr>
      <w:r>
        <w:rPr>
          <w:rFonts w:ascii="Arial" w:cs="Arial" w:eastAsia="Arial" w:hAnsi="Arial"/>
          <w:sz w:val="17"/>
          <w:szCs w:val="17"/>
          <w:color w:val="auto"/>
        </w:rPr>
        <w:t>The fair value of our non-financial assets and liabilities, which include goodwill, intangible assets and property, plant and equipment, are measured on a non-recurring basis. The fair value of our reporting units, indefinite-lived intangible assets and long-lived assets are classified as Level 3 within the fair value hierarchy due to the significant unobservable inputs developed using company-specific information.</w:t>
      </w:r>
    </w:p>
    <w:p>
      <w:pPr>
        <w:spacing w:after="0" w:line="192"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color w:val="auto"/>
        </w:rPr>
        <w:t>As of June 30, 2023, we determined that there were no indicators of impairment that more likely than not reduced the fair value of our reporting units or our indefinite-lived intangible asset to less than their respective carrying values.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Reference Rate Reform</w:t>
      </w:r>
    </w:p>
    <w:p>
      <w:pPr>
        <w:spacing w:after="0" w:line="252" w:lineRule="exact"/>
        <w:rPr>
          <w:sz w:val="20"/>
          <w:szCs w:val="20"/>
          <w:color w:val="auto"/>
        </w:rPr>
      </w:pPr>
    </w:p>
    <w:p>
      <w:pPr>
        <w:ind w:right="60" w:firstLine="486"/>
        <w:spacing w:after="0" w:line="284" w:lineRule="auto"/>
        <w:rPr>
          <w:sz w:val="20"/>
          <w:szCs w:val="20"/>
          <w:color w:val="auto"/>
        </w:rPr>
      </w:pPr>
      <w:r>
        <w:rPr>
          <w:rFonts w:ascii="Arial" w:cs="Arial" w:eastAsia="Arial" w:hAnsi="Arial"/>
          <w:sz w:val="16"/>
          <w:szCs w:val="16"/>
          <w:color w:val="auto"/>
        </w:rPr>
        <w:t xml:space="preserve">The United Kingdom's Financial Conduct Authority, which regulates the London Interbank Offered Rate ("LIBOR"), announced that it will not compel panel banks to contribute to the overnight 1, 3, 6 and 12 months U.S. dollar LIBOR tenors after June 30, 2023 and all other tenors after December 31, 2021. U.S. dollar LIBOR may be replaced by the Secured Overnight Financing Rate ("SOFR") or other benchmark rates over the next several years. In March 2020, the Financial Accounting Standards Board ("FASB") issued Accounting Standards Update ("ASU") No. 2020-04, </w:t>
      </w:r>
      <w:r>
        <w:rPr>
          <w:rFonts w:ascii="Arial" w:cs="Arial" w:eastAsia="Arial" w:hAnsi="Arial"/>
          <w:sz w:val="16"/>
          <w:szCs w:val="16"/>
          <w:i w:val="1"/>
          <w:iCs w:val="1"/>
          <w:color w:val="auto"/>
        </w:rPr>
        <w:t>Reference Rate Reform</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(ASC 848) - Facilitation of the Effects of Reference Rate Reform on Financial Reporting </w:t>
      </w:r>
      <w:r>
        <w:rPr>
          <w:rFonts w:ascii="Arial" w:cs="Arial" w:eastAsia="Arial" w:hAnsi="Arial"/>
          <w:sz w:val="16"/>
          <w:szCs w:val="16"/>
          <w:color w:val="auto"/>
        </w:rPr>
        <w:t>containing practical expedients for reference rate reform related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activities that impact debt, leases, derivatives and other contracts. In December 2022, the FASB issued ASU No. 2022-06, </w:t>
      </w:r>
      <w:r>
        <w:rPr>
          <w:rFonts w:ascii="Arial" w:cs="Arial" w:eastAsia="Arial" w:hAnsi="Arial"/>
          <w:sz w:val="16"/>
          <w:szCs w:val="16"/>
          <w:i w:val="1"/>
          <w:iCs w:val="1"/>
          <w:color w:val="auto"/>
        </w:rPr>
        <w:t>Reference Rate Reform (ASC</w:t>
      </w:r>
    </w:p>
    <w:p>
      <w:pPr>
        <w:spacing w:after="0" w:line="4" w:lineRule="exact"/>
        <w:rPr>
          <w:sz w:val="20"/>
          <w:szCs w:val="20"/>
          <w:color w:val="auto"/>
        </w:rPr>
      </w:pPr>
    </w:p>
    <w:p>
      <w:pPr>
        <w:ind w:left="380" w:hanging="372"/>
        <w:spacing w:after="0"/>
        <w:tabs>
          <w:tab w:leader="none" w:pos="38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 Deferral of the Sunset Date of Topic 848</w:t>
      </w:r>
      <w:r>
        <w:rPr>
          <w:rFonts w:ascii="Arial" w:cs="Arial" w:eastAsia="Arial" w:hAnsi="Arial"/>
          <w:sz w:val="16"/>
          <w:szCs w:val="16"/>
          <w:color w:val="auto"/>
        </w:rPr>
        <w:t>, which extended the date to apply the practical expedients outlined in ASU No. 2020-04 from December 31,</w:t>
      </w:r>
    </w:p>
    <w:p>
      <w:pPr>
        <w:spacing w:after="0" w:line="32" w:lineRule="exact"/>
        <w:rPr>
          <w:rFonts w:ascii="Arial" w:cs="Arial" w:eastAsia="Arial" w:hAnsi="Arial"/>
          <w:sz w:val="16"/>
          <w:szCs w:val="16"/>
          <w:i w:val="1"/>
          <w:iCs w:val="1"/>
          <w:color w:val="auto"/>
        </w:rPr>
      </w:pPr>
    </w:p>
    <w:p>
      <w:pPr>
        <w:ind w:right="280"/>
        <w:spacing w:after="0" w:line="260" w:lineRule="auto"/>
        <w:rPr>
          <w:rFonts w:ascii="Arial" w:cs="Arial" w:eastAsia="Arial" w:hAnsi="Arial"/>
          <w:sz w:val="16"/>
          <w:szCs w:val="16"/>
          <w:i w:val="1"/>
          <w:iCs w:val="1"/>
          <w:color w:val="auto"/>
        </w:rPr>
      </w:pPr>
      <w:r>
        <w:rPr>
          <w:rFonts w:ascii="Arial" w:cs="Arial" w:eastAsia="Arial" w:hAnsi="Arial"/>
          <w:sz w:val="18"/>
          <w:szCs w:val="18"/>
          <w:color w:val="auto"/>
        </w:rPr>
        <w:t>2022 to December 31, 2024. The guidance in these ASUs is optional and may be applied from March 12, 2020 through December 31, 2024 as reference rate reform activities occur.</w:t>
      </w:r>
    </w:p>
    <w:p>
      <w:pPr>
        <w:spacing w:after="0" w:line="212"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During the three months ended June 30, 2023, we elected to apply certain practical expedients in connection with the execution of amendments to our affected contracts that referenced LIBOR. On April 26, 2023, we executed an amendment to our First Lien Credit Agreement, which governs our Senior Facilities borrowings, to establish Term SOFR as the benchmark rate for determining the applicable interest rate, replacing LIBOR. In addition, effective May 9, 2023, we amended our interest rate swap agreement to change the index from three-month LIBOR to one-month Term SOFR. See Note 6, "Debt" and Note 11, "Derivatives" for more information. We continue to evaluate the impact of the guidance and may apply other elections prior to December 31, 2024, as applicable, as additional changes in the market occur.</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Customer Contracts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balances related to customer contracts:</w:t>
      </w:r>
    </w:p>
    <w:p>
      <w:pPr>
        <w:spacing w:after="0" w:line="199" w:lineRule="exact"/>
        <w:rPr>
          <w:sz w:val="20"/>
          <w:szCs w:val="20"/>
          <w:color w:val="auto"/>
        </w:rPr>
      </w:pPr>
    </w:p>
    <w:tbl>
      <w:tblPr>
        <w:tblLayout w:type="fixed"/>
        <w:tblInd w:w="80" w:type="dxa"/>
        <w:tblCellMar>
          <w:top w:w="0" w:type="dxa"/>
          <w:left w:w="0" w:type="dxa"/>
          <w:bottom w:w="0" w:type="dxa"/>
          <w:right w:w="0" w:type="dxa"/>
        </w:tblCellMar>
      </w:tblPr>
      <w:tr>
        <w:trPr>
          <w:trHeight w:val="213"/>
        </w:trPr>
        <w:tc>
          <w:tcPr>
            <w:tcW w:w="37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64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w w:val="91"/>
              </w:rPr>
              <w:t>Condensed Consolidated Balance Sheets Account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2"/>
              </w:rPr>
              <w:t>December 31, 2022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June 30, 2023</w:t>
            </w:r>
          </w:p>
        </w:tc>
      </w:tr>
      <w:tr>
        <w:trPr>
          <w:trHeight w:val="212"/>
        </w:trPr>
        <w:tc>
          <w:tcPr>
            <w:tcW w:w="3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receivable, net</w:t>
            </w:r>
          </w:p>
        </w:tc>
        <w:tc>
          <w:tcPr>
            <w:tcW w:w="3640" w:type="dxa"/>
            <w:vAlign w:val="bottom"/>
            <w:shd w:val="clear" w:color="auto" w:fill="CCEEFF"/>
          </w:tcPr>
          <w:p>
            <w:pPr>
              <w:ind w:left="20"/>
              <w:spacing w:after="0" w:line="213" w:lineRule="exact"/>
              <w:rPr>
                <w:sz w:val="20"/>
                <w:szCs w:val="20"/>
                <w:color w:val="auto"/>
              </w:rPr>
            </w:pPr>
            <w:r>
              <w:rPr>
                <w:rFonts w:ascii="Arial" w:cs="Arial" w:eastAsia="Arial" w:hAnsi="Arial"/>
                <w:sz w:val="16"/>
                <w:szCs w:val="16"/>
                <w:color w:val="auto"/>
              </w:rPr>
              <w:t xml:space="preserve">Accounts receivable, net </w:t>
            </w:r>
            <w:r>
              <w:rPr>
                <w:rFonts w:ascii="Arial" w:cs="Arial" w:eastAsia="Arial" w:hAnsi="Arial"/>
                <w:sz w:val="21"/>
                <w:szCs w:val="21"/>
                <w:color w:val="auto"/>
                <w:vertAlign w:val="superscript"/>
              </w:rPr>
              <w:t>(1)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622.2</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543.8</w:t>
            </w:r>
          </w:p>
        </w:tc>
      </w:tr>
      <w:tr>
        <w:trPr>
          <w:trHeight w:val="213"/>
        </w:trPr>
        <w:tc>
          <w:tcPr>
            <w:tcW w:w="3760" w:type="dxa"/>
            <w:vAlign w:val="bottom"/>
          </w:tcPr>
          <w:p>
            <w:pPr>
              <w:ind w:left="20"/>
              <w:spacing w:after="0"/>
              <w:rPr>
                <w:sz w:val="20"/>
                <w:szCs w:val="20"/>
                <w:color w:val="auto"/>
              </w:rPr>
            </w:pPr>
            <w:r>
              <w:rPr>
                <w:rFonts w:ascii="Arial" w:cs="Arial" w:eastAsia="Arial" w:hAnsi="Arial"/>
                <w:sz w:val="16"/>
                <w:szCs w:val="16"/>
                <w:color w:val="auto"/>
              </w:rPr>
              <w:t>Current portion of contract assets</w:t>
            </w:r>
          </w:p>
        </w:tc>
        <w:tc>
          <w:tcPr>
            <w:tcW w:w="3640" w:type="dxa"/>
            <w:vAlign w:val="bottom"/>
          </w:tcPr>
          <w:p>
            <w:pPr>
              <w:ind w:left="20"/>
              <w:spacing w:after="0"/>
              <w:rPr>
                <w:sz w:val="20"/>
                <w:szCs w:val="20"/>
                <w:color w:val="auto"/>
              </w:rPr>
            </w:pPr>
            <w:r>
              <w:rPr>
                <w:rFonts w:ascii="Arial" w:cs="Arial" w:eastAsia="Arial" w:hAnsi="Arial"/>
                <w:sz w:val="16"/>
                <w:szCs w:val="16"/>
                <w:color w:val="auto"/>
              </w:rPr>
              <w:t>Other current assets</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16.0</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11.5</w:t>
            </w:r>
          </w:p>
        </w:tc>
      </w:tr>
      <w:tr>
        <w:trPr>
          <w:trHeight w:val="219"/>
        </w:trPr>
        <w:tc>
          <w:tcPr>
            <w:tcW w:w="3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portion of contract assets</w:t>
            </w:r>
          </w:p>
        </w:tc>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non-current assets</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r>
      <w:tr>
        <w:trPr>
          <w:trHeight w:val="213"/>
        </w:trPr>
        <w:tc>
          <w:tcPr>
            <w:tcW w:w="3760" w:type="dxa"/>
            <w:vAlign w:val="bottom"/>
          </w:tcPr>
          <w:p>
            <w:pPr>
              <w:ind w:left="20"/>
              <w:spacing w:after="0"/>
              <w:rPr>
                <w:sz w:val="20"/>
                <w:szCs w:val="20"/>
                <w:color w:val="auto"/>
              </w:rPr>
            </w:pPr>
            <w:r>
              <w:rPr>
                <w:rFonts w:ascii="Arial" w:cs="Arial" w:eastAsia="Arial" w:hAnsi="Arial"/>
                <w:sz w:val="16"/>
                <w:szCs w:val="16"/>
                <w:color w:val="auto"/>
              </w:rPr>
              <w:t>Current portion of deferred revenue</w:t>
            </w:r>
          </w:p>
        </w:tc>
        <w:tc>
          <w:tcPr>
            <w:tcW w:w="3640" w:type="dxa"/>
            <w:vAlign w:val="bottom"/>
          </w:tcPr>
          <w:p>
            <w:pPr>
              <w:ind w:left="20"/>
              <w:spacing w:after="0"/>
              <w:rPr>
                <w:sz w:val="20"/>
                <w:szCs w:val="20"/>
                <w:color w:val="auto"/>
              </w:rPr>
            </w:pPr>
            <w:r>
              <w:rPr>
                <w:rFonts w:ascii="Arial" w:cs="Arial" w:eastAsia="Arial" w:hAnsi="Arial"/>
                <w:sz w:val="16"/>
                <w:szCs w:val="16"/>
                <w:color w:val="auto"/>
              </w:rPr>
              <w:t>Deferred revenue</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80.9</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73.5</w:t>
            </w:r>
          </w:p>
        </w:tc>
      </w:tr>
      <w:tr>
        <w:trPr>
          <w:trHeight w:val="219"/>
        </w:trPr>
        <w:tc>
          <w:tcPr>
            <w:tcW w:w="3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portion of deferred revenue</w:t>
            </w:r>
          </w:p>
        </w:tc>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r>
    </w:tbl>
    <w:p>
      <w:pPr>
        <w:spacing w:after="0" w:line="71"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Allowance for credit losses and accrued customer credits was $24.6 million and $22.9 million as of December 31, 2022 and June 30, 2023, respectively.</w:t>
      </w:r>
    </w:p>
    <w:p>
      <w:pPr>
        <w:spacing w:after="0" w:line="257"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We identified an immaterial correction in the disclosure of the amount previously reported as recognized in revenue for the three and six months ended June 30, 2022, which were included in deferred revenue as of the beginning of the period and have updated these amounts to $20.4 million and $66.6 million, respectively. Amounts recognized in revenue for the three and six months ended June 30, 2023, which were included in deferred revenue as of the beginning of the period totaled $44.5 million and $55.1 million,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Incurred to Obtain and Fulfill a Contract</w:t>
      </w:r>
    </w:p>
    <w:p>
      <w:pPr>
        <w:spacing w:after="0" w:line="239" w:lineRule="exact"/>
        <w:rPr>
          <w:sz w:val="20"/>
          <w:szCs w:val="20"/>
          <w:color w:val="auto"/>
        </w:rPr>
      </w:pPr>
    </w:p>
    <w:p>
      <w:pPr>
        <w:ind w:right="600" w:firstLine="486"/>
        <w:spacing w:after="0" w:line="263" w:lineRule="auto"/>
        <w:rPr>
          <w:sz w:val="20"/>
          <w:szCs w:val="20"/>
          <w:color w:val="auto"/>
        </w:rPr>
      </w:pPr>
      <w:r>
        <w:rPr>
          <w:rFonts w:ascii="Arial" w:cs="Arial" w:eastAsia="Arial" w:hAnsi="Arial"/>
          <w:sz w:val="18"/>
          <w:szCs w:val="18"/>
          <w:color w:val="auto"/>
        </w:rPr>
        <w:t>As of December 31, 2022 and June 30, 2023, the balances of capitalized costs to obtain a contract were $55.8 million and $47.1 million, respectively, and the balances of capitalized costs to fulfill a contract were $17.7 million and $15.7 million, respectively. These capitalized costs are included in "Other non-current assets" on the Condensed Consolidated Balance Sheets.</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Amortization of capitalized sales commissions and implementation costs was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80" w:type="dxa"/>
            <w:vAlign w:val="bottom"/>
          </w:tcPr>
          <w:p>
            <w:pPr>
              <w:spacing w:after="0"/>
              <w:rPr>
                <w:sz w:val="18"/>
                <w:szCs w:val="18"/>
                <w:color w:val="auto"/>
              </w:rPr>
            </w:pPr>
          </w:p>
        </w:tc>
        <w:tc>
          <w:tcPr>
            <w:tcW w:w="284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6"/>
                <w:szCs w:val="16"/>
                <w:b w:val="1"/>
                <w:bCs w:val="1"/>
                <w:color w:val="auto"/>
              </w:rPr>
              <w:t>Three Months Ended June 30,</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599"/>
              <w:spacing w:after="0"/>
              <w:rPr>
                <w:sz w:val="20"/>
                <w:szCs w:val="20"/>
                <w:color w:val="auto"/>
              </w:rPr>
            </w:pPr>
            <w:r>
              <w:rPr>
                <w:rFonts w:ascii="Arial" w:cs="Arial" w:eastAsia="Arial" w:hAnsi="Arial"/>
                <w:sz w:val="16"/>
                <w:szCs w:val="16"/>
                <w:b w:val="1"/>
                <w:bCs w:val="1"/>
                <w:color w:val="auto"/>
              </w:rPr>
              <w:t>Six Months Ended June 30,</w:t>
            </w:r>
          </w:p>
        </w:tc>
      </w:tr>
      <w:tr>
        <w:trPr>
          <w:trHeight w:val="210"/>
        </w:trPr>
        <w:tc>
          <w:tcPr>
            <w:tcW w:w="45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2022</w:t>
            </w:r>
          </w:p>
        </w:tc>
        <w:tc>
          <w:tcPr>
            <w:tcW w:w="4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2023</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r>
      <w:tr>
        <w:trPr>
          <w:trHeight w:val="212"/>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capitalized sales commissions</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260" w:type="dxa"/>
            <w:vAlign w:val="bottom"/>
            <w:gridSpan w:val="2"/>
            <w:shd w:val="clear" w:color="auto" w:fill="CCEEFF"/>
          </w:tcPr>
          <w:p>
            <w:pPr>
              <w:jc w:val="right"/>
              <w:ind w:right="95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w:t>
            </w:r>
          </w:p>
        </w:tc>
      </w:tr>
      <w:tr>
        <w:trPr>
          <w:trHeight w:val="210"/>
        </w:trPr>
        <w:tc>
          <w:tcPr>
            <w:tcW w:w="4580" w:type="dxa"/>
            <w:vAlign w:val="bottom"/>
          </w:tcPr>
          <w:p>
            <w:pPr>
              <w:ind w:left="20"/>
              <w:spacing w:after="0"/>
              <w:rPr>
                <w:sz w:val="20"/>
                <w:szCs w:val="20"/>
                <w:color w:val="auto"/>
              </w:rPr>
            </w:pPr>
            <w:r>
              <w:rPr>
                <w:rFonts w:ascii="Arial" w:cs="Arial" w:eastAsia="Arial" w:hAnsi="Arial"/>
                <w:sz w:val="16"/>
                <w:szCs w:val="16"/>
                <w:color w:val="auto"/>
              </w:rPr>
              <w:t>Amortization of capitalized implementation costs</w:t>
            </w:r>
          </w:p>
        </w:tc>
        <w:tc>
          <w:tcPr>
            <w:tcW w:w="1100" w:type="dxa"/>
            <w:vAlign w:val="bottom"/>
          </w:tcPr>
          <w:p>
            <w:pPr>
              <w:jc w:val="right"/>
              <w:ind w:right="919"/>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4.2</w:t>
            </w:r>
          </w:p>
        </w:tc>
        <w:tc>
          <w:tcPr>
            <w:tcW w:w="1260" w:type="dxa"/>
            <w:vAlign w:val="bottom"/>
            <w:gridSpan w:val="2"/>
          </w:tcPr>
          <w:p>
            <w:pPr>
              <w:jc w:val="right"/>
              <w:ind w:right="959"/>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3.4</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8.6</w:t>
            </w:r>
          </w:p>
        </w:tc>
        <w:tc>
          <w:tcPr>
            <w:tcW w:w="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7.0</w:t>
            </w:r>
          </w:p>
        </w:tc>
      </w:tr>
    </w:tbl>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52" w:lineRule="exact"/>
        <w:rPr>
          <w:sz w:val="20"/>
          <w:szCs w:val="20"/>
          <w:color w:val="auto"/>
        </w:rPr>
      </w:pPr>
    </w:p>
    <w:p>
      <w:pPr>
        <w:ind w:right="20" w:firstLine="486"/>
        <w:spacing w:after="0" w:line="279" w:lineRule="auto"/>
        <w:rPr>
          <w:sz w:val="20"/>
          <w:szCs w:val="20"/>
          <w:color w:val="auto"/>
        </w:rPr>
      </w:pPr>
      <w:r>
        <w:rPr>
          <w:rFonts w:ascii="Arial" w:cs="Arial" w:eastAsia="Arial" w:hAnsi="Arial"/>
          <w:sz w:val="17"/>
          <w:szCs w:val="17"/>
          <w:color w:val="auto"/>
        </w:rPr>
        <w:t>As of June 30, 2023, the aggregate amount of transaction price allocated to remaining performance obligations was $513.4 million, of which approximately 42% is expected to be recognized as revenue during the remainder of 2023 and the remainder thereafter. These remaining performance obligations primarily relate to our fixed-term arrangements. The aggregate amount of transaction price excludes variable consideration related to our usage-based arrangements for which we recognize revenue based on the right to invoice for the services performed.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Loss Per Share</w:t>
      </w:r>
    </w:p>
    <w:p>
      <w:pPr>
        <w:spacing w:after="0" w:line="256"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Basic net loss per share is calculated by dividing net loss attributable to common stockholders by the weighted average shares outstanding during the period.</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the computation of basic and diluted net loss per share: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6"/>
                <w:szCs w:val="16"/>
                <w:b w:val="1"/>
                <w:bCs w:val="1"/>
                <w:color w:val="auto"/>
              </w:rPr>
              <w:t>Three Months Ended June 30,</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597"/>
              <w:spacing w:after="0"/>
              <w:rPr>
                <w:sz w:val="20"/>
                <w:szCs w:val="20"/>
                <w:color w:val="auto"/>
              </w:rPr>
            </w:pPr>
            <w:r>
              <w:rPr>
                <w:rFonts w:ascii="Arial" w:cs="Arial" w:eastAsia="Arial" w:hAnsi="Arial"/>
                <w:sz w:val="16"/>
                <w:szCs w:val="16"/>
                <w:b w:val="1"/>
                <w:bCs w:val="1"/>
                <w:color w:val="auto"/>
              </w:rPr>
              <w:t>Six Months Ended June 30,</w:t>
            </w:r>
          </w:p>
        </w:tc>
      </w:tr>
      <w:tr>
        <w:trPr>
          <w:trHeight w:val="210"/>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per share data)</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7"/>
              <w:spacing w:after="0"/>
              <w:rPr>
                <w:sz w:val="20"/>
                <w:szCs w:val="20"/>
                <w:color w:val="auto"/>
              </w:rPr>
            </w:pPr>
            <w:r>
              <w:rPr>
                <w:rFonts w:ascii="Arial" w:cs="Arial" w:eastAsia="Arial" w:hAnsi="Arial"/>
                <w:sz w:val="16"/>
                <w:szCs w:val="16"/>
                <w:b w:val="1"/>
                <w:bCs w:val="1"/>
                <w:color w:val="auto"/>
              </w:rPr>
              <w:t>2023</w:t>
            </w:r>
          </w:p>
        </w:tc>
      </w:tr>
      <w:tr>
        <w:trPr>
          <w:trHeight w:val="212"/>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Basic and diluted net loss per share:</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3"/>
        </w:trPr>
        <w:tc>
          <w:tcPr>
            <w:tcW w:w="4580" w:type="dxa"/>
            <w:vAlign w:val="bottom"/>
          </w:tcPr>
          <w:p>
            <w:pPr>
              <w:ind w:left="480"/>
              <w:spacing w:after="0"/>
              <w:rPr>
                <w:sz w:val="20"/>
                <w:szCs w:val="20"/>
                <w:color w:val="auto"/>
              </w:rPr>
            </w:pPr>
            <w:r>
              <w:rPr>
                <w:rFonts w:ascii="Arial" w:cs="Arial" w:eastAsia="Arial" w:hAnsi="Arial"/>
                <w:sz w:val="16"/>
                <w:szCs w:val="16"/>
                <w:color w:val="auto"/>
              </w:rPr>
              <w:t>Net loss attributable to common stockholders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(40.6)</w:t>
            </w:r>
          </w:p>
        </w:tc>
        <w:tc>
          <w:tcPr>
            <w:tcW w:w="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(27.2)</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(79.1)</w:t>
            </w:r>
          </w:p>
        </w:tc>
        <w:tc>
          <w:tcPr>
            <w:tcW w:w="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(639.2)</w:t>
            </w:r>
          </w:p>
        </w:tc>
      </w:tr>
      <w:tr>
        <w:trPr>
          <w:trHeight w:val="219"/>
        </w:trPr>
        <w:tc>
          <w:tcPr>
            <w:tcW w:w="4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Weighted average shares outstanding:</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45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Common stock</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214.2</w:t>
            </w:r>
          </w:p>
        </w:tc>
      </w:tr>
      <w:tr>
        <w:trPr>
          <w:trHeight w:val="206"/>
        </w:trPr>
        <w:tc>
          <w:tcPr>
            <w:tcW w:w="45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Number of shares used in per share computations</w:t>
            </w:r>
          </w:p>
        </w:tc>
        <w:tc>
          <w:tcPr>
            <w:tcW w:w="3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209.5</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215.1</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210.5</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214.2</w:t>
            </w:r>
          </w:p>
        </w:tc>
      </w:tr>
      <w:tr>
        <w:trPr>
          <w:trHeight w:val="213"/>
        </w:trPr>
        <w:tc>
          <w:tcPr>
            <w:tcW w:w="4580" w:type="dxa"/>
            <w:vAlign w:val="bottom"/>
          </w:tcPr>
          <w:p>
            <w:pPr>
              <w:ind w:left="680"/>
              <w:spacing w:after="0"/>
              <w:rPr>
                <w:sz w:val="20"/>
                <w:szCs w:val="20"/>
                <w:color w:val="auto"/>
              </w:rPr>
            </w:pPr>
            <w:r>
              <w:rPr>
                <w:rFonts w:ascii="Arial" w:cs="Arial" w:eastAsia="Arial" w:hAnsi="Arial"/>
                <w:sz w:val="16"/>
                <w:szCs w:val="16"/>
                <w:color w:val="auto"/>
              </w:rPr>
              <w:t>Net loss per share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(0.19)</w:t>
            </w:r>
          </w:p>
        </w:tc>
        <w:tc>
          <w:tcPr>
            <w:tcW w:w="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(0.13)</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(0.38)</w:t>
            </w:r>
          </w:p>
        </w:tc>
        <w:tc>
          <w:tcPr>
            <w:tcW w:w="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(2.98)</w:t>
            </w:r>
          </w:p>
        </w:tc>
      </w:tr>
      <w:tr>
        <w:trPr>
          <w:trHeight w:val="20"/>
        </w:trPr>
        <w:tc>
          <w:tcPr>
            <w:tcW w:w="45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220" w:firstLine="486"/>
        <w:spacing w:after="0" w:line="273" w:lineRule="auto"/>
        <w:rPr>
          <w:sz w:val="20"/>
          <w:szCs w:val="20"/>
          <w:color w:val="auto"/>
        </w:rPr>
      </w:pPr>
      <w:r>
        <w:rPr>
          <w:rFonts w:ascii="Arial" w:cs="Arial" w:eastAsia="Arial" w:hAnsi="Arial"/>
          <w:sz w:val="17"/>
          <w:szCs w:val="17"/>
          <w:color w:val="auto"/>
        </w:rPr>
        <w:t>Potential common share equivalents consist of shares issuable upon the exercise of stock options, vesting of restricted stock or purchase under the Employee Stock Purchase Plan (the "ESPP"), as well as contingent shares associated with our acquisition of Datapipe Parent, Inc. Since we were in a net loss position for all periods presented, basic net loss per share is the same as diluted net loss per share for all periods as the inclusion of all potential common shares outstanding would have been anti-dilutive. We excluded 24.1 million and 42.8 million potential common shares from the computation of dilutive loss per share for the three months ended June 30, 2022 and 2023, respectively, and 24.1 million and 42.8 million potential shares for the six months ended June 30, 2022 and 2023, respectively, because the effect would have been anti-dilutive.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Equipment and Software, net</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Property, equipment and software, net, consisted of the following:</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b w:val="1"/>
                <w:bCs w:val="1"/>
                <w:color w:val="auto"/>
                <w:w w:val="96"/>
              </w:rPr>
              <w:t>December 31,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ind w:right="359"/>
              <w:spacing w:after="0"/>
              <w:rPr>
                <w:sz w:val="20"/>
                <w:szCs w:val="20"/>
                <w:color w:val="auto"/>
              </w:rPr>
            </w:pPr>
            <w:r>
              <w:rPr>
                <w:rFonts w:ascii="Arial" w:cs="Arial" w:eastAsia="Arial" w:hAnsi="Arial"/>
                <w:sz w:val="16"/>
                <w:szCs w:val="16"/>
                <w:b w:val="1"/>
                <w:bCs w:val="1"/>
                <w:color w:val="auto"/>
              </w:rPr>
              <w:t>June 30,</w:t>
            </w:r>
          </w:p>
        </w:tc>
      </w:tr>
      <w:tr>
        <w:trPr>
          <w:trHeight w:val="213"/>
        </w:trPr>
        <w:tc>
          <w:tcPr>
            <w:tcW w:w="82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r>
      <w:tr>
        <w:trPr>
          <w:trHeight w:val="212"/>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Computers and equipment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1,131.2</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1,170.7</w:t>
            </w:r>
          </w:p>
        </w:tc>
      </w:tr>
      <w:tr>
        <w:trPr>
          <w:trHeight w:val="213"/>
        </w:trPr>
        <w:tc>
          <w:tcPr>
            <w:tcW w:w="8200" w:type="dxa"/>
            <w:vAlign w:val="bottom"/>
          </w:tcPr>
          <w:p>
            <w:pPr>
              <w:ind w:left="20"/>
              <w:spacing w:after="0"/>
              <w:rPr>
                <w:sz w:val="20"/>
                <w:szCs w:val="20"/>
                <w:color w:val="auto"/>
              </w:rPr>
            </w:pPr>
            <w:r>
              <w:rPr>
                <w:rFonts w:ascii="Arial" w:cs="Arial" w:eastAsia="Arial" w:hAnsi="Arial"/>
                <w:sz w:val="16"/>
                <w:szCs w:val="16"/>
                <w:color w:val="auto"/>
              </w:rPr>
              <w:t>Software</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464.2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468.0</w:t>
            </w:r>
          </w:p>
        </w:tc>
      </w:tr>
      <w:tr>
        <w:trPr>
          <w:trHeight w:val="219"/>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Furniture and fixtures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r>
      <w:tr>
        <w:trPr>
          <w:trHeight w:val="213"/>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Buildings and leasehold improvements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402.2</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410.8</w:t>
            </w:r>
          </w:p>
        </w:tc>
      </w:tr>
      <w:tr>
        <w:trPr>
          <w:trHeight w:val="213"/>
        </w:trPr>
        <w:tc>
          <w:tcPr>
            <w:tcW w:w="8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Property, equipment and software, at cost</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2,013.4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2,066.0</w:t>
            </w:r>
          </w:p>
        </w:tc>
      </w:tr>
      <w:tr>
        <w:trPr>
          <w:trHeight w:val="213"/>
        </w:trPr>
        <w:tc>
          <w:tcPr>
            <w:tcW w:w="8200" w:type="dxa"/>
            <w:vAlign w:val="bottom"/>
          </w:tcPr>
          <w:p>
            <w:pPr>
              <w:ind w:left="140"/>
              <w:spacing w:after="0"/>
              <w:rPr>
                <w:sz w:val="20"/>
                <w:szCs w:val="20"/>
                <w:color w:val="auto"/>
              </w:rPr>
            </w:pPr>
            <w:r>
              <w:rPr>
                <w:rFonts w:ascii="Arial" w:cs="Arial" w:eastAsia="Arial" w:hAnsi="Arial"/>
                <w:sz w:val="16"/>
                <w:szCs w:val="16"/>
                <w:color w:val="auto"/>
              </w:rPr>
              <w:t>Less: Accumulated depreciation</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(1,400.3)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(1,440.0)</w:t>
            </w:r>
          </w:p>
        </w:tc>
      </w:tr>
      <w:tr>
        <w:trPr>
          <w:trHeight w:val="216"/>
        </w:trPr>
        <w:tc>
          <w:tcPr>
            <w:tcW w:w="8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Work in process</w:t>
            </w: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w:t>
            </w:r>
          </w:p>
        </w:tc>
      </w:tr>
      <w:tr>
        <w:trPr>
          <w:trHeight w:val="213"/>
        </w:trPr>
        <w:tc>
          <w:tcPr>
            <w:tcW w:w="8200" w:type="dxa"/>
            <w:vAlign w:val="bottom"/>
          </w:tcPr>
          <w:p>
            <w:pPr>
              <w:ind w:left="220"/>
              <w:spacing w:after="0"/>
              <w:rPr>
                <w:sz w:val="20"/>
                <w:szCs w:val="20"/>
                <w:color w:val="auto"/>
              </w:rPr>
            </w:pPr>
            <w:r>
              <w:rPr>
                <w:rFonts w:ascii="Arial" w:cs="Arial" w:eastAsia="Arial" w:hAnsi="Arial"/>
                <w:sz w:val="16"/>
                <w:szCs w:val="16"/>
                <w:color w:val="auto"/>
              </w:rPr>
              <w:t>Property, equipment and software, net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628.3</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641.4</w:t>
            </w:r>
          </w:p>
        </w:tc>
      </w:tr>
      <w:tr>
        <w:trPr>
          <w:trHeight w:val="20"/>
        </w:trPr>
        <w:tc>
          <w:tcPr>
            <w:tcW w:w="8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 Assets</w:t>
      </w:r>
    </w:p>
    <w:p>
      <w:pPr>
        <w:spacing w:after="0" w:line="256" w:lineRule="exact"/>
        <w:rPr>
          <w:sz w:val="20"/>
          <w:szCs w:val="20"/>
          <w:color w:val="auto"/>
        </w:rPr>
      </w:pPr>
    </w:p>
    <w:p>
      <w:pPr>
        <w:ind w:right="860" w:firstLine="486"/>
        <w:spacing w:after="0" w:line="311" w:lineRule="auto"/>
        <w:rPr>
          <w:sz w:val="20"/>
          <w:szCs w:val="20"/>
          <w:color w:val="auto"/>
        </w:rPr>
      </w:pPr>
      <w:r>
        <w:rPr>
          <w:rFonts w:ascii="Arial" w:cs="Arial" w:eastAsia="Arial" w:hAnsi="Arial"/>
          <w:sz w:val="16"/>
          <w:szCs w:val="16"/>
          <w:color w:val="auto"/>
        </w:rPr>
        <w:t>The following table sets forth the changes in the carrying amounts of goodwill by reportable segment. As a result of the January 1, 2023 reorganization, we changed our segment reporting to reflect this reorganization under two reportable segments: Public Cloud and Private Cloud. Accordingly, we reallocated the total consolidated net balance of goodwill as of January 1, 2023 under the new segments, shown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91"/>
              </w:rPr>
              <w:t>Public Cloud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91"/>
              </w:rPr>
              <w:t>Private Cloud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b w:val="1"/>
                <w:bCs w:val="1"/>
                <w:color w:val="auto"/>
                <w:w w:val="99"/>
              </w:rPr>
              <w:t>Multicloud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b w:val="1"/>
                <w:bCs w:val="1"/>
                <w:color w:val="auto"/>
                <w:w w:val="90"/>
              </w:rPr>
              <w:t>Apps &amp; Cross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b w:val="1"/>
                <w:bCs w:val="1"/>
                <w:color w:val="auto"/>
              </w:rPr>
              <w:t>OpenStack</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3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33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Services</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Platform</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4"/>
              </w:rPr>
              <w:t>Public Cloud</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2"/>
              </w:rPr>
              <w:t>Consolidated</w:t>
            </w:r>
          </w:p>
        </w:tc>
        <w:tc>
          <w:tcPr>
            <w:tcW w:w="0" w:type="dxa"/>
            <w:vAlign w:val="bottom"/>
          </w:tcPr>
          <w:p>
            <w:pPr>
              <w:spacing w:after="0"/>
              <w:rPr>
                <w:sz w:val="1"/>
                <w:szCs w:val="1"/>
                <w:color w:val="auto"/>
              </w:rPr>
            </w:pPr>
          </w:p>
        </w:tc>
      </w:tr>
      <w:tr>
        <w:trPr>
          <w:trHeight w:val="212"/>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goodwill as of December 31, 2022</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2,656.6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3,037.0</w:t>
            </w:r>
          </w:p>
        </w:tc>
        <w:tc>
          <w:tcPr>
            <w:tcW w:w="0" w:type="dxa"/>
            <w:vAlign w:val="bottom"/>
          </w:tcPr>
          <w:p>
            <w:pPr>
              <w:spacing w:after="0"/>
              <w:rPr>
                <w:sz w:val="1"/>
                <w:szCs w:val="1"/>
                <w:color w:val="auto"/>
              </w:rPr>
            </w:pPr>
          </w:p>
        </w:tc>
      </w:tr>
      <w:tr>
        <w:trPr>
          <w:trHeight w:val="216"/>
        </w:trPr>
        <w:tc>
          <w:tcPr>
            <w:tcW w:w="3360" w:type="dxa"/>
            <w:vAlign w:val="bottom"/>
          </w:tcPr>
          <w:p>
            <w:pPr>
              <w:ind w:left="20"/>
              <w:spacing w:after="0"/>
              <w:rPr>
                <w:sz w:val="20"/>
                <w:szCs w:val="20"/>
                <w:color w:val="auto"/>
              </w:rPr>
            </w:pPr>
            <w:r>
              <w:rPr>
                <w:rFonts w:ascii="Arial" w:cs="Arial" w:eastAsia="Arial" w:hAnsi="Arial"/>
                <w:sz w:val="16"/>
                <w:szCs w:val="16"/>
                <w:color w:val="auto"/>
              </w:rPr>
              <w:t>Less: Accumulated impairment charges</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(700.2)</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(129.3)</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(52.4)</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(881.9)</w:t>
            </w:r>
          </w:p>
        </w:tc>
        <w:tc>
          <w:tcPr>
            <w:tcW w:w="0" w:type="dxa"/>
            <w:vAlign w:val="bottom"/>
          </w:tcPr>
          <w:p>
            <w:pPr>
              <w:spacing w:after="0"/>
              <w:rPr>
                <w:sz w:val="1"/>
                <w:szCs w:val="1"/>
                <w:color w:val="auto"/>
              </w:rPr>
            </w:pPr>
          </w:p>
        </w:tc>
      </w:tr>
      <w:tr>
        <w:trPr>
          <w:trHeight w:val="209"/>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net as of December 31, 2022</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2,155.1</w:t>
            </w:r>
          </w:p>
        </w:tc>
        <w:tc>
          <w:tcPr>
            <w:tcW w:w="0" w:type="dxa"/>
            <w:vAlign w:val="bottom"/>
          </w:tcPr>
          <w:p>
            <w:pPr>
              <w:spacing w:after="0"/>
              <w:rPr>
                <w:sz w:val="1"/>
                <w:szCs w:val="1"/>
                <w:color w:val="auto"/>
              </w:rPr>
            </w:pPr>
          </w:p>
        </w:tc>
      </w:tr>
      <w:tr>
        <w:trPr>
          <w:trHeight w:val="216"/>
        </w:trPr>
        <w:tc>
          <w:tcPr>
            <w:tcW w:w="3360" w:type="dxa"/>
            <w:vAlign w:val="bottom"/>
          </w:tcPr>
          <w:p>
            <w:pPr>
              <w:ind w:left="240"/>
              <w:spacing w:after="0" w:line="216" w:lineRule="exact"/>
              <w:rPr>
                <w:sz w:val="20"/>
                <w:szCs w:val="20"/>
                <w:color w:val="auto"/>
              </w:rPr>
            </w:pPr>
            <w:r>
              <w:rPr>
                <w:rFonts w:ascii="Arial" w:cs="Arial" w:eastAsia="Arial" w:hAnsi="Arial"/>
                <w:sz w:val="16"/>
                <w:szCs w:val="16"/>
                <w:color w:val="auto"/>
              </w:rPr>
              <w:t xml:space="preserve">Reallocation adjustment </w:t>
            </w:r>
            <w:r>
              <w:rPr>
                <w:rFonts w:ascii="Arial" w:cs="Arial" w:eastAsia="Arial" w:hAnsi="Arial"/>
                <w:sz w:val="21"/>
                <w:szCs w:val="21"/>
                <w:color w:val="auto"/>
                <w:vertAlign w:val="superscript"/>
              </w:rPr>
              <w:t>(1)</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594.7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1,560.4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(1,956.4)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(198.7)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Impairment of goodwill</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(543.1)</w:t>
            </w:r>
          </w:p>
        </w:tc>
        <w:tc>
          <w:tcPr>
            <w:tcW w:w="0" w:type="dxa"/>
            <w:vAlign w:val="bottom"/>
          </w:tcPr>
          <w:p>
            <w:pPr>
              <w:spacing w:after="0"/>
              <w:rPr>
                <w:sz w:val="1"/>
                <w:szCs w:val="1"/>
                <w:color w:val="auto"/>
              </w:rPr>
            </w:pPr>
          </w:p>
        </w:tc>
      </w:tr>
      <w:tr>
        <w:trPr>
          <w:trHeight w:val="216"/>
        </w:trPr>
        <w:tc>
          <w:tcPr>
            <w:tcW w:w="3360" w:type="dxa"/>
            <w:vAlign w:val="bottom"/>
          </w:tcPr>
          <w:p>
            <w:pPr>
              <w:ind w:left="220"/>
              <w:spacing w:after="0"/>
              <w:rPr>
                <w:sz w:val="20"/>
                <w:szCs w:val="20"/>
                <w:color w:val="auto"/>
              </w:rPr>
            </w:pPr>
            <w:r>
              <w:rPr>
                <w:rFonts w:ascii="Arial" w:cs="Arial" w:eastAsia="Arial" w:hAnsi="Arial"/>
                <w:sz w:val="16"/>
                <w:szCs w:val="16"/>
                <w:color w:val="auto"/>
              </w:rPr>
              <w:t>Foreign currency translation</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net as of June 30, 2023</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1,020.3</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1,617.5</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goodwill as of June 30, 2023</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1,563.4</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2,160.6</w:t>
            </w:r>
          </w:p>
        </w:tc>
        <w:tc>
          <w:tcPr>
            <w:tcW w:w="0" w:type="dxa"/>
            <w:vAlign w:val="bottom"/>
          </w:tcPr>
          <w:p>
            <w:pPr>
              <w:spacing w:after="0"/>
              <w:rPr>
                <w:sz w:val="1"/>
                <w:szCs w:val="1"/>
                <w:color w:val="auto"/>
              </w:rPr>
            </w:pPr>
          </w:p>
        </w:tc>
      </w:tr>
      <w:tr>
        <w:trPr>
          <w:trHeight w:val="216"/>
        </w:trPr>
        <w:tc>
          <w:tcPr>
            <w:tcW w:w="3360" w:type="dxa"/>
            <w:vAlign w:val="bottom"/>
          </w:tcPr>
          <w:p>
            <w:pPr>
              <w:ind w:left="20"/>
              <w:spacing w:after="0"/>
              <w:rPr>
                <w:sz w:val="20"/>
                <w:szCs w:val="20"/>
                <w:color w:val="auto"/>
              </w:rPr>
            </w:pPr>
            <w:r>
              <w:rPr>
                <w:rFonts w:ascii="Arial" w:cs="Arial" w:eastAsia="Arial" w:hAnsi="Arial"/>
                <w:sz w:val="16"/>
                <w:szCs w:val="16"/>
                <w:color w:val="auto"/>
              </w:rPr>
              <w:t>Less: Accumulated impairment charges</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(543.1)</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(543.1)</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net as of June 30, 2023</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1,020.3</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1,617.5</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500" w:hanging="492"/>
        <w:spacing w:after="0" w:line="275" w:lineRule="auto"/>
        <w:tabs>
          <w:tab w:leader="none" w:pos="405"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the adjustment to reallocate goodwill of the former Multicloud Services and Apps &amp; Cross Platform reportable segments to Public Cloud and Private Cloud reportable segments, using the relative fair value basis, as a result of the January 1, 2023 reorganization.</w:t>
      </w:r>
    </w:p>
    <w:p>
      <w:pPr>
        <w:spacing w:after="0" w:line="195" w:lineRule="exact"/>
        <w:rPr>
          <w:sz w:val="20"/>
          <w:szCs w:val="20"/>
          <w:color w:val="auto"/>
        </w:rPr>
      </w:pPr>
    </w:p>
    <w:p>
      <w:pPr>
        <w:ind w:right="820" w:firstLine="486"/>
        <w:spacing w:after="0" w:line="277" w:lineRule="auto"/>
        <w:rPr>
          <w:sz w:val="20"/>
          <w:szCs w:val="20"/>
          <w:color w:val="auto"/>
        </w:rPr>
      </w:pPr>
      <w:r>
        <w:rPr>
          <w:rFonts w:ascii="Arial" w:cs="Arial" w:eastAsia="Arial" w:hAnsi="Arial"/>
          <w:sz w:val="18"/>
          <w:szCs w:val="18"/>
          <w:color w:val="auto"/>
        </w:rPr>
        <w:t>See Note 1, "Company Overview, Basis of Presentation, and Summary of Significant Accounting Policies," for discussion of the goodwill impairment charges recorded during the six months ended June 30, 2023.</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provides information regarding our intangible assets other than goodwill:</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7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0"/>
              </w:rPr>
              <w:t>December 31, 2022</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0"/>
              </w:rPr>
              <w:t>June 30, 2023</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right"/>
              <w:ind w:right="59"/>
              <w:spacing w:after="0" w:line="158" w:lineRule="exact"/>
              <w:rPr>
                <w:sz w:val="20"/>
                <w:szCs w:val="20"/>
                <w:color w:val="auto"/>
              </w:rPr>
            </w:pPr>
            <w:r>
              <w:rPr>
                <w:rFonts w:ascii="Arial" w:cs="Arial" w:eastAsia="Arial" w:hAnsi="Arial"/>
                <w:sz w:val="16"/>
                <w:szCs w:val="16"/>
                <w:b w:val="1"/>
                <w:bCs w:val="1"/>
                <w:color w:val="auto"/>
                <w:w w:val="91"/>
              </w:rPr>
              <w:t>Gross carrying</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ind w:right="139"/>
              <w:spacing w:after="0" w:line="158" w:lineRule="exact"/>
              <w:rPr>
                <w:sz w:val="20"/>
                <w:szCs w:val="20"/>
                <w:color w:val="auto"/>
              </w:rPr>
            </w:pPr>
            <w:r>
              <w:rPr>
                <w:rFonts w:ascii="Arial" w:cs="Arial" w:eastAsia="Arial" w:hAnsi="Arial"/>
                <w:sz w:val="16"/>
                <w:szCs w:val="16"/>
                <w:b w:val="1"/>
                <w:bCs w:val="1"/>
                <w:color w:val="auto"/>
                <w:w w:val="95"/>
              </w:rPr>
              <w:t>Accumulated</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right"/>
              <w:ind w:right="159"/>
              <w:spacing w:after="0" w:line="158" w:lineRule="exact"/>
              <w:rPr>
                <w:sz w:val="20"/>
                <w:szCs w:val="20"/>
                <w:color w:val="auto"/>
              </w:rPr>
            </w:pPr>
            <w:r>
              <w:rPr>
                <w:rFonts w:ascii="Arial" w:cs="Arial" w:eastAsia="Arial" w:hAnsi="Arial"/>
                <w:sz w:val="16"/>
                <w:szCs w:val="16"/>
                <w:b w:val="1"/>
                <w:bCs w:val="1"/>
                <w:color w:val="auto"/>
                <w:w w:val="96"/>
              </w:rPr>
              <w:t>Net carrying</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right"/>
              <w:ind w:right="59"/>
              <w:spacing w:after="0" w:line="158" w:lineRule="exact"/>
              <w:rPr>
                <w:sz w:val="20"/>
                <w:szCs w:val="20"/>
                <w:color w:val="auto"/>
              </w:rPr>
            </w:pPr>
            <w:r>
              <w:rPr>
                <w:rFonts w:ascii="Arial" w:cs="Arial" w:eastAsia="Arial" w:hAnsi="Arial"/>
                <w:sz w:val="16"/>
                <w:szCs w:val="16"/>
                <w:b w:val="1"/>
                <w:bCs w:val="1"/>
                <w:color w:val="auto"/>
                <w:w w:val="91"/>
              </w:rPr>
              <w:t>Gross carrying</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center"/>
              <w:ind w:right="59"/>
              <w:spacing w:after="0" w:line="158" w:lineRule="exact"/>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right"/>
              <w:ind w:right="139"/>
              <w:spacing w:after="0" w:line="158" w:lineRule="exact"/>
              <w:rPr>
                <w:sz w:val="20"/>
                <w:szCs w:val="20"/>
                <w:color w:val="auto"/>
              </w:rPr>
            </w:pPr>
            <w:r>
              <w:rPr>
                <w:rFonts w:ascii="Arial" w:cs="Arial" w:eastAsia="Arial" w:hAnsi="Arial"/>
                <w:sz w:val="16"/>
                <w:szCs w:val="16"/>
                <w:b w:val="1"/>
                <w:bCs w:val="1"/>
                <w:color w:val="auto"/>
                <w:w w:val="98"/>
              </w:rPr>
              <w:t>Net carrying</w:t>
            </w:r>
          </w:p>
        </w:tc>
        <w:tc>
          <w:tcPr>
            <w:tcW w:w="0" w:type="dxa"/>
            <w:vAlign w:val="bottom"/>
          </w:tcPr>
          <w:p>
            <w:pPr>
              <w:spacing w:after="0"/>
              <w:rPr>
                <w:sz w:val="1"/>
                <w:szCs w:val="1"/>
                <w:color w:val="auto"/>
              </w:rPr>
            </w:pPr>
          </w:p>
        </w:tc>
      </w:tr>
      <w:tr>
        <w:trPr>
          <w:trHeight w:val="213"/>
        </w:trPr>
        <w:tc>
          <w:tcPr>
            <w:tcW w:w="27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amortization</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2"/>
              </w:rPr>
              <w:t>amortization</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12"/>
        </w:trPr>
        <w:tc>
          <w:tcPr>
            <w:tcW w:w="2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Customer relationships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1,928.5</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(914.9)</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1,013.6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1,931.4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(995.3)</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936.1</w:t>
            </w:r>
          </w:p>
        </w:tc>
        <w:tc>
          <w:tcPr>
            <w:tcW w:w="0" w:type="dxa"/>
            <w:vAlign w:val="bottom"/>
          </w:tcPr>
          <w:p>
            <w:pPr>
              <w:spacing w:after="0"/>
              <w:rPr>
                <w:sz w:val="1"/>
                <w:szCs w:val="1"/>
                <w:color w:val="auto"/>
              </w:rPr>
            </w:pPr>
          </w:p>
        </w:tc>
      </w:tr>
      <w:tr>
        <w:trPr>
          <w:trHeight w:val="216"/>
        </w:trPr>
        <w:tc>
          <w:tcPr>
            <w:tcW w:w="2720" w:type="dxa"/>
            <w:vAlign w:val="bottom"/>
          </w:tcPr>
          <w:p>
            <w:pPr>
              <w:ind w:left="14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0"/>
        </w:trPr>
        <w:tc>
          <w:tcPr>
            <w:tcW w:w="2720" w:type="dxa"/>
            <w:vAlign w:val="bottom"/>
            <w:shd w:val="clear" w:color="auto" w:fill="CCEEFF"/>
          </w:tcPr>
          <w:p>
            <w:pPr>
              <w:ind w:left="260"/>
              <w:spacing w:after="0"/>
              <w:rPr>
                <w:sz w:val="20"/>
                <w:szCs w:val="20"/>
                <w:color w:val="auto"/>
              </w:rPr>
            </w:pPr>
            <w:r>
              <w:rPr>
                <w:rFonts w:ascii="Arial" w:cs="Arial" w:eastAsia="Arial" w:hAnsi="Arial"/>
                <w:sz w:val="16"/>
                <w:szCs w:val="16"/>
                <w:color w:val="auto"/>
                <w:w w:val="96"/>
              </w:rPr>
              <w:t>Total definite-lived intangible assets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1,956.2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(937.2)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1,959.2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(1,021.2)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938.0</w:t>
            </w:r>
          </w:p>
        </w:tc>
        <w:tc>
          <w:tcPr>
            <w:tcW w:w="0" w:type="dxa"/>
            <w:vAlign w:val="bottom"/>
          </w:tcPr>
          <w:p>
            <w:pPr>
              <w:spacing w:after="0"/>
              <w:rPr>
                <w:sz w:val="1"/>
                <w:szCs w:val="1"/>
                <w:color w:val="auto"/>
              </w:rPr>
            </w:pPr>
          </w:p>
        </w:tc>
      </w:tr>
      <w:tr>
        <w:trPr>
          <w:trHeight w:val="216"/>
        </w:trPr>
        <w:tc>
          <w:tcPr>
            <w:tcW w:w="2720" w:type="dxa"/>
            <w:vAlign w:val="bottom"/>
          </w:tcPr>
          <w:p>
            <w:pPr>
              <w:ind w:left="260"/>
              <w:spacing w:after="0"/>
              <w:rPr>
                <w:sz w:val="20"/>
                <w:szCs w:val="20"/>
                <w:color w:val="auto"/>
              </w:rPr>
            </w:pPr>
            <w:r>
              <w:rPr>
                <w:rFonts w:ascii="Arial" w:cs="Arial" w:eastAsia="Arial" w:hAnsi="Arial"/>
                <w:sz w:val="16"/>
                <w:szCs w:val="16"/>
                <w:color w:val="auto"/>
              </w:rPr>
              <w:t>Trade name (indefinite-lived)</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217.0</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217.0</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217.0</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217.0</w:t>
            </w:r>
          </w:p>
        </w:tc>
        <w:tc>
          <w:tcPr>
            <w:tcW w:w="0" w:type="dxa"/>
            <w:vAlign w:val="bottom"/>
          </w:tcPr>
          <w:p>
            <w:pPr>
              <w:spacing w:after="0"/>
              <w:rPr>
                <w:sz w:val="1"/>
                <w:szCs w:val="1"/>
                <w:color w:val="auto"/>
              </w:rPr>
            </w:pPr>
          </w:p>
        </w:tc>
      </w:tr>
      <w:tr>
        <w:trPr>
          <w:trHeight w:val="159"/>
        </w:trPr>
        <w:tc>
          <w:tcPr>
            <w:tcW w:w="2720" w:type="dxa"/>
            <w:vAlign w:val="bottom"/>
            <w:shd w:val="clear" w:color="auto" w:fill="CCEEFF"/>
          </w:tcPr>
          <w:p>
            <w:pPr>
              <w:ind w:left="340"/>
              <w:spacing w:after="0" w:line="159" w:lineRule="exact"/>
              <w:rPr>
                <w:sz w:val="20"/>
                <w:szCs w:val="20"/>
                <w:color w:val="auto"/>
              </w:rPr>
            </w:pPr>
            <w:r>
              <w:rPr>
                <w:rFonts w:ascii="Arial" w:cs="Arial" w:eastAsia="Arial" w:hAnsi="Arial"/>
                <w:sz w:val="16"/>
                <w:szCs w:val="16"/>
                <w:color w:val="auto"/>
              </w:rPr>
              <w:t>Total intangible assets other than</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2,173.2</w:t>
            </w:r>
          </w:p>
        </w:tc>
        <w:tc>
          <w:tcPr>
            <w:tcW w:w="260" w:type="dxa"/>
            <w:vAlign w:val="bottom"/>
            <w:gridSpan w:val="2"/>
            <w:vMerge w:val="restart"/>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(937.2)</w:t>
            </w:r>
          </w:p>
        </w:tc>
        <w:tc>
          <w:tcPr>
            <w:tcW w:w="2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1,236.0</w:t>
            </w:r>
          </w:p>
        </w:tc>
        <w:tc>
          <w:tcPr>
            <w:tcW w:w="2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2,176.2</w:t>
            </w:r>
          </w:p>
        </w:tc>
        <w:tc>
          <w:tcPr>
            <w:tcW w:w="2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(1,021.2)</w:t>
            </w:r>
          </w:p>
        </w:tc>
        <w:tc>
          <w:tcPr>
            <w:tcW w:w="2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1,155.0</w:t>
            </w:r>
          </w:p>
        </w:tc>
        <w:tc>
          <w:tcPr>
            <w:tcW w:w="0" w:type="dxa"/>
            <w:vAlign w:val="bottom"/>
          </w:tcPr>
          <w:p>
            <w:pPr>
              <w:spacing w:after="0"/>
              <w:rPr>
                <w:sz w:val="1"/>
                <w:szCs w:val="1"/>
                <w:color w:val="auto"/>
              </w:rPr>
            </w:pPr>
          </w:p>
        </w:tc>
      </w:tr>
      <w:tr>
        <w:trPr>
          <w:trHeight w:val="205"/>
        </w:trPr>
        <w:tc>
          <w:tcPr>
            <w:tcW w:w="2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goodwill</w:t>
            </w:r>
          </w:p>
        </w:tc>
        <w:tc>
          <w:tcPr>
            <w:tcW w:w="120" w:type="dxa"/>
            <w:vAlign w:val="bottom"/>
            <w:vMerge w:val="continue"/>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260" w:type="dxa"/>
            <w:vAlign w:val="bottom"/>
            <w:gridSpan w:val="2"/>
            <w:vMerge w:val="continue"/>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280" w:type="dxa"/>
            <w:vAlign w:val="bottom"/>
            <w:gridSpan w:val="2"/>
            <w:vMerge w:val="continue"/>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220" w:type="dxa"/>
            <w:vAlign w:val="bottom"/>
            <w:gridSpan w:val="2"/>
            <w:vMerge w:val="continue"/>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260" w:type="dxa"/>
            <w:vAlign w:val="bottom"/>
            <w:gridSpan w:val="2"/>
            <w:vMerge w:val="continue"/>
            <w:shd w:val="clear" w:color="auto" w:fill="CCEEFF"/>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280" w:type="dxa"/>
            <w:vAlign w:val="bottom"/>
            <w:gridSpan w:val="2"/>
            <w:vMerge w:val="continue"/>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Debt consisted of the following:</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60" w:type="dxa"/>
            <w:vAlign w:val="bottom"/>
          </w:tcPr>
          <w:p>
            <w:pPr>
              <w:ind w:left="20"/>
              <w:spacing w:after="0"/>
              <w:rPr>
                <w:sz w:val="20"/>
                <w:szCs w:val="20"/>
                <w:color w:val="auto"/>
              </w:rPr>
            </w:pPr>
            <w:r>
              <w:rPr>
                <w:rFonts w:ascii="Arial" w:cs="Arial" w:eastAsia="Arial" w:hAnsi="Arial"/>
                <w:sz w:val="14"/>
                <w:szCs w:val="14"/>
                <w:color w:val="auto"/>
              </w:rPr>
              <w:t>(In millions, except %)</w:t>
            </w: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tcBorders>
              <w:bottom w:val="single" w:sz="8" w:color="auto"/>
            </w:tcBorders>
            <w:gridSpan w:val="4"/>
          </w:tcPr>
          <w:p>
            <w:pPr>
              <w:jc w:val="right"/>
              <w:ind w:right="739"/>
              <w:spacing w:after="0"/>
              <w:rPr>
                <w:sz w:val="20"/>
                <w:szCs w:val="20"/>
                <w:color w:val="auto"/>
              </w:rPr>
            </w:pPr>
            <w:r>
              <w:rPr>
                <w:rFonts w:ascii="Arial" w:cs="Arial" w:eastAsia="Arial" w:hAnsi="Arial"/>
                <w:sz w:val="16"/>
                <w:szCs w:val="16"/>
                <w:b w:val="1"/>
                <w:bCs w:val="1"/>
                <w:color w:val="auto"/>
              </w:rPr>
              <w:t>December 31, 2022</w:t>
            </w:r>
          </w:p>
        </w:tc>
        <w:tc>
          <w:tcPr>
            <w:tcW w:w="1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w w:val="90"/>
              </w:rPr>
              <w:t>June 30, 2023</w:t>
            </w:r>
          </w:p>
        </w:tc>
        <w:tc>
          <w:tcPr>
            <w:tcW w:w="1000" w:type="dxa"/>
            <w:vAlign w:val="bottom"/>
            <w:tcBorders>
              <w:bottom w:val="single" w:sz="8" w:color="auto"/>
            </w:tcBorders>
          </w:tcPr>
          <w:p>
            <w:pPr>
              <w:spacing w:after="0"/>
              <w:rPr>
                <w:sz w:val="18"/>
                <w:szCs w:val="18"/>
                <w:color w:val="auto"/>
              </w:rPr>
            </w:pPr>
          </w:p>
        </w:tc>
      </w:tr>
      <w:tr>
        <w:trPr>
          <w:trHeight w:val="215"/>
        </w:trPr>
        <w:tc>
          <w:tcPr>
            <w:tcW w:w="3360" w:type="dxa"/>
            <w:vAlign w:val="bottom"/>
            <w:tcBorders>
              <w:bottom w:val="single" w:sz="8" w:color="auto"/>
            </w:tcBorders>
          </w:tcPr>
          <w:p>
            <w:pPr>
              <w:ind w:left="1120"/>
              <w:spacing w:after="0"/>
              <w:rPr>
                <w:sz w:val="20"/>
                <w:szCs w:val="20"/>
                <w:color w:val="auto"/>
              </w:rPr>
            </w:pPr>
            <w:r>
              <w:rPr>
                <w:rFonts w:ascii="Arial" w:cs="Arial" w:eastAsia="Arial" w:hAnsi="Arial"/>
                <w:sz w:val="16"/>
                <w:szCs w:val="16"/>
                <w:b w:val="1"/>
                <w:bCs w:val="1"/>
                <w:color w:val="auto"/>
              </w:rPr>
              <w:t>Debt Instrument</w:t>
            </w:r>
          </w:p>
        </w:tc>
        <w:tc>
          <w:tcPr>
            <w:tcW w:w="14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Maturity Date</w:t>
            </w:r>
          </w:p>
        </w:tc>
        <w:tc>
          <w:tcPr>
            <w:tcW w:w="12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ind w:left="200"/>
              <w:spacing w:after="0" w:line="216" w:lineRule="exact"/>
              <w:rPr>
                <w:sz w:val="20"/>
                <w:szCs w:val="20"/>
                <w:color w:val="auto"/>
              </w:rPr>
            </w:pPr>
            <w:r>
              <w:rPr>
                <w:rFonts w:ascii="Arial" w:cs="Arial" w:eastAsia="Arial" w:hAnsi="Arial"/>
                <w:sz w:val="16"/>
                <w:szCs w:val="16"/>
                <w:b w:val="1"/>
                <w:bCs w:val="1"/>
                <w:color w:val="auto"/>
              </w:rPr>
              <w:t>Interest Rate</w:t>
            </w:r>
            <w:r>
              <w:rPr>
                <w:rFonts w:ascii="Arial" w:cs="Arial" w:eastAsia="Arial" w:hAnsi="Arial"/>
                <w:sz w:val="21"/>
                <w:szCs w:val="21"/>
                <w:b w:val="1"/>
                <w:bCs w:val="1"/>
                <w:color w:val="auto"/>
                <w:vertAlign w:val="superscript"/>
              </w:rPr>
              <w:t>(1)</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gridSpan w:val="2"/>
          </w:tcPr>
          <w:p>
            <w:pPr>
              <w:ind w:left="200"/>
              <w:spacing w:after="0" w:line="216" w:lineRule="exact"/>
              <w:rPr>
                <w:sz w:val="20"/>
                <w:szCs w:val="20"/>
                <w:color w:val="auto"/>
              </w:rPr>
            </w:pPr>
            <w:r>
              <w:rPr>
                <w:rFonts w:ascii="Arial" w:cs="Arial" w:eastAsia="Arial" w:hAnsi="Arial"/>
                <w:sz w:val="16"/>
                <w:szCs w:val="16"/>
                <w:b w:val="1"/>
                <w:bCs w:val="1"/>
                <w:color w:val="auto"/>
              </w:rPr>
              <w:t>Interest Rate</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w w:val="92"/>
              </w:rPr>
              <w:t>Amount</w:t>
            </w:r>
          </w:p>
        </w:tc>
      </w:tr>
      <w:tr>
        <w:trPr>
          <w:trHeight w:val="209"/>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Term Loan Facility</w:t>
            </w: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0"/>
              </w:rPr>
              <w:t>February 15, 2028</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7.38%</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2,259.8</w:t>
            </w:r>
          </w:p>
        </w:tc>
        <w:tc>
          <w:tcPr>
            <w:tcW w:w="1100" w:type="dxa"/>
            <w:vAlign w:val="bottom"/>
            <w:gridSpan w:val="2"/>
            <w:shd w:val="clear" w:color="auto" w:fill="CCEEFF"/>
          </w:tcPr>
          <w:p>
            <w:pPr>
              <w:jc w:val="center"/>
              <w:ind w:left="479"/>
              <w:spacing w:after="0"/>
              <w:rPr>
                <w:sz w:val="20"/>
                <w:szCs w:val="20"/>
                <w:color w:val="auto"/>
              </w:rPr>
            </w:pPr>
            <w:r>
              <w:rPr>
                <w:rFonts w:ascii="Arial" w:cs="Arial" w:eastAsia="Arial" w:hAnsi="Arial"/>
                <w:sz w:val="16"/>
                <w:szCs w:val="16"/>
                <w:color w:val="auto"/>
                <w:w w:val="92"/>
              </w:rPr>
              <w:t>8.00%</w:t>
            </w: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2,248.3</w:t>
            </w:r>
          </w:p>
        </w:tc>
      </w:tr>
      <w:tr>
        <w:trPr>
          <w:trHeight w:val="213"/>
        </w:trPr>
        <w:tc>
          <w:tcPr>
            <w:tcW w:w="3360" w:type="dxa"/>
            <w:vAlign w:val="bottom"/>
          </w:tcPr>
          <w:p>
            <w:pPr>
              <w:ind w:left="20"/>
              <w:spacing w:after="0"/>
              <w:rPr>
                <w:sz w:val="20"/>
                <w:szCs w:val="20"/>
                <w:color w:val="auto"/>
              </w:rPr>
            </w:pPr>
            <w:r>
              <w:rPr>
                <w:rFonts w:ascii="Arial" w:cs="Arial" w:eastAsia="Arial" w:hAnsi="Arial"/>
                <w:sz w:val="16"/>
                <w:szCs w:val="16"/>
                <w:color w:val="auto"/>
              </w:rPr>
              <w:t>Revolving Credit Facility</w:t>
            </w:r>
          </w:p>
        </w:tc>
        <w:tc>
          <w:tcPr>
            <w:tcW w:w="14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August 7, 2025</w:t>
            </w:r>
          </w:p>
        </w:tc>
        <w:tc>
          <w:tcPr>
            <w:tcW w:w="14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center"/>
              <w:ind w:left="479"/>
              <w:spacing w:after="0"/>
              <w:rPr>
                <w:sz w:val="20"/>
                <w:szCs w:val="20"/>
                <w:color w:val="auto"/>
              </w:rPr>
            </w:pPr>
            <w:r>
              <w:rPr>
                <w:rFonts w:ascii="Arial" w:cs="Arial" w:eastAsia="Arial" w:hAnsi="Arial"/>
                <w:sz w:val="16"/>
                <w:szCs w:val="16"/>
                <w:color w:val="auto"/>
                <w:w w:val="92"/>
              </w:rPr>
              <w:t>8.37%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50.0</w:t>
            </w:r>
          </w:p>
        </w:tc>
      </w:tr>
      <w:tr>
        <w:trPr>
          <w:trHeight w:val="219"/>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3.50% Senior Secured Notes</w:t>
            </w:r>
          </w:p>
        </w:tc>
        <w:tc>
          <w:tcPr>
            <w:tcW w:w="1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0"/>
              </w:rPr>
              <w:t>February 15, 2028</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3.50%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550.0</w:t>
            </w:r>
          </w:p>
        </w:tc>
        <w:tc>
          <w:tcPr>
            <w:tcW w:w="1100" w:type="dxa"/>
            <w:vAlign w:val="bottom"/>
            <w:gridSpan w:val="2"/>
            <w:shd w:val="clear" w:color="auto" w:fill="CCEEFF"/>
          </w:tcPr>
          <w:p>
            <w:pPr>
              <w:jc w:val="center"/>
              <w:ind w:left="479"/>
              <w:spacing w:after="0"/>
              <w:rPr>
                <w:sz w:val="20"/>
                <w:szCs w:val="20"/>
                <w:color w:val="auto"/>
              </w:rPr>
            </w:pPr>
            <w:r>
              <w:rPr>
                <w:rFonts w:ascii="Arial" w:cs="Arial" w:eastAsia="Arial" w:hAnsi="Arial"/>
                <w:sz w:val="16"/>
                <w:szCs w:val="16"/>
                <w:color w:val="auto"/>
                <w:w w:val="92"/>
              </w:rPr>
              <w:t>3.50%</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550.0</w:t>
            </w:r>
          </w:p>
        </w:tc>
      </w:tr>
      <w:tr>
        <w:trPr>
          <w:trHeight w:val="213"/>
        </w:trPr>
        <w:tc>
          <w:tcPr>
            <w:tcW w:w="3360" w:type="dxa"/>
            <w:vAlign w:val="bottom"/>
          </w:tcPr>
          <w:p>
            <w:pPr>
              <w:ind w:left="20"/>
              <w:spacing w:after="0"/>
              <w:rPr>
                <w:sz w:val="20"/>
                <w:szCs w:val="20"/>
                <w:color w:val="auto"/>
              </w:rPr>
            </w:pPr>
            <w:r>
              <w:rPr>
                <w:rFonts w:ascii="Arial" w:cs="Arial" w:eastAsia="Arial" w:hAnsi="Arial"/>
                <w:sz w:val="16"/>
                <w:szCs w:val="16"/>
                <w:color w:val="auto"/>
              </w:rPr>
              <w:t>5.375% Senior Notes</w:t>
            </w:r>
          </w:p>
        </w:tc>
        <w:tc>
          <w:tcPr>
            <w:tcW w:w="14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December 1, 2028</w:t>
            </w:r>
          </w:p>
        </w:tc>
        <w:tc>
          <w:tcPr>
            <w:tcW w:w="1420" w:type="dxa"/>
            <w:vAlign w:val="bottom"/>
          </w:tcPr>
          <w:p>
            <w:pPr>
              <w:jc w:val="center"/>
              <w:spacing w:after="0"/>
              <w:rPr>
                <w:sz w:val="20"/>
                <w:szCs w:val="20"/>
                <w:color w:val="auto"/>
              </w:rPr>
            </w:pPr>
            <w:r>
              <w:rPr>
                <w:rFonts w:ascii="Arial" w:cs="Arial" w:eastAsia="Arial" w:hAnsi="Arial"/>
                <w:sz w:val="16"/>
                <w:szCs w:val="16"/>
                <w:color w:val="auto"/>
                <w:w w:val="92"/>
              </w:rPr>
              <w:t>5.375%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550.0</w:t>
            </w:r>
          </w:p>
        </w:tc>
        <w:tc>
          <w:tcPr>
            <w:tcW w:w="1100" w:type="dxa"/>
            <w:vAlign w:val="bottom"/>
            <w:gridSpan w:val="2"/>
          </w:tcPr>
          <w:p>
            <w:pPr>
              <w:jc w:val="center"/>
              <w:ind w:left="479"/>
              <w:spacing w:after="0"/>
              <w:rPr>
                <w:sz w:val="20"/>
                <w:szCs w:val="20"/>
                <w:color w:val="auto"/>
              </w:rPr>
            </w:pPr>
            <w:r>
              <w:rPr>
                <w:rFonts w:ascii="Arial" w:cs="Arial" w:eastAsia="Arial" w:hAnsi="Arial"/>
                <w:sz w:val="16"/>
                <w:szCs w:val="16"/>
                <w:color w:val="auto"/>
                <w:w w:val="92"/>
              </w:rPr>
              <w:t>5.375%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385.2</w:t>
            </w:r>
          </w:p>
        </w:tc>
      </w:tr>
      <w:tr>
        <w:trPr>
          <w:trHeight w:val="219"/>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unamortized debt issuance costs</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w:t>
            </w:r>
          </w:p>
        </w:tc>
      </w:tr>
      <w:tr>
        <w:trPr>
          <w:trHeight w:val="213"/>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unamortized debt discount</w:t>
            </w:r>
          </w:p>
        </w:tc>
        <w:tc>
          <w:tcPr>
            <w:tcW w:w="140" w:type="dxa"/>
            <w:vAlign w:val="bottom"/>
            <w:tcBorders>
              <w:bottom w:val="single" w:sz="8" w:color="CCEEFF"/>
            </w:tcBorders>
          </w:tcPr>
          <w:p>
            <w:pPr>
              <w:spacing w:after="0"/>
              <w:rPr>
                <w:sz w:val="18"/>
                <w:szCs w:val="18"/>
                <w:color w:val="auto"/>
              </w:rPr>
            </w:pPr>
          </w:p>
        </w:tc>
        <w:tc>
          <w:tcPr>
            <w:tcW w:w="15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r>
      <w:tr>
        <w:trPr>
          <w:trHeight w:val="213"/>
        </w:trPr>
        <w:tc>
          <w:tcPr>
            <w:tcW w:w="3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debt</w:t>
            </w: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3,318.4</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3,197.4</w:t>
            </w:r>
          </w:p>
        </w:tc>
      </w:tr>
      <w:tr>
        <w:trPr>
          <w:trHeight w:val="213"/>
        </w:trPr>
        <w:tc>
          <w:tcPr>
            <w:tcW w:w="33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Less: current portion of debt</w:t>
            </w:r>
          </w:p>
        </w:tc>
        <w:tc>
          <w:tcPr>
            <w:tcW w:w="140" w:type="dxa"/>
            <w:vAlign w:val="bottom"/>
            <w:tcBorders>
              <w:bottom w:val="single" w:sz="8" w:color="CCEEFF"/>
            </w:tcBorders>
          </w:tcPr>
          <w:p>
            <w:pPr>
              <w:spacing w:after="0"/>
              <w:rPr>
                <w:sz w:val="18"/>
                <w:szCs w:val="18"/>
                <w:color w:val="auto"/>
              </w:rPr>
            </w:pPr>
          </w:p>
        </w:tc>
        <w:tc>
          <w:tcPr>
            <w:tcW w:w="15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w:t>
            </w: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w:t>
            </w:r>
          </w:p>
        </w:tc>
      </w:tr>
      <w:tr>
        <w:trPr>
          <w:trHeight w:val="233"/>
        </w:trPr>
        <w:tc>
          <w:tcPr>
            <w:tcW w:w="3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Debt, excluding current portion</w:t>
            </w: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3,295.4</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3,174.4</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Interest rates are as of each respective balance sheet date.</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Facilities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senior secured credit facilities include the Term Loan Facility and the Revolving Credit Facility (together, the "Senior Facilities").</w:t>
      </w:r>
    </w:p>
    <w:p>
      <w:pPr>
        <w:spacing w:after="0" w:line="252" w:lineRule="exact"/>
        <w:rPr>
          <w:sz w:val="20"/>
          <w:szCs w:val="20"/>
          <w:color w:val="auto"/>
        </w:rPr>
      </w:pPr>
    </w:p>
    <w:p>
      <w:pPr>
        <w:ind w:right="60" w:firstLine="486"/>
        <w:spacing w:after="0" w:line="275" w:lineRule="auto"/>
        <w:rPr>
          <w:sz w:val="20"/>
          <w:szCs w:val="20"/>
          <w:color w:val="auto"/>
        </w:rPr>
      </w:pPr>
      <w:r>
        <w:rPr>
          <w:rFonts w:ascii="Arial" w:cs="Arial" w:eastAsia="Arial" w:hAnsi="Arial"/>
          <w:sz w:val="17"/>
          <w:szCs w:val="17"/>
          <w:color w:val="auto"/>
        </w:rPr>
        <w:t>On February 9, 2021, we amended and restated the credit agreement governing our Senior Facilities (the "First Lien Credit Agreement"), which included a new seven-year $2,300.0 million senior secured first lien term loan facility due on February 15, 2028 and our existing $375.0 million Revolving Credit Facility. We used the borrowings under the Term Loan Facility, together with the proceeds from the issuance of the 3.50% Senior Secured Notes described below (together, the "February 2021 Refinancing Transaction"), to repay all borrowings under our prior term loan facility (the "Prior Term Loan Facility"), to pay related fees and expenses and for general corporate purposes.</w:t>
      </w:r>
    </w:p>
    <w:p>
      <w:pPr>
        <w:spacing w:after="0" w:line="203"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On April 26, 2023, we executed an amendment to our First Lien Credit Agreement to establish Term SOFR as the benchmark rate for determining the applicable interest rate, replacing LIBOR.</w:t>
      </w:r>
    </w:p>
    <w:p>
      <w:pPr>
        <w:spacing w:after="0" w:line="197"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As a result of the amendment, borrowings under the Senior Facilities bear interest at an annual rate equal to an applicable margin plus, at our option, either (a) Term SOFR equal to the forward-looking term rate, based on the secured overnight financing rate as administered by the Federal Reserve Bank of New York, for the interest period relevant to such borrowing, plus the credit spread adjustment recommended by the Alternative Reference Rates Committee, adjusted for certain additional costs, subject to a 0.75% floor, in the case of the Term Loan Facility, and a 1.00% floor, in the case of the Revolving Credit Facility, or (b) a base rate determined by reference to the highest of (i) the federal funds rate plus 0.50%, (ii) the prime rate of Citibank, N.A. and (iii) adjusted Term SOFR for a one-month tenor plus 1.00%.</w:t>
      </w:r>
    </w:p>
    <w:p>
      <w:pPr>
        <w:spacing w:after="0" w:line="205" w:lineRule="exact"/>
        <w:rPr>
          <w:sz w:val="20"/>
          <w:szCs w:val="20"/>
          <w:color w:val="auto"/>
        </w:rPr>
      </w:pPr>
    </w:p>
    <w:p>
      <w:pPr>
        <w:ind w:right="100" w:firstLine="486"/>
        <w:spacing w:after="0" w:line="279" w:lineRule="auto"/>
        <w:rPr>
          <w:sz w:val="20"/>
          <w:szCs w:val="20"/>
          <w:color w:val="auto"/>
        </w:rPr>
      </w:pPr>
      <w:r>
        <w:rPr>
          <w:rFonts w:ascii="Arial" w:cs="Arial" w:eastAsia="Arial" w:hAnsi="Arial"/>
          <w:sz w:val="17"/>
          <w:szCs w:val="17"/>
          <w:color w:val="auto"/>
        </w:rPr>
        <w:t>The credit spread adjustment is 0.11% for an interest period of one-month's duration, 0.26% for an interest period of three-months' duration, and 0.43% for an interest period of six-months' duration. The applicable margin for the Term Loan Facility is 2.75% for SOFR loans and 1.75% for base rate loans and the applicable margin for the Revolving Credit Facility is 3.00% for SOFR loans and 2.00% for base rate loans. Interest is due at the end of each interest period elected, not exceeding 90 days, for SOFR loans and at the end of every calendar quarter for base rate loans.</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All other material terms and conditions of the First Lien Credit Agreement were unchanged.</w:t>
      </w:r>
    </w:p>
    <w:p>
      <w:pPr>
        <w:spacing w:after="0" w:line="239" w:lineRule="exact"/>
        <w:rPr>
          <w:sz w:val="20"/>
          <w:szCs w:val="20"/>
          <w:color w:val="auto"/>
        </w:rPr>
      </w:pPr>
    </w:p>
    <w:p>
      <w:pPr>
        <w:ind w:right="160" w:firstLine="486"/>
        <w:spacing w:after="0" w:line="263" w:lineRule="auto"/>
        <w:rPr>
          <w:sz w:val="20"/>
          <w:szCs w:val="20"/>
          <w:color w:val="auto"/>
        </w:rPr>
      </w:pPr>
      <w:r>
        <w:rPr>
          <w:rFonts w:ascii="Arial" w:cs="Arial" w:eastAsia="Arial" w:hAnsi="Arial"/>
          <w:sz w:val="18"/>
          <w:szCs w:val="18"/>
          <w:color w:val="auto"/>
        </w:rPr>
        <w:t>In addition to paying interest on the outstanding principal under the Senior Facilities, the Revolving Credit Facility also includes a commitment fee equal to 0.50% per annum in respect of the unused commitments that is due quarterly. This commitment fee is subject to one step-down based on the net first lien leverage ratio.</w:t>
      </w:r>
    </w:p>
    <w:p>
      <w:pPr>
        <w:spacing w:after="0" w:line="211" w:lineRule="exact"/>
        <w:rPr>
          <w:sz w:val="20"/>
          <w:szCs w:val="20"/>
          <w:color w:val="auto"/>
        </w:rPr>
      </w:pPr>
    </w:p>
    <w:p>
      <w:pPr>
        <w:jc w:val="both"/>
        <w:ind w:right="200" w:firstLine="486"/>
        <w:spacing w:after="0" w:line="263" w:lineRule="auto"/>
        <w:rPr>
          <w:sz w:val="20"/>
          <w:szCs w:val="20"/>
          <w:color w:val="auto"/>
        </w:rPr>
      </w:pPr>
      <w:r>
        <w:rPr>
          <w:rFonts w:ascii="Arial" w:cs="Arial" w:eastAsia="Arial" w:hAnsi="Arial"/>
          <w:sz w:val="18"/>
          <w:szCs w:val="18"/>
          <w:color w:val="auto"/>
        </w:rPr>
        <w:t>As of June 30, 2023, the interest rate on the Term Loan Facility was 8.00%. We are required to make quarterly principal payments of $5.8 million, which began on June 30, 2021. See Note 11, "Derivatives," for information on interest rate swap agreements we utilize to manage the interest rate risk on the Term Loan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320" w:firstLine="486"/>
        <w:spacing w:after="0" w:line="275" w:lineRule="auto"/>
        <w:rPr>
          <w:sz w:val="20"/>
          <w:szCs w:val="20"/>
          <w:color w:val="auto"/>
        </w:rPr>
      </w:pPr>
      <w:r>
        <w:rPr>
          <w:rFonts w:ascii="Arial" w:cs="Arial" w:eastAsia="Arial" w:hAnsi="Arial"/>
          <w:sz w:val="17"/>
          <w:szCs w:val="17"/>
          <w:color w:val="auto"/>
        </w:rPr>
        <w:t>In addition to the quarterly amortization payments discussed above, the Senior Facilities require us to make certain mandatory prepayments, including using (i) a portion of annual excess cash flow, as defined in the First Lien Credit Agreement, to prepay the Term Loan Facility, (ii) net cash proceeds of certain non-ordinary assets sales or dispositions of property to prepay the Term Loan Facility and (iii) net cash proceeds of any issuance or incurrence of debt not permitted under the Senior Facilities to prepay the Term Loan Facility. We may make voluntary prepayments at any time without penalty, except in connection with a repricing event, as defined in the First Lien Credit Agreement.</w:t>
      </w:r>
    </w:p>
    <w:p>
      <w:pPr>
        <w:spacing w:after="0" w:line="203" w:lineRule="exact"/>
        <w:rPr>
          <w:sz w:val="20"/>
          <w:szCs w:val="20"/>
          <w:color w:val="auto"/>
        </w:rPr>
      </w:pPr>
    </w:p>
    <w:p>
      <w:pPr>
        <w:jc w:val="both"/>
        <w:ind w:right="100" w:firstLine="486"/>
        <w:spacing w:after="0" w:line="263" w:lineRule="auto"/>
        <w:rPr>
          <w:sz w:val="20"/>
          <w:szCs w:val="20"/>
          <w:color w:val="auto"/>
        </w:rPr>
      </w:pPr>
      <w:r>
        <w:rPr>
          <w:rFonts w:ascii="Arial" w:cs="Arial" w:eastAsia="Arial" w:hAnsi="Arial"/>
          <w:sz w:val="18"/>
          <w:szCs w:val="18"/>
          <w:color w:val="auto"/>
        </w:rPr>
        <w:t>The fair value of the Term Loan Facility as of June 30, 2023 was $1,045.5 million, based on quoted market prices for identical assets that are traded in over-the-counter secondary markets that are not considered active. The fair value of the Term Loan Facility is classified as Level 2 within the fair value hierarchy.</w:t>
      </w:r>
    </w:p>
    <w:p>
      <w:pPr>
        <w:spacing w:after="0" w:line="211" w:lineRule="exact"/>
        <w:rPr>
          <w:sz w:val="20"/>
          <w:szCs w:val="20"/>
          <w:color w:val="auto"/>
        </w:rPr>
      </w:pPr>
    </w:p>
    <w:p>
      <w:pPr>
        <w:ind w:right="140" w:firstLine="486"/>
        <w:spacing w:after="0" w:line="289" w:lineRule="auto"/>
        <w:rPr>
          <w:sz w:val="20"/>
          <w:szCs w:val="20"/>
          <w:color w:val="auto"/>
        </w:rPr>
      </w:pPr>
      <w:r>
        <w:rPr>
          <w:rFonts w:ascii="Arial" w:cs="Arial" w:eastAsia="Arial" w:hAnsi="Arial"/>
          <w:sz w:val="16"/>
          <w:szCs w:val="16"/>
          <w:color w:val="auto"/>
        </w:rPr>
        <w:t>Rackspace Technology Global is the borrower under the Senior Facilities, and all obligations under the Senior Facilities are (i) guaranteed by Inception Parent, Inc., Rackspace Technology Global's immediate parent company, on a limited recourse basis and secured by the equity interests of Rackspace Technology Global held by Inception Parent, Inc. and (ii) guaranteed by Rackspace Technology Global's wholly-owned domestic restricted subsidiaries and secured by substantially all material owned assets of Rackspace Technology Global and the subsidiary guarantors, including the equity interests held by each, in each case subject to certain exceptions. The only financial covenant is with respect to the Revolving Credit Facility which limits the net first lien leverage ratio to a maximum of 5.00 to 1.00; however, this covenant is only applicable and tested if the aggregate amount of outstanding borrowings under the Revolving Credit Facility and letters of credit issued thereunder (excluding $25.0 million of undrawn letters of credit and cash collateralized letters of credit) is equal to or greater than 35% of the Revolving Credit Facility commitments at the end of a fiscal quarter. Other covenants include limitations on restricted payments, indebtedness, investments, liens, asset sales and transactions with affiliates.</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June 30, 2023, we were in compliance with all covenants under the Senior Facilities.</w:t>
      </w:r>
    </w:p>
    <w:p>
      <w:pPr>
        <w:spacing w:after="0" w:line="252" w:lineRule="exact"/>
        <w:rPr>
          <w:sz w:val="20"/>
          <w:szCs w:val="20"/>
          <w:color w:val="auto"/>
        </w:rPr>
      </w:pPr>
    </w:p>
    <w:p>
      <w:pPr>
        <w:ind w:right="180" w:firstLine="486"/>
        <w:spacing w:after="0" w:line="311" w:lineRule="auto"/>
        <w:rPr>
          <w:sz w:val="20"/>
          <w:szCs w:val="20"/>
          <w:color w:val="auto"/>
        </w:rPr>
      </w:pPr>
      <w:r>
        <w:rPr>
          <w:rFonts w:ascii="Arial" w:cs="Arial" w:eastAsia="Arial" w:hAnsi="Arial"/>
          <w:sz w:val="16"/>
          <w:szCs w:val="16"/>
          <w:color w:val="auto"/>
        </w:rPr>
        <w:t>The Revolving Credit Facility matures on August 7, 2025 and we borrowed $50.0 million during the three and six months ended June 30, 2023. As of June 30, 2023, we had total commitments of $375.0 million, $50.0 million of outstanding borrowings under the Revolving Credit Facility, and $3.5 million of letters of credit issued thereunder. As such, as of June 30, 2023, we had $325.0 million of available commitments remaining.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3.50% Senior Secured Notes due 2028</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On February 9, 2021, Rackspace Technology Global issued $550.0 million aggregate principal amount of the 3.50% Senior Secured Notes.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3.50% Senior Secured Notes will mature on February 15, 2028 and bear interest at an annual fixed rate of 3.50%. Interest is payable semiannually on each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February 15 and August 15, commencing on August 15, 2021. The 3.50% Senior Secured Notes are not subject to registration rights. As noted above,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used the net proceeds from the issuance of the 3.50% Senior Secured Notes, together with borrowings under the Term Loan Facility described above,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repay all borrowings outstanding under the Prior Term Loan Facility, to pay related fees and expenses and for general corporate purposes.</w:t>
      </w:r>
    </w:p>
    <w:p>
      <w:pPr>
        <w:spacing w:after="0" w:line="238"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Rackspace Technology Global is the issuer of the 3.50% Senior Secured Notes, and obligations under the 3.50% Senior Secured Notes are fully and unconditionally guaranteed, jointly and severally, by all of Rackspace Technology Global’s wholly-owned domestic restricted subsidiaries (as subsidiary guarantors) that guarantee the Senior Facilities. The 3.50% Senior Secured Notes and the related guarantees are secured by first-priority security interests in substantially all material owned assets of Rackspace Technology Global and the subsidiary guarantors, including the equity interest held by each, subject to certain exceptions, which assets also secure the Senior Facilities. The indenture governing the 3.50% Senior Secured Notes (the "3.50% Notes Indenture") describes certain terms and conditions under which other current and future domestic subsidiaries are required to become guarantors of the 3.50% Senior Secured Notes.</w:t>
      </w:r>
    </w:p>
    <w:p>
      <w:pPr>
        <w:spacing w:after="0" w:line="222"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Rackspace Technology Global may redeem the 3.50% Senior Secured Notes at its option, in whole at any time or in part from time to time, at the following redemption prices: prior to February 15, 2024, at a redemption price equal to 100.000% of the principal amount, plus the applicable premium described in the 3.50% Notes Indenture and accrued and unpaid interest, if any, to but excluding the redemption date; from February 15, 2024 to February 14, 2025, at a redemption price equal to 101.750% of the principal amount, plus accrued and unpaid interest, if any, to but excluding the redemption date; from February 15, 2025 to February 14, 2026, at a redemption price equal to 100.875% of the principal amount, plus accrued and unpaid interest, if any, to but excluding the redemption date; and from February 15, 2026 and thereafter, at a redemption price equal to 100.000% of the principal amount, plus accrued and unpaid interest, if any, to but excluding the redemption date. Rackspace Technology Global may also redeem prior to February 15, 2024 up to 40.0% of the aggregate</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principal amount of the 3.50% Senior Secured Notes with funds in an aggregate amount not to exceed the net cash proceeds from certain equity offerings at a redemption price equal to 103.500% of the principal amount of the 3.50% Senior Secured Notes to be redeemed, plus accrued and unpaid interest, if any, to, but excluding, the redemption date. Notwithstanding the foregoing, Rackspace Technology Global may redeem during each twelve-month period, commencing with February 9, 2021, up to 10.0% of the original aggregate principal amount of the 3.50% Senior Secured Notes at a redemption price of 103.000%, plus accrued and unpaid interest, if any, to, but excluding, the applicable redemption date.</w:t>
      </w:r>
    </w:p>
    <w:p>
      <w:pPr>
        <w:spacing w:after="0" w:line="203"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The 3.50% Notes Indenture contains covenants that, among other things, limit our ability to incur certain additional debt, incur certain liens securing debt, pay certain dividends or make other restricted payments, make certain investments, make certain asset sales and enter into certain transactions with affiliates. These covenants are subject to a number of exceptions, limitations, and qualifications as set forth in the 3.50% Notes Indenture. Additionally, upon the occurrence of a change of control (as defined in the 3.50% Notes Indenture), we will be required to make an offer to repurchase all of the outstanding 3.50% Senior Secured Notes at a price in cash equal to 101.000% of the aggregate principal amount, plus accrued and unpaid interest, if any, to, but not including the purchase date.</w:t>
      </w:r>
    </w:p>
    <w:p>
      <w:pPr>
        <w:spacing w:after="0" w:line="21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June 30, 2023, Rackspace Technology Global was in compliance with all covenants under the 3.50% Notes Indenture.</w:t>
      </w:r>
    </w:p>
    <w:p>
      <w:pPr>
        <w:spacing w:after="0" w:line="252"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The fair value of the 3.50% Senior Secured Notes as of June 30, 2023 was $247.5 million, based on quoted market prices for identical assets that are traded in over-the-counter secondary markets that are not considered active. The fair value of the 3.50% Senior Secured Notes are classified as Level 2 within the fair value hierarchy.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5.375% Senior Notes due 2028</w:t>
      </w:r>
    </w:p>
    <w:p>
      <w:pPr>
        <w:spacing w:after="0" w:line="252" w:lineRule="exact"/>
        <w:rPr>
          <w:sz w:val="20"/>
          <w:szCs w:val="20"/>
          <w:color w:val="auto"/>
        </w:rPr>
      </w:pPr>
    </w:p>
    <w:p>
      <w:pPr>
        <w:jc w:val="both"/>
        <w:ind w:right="240" w:firstLine="486"/>
        <w:spacing w:after="0" w:line="286" w:lineRule="auto"/>
        <w:rPr>
          <w:sz w:val="20"/>
          <w:szCs w:val="20"/>
          <w:color w:val="auto"/>
        </w:rPr>
      </w:pPr>
      <w:r>
        <w:rPr>
          <w:rFonts w:ascii="Arial" w:cs="Arial" w:eastAsia="Arial" w:hAnsi="Arial"/>
          <w:sz w:val="17"/>
          <w:szCs w:val="17"/>
          <w:color w:val="auto"/>
        </w:rPr>
        <w:t>On December 1, 2020, Rackspace Technology Global issued $550.0 million aggregate principal amount of the 5.375% Senior Notes. The 5.375% Senior Notes will mature on December 1, 2028 and bear interest at an annual fixed rate of 5.375%. Interest is payable semiannually on each June 1 and December 1, commencing on June 1, 2021. The 5.375% Senior Notes are not subject to registration rights.</w:t>
      </w:r>
    </w:p>
    <w:p>
      <w:pPr>
        <w:spacing w:after="0" w:line="192"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Rackspace Technology Global is the issuer of the 5.375% Senior Notes, and obligations under the 5.375% Senior Notes are guaranteed on a senior unsecured basis by all of Rackspace Technology Global's wholly-owned domestic restricted subsidiaries (as subsidiary guarantors) that guarantee the Senior Facilities. The 5.375% Senior Notes are effectively junior to the indebtedness under the Senior Facilities and the 3.50% Senior Secured Notes, to the extent of the collateral securing the Senior Facilities and the 3.50% Senior Secured Notes. The indenture governing the 5.375% Senior Notes (the "5.375% Notes Indenture") describes certain terms and conditions under which other current and future domestic subsidiaries are required to become guarantors of the 5.375% Senior Notes.</w:t>
      </w:r>
    </w:p>
    <w:p>
      <w:pPr>
        <w:spacing w:after="0" w:line="219"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Rackspace Technology Global may redeem the 5.375% Senior Notes at its option, in whole at any time or in part from time to time, at the following redemption prices: prior to December 1, 2023, at a redemption price equal to 100.000% of the principal amount, plus the applicable premium described in the 5.375% Notes Indenture and accrued and unpaid interest, if any, to but excluding the redemption date; from December 1, 2023 to November 30, 2024, at a redemption price equal to 102.688% of the principal amount, plus accrued and unpaid interest, if any, to but excluding the redemption date; from December 1, 2024 to November 30, 2025, at a redemption price equal to 101.344% of the principal amount, plus accrued and unpaid interest, if any, to but excluding the redemption date; and from December 1, 2025 and thereafter, at a redemption price equal to 100.000% of the principal amount, plus accrued and unpaid interest, if any, to but excluding the redemption date. Rackspace Technology Global may also redeem prior to December 1, 2023 up to 40.0% of the aggregate principal amount of the 5.375% Senior Notes with funds in an aggregate amount not to exceed the net cash proceeds from certain equity offerings at a redemption price equal to 105.375% of the principal amount of the 5.375% Senior Notes to be redeemed, plus accrued and unpaid interest, if any, to, but excluding, the redemption date.</w:t>
      </w:r>
    </w:p>
    <w:p>
      <w:pPr>
        <w:spacing w:after="0" w:line="212" w:lineRule="exact"/>
        <w:rPr>
          <w:sz w:val="20"/>
          <w:szCs w:val="20"/>
          <w:color w:val="auto"/>
        </w:rPr>
      </w:pPr>
    </w:p>
    <w:p>
      <w:pPr>
        <w:ind w:right="220" w:firstLine="486"/>
        <w:spacing w:after="0" w:line="291" w:lineRule="auto"/>
        <w:rPr>
          <w:sz w:val="20"/>
          <w:szCs w:val="20"/>
          <w:color w:val="auto"/>
        </w:rPr>
      </w:pPr>
      <w:r>
        <w:rPr>
          <w:rFonts w:ascii="Arial" w:cs="Arial" w:eastAsia="Arial" w:hAnsi="Arial"/>
          <w:sz w:val="16"/>
          <w:szCs w:val="16"/>
          <w:color w:val="auto"/>
        </w:rPr>
        <w:t>During the three and six months ended June 30, 2023, Rackspace Technology Global repurchased and surrendered for cancellation $142.1 million and $164.8 million principal amount of 5.375% Senior Notes for $46.8 million and $56.8 million, including accrued interest of $1.0 million and</w:t>
      </w:r>
    </w:p>
    <w:p>
      <w:pPr>
        <w:jc w:val="both"/>
        <w:ind w:right="600"/>
        <w:spacing w:after="0" w:line="255" w:lineRule="auto"/>
        <w:rPr>
          <w:sz w:val="20"/>
          <w:szCs w:val="20"/>
          <w:color w:val="auto"/>
        </w:rPr>
      </w:pPr>
      <w:r>
        <w:rPr>
          <w:rFonts w:ascii="Arial" w:cs="Arial" w:eastAsia="Arial" w:hAnsi="Arial"/>
          <w:sz w:val="18"/>
          <w:szCs w:val="18"/>
          <w:color w:val="auto"/>
        </w:rPr>
        <w:t>$1.3 million, respectively. In connection with these repurchases, we recorded a "Gain on debt extinguishment" of $94.9 million and $107.7 million, respectively, in our Condensed Consolidated Statements of Comprehensive Loss for the three and six months ended June 30, 2023, which includes $1.3 million and $1.6 million of unamortized debt issuance costs write-offs,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60" w:firstLine="486"/>
        <w:spacing w:after="0" w:line="255" w:lineRule="auto"/>
        <w:rPr>
          <w:sz w:val="20"/>
          <w:szCs w:val="20"/>
          <w:color w:val="auto"/>
        </w:rPr>
      </w:pPr>
      <w:r>
        <w:rPr>
          <w:rFonts w:ascii="Arial" w:cs="Arial" w:eastAsia="Arial" w:hAnsi="Arial"/>
          <w:sz w:val="18"/>
          <w:szCs w:val="18"/>
          <w:color w:val="auto"/>
        </w:rPr>
        <w:t>The 5.375% Notes Indenture contains covenants that, among other things, limit our ability to incur certain additional debt, incur certain liens securing debt, pay certain dividends or make other restricted payments, make certain investments, make certain asset sales and enter into certain transactions with affiliates. These covenants are subject to a number of exceptions, limitations, and qualifications as set forth in the 5.375% Notes Indenture. Additionally, upon the occurrence of a change of control (as defined in the 5.375% Notes Indenture), we will be required to make an offer to repurchase all of the outstanding 5.375% Senior Notes at a price in cash equal to 101.000% of the aggregate principal amount, plus accrued and unpaid interest, if any, to, but not including the purchase date.</w:t>
      </w:r>
    </w:p>
    <w:p>
      <w:pPr>
        <w:spacing w:after="0" w:line="21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June 30, 2023, Rackspace Technology Global was in compliance with all covenants under the 5.375% Notes Indenture.</w:t>
      </w:r>
    </w:p>
    <w:p>
      <w:pPr>
        <w:spacing w:after="0" w:line="252"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The fair value of the 5.375% Senior Notes as of June 30, 2023 was $115.6 million, based on quoted market prices for identical assets that are traded in over-the-counter secondary markets that are not considered active. The fair value of the 5.375% Senior Notes are classified as Level 2 within the fair value hierarchy.</w:t>
      </w:r>
    </w:p>
    <w:p>
      <w:pPr>
        <w:spacing w:after="0" w:line="211"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Subsequent to June 30, 2023 and through August 9, 2023, Rackspace Technology Global repurchased and surrendered for cancellation an additional $57.1 million aggregate principal amount of 5.375% Senior Notes for $20.3 million, including accrued interest of $0.3 million and excluding related fees and expenses.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have contingencies that arise from various litigation, claims and commitments, none of which we consider to be material.</w:t>
      </w:r>
    </w:p>
    <w:p>
      <w:pPr>
        <w:spacing w:after="0" w:line="252" w:lineRule="exact"/>
        <w:rPr>
          <w:sz w:val="20"/>
          <w:szCs w:val="20"/>
          <w:color w:val="auto"/>
        </w:rPr>
      </w:pPr>
    </w:p>
    <w:p>
      <w:pPr>
        <w:jc w:val="both"/>
        <w:ind w:right="20" w:firstLine="486"/>
        <w:spacing w:after="0" w:line="279" w:lineRule="auto"/>
        <w:rPr>
          <w:sz w:val="20"/>
          <w:szCs w:val="20"/>
          <w:color w:val="auto"/>
        </w:rPr>
      </w:pPr>
      <w:r>
        <w:rPr>
          <w:rFonts w:ascii="Arial" w:cs="Arial" w:eastAsia="Arial" w:hAnsi="Arial"/>
          <w:sz w:val="17"/>
          <w:szCs w:val="17"/>
          <w:color w:val="auto"/>
        </w:rPr>
        <w:t>From time to time, we are a party to various claims asserting that certain of our services and technologies infringe the intellectual property rights of others. Adverse results in these lawsuits may include awards of substantial monetary damages, costly royalty or licensing agreements, or orders preventing us from offering certain features, products, or services, and may also cause us to change our business practices and require development of non-infringing products or technologies, which could result in a loss of revenue for us or otherwise harm our business.</w:t>
      </w:r>
    </w:p>
    <w:p>
      <w:pPr>
        <w:spacing w:after="0" w:line="198" w:lineRule="exact"/>
        <w:rPr>
          <w:sz w:val="20"/>
          <w:szCs w:val="20"/>
          <w:color w:val="auto"/>
        </w:rPr>
      </w:pPr>
    </w:p>
    <w:p>
      <w:pPr>
        <w:jc w:val="both"/>
        <w:ind w:right="300" w:firstLine="486"/>
        <w:spacing w:after="0" w:line="286" w:lineRule="auto"/>
        <w:rPr>
          <w:sz w:val="20"/>
          <w:szCs w:val="20"/>
          <w:color w:val="auto"/>
        </w:rPr>
      </w:pPr>
      <w:r>
        <w:rPr>
          <w:rFonts w:ascii="Arial" w:cs="Arial" w:eastAsia="Arial" w:hAnsi="Arial"/>
          <w:sz w:val="17"/>
          <w:szCs w:val="17"/>
          <w:color w:val="auto"/>
        </w:rPr>
        <w:t>We record an accrual for a loss contingency when a loss is considered probable and reasonably estimable. As additional facts concerning a loss contingency become known, we reassess our position and make appropriate adjustments to a recorded accrual. The amount that will ultimately be paid related to a matter may differ from the recorded accrual, and the timing of such payments, if any, may be uncertain.</w:t>
      </w:r>
    </w:p>
    <w:p>
      <w:pPr>
        <w:spacing w:after="0" w:line="192" w:lineRule="exact"/>
        <w:rPr>
          <w:sz w:val="20"/>
          <w:szCs w:val="20"/>
          <w:color w:val="auto"/>
        </w:rPr>
      </w:pPr>
    </w:p>
    <w:p>
      <w:pPr>
        <w:ind w:right="460" w:firstLine="486"/>
        <w:spacing w:after="0" w:line="277" w:lineRule="auto"/>
        <w:rPr>
          <w:sz w:val="20"/>
          <w:szCs w:val="20"/>
          <w:color w:val="auto"/>
        </w:rPr>
      </w:pPr>
      <w:r>
        <w:rPr>
          <w:rFonts w:ascii="Arial" w:cs="Arial" w:eastAsia="Arial" w:hAnsi="Arial"/>
          <w:sz w:val="18"/>
          <w:szCs w:val="18"/>
          <w:color w:val="auto"/>
        </w:rPr>
        <w:t>We are not a party to any litigation, the outcome of which, if determined adversely to us, would individually or in the aggregate be reasonably expected to have a material and adverse effect on our business, financial position or results of operations.</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Hosted Exchange Incident</w:t>
      </w:r>
    </w:p>
    <w:p>
      <w:pPr>
        <w:spacing w:after="0" w:line="252" w:lineRule="exact"/>
        <w:rPr>
          <w:sz w:val="20"/>
          <w:szCs w:val="20"/>
          <w:color w:val="auto"/>
        </w:rPr>
      </w:pPr>
    </w:p>
    <w:p>
      <w:pPr>
        <w:ind w:right="20" w:firstLine="486"/>
        <w:spacing w:after="0" w:line="271" w:lineRule="auto"/>
        <w:rPr>
          <w:sz w:val="20"/>
          <w:szCs w:val="20"/>
          <w:color w:val="auto"/>
        </w:rPr>
      </w:pPr>
      <w:r>
        <w:rPr>
          <w:rFonts w:ascii="Arial" w:cs="Arial" w:eastAsia="Arial" w:hAnsi="Arial"/>
          <w:sz w:val="17"/>
          <w:szCs w:val="17"/>
          <w:color w:val="auto"/>
        </w:rPr>
        <w:t>We are named in several lawsuits in connection with the December 2022 ransomware incident which caused service disruptions on our Hosted Exchange email business. The pending lawsuits seek, among other things, equitable and compensatory relief. We are vigorously defending these matters. We do not expect any of these claims, individually or in the aggregate, to have a material adverse effect on our consolidated financial position or results of operations. However, at this early stage in the proceedings, we are not able to determine the probability of the outcome of these matters or a range of reasonably expected losses, if any. We maintain insurance, including coverage for cyber-attacks, subject to certain deductibles and policy limitations, in an amount that we believe appropriate. During the three and six months ended June 30, 2023, we recorded $1.7 million and $4.9 million, respectively, of expenses related to the Hosted Exchange incident, including costs to investigate and remediate, legal and other professional services, and supplemental staff resources that were deployed to provide support to customers.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Share Repurchase Program</w:t>
      </w:r>
    </w:p>
    <w:p>
      <w:pPr>
        <w:spacing w:after="0" w:line="256" w:lineRule="exact"/>
        <w:rPr>
          <w:sz w:val="20"/>
          <w:szCs w:val="20"/>
          <w:color w:val="auto"/>
        </w:rPr>
      </w:pPr>
    </w:p>
    <w:p>
      <w:pPr>
        <w:ind w:right="140" w:firstLine="486"/>
        <w:spacing w:after="0" w:line="272" w:lineRule="auto"/>
        <w:rPr>
          <w:sz w:val="20"/>
          <w:szCs w:val="20"/>
          <w:color w:val="auto"/>
        </w:rPr>
      </w:pPr>
      <w:r>
        <w:rPr>
          <w:rFonts w:ascii="Arial" w:cs="Arial" w:eastAsia="Arial" w:hAnsi="Arial"/>
          <w:sz w:val="17"/>
          <w:szCs w:val="17"/>
          <w:color w:val="auto"/>
        </w:rPr>
        <w:t>On March 3, 2022, our board of directors authorized a program to repurchase up to $75.0 million of shares of our common stock from time to time through open-market transactions, privately negotiated transactions, accelerated share repurchases and other transactions in accordance with applicable security laws. The program expires on September 30, 2023 and can be discontinued at any time. During the three and six months ended June 30, 2022, we repurchased $26.9 million and $31.0 million, or 2.7 million and 3.1 million shares, respectively, of our common stock on the open market under this program. No shares were repurchased during the three and six months ended June 30, 2023. Shares purchased pursuant to the program are recorded as treasury stock at cost in the Condensed Consolidated Balance Sheets. As of June 30, 2023, approximately $44.0 million of the amount authorized by the board under the current program remained available for additional purchases.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Share-Based Compensation</w:t>
      </w:r>
    </w:p>
    <w:p>
      <w:pPr>
        <w:spacing w:after="0" w:line="256"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On April 21, 2023, the Board of Directors approved an amendment to the Rackspace Technology, Inc. 2020 Equity Incentive Plan (the "2020 Incentive Plan") to increase the maximum number of shares of our common stock available for issuance under the 2020 Incentive Plan from 50.0 million shares to 57.9 million shares, subject to stockholder approval. The amendment was subsequently approved by our stockholders as part of the 2023 Annual Meeting of Stockholders held on June 16, 2023.</w:t>
      </w:r>
    </w:p>
    <w:p>
      <w:pPr>
        <w:spacing w:after="0" w:line="214" w:lineRule="exact"/>
        <w:rPr>
          <w:sz w:val="20"/>
          <w:szCs w:val="20"/>
          <w:color w:val="auto"/>
        </w:rPr>
      </w:pPr>
    </w:p>
    <w:p>
      <w:pPr>
        <w:ind w:right="80" w:firstLine="486"/>
        <w:spacing w:after="0" w:line="263" w:lineRule="auto"/>
        <w:rPr>
          <w:sz w:val="20"/>
          <w:szCs w:val="20"/>
          <w:color w:val="auto"/>
        </w:rPr>
      </w:pPr>
      <w:r>
        <w:rPr>
          <w:rFonts w:ascii="Arial" w:cs="Arial" w:eastAsia="Arial" w:hAnsi="Arial"/>
          <w:sz w:val="18"/>
          <w:szCs w:val="18"/>
          <w:color w:val="auto"/>
        </w:rPr>
        <w:t>During the six months ended June 30, 2023, we granted 26.1 million restricted stock units ("RSUs") under the 2020 Incentive Plan with a weighted-average grant date fair value of $2.21. The majority of the RSUs were granted as part of our annual compensation award process and vest ratably over a three-year period, subject to continued service.</w:t>
      </w:r>
    </w:p>
    <w:p>
      <w:pPr>
        <w:spacing w:after="0" w:line="211"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color w:val="auto"/>
        </w:rPr>
        <w:t>In addition, during the six months ended June 30, 2023, 2.8 million performance stock units ("PSUs") were granted under the 2020 Incentive Plan with a weighted-average grant date fair value of $1.90, and 5.5 million long-term incentive cash units ("LTIC units") were granted under the 2020 Incentive Plan with a weighted-average fair value as of June 30, 2023 of $1.24. Both the PSUs and LTIC units represent the target amount of grants, and the actual number of shares or units awarded upon vesting may vary depending upon the achievement of the relevant market condition which is based on Rackspace's Total Shareholder Return ("TSR") relative to the TSR of a comparator group of IT and Cloud Services Companies. The awards are eligible to vest in equal annual installments over three years based on the attainment of the market condition and the employee's continued service through the end of the applicable measurement period and were valued using a Monte Carlo simulation. As the company intends to settle the LTIC units in cash, they are classified as a liability within "Other current liabilities" and "Other non-current liabilities" in the Condensed Consolidated Balance Sheets.</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share-based compensation expense is comprised of the following equity and liability classified award amounts: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499"/>
              <w:spacing w:after="0"/>
              <w:rPr>
                <w:sz w:val="20"/>
                <w:szCs w:val="20"/>
                <w:color w:val="auto"/>
              </w:rPr>
            </w:pPr>
            <w:r>
              <w:rPr>
                <w:rFonts w:ascii="Arial" w:cs="Arial" w:eastAsia="Arial" w:hAnsi="Arial"/>
                <w:sz w:val="16"/>
                <w:szCs w:val="16"/>
                <w:b w:val="1"/>
                <w:bCs w:val="1"/>
                <w:color w:val="auto"/>
              </w:rPr>
              <w:t>Three Months Ended June 30,</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599"/>
              <w:spacing w:after="0"/>
              <w:rPr>
                <w:sz w:val="20"/>
                <w:szCs w:val="20"/>
                <w:color w:val="auto"/>
              </w:rPr>
            </w:pPr>
            <w:r>
              <w:rPr>
                <w:rFonts w:ascii="Arial" w:cs="Arial" w:eastAsia="Arial" w:hAnsi="Arial"/>
                <w:sz w:val="16"/>
                <w:szCs w:val="16"/>
                <w:b w:val="1"/>
                <w:bCs w:val="1"/>
                <w:color w:val="auto"/>
              </w:rPr>
              <w:t>Six Months Ended June 30,</w:t>
            </w:r>
          </w:p>
        </w:tc>
      </w:tr>
      <w:tr>
        <w:trPr>
          <w:trHeight w:val="210"/>
        </w:trPr>
        <w:tc>
          <w:tcPr>
            <w:tcW w:w="46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r>
      <w:tr>
        <w:trPr>
          <w:trHeight w:val="212"/>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classified awards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w:t>
            </w:r>
          </w:p>
        </w:tc>
      </w:tr>
      <w:tr>
        <w:trPr>
          <w:trHeight w:val="216"/>
        </w:trPr>
        <w:tc>
          <w:tcPr>
            <w:tcW w:w="4600" w:type="dxa"/>
            <w:vAlign w:val="bottom"/>
          </w:tcPr>
          <w:p>
            <w:pPr>
              <w:ind w:left="20"/>
              <w:spacing w:after="0"/>
              <w:rPr>
                <w:sz w:val="20"/>
                <w:szCs w:val="20"/>
                <w:color w:val="auto"/>
              </w:rPr>
            </w:pPr>
            <w:r>
              <w:rPr>
                <w:rFonts w:ascii="Arial" w:cs="Arial" w:eastAsia="Arial" w:hAnsi="Arial"/>
                <w:sz w:val="16"/>
                <w:szCs w:val="16"/>
                <w:color w:val="auto"/>
              </w:rPr>
              <w:t>Liability classified awards</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r>
      <w:tr>
        <w:trPr>
          <w:trHeight w:val="230"/>
        </w:trPr>
        <w:tc>
          <w:tcPr>
            <w:tcW w:w="4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share-based compensation expense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share-based compensation expense recognized was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00" w:type="dxa"/>
            <w:vAlign w:val="bottom"/>
          </w:tcPr>
          <w:p>
            <w:pPr>
              <w:spacing w:after="0"/>
              <w:rPr>
                <w:sz w:val="18"/>
                <w:szCs w:val="18"/>
                <w:color w:val="auto"/>
              </w:rPr>
            </w:pPr>
          </w:p>
        </w:tc>
        <w:tc>
          <w:tcPr>
            <w:tcW w:w="280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6"/>
                <w:szCs w:val="16"/>
                <w:b w:val="1"/>
                <w:bCs w:val="1"/>
                <w:color w:val="auto"/>
              </w:rPr>
              <w:t>Three Months Ended June 30,</w:t>
            </w:r>
          </w:p>
        </w:tc>
        <w:tc>
          <w:tcPr>
            <w:tcW w:w="4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599"/>
              <w:spacing w:after="0"/>
              <w:rPr>
                <w:sz w:val="20"/>
                <w:szCs w:val="20"/>
                <w:color w:val="auto"/>
              </w:rPr>
            </w:pPr>
            <w:r>
              <w:rPr>
                <w:rFonts w:ascii="Arial" w:cs="Arial" w:eastAsia="Arial" w:hAnsi="Arial"/>
                <w:sz w:val="16"/>
                <w:szCs w:val="16"/>
                <w:b w:val="1"/>
                <w:bCs w:val="1"/>
                <w:color w:val="auto"/>
              </w:rPr>
              <w:t>Six Months Ended June 30,</w:t>
            </w:r>
          </w:p>
        </w:tc>
      </w:tr>
      <w:tr>
        <w:trPr>
          <w:trHeight w:val="210"/>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2022</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2023</w:t>
            </w: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r>
      <w:tr>
        <w:trPr>
          <w:trHeight w:val="212"/>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108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20" w:type="dxa"/>
            <w:vAlign w:val="bottom"/>
            <w:gridSpan w:val="2"/>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r>
      <w:tr>
        <w:trPr>
          <w:trHeight w:val="213"/>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0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w:t>
            </w: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w:t>
            </w:r>
          </w:p>
        </w:tc>
      </w:tr>
      <w:tr>
        <w:trPr>
          <w:trHeight w:val="213"/>
        </w:trPr>
        <w:tc>
          <w:tcPr>
            <w:tcW w:w="4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Pre-tax share-based compensation expense</w:t>
            </w:r>
          </w:p>
        </w:tc>
        <w:tc>
          <w:tcPr>
            <w:tcW w:w="10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w:t>
            </w:r>
          </w:p>
        </w:tc>
      </w:tr>
      <w:tr>
        <w:trPr>
          <w:trHeight w:val="213"/>
        </w:trPr>
        <w:tc>
          <w:tcPr>
            <w:tcW w:w="46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Less: Income tax benefit</w:t>
            </w:r>
          </w:p>
        </w:tc>
        <w:tc>
          <w:tcPr>
            <w:tcW w:w="10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r>
      <w:tr>
        <w:trPr>
          <w:trHeight w:val="233"/>
        </w:trPr>
        <w:tc>
          <w:tcPr>
            <w:tcW w:w="4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share-based compensation expense, net of tax</w:t>
            </w:r>
          </w:p>
        </w:tc>
        <w:tc>
          <w:tcPr>
            <w:tcW w:w="108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220" w:type="dxa"/>
            <w:vAlign w:val="bottom"/>
            <w:gridSpan w:val="2"/>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As of June 30, 2023, there was $116.6 million of total unrecognized compensation cost related to stock options, RSUs, and PSUs, which will be recognized using the service period or over our best estimate of the period over which the performance condition will be met, as applicable.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Taxes</w:t>
      </w:r>
    </w:p>
    <w:p>
      <w:pPr>
        <w:spacing w:after="0" w:line="229"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We are subject to U.S. federal income tax and various state, local, and international income taxes in numerous jurisdictions. The differences between our effective tax rate and the U.S. federal statutory rate of 21% generally result from various factors, including the geographical distribution of taxable income, tax credits, contingency reserves for uncertain tax positions, and permanent differences between the book and tax treatment of certain items. Additionally, the amount of income taxes paid is subject to our interpretation of applicable tax laws in the jurisdictions in which we file. For the three months ended June 30, 2023, our effective tax rate is lower than the U.S. federal statutory rate of 21% primarily due to executive compensation that is nondeductible under Internal Revenue Code ("IRC") Section 162(m), the net impact of the geographic distribution of our earnings, tax effects from nondeductible share-based compensation as well as changes in our valuation allowance. For the six months ended June 30, 2023, our effective tax rate is lower than the U.S. federal statutory rate of 21% primarily due to the tax impact associated with the goodwill impairment recorded in the first quarter of 2023, the majority of which was nondeductible for income tax purposes, executive compensation that is nondeductible under IRC Section 162(m), the net impact of the geographic distribution of our earnings, tax effects from nondeductible share-based compensation as well as changes in our valuation allowance. During the first quarter of 2023, we determined that certain deferred tax assets no longer meet the more likely than not recognition criteria. As such, we have provided a valuation allowance for these assets, which is incorporated into our annual effective tax rate. On August 16, 2022, the Inflation Reduction Act of 2022 ("IRA") was enacted into law. The IRA introduces a new corporate minimum tax of 15% on global adjusted financial statement income. We do not expect there will be a material impact to our consolidated financial statements from the IRA.</w:t>
      </w: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Derivatives</w:t>
      </w:r>
    </w:p>
    <w:p>
      <w:pPr>
        <w:spacing w:after="0" w:line="256" w:lineRule="exact"/>
        <w:rPr>
          <w:sz w:val="20"/>
          <w:szCs w:val="20"/>
          <w:color w:val="auto"/>
        </w:rPr>
      </w:pPr>
    </w:p>
    <w:p>
      <w:pPr>
        <w:ind w:right="500" w:firstLine="486"/>
        <w:spacing w:after="0" w:line="263" w:lineRule="auto"/>
        <w:rPr>
          <w:sz w:val="20"/>
          <w:szCs w:val="20"/>
          <w:color w:val="auto"/>
        </w:rPr>
      </w:pPr>
      <w:r>
        <w:rPr>
          <w:rFonts w:ascii="Arial" w:cs="Arial" w:eastAsia="Arial" w:hAnsi="Arial"/>
          <w:sz w:val="18"/>
          <w:szCs w:val="18"/>
          <w:color w:val="auto"/>
        </w:rPr>
        <w:t>We utilize derivative instruments, including interest rate swap agreements, to manage our exposure to interest rate risk. We only hold such instruments for economic hedging purposes, not for speculative or trading purposes. Our derivative instruments are transacted only with highly-rated institutions, which reduces our exposure to credit risk in the event of nonperformance.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252" w:lineRule="exact"/>
        <w:rPr>
          <w:sz w:val="20"/>
          <w:szCs w:val="20"/>
          <w:color w:val="auto"/>
        </w:rPr>
      </w:pPr>
    </w:p>
    <w:p>
      <w:pPr>
        <w:ind w:right="500" w:firstLine="486"/>
        <w:spacing w:after="0" w:line="301" w:lineRule="auto"/>
        <w:rPr>
          <w:sz w:val="20"/>
          <w:szCs w:val="20"/>
          <w:color w:val="auto"/>
        </w:rPr>
      </w:pPr>
      <w:r>
        <w:rPr>
          <w:rFonts w:ascii="Arial" w:cs="Arial" w:eastAsia="Arial" w:hAnsi="Arial"/>
          <w:sz w:val="16"/>
          <w:szCs w:val="16"/>
          <w:color w:val="auto"/>
        </w:rPr>
        <w:t>We are exposed to interest rate risk associated with fluctuations in interest rates on the floating-rate Term Loan Facility. The objective in using interest rate derivatives is to manage our exposure to interest rate movements. To accomplish this objective, we have entered into interest rate swap agreements as part of our interest rate risk management strategy. Interest rate swaps involve the receipt of variable amounts from a counterparty in exchange for the company making fixed-rate payments over the life of the agreements without exchange of the underlying notional amount.</w:t>
      </w:r>
    </w:p>
    <w:p>
      <w:pPr>
        <w:spacing w:after="0" w:line="184" w:lineRule="exact"/>
        <w:rPr>
          <w:sz w:val="20"/>
          <w:szCs w:val="20"/>
          <w:color w:val="auto"/>
        </w:rPr>
      </w:pPr>
    </w:p>
    <w:p>
      <w:pPr>
        <w:ind w:right="140" w:firstLine="486"/>
        <w:spacing w:after="0" w:line="291" w:lineRule="auto"/>
        <w:rPr>
          <w:sz w:val="20"/>
          <w:szCs w:val="20"/>
          <w:color w:val="auto"/>
        </w:rPr>
      </w:pPr>
      <w:r>
        <w:rPr>
          <w:rFonts w:ascii="Arial" w:cs="Arial" w:eastAsia="Arial" w:hAnsi="Arial"/>
          <w:sz w:val="16"/>
          <w:szCs w:val="16"/>
          <w:color w:val="auto"/>
        </w:rPr>
        <w:t>On January 9, 2020, we designated certain of our swaps as cash flow hedges. On the designation date, the cash flow hedges were in a $39.9 million liability position. The cash flow hedges were expected to be highly effective on the designation date and, on a quarterly basis, we performed retrospective and prospective regression assessments to determine whether the cash flow hedges continue to be highly effective. As long as the cash flow hedges are highly effective, changes in fair value are recorded to "Accumulated other comprehensive income" in the Condensed Consolidated Balance Sheets and reclassified to "Interest expense" in the period when the underlying transaction affects earnings. The income tax effects of cash flow hedges are released from "Accumulated other comprehensive income" in the period when the underlying transaction affects earnings. Any stranded income tax effects are released from "Accumulated other comprehensive income" into "Benefit (provision) for income taxes" under the portfolio approach.</w:t>
      </w:r>
    </w:p>
    <w:p>
      <w:pPr>
        <w:spacing w:after="0" w:line="193"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During the year ended December 31, 2021, we completed a series of transactions to modify our interest rate swap positions as follows: (i) All the interest rate swaps outstanding as of December 31, 2020, with the exception of the agreement that matured on February 3, 2021, were de-designated as cash flow hedges on January 31, 2021, (ii) on February 12, 2021, we entered into a $900.0 million receive-fixed interest rate swap which was designed to offset the terms of two December 2016 swaps, and (iii) on February 12, 2021, we terminated all December 2018 swaps and entered into a $1.35 billion pay-fixed interest rate swap, effectively blending the liability position of our existing interest rate swap agreements into the new swap and extending the term of our hedged position to February 2026.</w:t>
      </w:r>
    </w:p>
    <w:p>
      <w:pPr>
        <w:spacing w:after="0" w:line="219" w:lineRule="exact"/>
        <w:rPr>
          <w:sz w:val="20"/>
          <w:szCs w:val="20"/>
          <w:color w:val="auto"/>
        </w:rPr>
      </w:pPr>
    </w:p>
    <w:p>
      <w:pPr>
        <w:ind w:right="200" w:firstLine="486"/>
        <w:spacing w:after="0" w:line="263" w:lineRule="auto"/>
        <w:rPr>
          <w:sz w:val="20"/>
          <w:szCs w:val="20"/>
          <w:color w:val="auto"/>
        </w:rPr>
      </w:pPr>
      <w:r>
        <w:rPr>
          <w:rFonts w:ascii="Arial" w:cs="Arial" w:eastAsia="Arial" w:hAnsi="Arial"/>
          <w:sz w:val="18"/>
          <w:szCs w:val="18"/>
          <w:color w:val="auto"/>
        </w:rPr>
        <w:t>The amount remaining in "Accumulated other comprehensive income" for the de-designated December 2016 and December 2018 swaps at the de-designation date was approximately $51.6 million, and is amortized as an increase to "Interest expense" over the effective period of the original swap agreements.</w:t>
      </w:r>
    </w:p>
    <w:p>
      <w:pPr>
        <w:spacing w:after="0" w:line="211" w:lineRule="exact"/>
        <w:rPr>
          <w:sz w:val="20"/>
          <w:szCs w:val="20"/>
          <w:color w:val="auto"/>
        </w:rPr>
      </w:pPr>
    </w:p>
    <w:p>
      <w:pPr>
        <w:ind w:right="60" w:firstLine="486"/>
        <w:spacing w:after="0" w:line="301" w:lineRule="auto"/>
        <w:rPr>
          <w:sz w:val="20"/>
          <w:szCs w:val="20"/>
          <w:color w:val="auto"/>
        </w:rPr>
      </w:pPr>
      <w:r>
        <w:rPr>
          <w:rFonts w:ascii="Arial" w:cs="Arial" w:eastAsia="Arial" w:hAnsi="Arial"/>
          <w:sz w:val="16"/>
          <w:szCs w:val="16"/>
          <w:color w:val="auto"/>
        </w:rPr>
        <w:t xml:space="preserve">The new receive-fixed interest rate swap qualifies as a hybrid instrument in accordance with ASC No.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consisting of a loan and an embedded derivative for which the fair value option has been elected. This $900.0 million swap remained undesignated to economically offset the undesignated December 2016 swaps. This new swap and the December 2016 swaps matured on February 3, 2022. Cash settlements related to this receive-fixed interest rate swap offset and are classified as operating activities in the Condensed Consolidated Statements of Cash Flows.</w:t>
      </w:r>
    </w:p>
    <w:p>
      <w:pPr>
        <w:spacing w:after="0" w:line="184"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color w:val="auto"/>
        </w:rPr>
        <w:t xml:space="preserve">The new pay-fixed interest rate swap also qualifies as a hybrid instrument in accordance with ASC No.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consisting of a loan and an embedded at-market derivative that was designated as a cash flow hedge. The loan is accounted for at amortized cost over the life of the swap while the embedded at-market derivative is accounted for at fair value. The $1.35 billion swap was originally indexed to three-month LIBOR and net settled on a quarterly basis with the counterparty for the difference between the fixed rate of 2.3820% and the variable rate based upon three-month LIBOR (subject to a floor of 0.75%) as applied to the notional amount of the swap. In connection with the transactions discussed above, no cash was exchanged between us and the counterparty. The liability of the terminated interest rate swaps as well as the inception value of the receive-fixed interest rate swap was blended into the new pay-fixed interest rate swap. The cash flows related to the portion treated as debt will be classified as financing activities in the Condensed Consolidated Statements of Cash Flows while the portion treated as an at-market derivative will be classified as operating activities.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00" w:firstLine="486"/>
        <w:spacing w:after="0" w:line="272" w:lineRule="auto"/>
        <w:rPr>
          <w:sz w:val="20"/>
          <w:szCs w:val="20"/>
          <w:color w:val="auto"/>
        </w:rPr>
      </w:pPr>
      <w:r>
        <w:rPr>
          <w:rFonts w:ascii="Arial" w:cs="Arial" w:eastAsia="Arial" w:hAnsi="Arial"/>
          <w:sz w:val="17"/>
          <w:szCs w:val="17"/>
          <w:color w:val="auto"/>
        </w:rPr>
        <w:t>As discussed in Note 6, "Debt", on April 26, 2023 we executed an amendment to our First Lien Credit Agreement, which governs borrowings under our Term Loan Facility. This amendment established Term SOFR as the benchmark rate for determining the applicable interest rate, replacing LIBOR. To continue to manage our exposure to interest rate risk associated with our Term Loan Facility, effective May 9, 2023, we amended our remaining swap agreement to change the index from three-month LIBOR (subject to a floor of 0.75%) to one-month Term SOFR (subject to a floor of 0.75%). The fixed rate also changed from 2.3820% to 2.34150% as a result of the swap agreement amendment. As described in Note 1, "Company Overview, Basis of Presentation, and Summary of Significant Accounting Policies" we elected to apply certain practical expedients under GAAP to allow for this transition without any interruptions to hedge accounting treatment.</w:t>
      </w:r>
    </w:p>
    <w:p>
      <w:pPr>
        <w:spacing w:after="0" w:line="204"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On a monthly basis, we net settle with the counterparty for the difference between the fixed rate of 2.34150% and the variable rate based upon the one-month Term SOFR (subject to a floor of 0.75%) as applied to the notional amount of the swap.</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2022 and June 30, 2023, the cash flow hedge was highly effective.</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key terms of interest rate swaps are presented below:</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3"/>
          </w:tcPr>
          <w:p>
            <w:pPr>
              <w:ind w:left="480"/>
              <w:spacing w:after="0"/>
              <w:rPr>
                <w:sz w:val="20"/>
                <w:szCs w:val="20"/>
                <w:color w:val="auto"/>
              </w:rPr>
            </w:pPr>
            <w:r>
              <w:rPr>
                <w:rFonts w:ascii="Arial" w:cs="Arial" w:eastAsia="Arial" w:hAnsi="Arial"/>
                <w:sz w:val="16"/>
                <w:szCs w:val="16"/>
                <w:b w:val="1"/>
                <w:bCs w:val="1"/>
                <w:color w:val="auto"/>
              </w:rPr>
              <w:t>December 31, 2022</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ind w:left="680"/>
              <w:spacing w:after="0"/>
              <w:rPr>
                <w:sz w:val="20"/>
                <w:szCs w:val="20"/>
                <w:color w:val="auto"/>
              </w:rPr>
            </w:pPr>
            <w:r>
              <w:rPr>
                <w:rFonts w:ascii="Arial" w:cs="Arial" w:eastAsia="Arial" w:hAnsi="Arial"/>
                <w:sz w:val="16"/>
                <w:szCs w:val="16"/>
                <w:b w:val="1"/>
                <w:bCs w:val="1"/>
                <w:color w:val="auto"/>
                <w:w w:val="88"/>
              </w:rPr>
              <w:t>June 30, 2023</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1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Effective Date</w:t>
            </w:r>
          </w:p>
        </w:tc>
        <w:tc>
          <w:tcPr>
            <w:tcW w:w="120" w:type="dxa"/>
            <w:vAlign w:val="bottom"/>
          </w:tcPr>
          <w:p>
            <w:pPr>
              <w:spacing w:after="0"/>
              <w:rPr>
                <w:sz w:val="14"/>
                <w:szCs w:val="14"/>
                <w:color w:val="auto"/>
              </w:rPr>
            </w:pPr>
          </w:p>
        </w:tc>
        <w:tc>
          <w:tcPr>
            <w:tcW w:w="1300" w:type="dxa"/>
            <w:vAlign w:val="bottom"/>
            <w:gridSpan w:val="2"/>
          </w:tcPr>
          <w:p>
            <w:pPr>
              <w:jc w:val="center"/>
              <w:ind w:right="140"/>
              <w:spacing w:after="0" w:line="161" w:lineRule="exact"/>
              <w:rPr>
                <w:sz w:val="20"/>
                <w:szCs w:val="20"/>
                <w:color w:val="auto"/>
              </w:rPr>
            </w:pPr>
            <w:r>
              <w:rPr>
                <w:rFonts w:ascii="Arial" w:cs="Arial" w:eastAsia="Arial" w:hAnsi="Arial"/>
                <w:sz w:val="16"/>
                <w:szCs w:val="16"/>
                <w:b w:val="1"/>
                <w:bCs w:val="1"/>
                <w:color w:val="auto"/>
                <w:w w:val="93"/>
              </w:rPr>
              <w:t>Fixed Rate Paid</w:t>
            </w:r>
          </w:p>
        </w:tc>
        <w:tc>
          <w:tcPr>
            <w:tcW w:w="1560" w:type="dxa"/>
            <w:vAlign w:val="bottom"/>
            <w:gridSpan w:val="2"/>
          </w:tcPr>
          <w:p>
            <w:pPr>
              <w:jc w:val="right"/>
              <w:spacing w:after="0" w:line="161" w:lineRule="exact"/>
              <w:rPr>
                <w:sz w:val="20"/>
                <w:szCs w:val="20"/>
                <w:color w:val="auto"/>
              </w:rPr>
            </w:pPr>
            <w:r>
              <w:rPr>
                <w:rFonts w:ascii="Arial" w:cs="Arial" w:eastAsia="Arial" w:hAnsi="Arial"/>
                <w:sz w:val="16"/>
                <w:szCs w:val="16"/>
                <w:b w:val="1"/>
                <w:bCs w:val="1"/>
                <w:color w:val="auto"/>
                <w:w w:val="95"/>
              </w:rPr>
              <w:t>Notional Amount (in</w:t>
            </w:r>
          </w:p>
        </w:tc>
        <w:tc>
          <w:tcPr>
            <w:tcW w:w="1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Status</w:t>
            </w:r>
          </w:p>
        </w:tc>
        <w:tc>
          <w:tcPr>
            <w:tcW w:w="100" w:type="dxa"/>
            <w:vAlign w:val="bottom"/>
          </w:tcPr>
          <w:p>
            <w:pPr>
              <w:spacing w:after="0"/>
              <w:rPr>
                <w:sz w:val="14"/>
                <w:szCs w:val="14"/>
                <w:color w:val="auto"/>
              </w:rPr>
            </w:pPr>
          </w:p>
        </w:tc>
        <w:tc>
          <w:tcPr>
            <w:tcW w:w="1920" w:type="dxa"/>
            <w:vAlign w:val="bottom"/>
            <w:gridSpan w:val="4"/>
          </w:tcPr>
          <w:p>
            <w:pPr>
              <w:jc w:val="center"/>
              <w:ind w:right="340"/>
              <w:spacing w:after="0" w:line="161" w:lineRule="exact"/>
              <w:rPr>
                <w:sz w:val="20"/>
                <w:szCs w:val="20"/>
                <w:color w:val="auto"/>
              </w:rPr>
            </w:pPr>
            <w:r>
              <w:rPr>
                <w:rFonts w:ascii="Arial" w:cs="Arial" w:eastAsia="Arial" w:hAnsi="Arial"/>
                <w:sz w:val="16"/>
                <w:szCs w:val="16"/>
                <w:b w:val="1"/>
                <w:bCs w:val="1"/>
                <w:color w:val="auto"/>
                <w:w w:val="92"/>
              </w:rPr>
              <w:t>Notional Amount (in</w:t>
            </w:r>
          </w:p>
        </w:tc>
        <w:tc>
          <w:tcPr>
            <w:tcW w:w="960" w:type="dxa"/>
            <w:vAlign w:val="bottom"/>
            <w:vMerge w:val="restart"/>
          </w:tcPr>
          <w:p>
            <w:pPr>
              <w:jc w:val="center"/>
              <w:ind w:right="159"/>
              <w:spacing w:after="0"/>
              <w:rPr>
                <w:sz w:val="20"/>
                <w:szCs w:val="20"/>
                <w:color w:val="auto"/>
              </w:rPr>
            </w:pPr>
            <w:r>
              <w:rPr>
                <w:rFonts w:ascii="Arial" w:cs="Arial" w:eastAsia="Arial" w:hAnsi="Arial"/>
                <w:sz w:val="16"/>
                <w:szCs w:val="16"/>
                <w:b w:val="1"/>
                <w:bCs w:val="1"/>
                <w:color w:val="auto"/>
                <w:w w:val="89"/>
              </w:rPr>
              <w:t>Status</w:t>
            </w:r>
          </w:p>
        </w:tc>
        <w:tc>
          <w:tcPr>
            <w:tcW w:w="100" w:type="dxa"/>
            <w:vAlign w:val="bottom"/>
          </w:tcPr>
          <w:p>
            <w:pPr>
              <w:spacing w:after="0"/>
              <w:rPr>
                <w:sz w:val="14"/>
                <w:szCs w:val="14"/>
                <w:color w:val="auto"/>
              </w:rPr>
            </w:pPr>
          </w:p>
        </w:tc>
        <w:tc>
          <w:tcPr>
            <w:tcW w:w="17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8"/>
              </w:rPr>
              <w:t>Maturity Date</w:t>
            </w:r>
          </w:p>
        </w:tc>
        <w:tc>
          <w:tcPr>
            <w:tcW w:w="0" w:type="dxa"/>
            <w:vAlign w:val="bottom"/>
          </w:tcPr>
          <w:p>
            <w:pPr>
              <w:spacing w:after="0"/>
              <w:rPr>
                <w:sz w:val="1"/>
                <w:szCs w:val="1"/>
                <w:color w:val="auto"/>
              </w:rPr>
            </w:pPr>
          </w:p>
        </w:tc>
      </w:tr>
      <w:tr>
        <w:trPr>
          <w:trHeight w:val="213"/>
        </w:trPr>
        <w:tc>
          <w:tcPr>
            <w:tcW w:w="2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8"/>
              </w:rPr>
              <w:t>(Received)</w:t>
            </w:r>
          </w:p>
        </w:tc>
        <w:tc>
          <w:tcPr>
            <w:tcW w:w="280" w:type="dxa"/>
            <w:vAlign w:val="bottom"/>
          </w:tcPr>
          <w:p>
            <w:pPr>
              <w:spacing w:after="0"/>
              <w:rPr>
                <w:sz w:val="18"/>
                <w:szCs w:val="18"/>
                <w:color w:val="auto"/>
              </w:rPr>
            </w:pPr>
          </w:p>
        </w:tc>
        <w:tc>
          <w:tcPr>
            <w:tcW w:w="1280" w:type="dxa"/>
            <w:vAlign w:val="bottom"/>
          </w:tcPr>
          <w:p>
            <w:pPr>
              <w:jc w:val="right"/>
              <w:ind w:right="399"/>
              <w:spacing w:after="0"/>
              <w:rPr>
                <w:sz w:val="20"/>
                <w:szCs w:val="20"/>
                <w:color w:val="auto"/>
              </w:rPr>
            </w:pPr>
            <w:r>
              <w:rPr>
                <w:rFonts w:ascii="Arial" w:cs="Arial" w:eastAsia="Arial" w:hAnsi="Arial"/>
                <w:sz w:val="16"/>
                <w:szCs w:val="16"/>
                <w:b w:val="1"/>
                <w:bCs w:val="1"/>
                <w:color w:val="auto"/>
              </w:rPr>
              <w:t>millions)</w:t>
            </w:r>
          </w:p>
        </w:tc>
        <w:tc>
          <w:tcPr>
            <w:tcW w:w="1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gridSpan w:val="3"/>
          </w:tcPr>
          <w:p>
            <w:pPr>
              <w:jc w:val="center"/>
              <w:ind w:right="620"/>
              <w:spacing w:after="0"/>
              <w:rPr>
                <w:sz w:val="20"/>
                <w:szCs w:val="20"/>
                <w:color w:val="auto"/>
              </w:rPr>
            </w:pPr>
            <w:r>
              <w:rPr>
                <w:rFonts w:ascii="Arial" w:cs="Arial" w:eastAsia="Arial" w:hAnsi="Arial"/>
                <w:sz w:val="16"/>
                <w:szCs w:val="16"/>
                <w:b w:val="1"/>
                <w:bCs w:val="1"/>
                <w:color w:val="auto"/>
                <w:w w:val="91"/>
              </w:rPr>
              <w:t>millions)</w:t>
            </w: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0"/>
        </w:trPr>
        <w:tc>
          <w:tcPr>
            <w:tcW w:w="212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12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12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9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76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w w:val="94"/>
              </w:rPr>
              <w:t>Entered into December 2016:</w:t>
            </w:r>
          </w:p>
        </w:tc>
        <w:tc>
          <w:tcPr>
            <w:tcW w:w="1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120" w:type="dxa"/>
            <w:vAlign w:val="bottom"/>
          </w:tcPr>
          <w:p>
            <w:pPr>
              <w:jc w:val="center"/>
              <w:spacing w:after="0"/>
              <w:rPr>
                <w:sz w:val="20"/>
                <w:szCs w:val="20"/>
                <w:color w:val="auto"/>
              </w:rPr>
            </w:pPr>
            <w:r>
              <w:rPr>
                <w:rFonts w:ascii="Arial" w:cs="Arial" w:eastAsia="Arial" w:hAnsi="Arial"/>
                <w:sz w:val="16"/>
                <w:szCs w:val="16"/>
                <w:color w:val="auto"/>
                <w:w w:val="91"/>
              </w:rPr>
              <w:t>February 3, 2017</w:t>
            </w:r>
          </w:p>
        </w:tc>
        <w:tc>
          <w:tcPr>
            <w:tcW w:w="1280" w:type="dxa"/>
            <w:vAlign w:val="bottom"/>
            <w:gridSpan w:val="2"/>
          </w:tcPr>
          <w:p>
            <w:pPr>
              <w:jc w:val="center"/>
              <w:ind w:left="59"/>
              <w:spacing w:after="0"/>
              <w:rPr>
                <w:sz w:val="20"/>
                <w:szCs w:val="20"/>
                <w:color w:val="auto"/>
              </w:rPr>
            </w:pPr>
            <w:r>
              <w:rPr>
                <w:rFonts w:ascii="Arial" w:cs="Arial" w:eastAsia="Arial" w:hAnsi="Arial"/>
                <w:sz w:val="16"/>
                <w:szCs w:val="16"/>
                <w:color w:val="auto"/>
                <w:w w:val="91"/>
              </w:rPr>
              <w:t>1.9040%</w:t>
            </w:r>
          </w:p>
        </w:tc>
        <w:tc>
          <w:tcPr>
            <w:tcW w:w="140" w:type="dxa"/>
            <w:vAlign w:val="bottom"/>
          </w:tcPr>
          <w:p>
            <w:pPr>
              <w:spacing w:after="0"/>
              <w:rPr>
                <w:sz w:val="17"/>
                <w:szCs w:val="17"/>
                <w:color w:val="auto"/>
              </w:rPr>
            </w:pPr>
          </w:p>
        </w:tc>
        <w:tc>
          <w:tcPr>
            <w:tcW w:w="280" w:type="dxa"/>
            <w:vAlign w:val="bottom"/>
          </w:tcPr>
          <w:p>
            <w:pPr>
              <w:jc w:val="right"/>
              <w:ind w:right="122"/>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95"/>
              </w:rPr>
              <w:t>Matured</w:t>
            </w:r>
          </w:p>
        </w:tc>
        <w:tc>
          <w:tcPr>
            <w:tcW w:w="40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620" w:type="dxa"/>
            <w:vAlign w:val="bottom"/>
            <w:gridSpan w:val="3"/>
          </w:tcPr>
          <w:p>
            <w:pPr>
              <w:jc w:val="right"/>
              <w:ind w:right="420"/>
              <w:spacing w:after="0"/>
              <w:rPr>
                <w:sz w:val="20"/>
                <w:szCs w:val="20"/>
                <w:color w:val="auto"/>
              </w:rPr>
            </w:pPr>
            <w:r>
              <w:rPr>
                <w:rFonts w:ascii="Arial" w:cs="Arial" w:eastAsia="Arial" w:hAnsi="Arial"/>
                <w:sz w:val="16"/>
                <w:szCs w:val="16"/>
                <w:color w:val="auto"/>
              </w:rPr>
              <w:t>—</w:t>
            </w:r>
          </w:p>
        </w:tc>
        <w:tc>
          <w:tcPr>
            <w:tcW w:w="960" w:type="dxa"/>
            <w:vAlign w:val="bottom"/>
          </w:tcPr>
          <w:p>
            <w:pPr>
              <w:jc w:val="center"/>
              <w:ind w:right="159"/>
              <w:spacing w:after="0"/>
              <w:rPr>
                <w:sz w:val="20"/>
                <w:szCs w:val="20"/>
                <w:color w:val="auto"/>
              </w:rPr>
            </w:pPr>
            <w:r>
              <w:rPr>
                <w:rFonts w:ascii="Arial" w:cs="Arial" w:eastAsia="Arial" w:hAnsi="Arial"/>
                <w:sz w:val="16"/>
                <w:szCs w:val="16"/>
                <w:color w:val="auto"/>
                <w:w w:val="95"/>
              </w:rPr>
              <w:t>Matured</w:t>
            </w:r>
          </w:p>
        </w:tc>
        <w:tc>
          <w:tcPr>
            <w:tcW w:w="100" w:type="dxa"/>
            <w:vAlign w:val="bottom"/>
          </w:tcPr>
          <w:p>
            <w:pPr>
              <w:spacing w:after="0"/>
              <w:rPr>
                <w:sz w:val="17"/>
                <w:szCs w:val="17"/>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1"/>
              </w:rPr>
              <w:t>February 3, 2022</w:t>
            </w:r>
          </w:p>
        </w:tc>
        <w:tc>
          <w:tcPr>
            <w:tcW w:w="0" w:type="dxa"/>
            <w:vAlign w:val="bottom"/>
          </w:tcPr>
          <w:p>
            <w:pPr>
              <w:spacing w:after="0"/>
              <w:rPr>
                <w:sz w:val="1"/>
                <w:szCs w:val="1"/>
                <w:color w:val="auto"/>
              </w:rPr>
            </w:pPr>
          </w:p>
        </w:tc>
      </w:tr>
      <w:tr>
        <w:trPr>
          <w:trHeight w:val="219"/>
        </w:trPr>
        <w:tc>
          <w:tcPr>
            <w:tcW w:w="2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February 3, 2017</w:t>
            </w:r>
          </w:p>
        </w:tc>
        <w:tc>
          <w:tcPr>
            <w:tcW w:w="1280" w:type="dxa"/>
            <w:vAlign w:val="bottom"/>
            <w:gridSpan w:val="2"/>
            <w:shd w:val="clear" w:color="auto" w:fill="CCEEFF"/>
          </w:tcPr>
          <w:p>
            <w:pPr>
              <w:jc w:val="center"/>
              <w:ind w:left="59"/>
              <w:spacing w:after="0"/>
              <w:rPr>
                <w:sz w:val="20"/>
                <w:szCs w:val="20"/>
                <w:color w:val="auto"/>
              </w:rPr>
            </w:pPr>
            <w:r>
              <w:rPr>
                <w:rFonts w:ascii="Arial" w:cs="Arial" w:eastAsia="Arial" w:hAnsi="Arial"/>
                <w:sz w:val="16"/>
                <w:szCs w:val="16"/>
                <w:color w:val="auto"/>
                <w:w w:val="91"/>
              </w:rPr>
              <w:t>1.9040%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Matured</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center"/>
              <w:ind w:right="159"/>
              <w:spacing w:after="0"/>
              <w:rPr>
                <w:sz w:val="20"/>
                <w:szCs w:val="20"/>
                <w:color w:val="auto"/>
              </w:rPr>
            </w:pPr>
            <w:r>
              <w:rPr>
                <w:rFonts w:ascii="Arial" w:cs="Arial" w:eastAsia="Arial" w:hAnsi="Arial"/>
                <w:sz w:val="16"/>
                <w:szCs w:val="16"/>
                <w:color w:val="auto"/>
                <w:w w:val="95"/>
              </w:rPr>
              <w:t>Matured</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February 3, 2022</w:t>
            </w: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w w:val="94"/>
              </w:rPr>
              <w:t>Entered into December 2018:</w:t>
            </w: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120" w:type="dxa"/>
            <w:vAlign w:val="bottom"/>
          </w:tcPr>
          <w:p>
            <w:pPr>
              <w:jc w:val="center"/>
              <w:spacing w:after="0"/>
              <w:rPr>
                <w:sz w:val="20"/>
                <w:szCs w:val="20"/>
                <w:color w:val="auto"/>
              </w:rPr>
            </w:pPr>
            <w:r>
              <w:rPr>
                <w:rFonts w:ascii="Arial" w:cs="Arial" w:eastAsia="Arial" w:hAnsi="Arial"/>
                <w:sz w:val="16"/>
                <w:szCs w:val="16"/>
                <w:color w:val="auto"/>
                <w:w w:val="91"/>
              </w:rPr>
              <w:t>February 3, 2019</w:t>
            </w:r>
          </w:p>
        </w:tc>
        <w:tc>
          <w:tcPr>
            <w:tcW w:w="1280" w:type="dxa"/>
            <w:vAlign w:val="bottom"/>
            <w:gridSpan w:val="2"/>
          </w:tcPr>
          <w:p>
            <w:pPr>
              <w:jc w:val="center"/>
              <w:ind w:left="59"/>
              <w:spacing w:after="0"/>
              <w:rPr>
                <w:sz w:val="20"/>
                <w:szCs w:val="20"/>
                <w:color w:val="auto"/>
              </w:rPr>
            </w:pPr>
            <w:r>
              <w:rPr>
                <w:rFonts w:ascii="Arial" w:cs="Arial" w:eastAsia="Arial" w:hAnsi="Arial"/>
                <w:sz w:val="16"/>
                <w:szCs w:val="16"/>
                <w:color w:val="auto"/>
                <w:w w:val="91"/>
              </w:rPr>
              <w:t>2.7490%</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88"/>
              </w:rPr>
              <w:t>Terminated</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gridSpan w:val="3"/>
          </w:tcPr>
          <w:p>
            <w:pPr>
              <w:jc w:val="right"/>
              <w:ind w:right="420"/>
              <w:spacing w:after="0"/>
              <w:rPr>
                <w:sz w:val="20"/>
                <w:szCs w:val="20"/>
                <w:color w:val="auto"/>
              </w:rPr>
            </w:pPr>
            <w:r>
              <w:rPr>
                <w:rFonts w:ascii="Arial" w:cs="Arial" w:eastAsia="Arial" w:hAnsi="Arial"/>
                <w:sz w:val="16"/>
                <w:szCs w:val="16"/>
                <w:color w:val="auto"/>
              </w:rPr>
              <w:t>—</w:t>
            </w:r>
          </w:p>
        </w:tc>
        <w:tc>
          <w:tcPr>
            <w:tcW w:w="960" w:type="dxa"/>
            <w:vAlign w:val="bottom"/>
          </w:tcPr>
          <w:p>
            <w:pPr>
              <w:jc w:val="center"/>
              <w:ind w:right="159"/>
              <w:spacing w:after="0"/>
              <w:rPr>
                <w:sz w:val="20"/>
                <w:szCs w:val="20"/>
                <w:color w:val="auto"/>
              </w:rPr>
            </w:pPr>
            <w:r>
              <w:rPr>
                <w:rFonts w:ascii="Arial" w:cs="Arial" w:eastAsia="Arial" w:hAnsi="Arial"/>
                <w:sz w:val="16"/>
                <w:szCs w:val="16"/>
                <w:color w:val="auto"/>
                <w:w w:val="88"/>
              </w:rPr>
              <w:t>Terminated</w:t>
            </w:r>
          </w:p>
        </w:tc>
        <w:tc>
          <w:tcPr>
            <w:tcW w:w="100" w:type="dxa"/>
            <w:vAlign w:val="bottom"/>
          </w:tcPr>
          <w:p>
            <w:pPr>
              <w:spacing w:after="0"/>
              <w:rPr>
                <w:sz w:val="17"/>
                <w:szCs w:val="17"/>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1"/>
              </w:rPr>
              <w:t>November 3, 2023</w:t>
            </w:r>
          </w:p>
        </w:tc>
        <w:tc>
          <w:tcPr>
            <w:tcW w:w="0" w:type="dxa"/>
            <w:vAlign w:val="bottom"/>
          </w:tcPr>
          <w:p>
            <w:pPr>
              <w:spacing w:after="0"/>
              <w:rPr>
                <w:sz w:val="1"/>
                <w:szCs w:val="1"/>
                <w:color w:val="auto"/>
              </w:rPr>
            </w:pPr>
          </w:p>
        </w:tc>
      </w:tr>
      <w:tr>
        <w:trPr>
          <w:trHeight w:val="219"/>
        </w:trPr>
        <w:tc>
          <w:tcPr>
            <w:tcW w:w="2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February 3, 2020</w:t>
            </w:r>
          </w:p>
        </w:tc>
        <w:tc>
          <w:tcPr>
            <w:tcW w:w="1280" w:type="dxa"/>
            <w:vAlign w:val="bottom"/>
            <w:gridSpan w:val="2"/>
            <w:shd w:val="clear" w:color="auto" w:fill="CCEEFF"/>
          </w:tcPr>
          <w:p>
            <w:pPr>
              <w:jc w:val="center"/>
              <w:ind w:left="59"/>
              <w:spacing w:after="0"/>
              <w:rPr>
                <w:sz w:val="20"/>
                <w:szCs w:val="20"/>
                <w:color w:val="auto"/>
              </w:rPr>
            </w:pPr>
            <w:r>
              <w:rPr>
                <w:rFonts w:ascii="Arial" w:cs="Arial" w:eastAsia="Arial" w:hAnsi="Arial"/>
                <w:sz w:val="16"/>
                <w:szCs w:val="16"/>
                <w:color w:val="auto"/>
                <w:w w:val="91"/>
              </w:rPr>
              <w:t>2.7350%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Terminated</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center"/>
              <w:ind w:right="159"/>
              <w:spacing w:after="0"/>
              <w:rPr>
                <w:sz w:val="20"/>
                <w:szCs w:val="20"/>
                <w:color w:val="auto"/>
              </w:rPr>
            </w:pPr>
            <w:r>
              <w:rPr>
                <w:rFonts w:ascii="Arial" w:cs="Arial" w:eastAsia="Arial" w:hAnsi="Arial"/>
                <w:sz w:val="16"/>
                <w:szCs w:val="16"/>
                <w:color w:val="auto"/>
                <w:w w:val="88"/>
              </w:rPr>
              <w:t>Terminated</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November 3, 2023</w:t>
            </w:r>
          </w:p>
        </w:tc>
        <w:tc>
          <w:tcPr>
            <w:tcW w:w="0" w:type="dxa"/>
            <w:vAlign w:val="bottom"/>
          </w:tcPr>
          <w:p>
            <w:pPr>
              <w:spacing w:after="0"/>
              <w:rPr>
                <w:sz w:val="1"/>
                <w:szCs w:val="1"/>
                <w:color w:val="auto"/>
              </w:rPr>
            </w:pPr>
          </w:p>
        </w:tc>
      </w:tr>
      <w:tr>
        <w:trPr>
          <w:trHeight w:val="213"/>
        </w:trPr>
        <w:tc>
          <w:tcPr>
            <w:tcW w:w="2120" w:type="dxa"/>
            <w:vAlign w:val="bottom"/>
          </w:tcPr>
          <w:p>
            <w:pPr>
              <w:jc w:val="center"/>
              <w:spacing w:after="0"/>
              <w:rPr>
                <w:sz w:val="20"/>
                <w:szCs w:val="20"/>
                <w:color w:val="auto"/>
              </w:rPr>
            </w:pPr>
            <w:r>
              <w:rPr>
                <w:rFonts w:ascii="Arial" w:cs="Arial" w:eastAsia="Arial" w:hAnsi="Arial"/>
                <w:sz w:val="16"/>
                <w:szCs w:val="16"/>
                <w:color w:val="auto"/>
                <w:w w:val="91"/>
              </w:rPr>
              <w:t>February 3, 2021</w:t>
            </w:r>
          </w:p>
        </w:tc>
        <w:tc>
          <w:tcPr>
            <w:tcW w:w="1280" w:type="dxa"/>
            <w:vAlign w:val="bottom"/>
            <w:gridSpan w:val="2"/>
          </w:tcPr>
          <w:p>
            <w:pPr>
              <w:jc w:val="center"/>
              <w:ind w:left="59"/>
              <w:spacing w:after="0"/>
              <w:rPr>
                <w:sz w:val="20"/>
                <w:szCs w:val="20"/>
                <w:color w:val="auto"/>
              </w:rPr>
            </w:pPr>
            <w:r>
              <w:rPr>
                <w:rFonts w:ascii="Arial" w:cs="Arial" w:eastAsia="Arial" w:hAnsi="Arial"/>
                <w:sz w:val="16"/>
                <w:szCs w:val="16"/>
                <w:color w:val="auto"/>
                <w:w w:val="91"/>
              </w:rPr>
              <w:t>2.7360%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88"/>
              </w:rPr>
              <w:t>Terminated</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gridSpan w:val="3"/>
          </w:tcPr>
          <w:p>
            <w:pPr>
              <w:jc w:val="right"/>
              <w:ind w:right="420"/>
              <w:spacing w:after="0"/>
              <w:rPr>
                <w:sz w:val="20"/>
                <w:szCs w:val="20"/>
                <w:color w:val="auto"/>
              </w:rPr>
            </w:pPr>
            <w:r>
              <w:rPr>
                <w:rFonts w:ascii="Arial" w:cs="Arial" w:eastAsia="Arial" w:hAnsi="Arial"/>
                <w:sz w:val="16"/>
                <w:szCs w:val="16"/>
                <w:color w:val="auto"/>
              </w:rPr>
              <w:t>—</w:t>
            </w:r>
          </w:p>
        </w:tc>
        <w:tc>
          <w:tcPr>
            <w:tcW w:w="960" w:type="dxa"/>
            <w:vAlign w:val="bottom"/>
          </w:tcPr>
          <w:p>
            <w:pPr>
              <w:jc w:val="center"/>
              <w:ind w:right="159"/>
              <w:spacing w:after="0"/>
              <w:rPr>
                <w:sz w:val="20"/>
                <w:szCs w:val="20"/>
                <w:color w:val="auto"/>
              </w:rPr>
            </w:pPr>
            <w:r>
              <w:rPr>
                <w:rFonts w:ascii="Arial" w:cs="Arial" w:eastAsia="Arial" w:hAnsi="Arial"/>
                <w:sz w:val="16"/>
                <w:szCs w:val="16"/>
                <w:color w:val="auto"/>
                <w:w w:val="88"/>
              </w:rPr>
              <w:t>Terminated</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1"/>
              </w:rPr>
              <w:t>November 3, 2023</w:t>
            </w:r>
          </w:p>
        </w:tc>
        <w:tc>
          <w:tcPr>
            <w:tcW w:w="0" w:type="dxa"/>
            <w:vAlign w:val="bottom"/>
          </w:tcPr>
          <w:p>
            <w:pPr>
              <w:spacing w:after="0"/>
              <w:rPr>
                <w:sz w:val="1"/>
                <w:szCs w:val="1"/>
                <w:color w:val="auto"/>
              </w:rPr>
            </w:pPr>
          </w:p>
        </w:tc>
      </w:tr>
      <w:tr>
        <w:trPr>
          <w:trHeight w:val="219"/>
        </w:trPr>
        <w:tc>
          <w:tcPr>
            <w:tcW w:w="2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February 3, 2022</w:t>
            </w:r>
          </w:p>
        </w:tc>
        <w:tc>
          <w:tcPr>
            <w:tcW w:w="1280" w:type="dxa"/>
            <w:vAlign w:val="bottom"/>
            <w:gridSpan w:val="2"/>
            <w:shd w:val="clear" w:color="auto" w:fill="CCEEFF"/>
          </w:tcPr>
          <w:p>
            <w:pPr>
              <w:jc w:val="center"/>
              <w:ind w:left="59"/>
              <w:spacing w:after="0"/>
              <w:rPr>
                <w:sz w:val="20"/>
                <w:szCs w:val="20"/>
                <w:color w:val="auto"/>
              </w:rPr>
            </w:pPr>
            <w:r>
              <w:rPr>
                <w:rFonts w:ascii="Arial" w:cs="Arial" w:eastAsia="Arial" w:hAnsi="Arial"/>
                <w:sz w:val="16"/>
                <w:szCs w:val="16"/>
                <w:color w:val="auto"/>
                <w:w w:val="91"/>
              </w:rPr>
              <w:t>2.7800%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Terminated</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center"/>
              <w:ind w:right="159"/>
              <w:spacing w:after="0"/>
              <w:rPr>
                <w:sz w:val="20"/>
                <w:szCs w:val="20"/>
                <w:color w:val="auto"/>
              </w:rPr>
            </w:pPr>
            <w:r>
              <w:rPr>
                <w:rFonts w:ascii="Arial" w:cs="Arial" w:eastAsia="Arial" w:hAnsi="Arial"/>
                <w:sz w:val="16"/>
                <w:szCs w:val="16"/>
                <w:color w:val="auto"/>
                <w:w w:val="88"/>
              </w:rPr>
              <w:t>Terminated</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November 3, 2023</w:t>
            </w:r>
          </w:p>
        </w:tc>
        <w:tc>
          <w:tcPr>
            <w:tcW w:w="0" w:type="dxa"/>
            <w:vAlign w:val="bottom"/>
          </w:tcPr>
          <w:p>
            <w:pPr>
              <w:spacing w:after="0"/>
              <w:rPr>
                <w:sz w:val="1"/>
                <w:szCs w:val="1"/>
                <w:color w:val="auto"/>
              </w:rPr>
            </w:pPr>
          </w:p>
        </w:tc>
      </w:tr>
      <w:tr>
        <w:trPr>
          <w:trHeight w:val="135"/>
        </w:trPr>
        <w:tc>
          <w:tcPr>
            <w:tcW w:w="2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w w:val="98"/>
              </w:rPr>
              <w:t>Entered into February 2021:</w:t>
            </w: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7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120" w:type="dxa"/>
            <w:vAlign w:val="bottom"/>
          </w:tcPr>
          <w:p>
            <w:pPr>
              <w:jc w:val="center"/>
              <w:spacing w:after="0"/>
              <w:rPr>
                <w:sz w:val="20"/>
                <w:szCs w:val="20"/>
                <w:color w:val="auto"/>
              </w:rPr>
            </w:pPr>
            <w:r>
              <w:rPr>
                <w:rFonts w:ascii="Arial" w:cs="Arial" w:eastAsia="Arial" w:hAnsi="Arial"/>
                <w:sz w:val="16"/>
                <w:szCs w:val="16"/>
                <w:color w:val="auto"/>
                <w:w w:val="91"/>
              </w:rPr>
              <w:t>February 3, 2021</w:t>
            </w:r>
          </w:p>
        </w:tc>
        <w:tc>
          <w:tcPr>
            <w:tcW w:w="1280" w:type="dxa"/>
            <w:vAlign w:val="bottom"/>
            <w:gridSpan w:val="2"/>
          </w:tcPr>
          <w:p>
            <w:pPr>
              <w:jc w:val="center"/>
              <w:ind w:left="39"/>
              <w:spacing w:after="0"/>
              <w:rPr>
                <w:sz w:val="20"/>
                <w:szCs w:val="20"/>
                <w:color w:val="auto"/>
              </w:rPr>
            </w:pPr>
            <w:r>
              <w:rPr>
                <w:rFonts w:ascii="Arial" w:cs="Arial" w:eastAsia="Arial" w:hAnsi="Arial"/>
                <w:sz w:val="16"/>
                <w:szCs w:val="16"/>
                <w:color w:val="auto"/>
                <w:w w:val="92"/>
              </w:rPr>
              <w:t>(1.9040)%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95"/>
              </w:rPr>
              <w:t>Matured</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gridSpan w:val="3"/>
          </w:tcPr>
          <w:p>
            <w:pPr>
              <w:jc w:val="right"/>
              <w:ind w:right="420"/>
              <w:spacing w:after="0"/>
              <w:rPr>
                <w:sz w:val="20"/>
                <w:szCs w:val="20"/>
                <w:color w:val="auto"/>
              </w:rPr>
            </w:pPr>
            <w:r>
              <w:rPr>
                <w:rFonts w:ascii="Arial" w:cs="Arial" w:eastAsia="Arial" w:hAnsi="Arial"/>
                <w:sz w:val="16"/>
                <w:szCs w:val="16"/>
                <w:color w:val="auto"/>
              </w:rPr>
              <w:t>—</w:t>
            </w:r>
          </w:p>
        </w:tc>
        <w:tc>
          <w:tcPr>
            <w:tcW w:w="960" w:type="dxa"/>
            <w:vAlign w:val="bottom"/>
          </w:tcPr>
          <w:p>
            <w:pPr>
              <w:jc w:val="center"/>
              <w:ind w:right="159"/>
              <w:spacing w:after="0"/>
              <w:rPr>
                <w:sz w:val="20"/>
                <w:szCs w:val="20"/>
                <w:color w:val="auto"/>
              </w:rPr>
            </w:pPr>
            <w:r>
              <w:rPr>
                <w:rFonts w:ascii="Arial" w:cs="Arial" w:eastAsia="Arial" w:hAnsi="Arial"/>
                <w:sz w:val="16"/>
                <w:szCs w:val="16"/>
                <w:color w:val="auto"/>
                <w:w w:val="95"/>
              </w:rPr>
              <w:t>Matured</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1"/>
              </w:rPr>
              <w:t>February 3, 2022</w:t>
            </w:r>
          </w:p>
        </w:tc>
        <w:tc>
          <w:tcPr>
            <w:tcW w:w="0" w:type="dxa"/>
            <w:vAlign w:val="bottom"/>
          </w:tcPr>
          <w:p>
            <w:pPr>
              <w:spacing w:after="0"/>
              <w:rPr>
                <w:sz w:val="1"/>
                <w:szCs w:val="1"/>
                <w:color w:val="auto"/>
              </w:rPr>
            </w:pPr>
          </w:p>
        </w:tc>
      </w:tr>
      <w:tr>
        <w:trPr>
          <w:trHeight w:val="219"/>
        </w:trPr>
        <w:tc>
          <w:tcPr>
            <w:tcW w:w="2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February 9, 2021</w:t>
            </w:r>
          </w:p>
        </w:tc>
        <w:tc>
          <w:tcPr>
            <w:tcW w:w="1280" w:type="dxa"/>
            <w:vAlign w:val="bottom"/>
            <w:tcBorders>
              <w:bottom w:val="single" w:sz="8" w:color="CCEEFF"/>
            </w:tcBorders>
            <w:gridSpan w:val="2"/>
            <w:shd w:val="clear" w:color="auto" w:fill="CCEEFF"/>
          </w:tcPr>
          <w:p>
            <w:pPr>
              <w:jc w:val="center"/>
              <w:ind w:left="39"/>
              <w:spacing w:after="0" w:line="219" w:lineRule="exact"/>
              <w:rPr>
                <w:sz w:val="20"/>
                <w:szCs w:val="20"/>
                <w:color w:val="auto"/>
              </w:rPr>
            </w:pPr>
            <w:r>
              <w:rPr>
                <w:rFonts w:ascii="Arial" w:cs="Arial" w:eastAsia="Arial" w:hAnsi="Arial"/>
                <w:sz w:val="16"/>
                <w:szCs w:val="16"/>
                <w:color w:val="auto"/>
                <w:w w:val="89"/>
              </w:rPr>
              <w:t xml:space="preserve">2.34150% </w:t>
            </w:r>
            <w:r>
              <w:rPr>
                <w:rFonts w:ascii="Arial" w:cs="Arial" w:eastAsia="Arial" w:hAnsi="Arial"/>
                <w:sz w:val="21"/>
                <w:szCs w:val="21"/>
                <w:color w:val="auto"/>
                <w:w w:val="89"/>
                <w:vertAlign w:val="superscript"/>
              </w:rPr>
              <w:t>(1)</w:t>
            </w:r>
          </w:p>
        </w:tc>
        <w:tc>
          <w:tcPr>
            <w:tcW w:w="1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1,350.0</w:t>
            </w: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Active</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1,350.0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center"/>
              <w:ind w:right="159"/>
              <w:spacing w:after="0"/>
              <w:rPr>
                <w:sz w:val="20"/>
                <w:szCs w:val="20"/>
                <w:color w:val="auto"/>
              </w:rPr>
            </w:pPr>
            <w:r>
              <w:rPr>
                <w:rFonts w:ascii="Arial" w:cs="Arial" w:eastAsia="Arial" w:hAnsi="Arial"/>
                <w:sz w:val="16"/>
                <w:szCs w:val="16"/>
                <w:color w:val="auto"/>
              </w:rPr>
              <w:t>Active</w:t>
            </w:r>
          </w:p>
        </w:tc>
        <w:tc>
          <w:tcPr>
            <w:tcW w:w="10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February 9, 2026</w:t>
            </w:r>
          </w:p>
        </w:tc>
        <w:tc>
          <w:tcPr>
            <w:tcW w:w="0" w:type="dxa"/>
            <w:vAlign w:val="bottom"/>
          </w:tcPr>
          <w:p>
            <w:pPr>
              <w:spacing w:after="0"/>
              <w:rPr>
                <w:sz w:val="1"/>
                <w:szCs w:val="1"/>
                <w:color w:val="auto"/>
              </w:rPr>
            </w:pPr>
          </w:p>
        </w:tc>
      </w:tr>
      <w:tr>
        <w:trPr>
          <w:trHeight w:val="210"/>
        </w:trPr>
        <w:tc>
          <w:tcPr>
            <w:tcW w:w="2120" w:type="dxa"/>
            <w:vAlign w:val="bottom"/>
          </w:tcPr>
          <w:p>
            <w:pPr>
              <w:jc w:val="center"/>
              <w:spacing w:after="0"/>
              <w:rPr>
                <w:sz w:val="20"/>
                <w:szCs w:val="20"/>
                <w:color w:val="auto"/>
              </w:rPr>
            </w:pPr>
            <w:r>
              <w:rPr>
                <w:rFonts w:ascii="Arial" w:cs="Arial" w:eastAsia="Arial" w:hAnsi="Arial"/>
                <w:sz w:val="16"/>
                <w:szCs w:val="16"/>
                <w:color w:val="auto"/>
                <w:w w:val="89"/>
              </w:rPr>
              <w:t>Total</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jc w:val="right"/>
              <w:ind w:right="122"/>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1,350.0</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1,350.0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400" w:hanging="392"/>
        <w:spacing w:after="0"/>
        <w:tabs>
          <w:tab w:leader="none" w:pos="400"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Fixed rate paid prior to the May 9, 2023 amendment was </w:t>
      </w:r>
      <w:r>
        <w:rPr>
          <w:rFonts w:ascii="Arial" w:cs="Arial" w:eastAsia="Arial" w:hAnsi="Arial"/>
          <w:sz w:val="17"/>
          <w:szCs w:val="17"/>
          <w:color w:val="auto"/>
        </w:rPr>
        <w:t>2.3820%.</w:t>
      </w:r>
    </w:p>
    <w:p>
      <w:pPr>
        <w:spacing w:after="0" w:line="264" w:lineRule="exact"/>
        <w:rPr>
          <w:sz w:val="20"/>
          <w:szCs w:val="20"/>
          <w:color w:val="auto"/>
        </w:rPr>
      </w:pPr>
    </w:p>
    <w:p>
      <w:pPr>
        <w:ind w:right="100" w:firstLine="486"/>
        <w:spacing w:after="0" w:line="263" w:lineRule="auto"/>
        <w:rPr>
          <w:sz w:val="20"/>
          <w:szCs w:val="20"/>
          <w:color w:val="auto"/>
        </w:rPr>
      </w:pPr>
      <w:r>
        <w:rPr>
          <w:rFonts w:ascii="Arial" w:cs="Arial" w:eastAsia="Arial" w:hAnsi="Arial"/>
          <w:sz w:val="18"/>
          <w:szCs w:val="18"/>
          <w:color w:val="auto"/>
        </w:rPr>
        <w:t>Our interest rate swap agreements, excluding the portion treated as debt, are recognized at fair value in the Condensed Consolidated Balance Sheets and are valued using pricing models that rely on market observable inputs such as yield curve data, which are classified as Level 2 inputs within the fair value hierarchy.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Values of Derivatives on the Condensed Consolidated Balance Sheets</w:t>
      </w:r>
    </w:p>
    <w:p>
      <w:pPr>
        <w:spacing w:after="0" w:line="252" w:lineRule="exact"/>
        <w:rPr>
          <w:sz w:val="20"/>
          <w:szCs w:val="20"/>
          <w:color w:val="auto"/>
        </w:rPr>
      </w:pPr>
    </w:p>
    <w:p>
      <w:pPr>
        <w:ind w:right="380" w:firstLine="486"/>
        <w:spacing w:after="0" w:line="277" w:lineRule="auto"/>
        <w:rPr>
          <w:sz w:val="20"/>
          <w:szCs w:val="20"/>
          <w:color w:val="auto"/>
        </w:rPr>
      </w:pPr>
      <w:r>
        <w:rPr>
          <w:rFonts w:ascii="Arial" w:cs="Arial" w:eastAsia="Arial" w:hAnsi="Arial"/>
          <w:sz w:val="18"/>
          <w:szCs w:val="18"/>
          <w:color w:val="auto"/>
        </w:rPr>
        <w:t>The fair values of our derivatives and their location on the Condensed Consolidated Balance Sheets as of December 31, 2022 and June 30, 2023 were as follows: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4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64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6"/>
                <w:szCs w:val="16"/>
                <w:b w:val="1"/>
                <w:bCs w:val="1"/>
                <w:color w:val="auto"/>
              </w:rPr>
              <w:t>December 31, 2022</w:t>
            </w:r>
          </w:p>
        </w:tc>
        <w:tc>
          <w:tcPr>
            <w:tcW w:w="3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jc w:val="right"/>
              <w:ind w:right="959"/>
              <w:spacing w:after="0"/>
              <w:rPr>
                <w:sz w:val="20"/>
                <w:szCs w:val="20"/>
                <w:color w:val="auto"/>
              </w:rPr>
            </w:pPr>
            <w:r>
              <w:rPr>
                <w:rFonts w:ascii="Arial" w:cs="Arial" w:eastAsia="Arial" w:hAnsi="Arial"/>
                <w:sz w:val="16"/>
                <w:szCs w:val="16"/>
                <w:b w:val="1"/>
                <w:bCs w:val="1"/>
                <w:color w:val="auto"/>
              </w:rPr>
              <w:t>June 30, 2023</w:t>
            </w:r>
          </w:p>
        </w:tc>
        <w:tc>
          <w:tcPr>
            <w:tcW w:w="0" w:type="dxa"/>
            <w:vAlign w:val="bottom"/>
          </w:tcPr>
          <w:p>
            <w:pPr>
              <w:spacing w:after="0"/>
              <w:rPr>
                <w:sz w:val="1"/>
                <w:szCs w:val="1"/>
                <w:color w:val="auto"/>
              </w:rPr>
            </w:pPr>
          </w:p>
        </w:tc>
      </w:tr>
      <w:tr>
        <w:trPr>
          <w:trHeight w:val="199"/>
        </w:trPr>
        <w:tc>
          <w:tcPr>
            <w:tcW w:w="24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62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Assets</w:t>
            </w:r>
          </w:p>
        </w:tc>
        <w:tc>
          <w:tcPr>
            <w:tcW w:w="4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Liabilities</w:t>
            </w:r>
          </w:p>
        </w:tc>
        <w:tc>
          <w:tcPr>
            <w:tcW w:w="3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Assets</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Liabilities</w:t>
            </w:r>
          </w:p>
        </w:tc>
        <w:tc>
          <w:tcPr>
            <w:tcW w:w="0" w:type="dxa"/>
            <w:vAlign w:val="bottom"/>
          </w:tcPr>
          <w:p>
            <w:pPr>
              <w:spacing w:after="0"/>
              <w:rPr>
                <w:sz w:val="1"/>
                <w:szCs w:val="1"/>
                <w:color w:val="auto"/>
              </w:rPr>
            </w:pPr>
          </w:p>
        </w:tc>
      </w:tr>
      <w:tr>
        <w:trPr>
          <w:trHeight w:val="156"/>
        </w:trPr>
        <w:tc>
          <w:tcPr>
            <w:tcW w:w="2480" w:type="dxa"/>
            <w:vAlign w:val="bottom"/>
          </w:tcPr>
          <w:p>
            <w:pPr>
              <w:ind w:left="20"/>
              <w:spacing w:after="0" w:line="155" w:lineRule="exact"/>
              <w:rPr>
                <w:sz w:val="20"/>
                <w:szCs w:val="20"/>
                <w:color w:val="auto"/>
              </w:rPr>
            </w:pPr>
            <w:r>
              <w:rPr>
                <w:rFonts w:ascii="Arial" w:cs="Arial" w:eastAsia="Arial" w:hAnsi="Arial"/>
                <w:sz w:val="16"/>
                <w:szCs w:val="16"/>
                <w:b w:val="1"/>
                <w:bCs w:val="1"/>
                <w:color w:val="auto"/>
                <w:w w:val="92"/>
              </w:rPr>
              <w:t>Derivatives designated as hedging</w:t>
            </w:r>
          </w:p>
        </w:tc>
        <w:tc>
          <w:tcPr>
            <w:tcW w:w="262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Location</w:t>
            </w: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480" w:type="dxa"/>
            <w:vAlign w:val="bottom"/>
          </w:tcPr>
          <w:p>
            <w:pPr>
              <w:ind w:left="20"/>
              <w:spacing w:after="0"/>
              <w:rPr>
                <w:sz w:val="20"/>
                <w:szCs w:val="20"/>
                <w:color w:val="auto"/>
              </w:rPr>
            </w:pPr>
            <w:r>
              <w:rPr>
                <w:rFonts w:ascii="Arial" w:cs="Arial" w:eastAsia="Arial" w:hAnsi="Arial"/>
                <w:sz w:val="16"/>
                <w:szCs w:val="16"/>
                <w:b w:val="1"/>
                <w:bCs w:val="1"/>
                <w:color w:val="auto"/>
              </w:rPr>
              <w:t>instruments</w:t>
            </w:r>
          </w:p>
        </w:tc>
        <w:tc>
          <w:tcPr>
            <w:tcW w:w="262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26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current assets</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w:t>
            </w:r>
          </w:p>
        </w:tc>
        <w:tc>
          <w:tcPr>
            <w:tcW w:w="1200" w:type="dxa"/>
            <w:vAlign w:val="bottom"/>
            <w:gridSpan w:val="2"/>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480" w:type="dxa"/>
            <w:vAlign w:val="bottom"/>
          </w:tcPr>
          <w:p>
            <w:pPr>
              <w:ind w:left="20"/>
              <w:spacing w:after="0"/>
              <w:rPr>
                <w:sz w:val="20"/>
                <w:szCs w:val="20"/>
                <w:color w:val="auto"/>
              </w:rPr>
            </w:pPr>
            <w:r>
              <w:rPr>
                <w:rFonts w:ascii="Arial" w:cs="Arial" w:eastAsia="Arial" w:hAnsi="Arial"/>
                <w:sz w:val="16"/>
                <w:szCs w:val="16"/>
                <w:color w:val="auto"/>
              </w:rPr>
              <w:t>Interest rate swaps</w:t>
            </w:r>
          </w:p>
        </w:tc>
        <w:tc>
          <w:tcPr>
            <w:tcW w:w="2620" w:type="dxa"/>
            <w:vAlign w:val="bottom"/>
          </w:tcPr>
          <w:p>
            <w:pPr>
              <w:ind w:left="120"/>
              <w:spacing w:after="0"/>
              <w:rPr>
                <w:sz w:val="20"/>
                <w:szCs w:val="20"/>
                <w:color w:val="auto"/>
              </w:rPr>
            </w:pPr>
            <w:r>
              <w:rPr>
                <w:rFonts w:ascii="Arial" w:cs="Arial" w:eastAsia="Arial" w:hAnsi="Arial"/>
                <w:sz w:val="16"/>
                <w:szCs w:val="16"/>
                <w:color w:val="auto"/>
              </w:rPr>
              <w:t>Other non-current assets</w:t>
            </w:r>
          </w:p>
        </w:tc>
        <w:tc>
          <w:tcPr>
            <w:tcW w:w="9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80.5</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63.5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2620" w:type="dxa"/>
            <w:vAlign w:val="bottom"/>
            <w:shd w:val="clear" w:color="auto" w:fill="CCEEFF"/>
          </w:tcPr>
          <w:p>
            <w:pPr>
              <w:ind w:left="120"/>
              <w:spacing w:after="0" w:line="219" w:lineRule="exact"/>
              <w:rPr>
                <w:sz w:val="20"/>
                <w:szCs w:val="20"/>
                <w:color w:val="auto"/>
              </w:rPr>
            </w:pPr>
            <w:r>
              <w:rPr>
                <w:rFonts w:ascii="Arial" w:cs="Arial" w:eastAsia="Arial" w:hAnsi="Arial"/>
                <w:sz w:val="16"/>
                <w:szCs w:val="16"/>
                <w:color w:val="auto"/>
              </w:rPr>
              <w:t xml:space="preserve">Other current liabilities </w:t>
            </w:r>
            <w:r>
              <w:rPr>
                <w:rFonts w:ascii="Arial" w:cs="Arial" w:eastAsia="Arial" w:hAnsi="Arial"/>
                <w:sz w:val="21"/>
                <w:szCs w:val="21"/>
                <w:color w:val="auto"/>
                <w:vertAlign w:val="superscript"/>
              </w:rPr>
              <w:t>(1)</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17.3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16"/>
        </w:trPr>
        <w:tc>
          <w:tcPr>
            <w:tcW w:w="2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rate swaps</w:t>
            </w:r>
          </w:p>
        </w:tc>
        <w:tc>
          <w:tcPr>
            <w:tcW w:w="2620" w:type="dxa"/>
            <w:vAlign w:val="bottom"/>
            <w:tcBorders>
              <w:bottom w:val="single" w:sz="8" w:color="CCEEFF"/>
            </w:tcBorders>
          </w:tcPr>
          <w:p>
            <w:pPr>
              <w:ind w:left="120"/>
              <w:spacing w:after="0" w:line="216" w:lineRule="exact"/>
              <w:rPr>
                <w:sz w:val="20"/>
                <w:szCs w:val="20"/>
                <w:color w:val="auto"/>
              </w:rPr>
            </w:pPr>
            <w:r>
              <w:rPr>
                <w:rFonts w:ascii="Arial" w:cs="Arial" w:eastAsia="Arial" w:hAnsi="Arial"/>
                <w:sz w:val="16"/>
                <w:szCs w:val="16"/>
                <w:color w:val="auto"/>
              </w:rPr>
              <w:t xml:space="preserve">Other non-current liabilities </w:t>
            </w:r>
            <w:r>
              <w:rPr>
                <w:rFonts w:ascii="Arial" w:cs="Arial" w:eastAsia="Arial" w:hAnsi="Arial"/>
                <w:sz w:val="21"/>
                <w:szCs w:val="21"/>
                <w:color w:val="auto"/>
                <w:vertAlign w:val="superscript"/>
              </w:rPr>
              <w:t>(1)</w:t>
            </w:r>
          </w:p>
        </w:tc>
        <w:tc>
          <w:tcPr>
            <w:tcW w:w="9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39.1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230"/>
        </w:trPr>
        <w:tc>
          <w:tcPr>
            <w:tcW w:w="2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26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124.8</w:t>
            </w:r>
          </w:p>
        </w:tc>
        <w:tc>
          <w:tcPr>
            <w:tcW w:w="1200" w:type="dxa"/>
            <w:vAlign w:val="bottom"/>
            <w:gridSpan w:val="2"/>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56.4</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117.5</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The entire balance is comprised of the financing component of the pay-fixed interest rate swap.</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For financial statement presentation purposes, we do not offset assets and liabilities under master netting arrangements and all amounts above are presented on a gross basis. The following table, however, is presented on a net asset and net liability basis: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6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1"/>
              </w:rPr>
              <w:t>December 31, 2022</w:t>
            </w: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6"/>
              </w:rPr>
              <w:t>June 30, 2023</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center"/>
              <w:ind w:right="19"/>
              <w:spacing w:after="0" w:line="158" w:lineRule="exact"/>
              <w:rPr>
                <w:sz w:val="20"/>
                <w:szCs w:val="20"/>
                <w:color w:val="auto"/>
              </w:rPr>
            </w:pPr>
            <w:r>
              <w:rPr>
                <w:rFonts w:ascii="Arial" w:cs="Arial" w:eastAsia="Arial" w:hAnsi="Arial"/>
                <w:sz w:val="16"/>
                <w:szCs w:val="16"/>
                <w:b w:val="1"/>
                <w:bCs w:val="1"/>
                <w:color w:val="auto"/>
                <w:w w:val="86"/>
              </w:rPr>
              <w:t>Gross</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center"/>
              <w:ind w:right="99"/>
              <w:spacing w:after="0" w:line="158" w:lineRule="exact"/>
              <w:rPr>
                <w:sz w:val="20"/>
                <w:szCs w:val="20"/>
                <w:color w:val="auto"/>
              </w:rPr>
            </w:pPr>
            <w:r>
              <w:rPr>
                <w:rFonts w:ascii="Arial" w:cs="Arial" w:eastAsia="Arial" w:hAnsi="Arial"/>
                <w:sz w:val="16"/>
                <w:szCs w:val="16"/>
                <w:b w:val="1"/>
                <w:bCs w:val="1"/>
                <w:color w:val="auto"/>
                <w:w w:val="90"/>
              </w:rPr>
              <w:t>Effects of</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center"/>
              <w:ind w:right="19"/>
              <w:spacing w:after="0" w:line="158" w:lineRule="exact"/>
              <w:rPr>
                <w:sz w:val="20"/>
                <w:szCs w:val="20"/>
                <w:color w:val="auto"/>
              </w:rPr>
            </w:pPr>
            <w:r>
              <w:rPr>
                <w:rFonts w:ascii="Arial" w:cs="Arial" w:eastAsia="Arial" w:hAnsi="Arial"/>
                <w:sz w:val="16"/>
                <w:szCs w:val="16"/>
                <w:b w:val="1"/>
                <w:bCs w:val="1"/>
                <w:color w:val="auto"/>
                <w:w w:val="86"/>
              </w:rPr>
              <w:t>Gross</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center"/>
              <w:ind w:right="79"/>
              <w:spacing w:after="0" w:line="158" w:lineRule="exact"/>
              <w:rPr>
                <w:sz w:val="20"/>
                <w:szCs w:val="20"/>
                <w:color w:val="auto"/>
              </w:rPr>
            </w:pPr>
            <w:r>
              <w:rPr>
                <w:rFonts w:ascii="Arial" w:cs="Arial" w:eastAsia="Arial" w:hAnsi="Arial"/>
                <w:sz w:val="16"/>
                <w:szCs w:val="16"/>
                <w:b w:val="1"/>
                <w:bCs w:val="1"/>
                <w:color w:val="auto"/>
                <w:w w:val="87"/>
              </w:rPr>
              <w:t>Effects of</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19"/>
              <w:spacing w:after="0" w:line="162" w:lineRule="exact"/>
              <w:rPr>
                <w:sz w:val="20"/>
                <w:szCs w:val="20"/>
                <w:color w:val="auto"/>
              </w:rPr>
            </w:pPr>
            <w:r>
              <w:rPr>
                <w:rFonts w:ascii="Arial" w:cs="Arial" w:eastAsia="Arial" w:hAnsi="Arial"/>
                <w:sz w:val="16"/>
                <w:szCs w:val="16"/>
                <w:b w:val="1"/>
                <w:bCs w:val="1"/>
                <w:color w:val="auto"/>
                <w:w w:val="89"/>
              </w:rPr>
              <w:t>Amounts on</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95"/>
              </w:rPr>
              <w:t>Counterparty</w:t>
            </w:r>
          </w:p>
        </w:tc>
        <w:tc>
          <w:tcPr>
            <w:tcW w:w="100" w:type="dxa"/>
            <w:vAlign w:val="bottom"/>
          </w:tcPr>
          <w:p>
            <w:pPr>
              <w:spacing w:after="0"/>
              <w:rPr>
                <w:sz w:val="14"/>
                <w:szCs w:val="14"/>
                <w:color w:val="auto"/>
              </w:rPr>
            </w:pPr>
          </w:p>
        </w:tc>
        <w:tc>
          <w:tcPr>
            <w:tcW w:w="110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w w:val="98"/>
              </w:rPr>
              <w:t>Net Amounts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19"/>
              <w:spacing w:after="0" w:line="162" w:lineRule="exact"/>
              <w:rPr>
                <w:sz w:val="20"/>
                <w:szCs w:val="20"/>
                <w:color w:val="auto"/>
              </w:rPr>
            </w:pPr>
            <w:r>
              <w:rPr>
                <w:rFonts w:ascii="Arial" w:cs="Arial" w:eastAsia="Arial" w:hAnsi="Arial"/>
                <w:sz w:val="16"/>
                <w:szCs w:val="16"/>
                <w:b w:val="1"/>
                <w:bCs w:val="1"/>
                <w:color w:val="auto"/>
                <w:w w:val="89"/>
              </w:rPr>
              <w:t>Amounts on</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95"/>
              </w:rPr>
              <w:t>Counterparty</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88"/>
              </w:rPr>
              <w:t>Net Amounts</w:t>
            </w:r>
          </w:p>
        </w:tc>
        <w:tc>
          <w:tcPr>
            <w:tcW w:w="0" w:type="dxa"/>
            <w:vAlign w:val="bottom"/>
          </w:tcPr>
          <w:p>
            <w:pPr>
              <w:spacing w:after="0"/>
              <w:rPr>
                <w:sz w:val="1"/>
                <w:szCs w:val="1"/>
                <w:color w:val="auto"/>
              </w:rPr>
            </w:pPr>
          </w:p>
        </w:tc>
      </w:tr>
      <w:tr>
        <w:trPr>
          <w:trHeight w:val="210"/>
        </w:trPr>
        <w:tc>
          <w:tcPr>
            <w:tcW w:w="36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9"/>
              </w:rPr>
              <w:t>Balance Sheet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4"/>
              </w:rPr>
              <w:t>Netting</w:t>
            </w:r>
          </w:p>
        </w:tc>
        <w:tc>
          <w:tcPr>
            <w:tcW w:w="100" w:type="dxa"/>
            <w:vAlign w:val="bottom"/>
          </w:tcPr>
          <w:p>
            <w:pPr>
              <w:spacing w:after="0"/>
              <w:rPr>
                <w:sz w:val="18"/>
                <w:szCs w:val="18"/>
                <w:color w:val="auto"/>
              </w:rPr>
            </w:pPr>
          </w:p>
        </w:tc>
        <w:tc>
          <w:tcPr>
            <w:tcW w:w="1100" w:type="dxa"/>
            <w:vAlign w:val="bottom"/>
            <w:tcBorders>
              <w:bottom w:val="single" w:sz="8" w:color="auto"/>
            </w:tcBorders>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7"/>
              </w:rPr>
              <w:t>Balance Sheet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4"/>
              </w:rPr>
              <w:t>Netting</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2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w:t>
            </w:r>
          </w:p>
        </w:tc>
        <w:tc>
          <w:tcPr>
            <w:tcW w:w="520" w:type="dxa"/>
            <w:vAlign w:val="bottom"/>
            <w:gridSpan w:val="2"/>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w:t>
            </w:r>
          </w:p>
        </w:tc>
        <w:tc>
          <w:tcPr>
            <w:tcW w:w="0" w:type="dxa"/>
            <w:vAlign w:val="bottom"/>
          </w:tcPr>
          <w:p>
            <w:pPr>
              <w:spacing w:after="0"/>
              <w:rPr>
                <w:sz w:val="1"/>
                <w:szCs w:val="1"/>
                <w:color w:val="auto"/>
              </w:rPr>
            </w:pPr>
          </w:p>
        </w:tc>
      </w:tr>
      <w:tr>
        <w:trPr>
          <w:trHeight w:val="81"/>
        </w:trPr>
        <w:tc>
          <w:tcPr>
            <w:tcW w:w="3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20" w:type="dxa"/>
            <w:vAlign w:val="bottom"/>
          </w:tcPr>
          <w:p>
            <w:pPr>
              <w:ind w:left="20"/>
              <w:spacing w:after="0"/>
              <w:rPr>
                <w:sz w:val="20"/>
                <w:szCs w:val="20"/>
                <w:color w:val="auto"/>
              </w:rPr>
            </w:pPr>
            <w:r>
              <w:rPr>
                <w:rFonts w:ascii="Arial" w:cs="Arial" w:eastAsia="Arial" w:hAnsi="Arial"/>
                <w:sz w:val="16"/>
                <w:szCs w:val="16"/>
                <w:color w:val="auto"/>
              </w:rPr>
              <w:t>Interest rate swaps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56.4</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(56.4)</w:t>
            </w:r>
          </w:p>
        </w:tc>
        <w:tc>
          <w:tcPr>
            <w:tcW w:w="520" w:type="dxa"/>
            <w:vAlign w:val="bottom"/>
            <w:gridSpan w:val="2"/>
          </w:tcPr>
          <w:p>
            <w:pPr>
              <w:jc w:val="right"/>
              <w:ind w:right="23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46.4</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(46.4)</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 of Derivatives on the Condensed Consolidated Statements of Comprehensive Loss</w:t>
      </w:r>
    </w:p>
    <w:p>
      <w:pPr>
        <w:spacing w:after="0" w:line="252" w:lineRule="exact"/>
        <w:rPr>
          <w:sz w:val="20"/>
          <w:szCs w:val="20"/>
          <w:color w:val="auto"/>
        </w:rPr>
      </w:pPr>
    </w:p>
    <w:p>
      <w:pPr>
        <w:ind w:right="420" w:firstLine="486"/>
        <w:spacing w:after="0" w:line="277" w:lineRule="auto"/>
        <w:rPr>
          <w:sz w:val="20"/>
          <w:szCs w:val="20"/>
          <w:color w:val="auto"/>
        </w:rPr>
      </w:pPr>
      <w:r>
        <w:rPr>
          <w:rFonts w:ascii="Arial" w:cs="Arial" w:eastAsia="Arial" w:hAnsi="Arial"/>
          <w:sz w:val="18"/>
          <w:szCs w:val="18"/>
          <w:color w:val="auto"/>
        </w:rPr>
        <w:t>The effect of our derivatives and their location on the Condensed Consolidated Statements of Comprehensive Loss for the three and six months ended June 30, 2022 and 2023 was as follows: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7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6"/>
                <w:szCs w:val="16"/>
                <w:b w:val="1"/>
                <w:bCs w:val="1"/>
                <w:color w:val="auto"/>
                <w:w w:val="98"/>
              </w:rPr>
              <w:t>Three Months Ended June 30,</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ind w:left="240"/>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07"/>
        </w:trPr>
        <w:tc>
          <w:tcPr>
            <w:tcW w:w="27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4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61"/>
        </w:trPr>
        <w:tc>
          <w:tcPr>
            <w:tcW w:w="2700" w:type="dxa"/>
            <w:vAlign w:val="bottom"/>
          </w:tcPr>
          <w:p>
            <w:pPr>
              <w:ind w:left="20"/>
              <w:spacing w:after="0" w:line="161" w:lineRule="exact"/>
              <w:rPr>
                <w:sz w:val="20"/>
                <w:szCs w:val="20"/>
                <w:color w:val="auto"/>
              </w:rPr>
            </w:pPr>
            <w:r>
              <w:rPr>
                <w:rFonts w:ascii="Arial" w:cs="Arial" w:eastAsia="Arial" w:hAnsi="Arial"/>
                <w:sz w:val="16"/>
                <w:szCs w:val="16"/>
                <w:b w:val="1"/>
                <w:bCs w:val="1"/>
                <w:color w:val="auto"/>
                <w:w w:val="90"/>
              </w:rPr>
              <w:t>Derivatives not designated as hedging</w:t>
            </w:r>
          </w:p>
        </w:tc>
        <w:tc>
          <w:tcPr>
            <w:tcW w:w="242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Location</w:t>
            </w: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700" w:type="dxa"/>
            <w:vAlign w:val="bottom"/>
          </w:tcPr>
          <w:p>
            <w:pPr>
              <w:ind w:left="20"/>
              <w:spacing w:after="0"/>
              <w:rPr>
                <w:sz w:val="20"/>
                <w:szCs w:val="20"/>
                <w:color w:val="auto"/>
              </w:rPr>
            </w:pPr>
            <w:r>
              <w:rPr>
                <w:rFonts w:ascii="Arial" w:cs="Arial" w:eastAsia="Arial" w:hAnsi="Arial"/>
                <w:sz w:val="16"/>
                <w:szCs w:val="16"/>
                <w:b w:val="1"/>
                <w:bCs w:val="1"/>
                <w:color w:val="auto"/>
              </w:rPr>
              <w:t>instruments</w:t>
            </w:r>
          </w:p>
        </w:tc>
        <w:tc>
          <w:tcPr>
            <w:tcW w:w="24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2420" w:type="dxa"/>
            <w:vAlign w:val="bottom"/>
            <w:shd w:val="clear" w:color="auto" w:fill="CCEEFF"/>
          </w:tcPr>
          <w:p>
            <w:pPr>
              <w:ind w:left="80"/>
              <w:spacing w:after="0"/>
              <w:rPr>
                <w:sz w:val="20"/>
                <w:szCs w:val="20"/>
                <w:color w:val="auto"/>
              </w:rPr>
            </w:pPr>
            <w:r>
              <w:rPr>
                <w:rFonts w:ascii="Arial" w:cs="Arial" w:eastAsia="Arial" w:hAnsi="Arial"/>
                <w:sz w:val="16"/>
                <w:szCs w:val="16"/>
                <w:color w:val="auto"/>
              </w:rPr>
              <w:t>Interest income (expense)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ind w:left="780"/>
              <w:spacing w:after="0"/>
              <w:rPr>
                <w:sz w:val="20"/>
                <w:szCs w:val="20"/>
                <w:color w:val="auto"/>
              </w:rPr>
            </w:pPr>
            <w:r>
              <w:rPr>
                <w:rFonts w:ascii="Arial" w:cs="Arial" w:eastAsia="Arial" w:hAnsi="Arial"/>
                <w:sz w:val="16"/>
                <w:szCs w:val="16"/>
                <w:color w:val="auto"/>
                <w:w w:val="97"/>
              </w:rPr>
              <w:t>(4.5)</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ind w:left="780"/>
              <w:spacing w:after="0"/>
              <w:rPr>
                <w:sz w:val="20"/>
                <w:szCs w:val="20"/>
                <w:color w:val="auto"/>
              </w:rPr>
            </w:pPr>
            <w:r>
              <w:rPr>
                <w:rFonts w:ascii="Arial" w:cs="Arial" w:eastAsia="Arial" w:hAnsi="Arial"/>
                <w:sz w:val="16"/>
                <w:szCs w:val="16"/>
                <w:color w:val="auto"/>
                <w:w w:val="97"/>
              </w:rPr>
              <w:t>(9.1)</w:t>
            </w:r>
          </w:p>
        </w:tc>
        <w:tc>
          <w:tcPr>
            <w:tcW w:w="0" w:type="dxa"/>
            <w:vAlign w:val="bottom"/>
          </w:tcPr>
          <w:p>
            <w:pPr>
              <w:spacing w:after="0"/>
              <w:rPr>
                <w:sz w:val="1"/>
                <w:szCs w:val="1"/>
                <w:color w:val="auto"/>
              </w:rPr>
            </w:pPr>
          </w:p>
        </w:tc>
      </w:tr>
      <w:tr>
        <w:trPr>
          <w:trHeight w:val="432"/>
        </w:trPr>
        <w:tc>
          <w:tcPr>
            <w:tcW w:w="2700" w:type="dxa"/>
            <w:vAlign w:val="bottom"/>
          </w:tcPr>
          <w:p>
            <w:pPr>
              <w:ind w:left="20"/>
              <w:spacing w:after="0"/>
              <w:rPr>
                <w:sz w:val="20"/>
                <w:szCs w:val="20"/>
                <w:color w:val="auto"/>
              </w:rPr>
            </w:pPr>
            <w:r>
              <w:rPr>
                <w:rFonts w:ascii="Arial" w:cs="Arial" w:eastAsia="Arial" w:hAnsi="Arial"/>
                <w:sz w:val="16"/>
                <w:szCs w:val="16"/>
                <w:b w:val="1"/>
                <w:bCs w:val="1"/>
                <w:color w:val="auto"/>
              </w:rPr>
              <w:t>Derivatives designated as hedging</w:t>
            </w:r>
          </w:p>
        </w:tc>
        <w:tc>
          <w:tcPr>
            <w:tcW w:w="242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Location</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700" w:type="dxa"/>
            <w:vAlign w:val="bottom"/>
          </w:tcPr>
          <w:p>
            <w:pPr>
              <w:ind w:left="20"/>
              <w:spacing w:after="0"/>
              <w:rPr>
                <w:sz w:val="20"/>
                <w:szCs w:val="20"/>
                <w:color w:val="auto"/>
              </w:rPr>
            </w:pPr>
            <w:r>
              <w:rPr>
                <w:rFonts w:ascii="Arial" w:cs="Arial" w:eastAsia="Arial" w:hAnsi="Arial"/>
                <w:sz w:val="16"/>
                <w:szCs w:val="16"/>
                <w:b w:val="1"/>
                <w:bCs w:val="1"/>
                <w:color w:val="auto"/>
              </w:rPr>
              <w:t>instruments</w:t>
            </w:r>
          </w:p>
        </w:tc>
        <w:tc>
          <w:tcPr>
            <w:tcW w:w="24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2420" w:type="dxa"/>
            <w:vAlign w:val="bottom"/>
            <w:shd w:val="clear" w:color="auto" w:fill="CCEEFF"/>
          </w:tcPr>
          <w:p>
            <w:pPr>
              <w:ind w:left="80"/>
              <w:spacing w:after="0"/>
              <w:rPr>
                <w:sz w:val="20"/>
                <w:szCs w:val="20"/>
                <w:color w:val="auto"/>
              </w:rPr>
            </w:pPr>
            <w:r>
              <w:rPr>
                <w:rFonts w:ascii="Arial" w:cs="Arial" w:eastAsia="Arial" w:hAnsi="Arial"/>
                <w:sz w:val="16"/>
                <w:szCs w:val="16"/>
                <w:color w:val="auto"/>
              </w:rPr>
              <w:t>Interest income (expense)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ind w:left="780"/>
              <w:spacing w:after="0"/>
              <w:rPr>
                <w:sz w:val="20"/>
                <w:szCs w:val="20"/>
                <w:color w:val="auto"/>
              </w:rPr>
            </w:pPr>
            <w:r>
              <w:rPr>
                <w:rFonts w:ascii="Arial" w:cs="Arial" w:eastAsia="Arial" w:hAnsi="Arial"/>
                <w:sz w:val="16"/>
                <w:szCs w:val="16"/>
                <w:color w:val="auto"/>
              </w:rPr>
              <w:t>13.5</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ind w:left="760"/>
              <w:spacing w:after="0"/>
              <w:rPr>
                <w:sz w:val="20"/>
                <w:szCs w:val="20"/>
                <w:color w:val="auto"/>
              </w:rPr>
            </w:pPr>
            <w:r>
              <w:rPr>
                <w:rFonts w:ascii="Arial" w:cs="Arial" w:eastAsia="Arial" w:hAnsi="Arial"/>
                <w:sz w:val="16"/>
                <w:szCs w:val="16"/>
                <w:color w:val="auto"/>
              </w:rPr>
              <w:t>25.7</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500"/>
        <w:spacing w:after="0"/>
        <w:rPr>
          <w:sz w:val="20"/>
          <w:szCs w:val="20"/>
          <w:color w:val="auto"/>
        </w:rPr>
      </w:pPr>
      <w:r>
        <w:rPr>
          <w:rFonts w:ascii="Arial" w:cs="Arial" w:eastAsia="Arial" w:hAnsi="Arial"/>
          <w:sz w:val="17"/>
          <w:szCs w:val="17"/>
          <w:color w:val="auto"/>
        </w:rPr>
        <w:t>Interest expense was $50.5 million and $57.3 million for the three months ended June 30, 2022 and 2023, respectively, and $100.6 million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$114.2 million for the six months ended June 30, 2022 and 2023, respectively. As of June 30, 2023, the amount of cash flow hedge gain included within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"Accumulated other comprehensive income" that is expected to be reclassified as a reduction to "Interest expense" over the next 12 months is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approximately $50.5 million. See Note 12, "Accumulated Other Comprehensive Income (Loss)," for information regarding changes in fair value of our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derivatives designated as hedging instruments.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Credit-risk-related Contingent Features</w:t>
      </w:r>
    </w:p>
    <w:p>
      <w:pPr>
        <w:spacing w:after="0" w:line="252" w:lineRule="exact"/>
        <w:rPr>
          <w:sz w:val="20"/>
          <w:szCs w:val="20"/>
          <w:color w:val="auto"/>
        </w:rPr>
      </w:pPr>
    </w:p>
    <w:p>
      <w:pPr>
        <w:ind w:right="160" w:firstLine="486"/>
        <w:spacing w:after="0" w:line="263" w:lineRule="auto"/>
        <w:rPr>
          <w:sz w:val="20"/>
          <w:szCs w:val="20"/>
          <w:color w:val="auto"/>
        </w:rPr>
      </w:pPr>
      <w:r>
        <w:rPr>
          <w:rFonts w:ascii="Arial" w:cs="Arial" w:eastAsia="Arial" w:hAnsi="Arial"/>
          <w:sz w:val="18"/>
          <w:szCs w:val="18"/>
          <w:color w:val="auto"/>
        </w:rPr>
        <w:t>We have agreements with interest rate swap counterparties that contain a provision whereby if we default on any of our material indebtedness, then we could also be declared in default of our interest rate swap agreements. As of June 30, 2023, our outstanding interest rate swap agreement was in a net asset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Accumulated Other Comprehensive Income (Loss)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Accumulated other comprehensive income (loss) consisted of the following:</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tcPr>
          <w:p>
            <w:pPr>
              <w:jc w:val="center"/>
              <w:ind w:right="139"/>
              <w:spacing w:after="0"/>
              <w:rPr>
                <w:sz w:val="20"/>
                <w:szCs w:val="20"/>
                <w:color w:val="auto"/>
              </w:rPr>
            </w:pPr>
            <w:r>
              <w:rPr>
                <w:rFonts w:ascii="Arial" w:cs="Arial" w:eastAsia="Arial" w:hAnsi="Arial"/>
                <w:sz w:val="16"/>
                <w:szCs w:val="16"/>
                <w:b w:val="1"/>
                <w:bCs w:val="1"/>
                <w:color w:val="auto"/>
                <w:w w:val="91"/>
              </w:rPr>
              <w:t>Accumulated Foreign</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w w:val="97"/>
              </w:rPr>
              <w:t>Accumulated Gain on</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6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Accumulated Other</w:t>
            </w:r>
          </w:p>
        </w:tc>
        <w:tc>
          <w:tcPr>
            <w:tcW w:w="0" w:type="dxa"/>
            <w:vAlign w:val="bottom"/>
          </w:tcPr>
          <w:p>
            <w:pPr>
              <w:spacing w:after="0"/>
              <w:rPr>
                <w:sz w:val="1"/>
                <w:szCs w:val="1"/>
                <w:color w:val="auto"/>
              </w:rPr>
            </w:pPr>
          </w:p>
        </w:tc>
      </w:tr>
      <w:tr>
        <w:trPr>
          <w:trHeight w:val="162"/>
        </w:trPr>
        <w:tc>
          <w:tcPr>
            <w:tcW w:w="4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tcPr>
          <w:p>
            <w:pPr>
              <w:jc w:val="center"/>
              <w:ind w:right="139"/>
              <w:spacing w:after="0" w:line="162" w:lineRule="exact"/>
              <w:rPr>
                <w:sz w:val="20"/>
                <w:szCs w:val="20"/>
                <w:color w:val="auto"/>
              </w:rPr>
            </w:pPr>
            <w:r>
              <w:rPr>
                <w:rFonts w:ascii="Arial" w:cs="Arial" w:eastAsia="Arial" w:hAnsi="Arial"/>
                <w:sz w:val="16"/>
                <w:szCs w:val="16"/>
                <w:b w:val="1"/>
                <w:bCs w:val="1"/>
                <w:color w:val="auto"/>
                <w:w w:val="93"/>
              </w:rPr>
              <w:t>Currency Translation</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20"/>
              <w:spacing w:after="0"/>
              <w:rPr>
                <w:sz w:val="20"/>
                <w:szCs w:val="20"/>
                <w:color w:val="auto"/>
              </w:rPr>
            </w:pPr>
            <w:r>
              <w:rPr>
                <w:rFonts w:ascii="Arial" w:cs="Arial" w:eastAsia="Arial" w:hAnsi="Arial"/>
                <w:sz w:val="16"/>
                <w:szCs w:val="16"/>
                <w:color w:val="auto"/>
              </w:rPr>
              <w:t>(In millions)</w:t>
            </w:r>
          </w:p>
        </w:tc>
        <w:tc>
          <w:tcPr>
            <w:tcW w:w="2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0"/>
              </w:rPr>
              <w:t>Adjustments</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Derivative Contracts</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3"/>
              </w:rPr>
              <w:t>Comprehensive Income</w:t>
            </w:r>
          </w:p>
        </w:tc>
        <w:tc>
          <w:tcPr>
            <w:tcW w:w="0" w:type="dxa"/>
            <w:vAlign w:val="bottom"/>
          </w:tcPr>
          <w:p>
            <w:pPr>
              <w:spacing w:after="0"/>
              <w:rPr>
                <w:sz w:val="1"/>
                <w:szCs w:val="1"/>
                <w:color w:val="auto"/>
              </w:rPr>
            </w:pPr>
          </w:p>
        </w:tc>
      </w:tr>
      <w:tr>
        <w:trPr>
          <w:trHeight w:val="209"/>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2022</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w:t>
            </w:r>
          </w:p>
        </w:tc>
        <w:tc>
          <w:tcPr>
            <w:tcW w:w="0" w:type="dxa"/>
            <w:vAlign w:val="bottom"/>
          </w:tcPr>
          <w:p>
            <w:pPr>
              <w:spacing w:after="0"/>
              <w:rPr>
                <w:sz w:val="1"/>
                <w:szCs w:val="1"/>
                <w:color w:val="auto"/>
              </w:rPr>
            </w:pPr>
          </w:p>
        </w:tc>
      </w:tr>
      <w:tr>
        <w:trPr>
          <w:trHeight w:val="213"/>
        </w:trPr>
        <w:tc>
          <w:tcPr>
            <w:tcW w:w="4620" w:type="dxa"/>
            <w:vAlign w:val="bottom"/>
          </w:tcPr>
          <w:p>
            <w:pPr>
              <w:ind w:left="180"/>
              <w:spacing w:after="0"/>
              <w:rPr>
                <w:sz w:val="20"/>
                <w:szCs w:val="20"/>
                <w:color w:val="auto"/>
              </w:rPr>
            </w:pPr>
            <w:r>
              <w:rPr>
                <w:rFonts w:ascii="Arial" w:cs="Arial" w:eastAsia="Arial" w:hAnsi="Arial"/>
                <w:sz w:val="16"/>
                <w:szCs w:val="16"/>
                <w:color w:val="auto"/>
                <w:w w:val="94"/>
              </w:rPr>
              <w:t>Foreign currency translation adjustments, net of tax benefit of $1.5</w:t>
            </w:r>
          </w:p>
        </w:tc>
        <w:tc>
          <w:tcPr>
            <w:tcW w:w="2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(18.2)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219"/>
        </w:trPr>
        <w:tc>
          <w:tcPr>
            <w:tcW w:w="462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4"/>
              </w:rPr>
              <w:t>Unrealized gain on derivative contracts, net of tax expense of $3.8</w:t>
            </w: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166"/>
        </w:trPr>
        <w:tc>
          <w:tcPr>
            <w:tcW w:w="4620" w:type="dxa"/>
            <w:vAlign w:val="bottom"/>
          </w:tcPr>
          <w:p>
            <w:pPr>
              <w:ind w:left="180"/>
              <w:spacing w:after="0" w:line="166" w:lineRule="exact"/>
              <w:rPr>
                <w:sz w:val="20"/>
                <w:szCs w:val="20"/>
                <w:color w:val="auto"/>
              </w:rPr>
            </w:pPr>
            <w:r>
              <w:rPr>
                <w:rFonts w:ascii="Arial" w:cs="Arial" w:eastAsia="Arial" w:hAnsi="Arial"/>
                <w:sz w:val="16"/>
                <w:szCs w:val="16"/>
                <w:color w:val="auto"/>
              </w:rPr>
              <w:t>Amount reclassified from Accumulated comprehensive income</w:t>
            </w:r>
          </w:p>
        </w:tc>
        <w:tc>
          <w:tcPr>
            <w:tcW w:w="220" w:type="dxa"/>
            <w:vAlign w:val="bottom"/>
          </w:tcPr>
          <w:p>
            <w:pPr>
              <w:spacing w:after="0"/>
              <w:rPr>
                <w:sz w:val="14"/>
                <w:szCs w:val="14"/>
                <w:color w:val="auto"/>
              </w:rPr>
            </w:pPr>
          </w:p>
        </w:tc>
        <w:tc>
          <w:tcPr>
            <w:tcW w:w="19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vMerge w:val="restart"/>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vMerge w:val="restart"/>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2"/>
        </w:trPr>
        <w:tc>
          <w:tcPr>
            <w:tcW w:w="4620" w:type="dxa"/>
            <w:vAlign w:val="bottom"/>
            <w:tcBorders>
              <w:bottom w:val="single" w:sz="8" w:color="CCEEFF"/>
            </w:tcBorders>
          </w:tcPr>
          <w:p>
            <w:pPr>
              <w:ind w:left="180"/>
              <w:spacing w:after="0" w:line="213" w:lineRule="exact"/>
              <w:rPr>
                <w:sz w:val="20"/>
                <w:szCs w:val="20"/>
                <w:color w:val="auto"/>
              </w:rPr>
            </w:pPr>
            <w:r>
              <w:rPr>
                <w:rFonts w:ascii="Arial" w:cs="Arial" w:eastAsia="Arial" w:hAnsi="Arial"/>
                <w:sz w:val="16"/>
                <w:szCs w:val="16"/>
                <w:color w:val="auto"/>
              </w:rPr>
              <w:t>(loss) into earnings, net of tax benefit of $1.2</w:t>
            </w:r>
            <w:r>
              <w:rPr>
                <w:rFonts w:ascii="Arial" w:cs="Arial" w:eastAsia="Arial" w:hAnsi="Arial"/>
                <w:sz w:val="21"/>
                <w:szCs w:val="21"/>
                <w:color w:val="auto"/>
                <w:vertAlign w:val="superscript"/>
              </w:rPr>
              <w:t>(1)</w:t>
            </w:r>
          </w:p>
        </w:tc>
        <w:tc>
          <w:tcPr>
            <w:tcW w:w="2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30, 2022</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ind w:left="400" w:hanging="392"/>
        <w:spacing w:after="0"/>
        <w:tabs>
          <w:tab w:leader="none" w:pos="40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amortization of off-market swap value and accumulated loss at hedge de-designation of $4.6 million for the three months ended June 30, 2022.</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tcPr>
          <w:p>
            <w:pPr>
              <w:jc w:val="center"/>
              <w:ind w:right="139"/>
              <w:spacing w:after="0"/>
              <w:rPr>
                <w:sz w:val="20"/>
                <w:szCs w:val="20"/>
                <w:color w:val="auto"/>
              </w:rPr>
            </w:pPr>
            <w:r>
              <w:rPr>
                <w:rFonts w:ascii="Arial" w:cs="Arial" w:eastAsia="Arial" w:hAnsi="Arial"/>
                <w:sz w:val="16"/>
                <w:szCs w:val="16"/>
                <w:b w:val="1"/>
                <w:bCs w:val="1"/>
                <w:color w:val="auto"/>
                <w:w w:val="91"/>
              </w:rPr>
              <w:t>Accumulated Foreign</w:t>
            </w:r>
          </w:p>
        </w:tc>
        <w:tc>
          <w:tcPr>
            <w:tcW w:w="100" w:type="dxa"/>
            <w:vAlign w:val="bottom"/>
          </w:tcPr>
          <w:p>
            <w:pPr>
              <w:spacing w:after="0"/>
              <w:rPr>
                <w:sz w:val="16"/>
                <w:szCs w:val="16"/>
                <w:color w:val="auto"/>
              </w:rPr>
            </w:pPr>
          </w:p>
        </w:tc>
        <w:tc>
          <w:tcPr>
            <w:tcW w:w="21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4"/>
              </w:rPr>
              <w:t>Accumulated Gain (Loss) on</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6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Accumulated Other</w:t>
            </w:r>
          </w:p>
        </w:tc>
        <w:tc>
          <w:tcPr>
            <w:tcW w:w="0" w:type="dxa"/>
            <w:vAlign w:val="bottom"/>
          </w:tcPr>
          <w:p>
            <w:pPr>
              <w:spacing w:after="0"/>
              <w:rPr>
                <w:sz w:val="1"/>
                <w:szCs w:val="1"/>
                <w:color w:val="auto"/>
              </w:rPr>
            </w:pPr>
          </w:p>
        </w:tc>
      </w:tr>
      <w:tr>
        <w:trPr>
          <w:trHeight w:val="162"/>
        </w:trPr>
        <w:tc>
          <w:tcPr>
            <w:tcW w:w="4640" w:type="dxa"/>
            <w:vAlign w:val="bottom"/>
            <w:vMerge w:val="restart"/>
          </w:tcPr>
          <w:p>
            <w:pPr>
              <w:ind w:left="20"/>
              <w:spacing w:after="0"/>
              <w:rPr>
                <w:sz w:val="20"/>
                <w:szCs w:val="20"/>
                <w:color w:val="auto"/>
              </w:rPr>
            </w:pPr>
            <w:r>
              <w:rPr>
                <w:rFonts w:ascii="Arial" w:cs="Arial" w:eastAsia="Arial" w:hAnsi="Arial"/>
                <w:sz w:val="16"/>
                <w:szCs w:val="16"/>
                <w:color w:val="auto"/>
              </w:rPr>
              <w:t>(In millions)</w:t>
            </w:r>
          </w:p>
        </w:tc>
        <w:tc>
          <w:tcPr>
            <w:tcW w:w="200" w:type="dxa"/>
            <w:vAlign w:val="bottom"/>
          </w:tcPr>
          <w:p>
            <w:pPr>
              <w:spacing w:after="0"/>
              <w:rPr>
                <w:sz w:val="14"/>
                <w:szCs w:val="14"/>
                <w:color w:val="auto"/>
              </w:rPr>
            </w:pPr>
          </w:p>
        </w:tc>
        <w:tc>
          <w:tcPr>
            <w:tcW w:w="1920" w:type="dxa"/>
            <w:vAlign w:val="bottom"/>
          </w:tcPr>
          <w:p>
            <w:pPr>
              <w:jc w:val="center"/>
              <w:ind w:right="139"/>
              <w:spacing w:after="0" w:line="162" w:lineRule="exact"/>
              <w:rPr>
                <w:sz w:val="20"/>
                <w:szCs w:val="20"/>
                <w:color w:val="auto"/>
              </w:rPr>
            </w:pPr>
            <w:r>
              <w:rPr>
                <w:rFonts w:ascii="Arial" w:cs="Arial" w:eastAsia="Arial" w:hAnsi="Arial"/>
                <w:sz w:val="16"/>
                <w:szCs w:val="16"/>
                <w:b w:val="1"/>
                <w:bCs w:val="1"/>
                <w:color w:val="auto"/>
                <w:w w:val="93"/>
              </w:rPr>
              <w:t>Currency Translation</w:t>
            </w:r>
          </w:p>
        </w:tc>
        <w:tc>
          <w:tcPr>
            <w:tcW w:w="100" w:type="dxa"/>
            <w:vAlign w:val="bottom"/>
          </w:tcPr>
          <w:p>
            <w:pPr>
              <w:spacing w:after="0"/>
              <w:rPr>
                <w:sz w:val="14"/>
                <w:szCs w:val="14"/>
                <w:color w:val="auto"/>
              </w:rPr>
            </w:pPr>
          </w:p>
        </w:tc>
        <w:tc>
          <w:tcPr>
            <w:tcW w:w="21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64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0"/>
              </w:rPr>
              <w:t>Adjustments</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Derivative Contracts</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3"/>
              </w:rPr>
              <w:t>Comprehensive Income</w:t>
            </w:r>
          </w:p>
        </w:tc>
        <w:tc>
          <w:tcPr>
            <w:tcW w:w="0" w:type="dxa"/>
            <w:vAlign w:val="bottom"/>
          </w:tcPr>
          <w:p>
            <w:pPr>
              <w:spacing w:after="0"/>
              <w:rPr>
                <w:sz w:val="1"/>
                <w:szCs w:val="1"/>
                <w:color w:val="auto"/>
              </w:rPr>
            </w:pPr>
          </w:p>
        </w:tc>
      </w:tr>
      <w:tr>
        <w:trPr>
          <w:trHeight w:val="212"/>
        </w:trPr>
        <w:tc>
          <w:tcPr>
            <w:tcW w:w="4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2021</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32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13"/>
        </w:trPr>
        <w:tc>
          <w:tcPr>
            <w:tcW w:w="4640" w:type="dxa"/>
            <w:vAlign w:val="bottom"/>
          </w:tcPr>
          <w:p>
            <w:pPr>
              <w:ind w:left="180"/>
              <w:spacing w:after="0"/>
              <w:rPr>
                <w:sz w:val="20"/>
                <w:szCs w:val="20"/>
                <w:color w:val="auto"/>
              </w:rPr>
            </w:pPr>
            <w:r>
              <w:rPr>
                <w:rFonts w:ascii="Arial" w:cs="Arial" w:eastAsia="Arial" w:hAnsi="Arial"/>
                <w:sz w:val="16"/>
                <w:szCs w:val="16"/>
                <w:color w:val="auto"/>
                <w:w w:val="94"/>
              </w:rPr>
              <w:t>Foreign currency translation adjustments, net of tax benefit of $2.2</w:t>
            </w:r>
          </w:p>
        </w:tc>
        <w:tc>
          <w:tcPr>
            <w:tcW w:w="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(22.8)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2"/>
              </w:rPr>
              <w:t>Unrealized gain on derivative contracts, net of tax expense of $18.4</w:t>
            </w:r>
          </w:p>
        </w:tc>
        <w:tc>
          <w:tcPr>
            <w:tcW w:w="2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w:t>
            </w:r>
          </w:p>
        </w:tc>
        <w:tc>
          <w:tcPr>
            <w:tcW w:w="0" w:type="dxa"/>
            <w:vAlign w:val="bottom"/>
          </w:tcPr>
          <w:p>
            <w:pPr>
              <w:spacing w:after="0"/>
              <w:rPr>
                <w:sz w:val="1"/>
                <w:szCs w:val="1"/>
                <w:color w:val="auto"/>
              </w:rPr>
            </w:pPr>
          </w:p>
        </w:tc>
      </w:tr>
      <w:tr>
        <w:trPr>
          <w:trHeight w:val="162"/>
        </w:trPr>
        <w:tc>
          <w:tcPr>
            <w:tcW w:w="4640" w:type="dxa"/>
            <w:vAlign w:val="bottom"/>
          </w:tcPr>
          <w:p>
            <w:pPr>
              <w:ind w:left="180"/>
              <w:spacing w:after="0" w:line="162" w:lineRule="exact"/>
              <w:rPr>
                <w:sz w:val="20"/>
                <w:szCs w:val="20"/>
                <w:color w:val="auto"/>
              </w:rPr>
            </w:pPr>
            <w:r>
              <w:rPr>
                <w:rFonts w:ascii="Arial" w:cs="Arial" w:eastAsia="Arial" w:hAnsi="Arial"/>
                <w:sz w:val="16"/>
                <w:szCs w:val="16"/>
                <w:color w:val="auto"/>
              </w:rPr>
              <w:t>Amount reclassified from Accumulated comprehensive income</w:t>
            </w:r>
          </w:p>
        </w:tc>
        <w:tc>
          <w:tcPr>
            <w:tcW w:w="200" w:type="dxa"/>
            <w:vAlign w:val="bottom"/>
          </w:tcPr>
          <w:p>
            <w:pPr>
              <w:spacing w:after="0"/>
              <w:rPr>
                <w:sz w:val="14"/>
                <w:szCs w:val="14"/>
                <w:color w:val="auto"/>
              </w:rPr>
            </w:pPr>
          </w:p>
        </w:tc>
        <w:tc>
          <w:tcPr>
            <w:tcW w:w="19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vMerge w:val="restart"/>
          </w:tcPr>
          <w:p>
            <w:pPr>
              <w:jc w:val="right"/>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vMerge w:val="restart"/>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03"/>
        </w:trPr>
        <w:tc>
          <w:tcPr>
            <w:tcW w:w="4640" w:type="dxa"/>
            <w:vAlign w:val="bottom"/>
          </w:tcPr>
          <w:p>
            <w:pPr>
              <w:ind w:left="180"/>
              <w:spacing w:after="0" w:line="203" w:lineRule="exact"/>
              <w:rPr>
                <w:sz w:val="20"/>
                <w:szCs w:val="20"/>
                <w:color w:val="auto"/>
              </w:rPr>
            </w:pPr>
            <w:r>
              <w:rPr>
                <w:rFonts w:ascii="Arial" w:cs="Arial" w:eastAsia="Arial" w:hAnsi="Arial"/>
                <w:sz w:val="16"/>
                <w:szCs w:val="16"/>
                <w:color w:val="auto"/>
              </w:rPr>
              <w:t xml:space="preserve">(loss) into earnings, net of tax benefit of $2.7 </w:t>
            </w:r>
            <w:r>
              <w:rPr>
                <w:rFonts w:ascii="Arial" w:cs="Arial" w:eastAsia="Arial" w:hAnsi="Arial"/>
                <w:sz w:val="21"/>
                <w:szCs w:val="21"/>
                <w:color w:val="auto"/>
                <w:vertAlign w:val="superscript"/>
              </w:rPr>
              <w:t>(1)</w:t>
            </w:r>
          </w:p>
        </w:tc>
        <w:tc>
          <w:tcPr>
            <w:tcW w:w="20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30, 2022</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32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500" w:right="160" w:hanging="492"/>
        <w:spacing w:after="0" w:line="283" w:lineRule="auto"/>
        <w:tabs>
          <w:tab w:leader="none" w:pos="405"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Includes interest expense recognized of $1.2 million and amortization of off-market swap value and accumulated loss at hedge de-designation of $9.2 million for the </w:t>
      </w:r>
      <w:r>
        <w:rPr>
          <w:rFonts w:ascii="Arial" w:cs="Arial" w:eastAsia="Arial" w:hAnsi="Arial"/>
          <w:sz w:val="17"/>
          <w:szCs w:val="17"/>
          <w:color w:val="auto"/>
        </w:rPr>
        <w:t xml:space="preserve">six </w:t>
      </w:r>
      <w:r>
        <w:rPr>
          <w:rFonts w:ascii="Arial" w:cs="Arial" w:eastAsia="Arial" w:hAnsi="Arial"/>
          <w:sz w:val="16"/>
          <w:szCs w:val="16"/>
          <w:color w:val="auto"/>
        </w:rPr>
        <w:t>months ended June 30, 2022.</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tcPr>
          <w:p>
            <w:pPr>
              <w:jc w:val="center"/>
              <w:ind w:right="139"/>
              <w:spacing w:after="0"/>
              <w:rPr>
                <w:sz w:val="20"/>
                <w:szCs w:val="20"/>
                <w:color w:val="auto"/>
              </w:rPr>
            </w:pPr>
            <w:r>
              <w:rPr>
                <w:rFonts w:ascii="Arial" w:cs="Arial" w:eastAsia="Arial" w:hAnsi="Arial"/>
                <w:sz w:val="16"/>
                <w:szCs w:val="16"/>
                <w:b w:val="1"/>
                <w:bCs w:val="1"/>
                <w:color w:val="auto"/>
                <w:w w:val="91"/>
              </w:rPr>
              <w:t>Accumulated Foreign</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w w:val="97"/>
              </w:rPr>
              <w:t>Accumulated Gain on</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6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Accumulated Other</w:t>
            </w:r>
          </w:p>
        </w:tc>
        <w:tc>
          <w:tcPr>
            <w:tcW w:w="0" w:type="dxa"/>
            <w:vAlign w:val="bottom"/>
          </w:tcPr>
          <w:p>
            <w:pPr>
              <w:spacing w:after="0"/>
              <w:rPr>
                <w:sz w:val="1"/>
                <w:szCs w:val="1"/>
                <w:color w:val="auto"/>
              </w:rPr>
            </w:pPr>
          </w:p>
        </w:tc>
      </w:tr>
      <w:tr>
        <w:trPr>
          <w:trHeight w:val="162"/>
        </w:trPr>
        <w:tc>
          <w:tcPr>
            <w:tcW w:w="4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tcPr>
          <w:p>
            <w:pPr>
              <w:jc w:val="center"/>
              <w:ind w:right="139"/>
              <w:spacing w:after="0" w:line="162" w:lineRule="exact"/>
              <w:rPr>
                <w:sz w:val="20"/>
                <w:szCs w:val="20"/>
                <w:color w:val="auto"/>
              </w:rPr>
            </w:pPr>
            <w:r>
              <w:rPr>
                <w:rFonts w:ascii="Arial" w:cs="Arial" w:eastAsia="Arial" w:hAnsi="Arial"/>
                <w:sz w:val="16"/>
                <w:szCs w:val="16"/>
                <w:b w:val="1"/>
                <w:bCs w:val="1"/>
                <w:color w:val="auto"/>
                <w:w w:val="93"/>
              </w:rPr>
              <w:t>Currency Translation</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20"/>
              <w:spacing w:after="0"/>
              <w:rPr>
                <w:sz w:val="20"/>
                <w:szCs w:val="20"/>
                <w:color w:val="auto"/>
              </w:rPr>
            </w:pPr>
            <w:r>
              <w:rPr>
                <w:rFonts w:ascii="Arial" w:cs="Arial" w:eastAsia="Arial" w:hAnsi="Arial"/>
                <w:sz w:val="16"/>
                <w:szCs w:val="16"/>
                <w:color w:val="auto"/>
              </w:rPr>
              <w:t>(In millions)</w:t>
            </w:r>
          </w:p>
        </w:tc>
        <w:tc>
          <w:tcPr>
            <w:tcW w:w="2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92"/>
              </w:rPr>
              <w:t>Adjustments</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Derivative Contracts</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3"/>
              </w:rPr>
              <w:t>Comprehensive Income</w:t>
            </w:r>
          </w:p>
        </w:tc>
        <w:tc>
          <w:tcPr>
            <w:tcW w:w="0" w:type="dxa"/>
            <w:vAlign w:val="bottom"/>
          </w:tcPr>
          <w:p>
            <w:pPr>
              <w:spacing w:after="0"/>
              <w:rPr>
                <w:sz w:val="1"/>
                <w:szCs w:val="1"/>
                <w:color w:val="auto"/>
              </w:rPr>
            </w:pPr>
          </w:p>
        </w:tc>
      </w:tr>
      <w:tr>
        <w:trPr>
          <w:trHeight w:val="209"/>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2023</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w:t>
            </w:r>
          </w:p>
        </w:tc>
        <w:tc>
          <w:tcPr>
            <w:tcW w:w="0" w:type="dxa"/>
            <w:vAlign w:val="bottom"/>
          </w:tcPr>
          <w:p>
            <w:pPr>
              <w:spacing w:after="0"/>
              <w:rPr>
                <w:sz w:val="1"/>
                <w:szCs w:val="1"/>
                <w:color w:val="auto"/>
              </w:rPr>
            </w:pPr>
          </w:p>
        </w:tc>
      </w:tr>
      <w:tr>
        <w:trPr>
          <w:trHeight w:val="213"/>
        </w:trPr>
        <w:tc>
          <w:tcPr>
            <w:tcW w:w="4620" w:type="dxa"/>
            <w:vAlign w:val="bottom"/>
          </w:tcPr>
          <w:p>
            <w:pPr>
              <w:ind w:left="180"/>
              <w:spacing w:after="0"/>
              <w:rPr>
                <w:sz w:val="20"/>
                <w:szCs w:val="20"/>
                <w:color w:val="auto"/>
              </w:rPr>
            </w:pPr>
            <w:r>
              <w:rPr>
                <w:rFonts w:ascii="Arial" w:cs="Arial" w:eastAsia="Arial" w:hAnsi="Arial"/>
                <w:sz w:val="16"/>
                <w:szCs w:val="16"/>
                <w:color w:val="auto"/>
                <w:w w:val="91"/>
              </w:rPr>
              <w:t>Foreign currency translation adjustments, net of tax expense of $0.5</w:t>
            </w:r>
          </w:p>
        </w:tc>
        <w:tc>
          <w:tcPr>
            <w:tcW w:w="2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9"/>
        </w:trPr>
        <w:tc>
          <w:tcPr>
            <w:tcW w:w="462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4"/>
              </w:rPr>
              <w:t>Unrealized gain on derivative contracts, net of tax expense of $6.6</w:t>
            </w: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166"/>
        </w:trPr>
        <w:tc>
          <w:tcPr>
            <w:tcW w:w="4620" w:type="dxa"/>
            <w:vAlign w:val="bottom"/>
          </w:tcPr>
          <w:p>
            <w:pPr>
              <w:ind w:left="180"/>
              <w:spacing w:after="0" w:line="166" w:lineRule="exact"/>
              <w:rPr>
                <w:sz w:val="20"/>
                <w:szCs w:val="20"/>
                <w:color w:val="auto"/>
              </w:rPr>
            </w:pPr>
            <w:r>
              <w:rPr>
                <w:rFonts w:ascii="Arial" w:cs="Arial" w:eastAsia="Arial" w:hAnsi="Arial"/>
                <w:sz w:val="16"/>
                <w:szCs w:val="16"/>
                <w:color w:val="auto"/>
              </w:rPr>
              <w:t>Amount reclassified from Accumulated comprehensive income</w:t>
            </w:r>
          </w:p>
        </w:tc>
        <w:tc>
          <w:tcPr>
            <w:tcW w:w="220" w:type="dxa"/>
            <w:vAlign w:val="bottom"/>
          </w:tcPr>
          <w:p>
            <w:pPr>
              <w:spacing w:after="0"/>
              <w:rPr>
                <w:sz w:val="14"/>
                <w:szCs w:val="14"/>
                <w:color w:val="auto"/>
              </w:rPr>
            </w:pPr>
          </w:p>
        </w:tc>
        <w:tc>
          <w:tcPr>
            <w:tcW w:w="19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vMerge w:val="restart"/>
          </w:tcPr>
          <w:p>
            <w:pPr>
              <w:jc w:val="right"/>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vMerge w:val="restart"/>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12"/>
        </w:trPr>
        <w:tc>
          <w:tcPr>
            <w:tcW w:w="4620" w:type="dxa"/>
            <w:vAlign w:val="bottom"/>
            <w:tcBorders>
              <w:bottom w:val="single" w:sz="8" w:color="CCEEFF"/>
            </w:tcBorders>
          </w:tcPr>
          <w:p>
            <w:pPr>
              <w:ind w:left="180"/>
              <w:spacing w:after="0" w:line="213" w:lineRule="exact"/>
              <w:rPr>
                <w:sz w:val="20"/>
                <w:szCs w:val="20"/>
                <w:color w:val="auto"/>
              </w:rPr>
            </w:pPr>
            <w:r>
              <w:rPr>
                <w:rFonts w:ascii="Arial" w:cs="Arial" w:eastAsia="Arial" w:hAnsi="Arial"/>
                <w:sz w:val="16"/>
                <w:szCs w:val="16"/>
                <w:color w:val="auto"/>
              </w:rPr>
              <w:t xml:space="preserve">(loss) into earnings, net of tax expense of $2.2 </w:t>
            </w:r>
            <w:r>
              <w:rPr>
                <w:rFonts w:ascii="Arial" w:cs="Arial" w:eastAsia="Arial" w:hAnsi="Arial"/>
                <w:sz w:val="21"/>
                <w:szCs w:val="21"/>
                <w:color w:val="auto"/>
                <w:vertAlign w:val="superscript"/>
              </w:rPr>
              <w:t>(1)</w:t>
            </w:r>
          </w:p>
        </w:tc>
        <w:tc>
          <w:tcPr>
            <w:tcW w:w="2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30, 2023</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82.7</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78.9</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jc w:val="both"/>
        <w:ind w:left="360" w:right="40" w:hanging="485"/>
        <w:spacing w:after="0" w:line="282" w:lineRule="auto"/>
        <w:tabs>
          <w:tab w:leader="none" w:pos="34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5"/>
          <w:szCs w:val="15"/>
          <w:color w:val="auto"/>
        </w:rPr>
        <w:t>Includes a reduction to interest expense recognized of $13.5 million related to the cash flow hedge gain for the three months ended June 30, 2023, partially offset by an increase to interest expense for the amortization of off-market swap value and accumulated loss at hedge de-designation of $4.5 million.</w:t>
      </w: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tcPr>
          <w:p>
            <w:pPr>
              <w:jc w:val="center"/>
              <w:ind w:right="139"/>
              <w:spacing w:after="0"/>
              <w:rPr>
                <w:sz w:val="20"/>
                <w:szCs w:val="20"/>
                <w:color w:val="auto"/>
              </w:rPr>
            </w:pPr>
            <w:r>
              <w:rPr>
                <w:rFonts w:ascii="Arial" w:cs="Arial" w:eastAsia="Arial" w:hAnsi="Arial"/>
                <w:sz w:val="16"/>
                <w:szCs w:val="16"/>
                <w:b w:val="1"/>
                <w:bCs w:val="1"/>
                <w:color w:val="auto"/>
                <w:w w:val="91"/>
              </w:rPr>
              <w:t>Accumulated Foreign</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w w:val="97"/>
              </w:rPr>
              <w:t>Accumulated Gain on</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6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Accumulated Other</w:t>
            </w:r>
          </w:p>
        </w:tc>
        <w:tc>
          <w:tcPr>
            <w:tcW w:w="0" w:type="dxa"/>
            <w:vAlign w:val="bottom"/>
          </w:tcPr>
          <w:p>
            <w:pPr>
              <w:spacing w:after="0"/>
              <w:rPr>
                <w:sz w:val="1"/>
                <w:szCs w:val="1"/>
                <w:color w:val="auto"/>
              </w:rPr>
            </w:pPr>
          </w:p>
        </w:tc>
      </w:tr>
      <w:tr>
        <w:trPr>
          <w:trHeight w:val="162"/>
        </w:trPr>
        <w:tc>
          <w:tcPr>
            <w:tcW w:w="4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tcPr>
          <w:p>
            <w:pPr>
              <w:jc w:val="center"/>
              <w:ind w:right="139"/>
              <w:spacing w:after="0" w:line="162" w:lineRule="exact"/>
              <w:rPr>
                <w:sz w:val="20"/>
                <w:szCs w:val="20"/>
                <w:color w:val="auto"/>
              </w:rPr>
            </w:pPr>
            <w:r>
              <w:rPr>
                <w:rFonts w:ascii="Arial" w:cs="Arial" w:eastAsia="Arial" w:hAnsi="Arial"/>
                <w:sz w:val="16"/>
                <w:szCs w:val="16"/>
                <w:b w:val="1"/>
                <w:bCs w:val="1"/>
                <w:color w:val="auto"/>
                <w:w w:val="93"/>
              </w:rPr>
              <w:t>Currency Translation</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20"/>
              <w:spacing w:after="0"/>
              <w:rPr>
                <w:sz w:val="20"/>
                <w:szCs w:val="20"/>
                <w:color w:val="auto"/>
              </w:rPr>
            </w:pPr>
            <w:r>
              <w:rPr>
                <w:rFonts w:ascii="Arial" w:cs="Arial" w:eastAsia="Arial" w:hAnsi="Arial"/>
                <w:sz w:val="16"/>
                <w:szCs w:val="16"/>
                <w:color w:val="auto"/>
              </w:rPr>
              <w:t>(In millions)</w:t>
            </w:r>
          </w:p>
        </w:tc>
        <w:tc>
          <w:tcPr>
            <w:tcW w:w="2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0"/>
              </w:rPr>
              <w:t>Adjustments</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Derivative Contracts</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3"/>
              </w:rPr>
              <w:t>Comprehensive Income</w:t>
            </w:r>
          </w:p>
        </w:tc>
        <w:tc>
          <w:tcPr>
            <w:tcW w:w="0" w:type="dxa"/>
            <w:vAlign w:val="bottom"/>
          </w:tcPr>
          <w:p>
            <w:pPr>
              <w:spacing w:after="0"/>
              <w:rPr>
                <w:sz w:val="1"/>
                <w:szCs w:val="1"/>
                <w:color w:val="auto"/>
              </w:rPr>
            </w:pPr>
          </w:p>
        </w:tc>
      </w:tr>
      <w:tr>
        <w:trPr>
          <w:trHeight w:val="209"/>
        </w:trPr>
        <w:tc>
          <w:tcPr>
            <w:tcW w:w="4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2022</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81.4</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w:t>
            </w:r>
          </w:p>
        </w:tc>
        <w:tc>
          <w:tcPr>
            <w:tcW w:w="0" w:type="dxa"/>
            <w:vAlign w:val="bottom"/>
          </w:tcPr>
          <w:p>
            <w:pPr>
              <w:spacing w:after="0"/>
              <w:rPr>
                <w:sz w:val="1"/>
                <w:szCs w:val="1"/>
                <w:color w:val="auto"/>
              </w:rPr>
            </w:pPr>
          </w:p>
        </w:tc>
      </w:tr>
      <w:tr>
        <w:trPr>
          <w:trHeight w:val="213"/>
        </w:trPr>
        <w:tc>
          <w:tcPr>
            <w:tcW w:w="4640" w:type="dxa"/>
            <w:vAlign w:val="bottom"/>
          </w:tcPr>
          <w:p>
            <w:pPr>
              <w:ind w:left="180"/>
              <w:spacing w:after="0"/>
              <w:rPr>
                <w:sz w:val="20"/>
                <w:szCs w:val="20"/>
                <w:color w:val="auto"/>
              </w:rPr>
            </w:pPr>
            <w:r>
              <w:rPr>
                <w:rFonts w:ascii="Arial" w:cs="Arial" w:eastAsia="Arial" w:hAnsi="Arial"/>
                <w:sz w:val="16"/>
                <w:szCs w:val="16"/>
                <w:color w:val="auto"/>
                <w:w w:val="92"/>
              </w:rPr>
              <w:t>Foreign currency translation adjustments, net of tax expense of $0.9</w:t>
            </w:r>
          </w:p>
        </w:tc>
        <w:tc>
          <w:tcPr>
            <w:tcW w:w="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4"/>
              </w:rPr>
              <w:t>Unrealized gain on derivative contracts, net of tax expense of $4.7</w:t>
            </w:r>
          </w:p>
        </w:tc>
        <w:tc>
          <w:tcPr>
            <w:tcW w:w="2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166"/>
        </w:trPr>
        <w:tc>
          <w:tcPr>
            <w:tcW w:w="4640" w:type="dxa"/>
            <w:vAlign w:val="bottom"/>
          </w:tcPr>
          <w:p>
            <w:pPr>
              <w:ind w:left="180"/>
              <w:spacing w:after="0" w:line="166" w:lineRule="exact"/>
              <w:rPr>
                <w:sz w:val="20"/>
                <w:szCs w:val="20"/>
                <w:color w:val="auto"/>
              </w:rPr>
            </w:pPr>
            <w:r>
              <w:rPr>
                <w:rFonts w:ascii="Arial" w:cs="Arial" w:eastAsia="Arial" w:hAnsi="Arial"/>
                <w:sz w:val="16"/>
                <w:szCs w:val="16"/>
                <w:color w:val="auto"/>
              </w:rPr>
              <w:t>Amount reclassified from Accumulated comprehensive income</w:t>
            </w:r>
          </w:p>
        </w:tc>
        <w:tc>
          <w:tcPr>
            <w:tcW w:w="200" w:type="dxa"/>
            <w:vAlign w:val="bottom"/>
          </w:tcPr>
          <w:p>
            <w:pPr>
              <w:spacing w:after="0"/>
              <w:rPr>
                <w:sz w:val="14"/>
                <w:szCs w:val="14"/>
                <w:color w:val="auto"/>
              </w:rPr>
            </w:pPr>
          </w:p>
        </w:tc>
        <w:tc>
          <w:tcPr>
            <w:tcW w:w="19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vMerge w:val="restart"/>
          </w:tcPr>
          <w:p>
            <w:pPr>
              <w:jc w:val="right"/>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vMerge w:val="restart"/>
          </w:tcPr>
          <w:p>
            <w:pPr>
              <w:jc w:val="right"/>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12"/>
        </w:trPr>
        <w:tc>
          <w:tcPr>
            <w:tcW w:w="4640" w:type="dxa"/>
            <w:vAlign w:val="bottom"/>
            <w:tcBorders>
              <w:bottom w:val="single" w:sz="8" w:color="CCEEFF"/>
            </w:tcBorders>
          </w:tcPr>
          <w:p>
            <w:pPr>
              <w:ind w:left="180"/>
              <w:spacing w:after="0" w:line="213" w:lineRule="exact"/>
              <w:rPr>
                <w:sz w:val="20"/>
                <w:szCs w:val="20"/>
                <w:color w:val="auto"/>
              </w:rPr>
            </w:pPr>
            <w:r>
              <w:rPr>
                <w:rFonts w:ascii="Arial" w:cs="Arial" w:eastAsia="Arial" w:hAnsi="Arial"/>
                <w:sz w:val="16"/>
                <w:szCs w:val="16"/>
                <w:color w:val="auto"/>
              </w:rPr>
              <w:t xml:space="preserve">(loss) into earnings, net of tax expense of $4.2 </w:t>
            </w:r>
            <w:r>
              <w:rPr>
                <w:rFonts w:ascii="Arial" w:cs="Arial" w:eastAsia="Arial" w:hAnsi="Arial"/>
                <w:sz w:val="21"/>
                <w:szCs w:val="21"/>
                <w:color w:val="auto"/>
                <w:vertAlign w:val="superscript"/>
              </w:rPr>
              <w:t>(1)</w:t>
            </w:r>
          </w:p>
        </w:tc>
        <w:tc>
          <w:tcPr>
            <w:tcW w:w="2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30, 2023</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82.7</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78.9</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500" w:right="160" w:hanging="492"/>
        <w:spacing w:after="0" w:line="337" w:lineRule="auto"/>
        <w:tabs>
          <w:tab w:leader="none" w:pos="365" w:val="left"/>
        </w:tabs>
        <w:numPr>
          <w:ilvl w:val="0"/>
          <w:numId w:val="8"/>
        </w:numPr>
        <w:rPr>
          <w:rFonts w:ascii="Arial" w:cs="Arial" w:eastAsia="Arial" w:hAnsi="Arial"/>
          <w:sz w:val="15"/>
          <w:szCs w:val="15"/>
          <w:color w:val="auto"/>
        </w:rPr>
      </w:pPr>
      <w:r>
        <w:rPr>
          <w:rFonts w:ascii="Arial" w:cs="Arial" w:eastAsia="Arial" w:hAnsi="Arial"/>
          <w:sz w:val="15"/>
          <w:szCs w:val="15"/>
          <w:color w:val="auto"/>
        </w:rPr>
        <w:t xml:space="preserve">Includes a reduction to interest expense recognized of $25.7 million related to the cash flow hedge gain for the </w:t>
      </w:r>
      <w:r>
        <w:rPr>
          <w:rFonts w:ascii="Arial" w:cs="Arial" w:eastAsia="Arial" w:hAnsi="Arial"/>
          <w:sz w:val="16"/>
          <w:szCs w:val="16"/>
          <w:color w:val="auto"/>
        </w:rPr>
        <w:t>six</w:t>
      </w:r>
      <w:r>
        <w:rPr>
          <w:rFonts w:ascii="Arial" w:cs="Arial" w:eastAsia="Arial" w:hAnsi="Arial"/>
          <w:sz w:val="15"/>
          <w:szCs w:val="15"/>
          <w:color w:val="auto"/>
        </w:rPr>
        <w:t xml:space="preserve"> months ended June 30, 2023, partially offset by an increase to interest expense for the amortization of off-market swap value and accumulated loss at hedge de-designation of $9.1 million.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Party Transactions</w:t>
      </w:r>
    </w:p>
    <w:p>
      <w:pPr>
        <w:spacing w:after="0" w:line="256" w:lineRule="exact"/>
        <w:rPr>
          <w:sz w:val="20"/>
          <w:szCs w:val="20"/>
          <w:color w:val="auto"/>
        </w:rPr>
      </w:pPr>
    </w:p>
    <w:p>
      <w:pPr>
        <w:ind w:right="80" w:firstLine="486"/>
        <w:spacing w:after="0" w:line="263" w:lineRule="auto"/>
        <w:rPr>
          <w:sz w:val="20"/>
          <w:szCs w:val="20"/>
          <w:color w:val="auto"/>
        </w:rPr>
      </w:pPr>
      <w:r>
        <w:rPr>
          <w:rFonts w:ascii="Arial" w:cs="Arial" w:eastAsia="Arial" w:hAnsi="Arial"/>
          <w:sz w:val="18"/>
          <w:szCs w:val="18"/>
          <w:color w:val="auto"/>
        </w:rPr>
        <w:t>Affiliates of ABRY Partners, LLC and ABRY Partners II, LLC (collectively, "ABRY"), are Term Loan Facility lenders under the First Lien Credit Agreement. As of June 30, 2023, the outstanding principal amount of the Term Loan Facility was $2,248.3 million, of which $58.7 million, or 2.6%, is due to ABRY affiliates. Investment funds affiliated with ABRY are also co-investors in Rackspace Technology.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Reporting</w:t>
      </w:r>
    </w:p>
    <w:p>
      <w:pPr>
        <w:spacing w:after="0" w:line="256"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Effective on January 1, 2023, we reorganized around a two-business unit operating model, Public Cloud and Private Cloud. This two-business unit operating model ensures increased focus, delivery, and service quality for our customers. We have changed our segment reporting to reflect this reorganization under two operating segments, which correspond directly to our reportable segments: Public Cloud, a services-centric, capital-light model providing value-added cloud solutions through managed services, Elastic Engineering and professional services offerings for customer environments hosted on the AWS, Microsoft Azure and Google Cloud public cloud platforms; and Private Cloud, a technology-forward, capital-intensive model providing managed service offerings for customer environments hosted in one of our data centers as well as in those owned by customers or by third parties such as colocation providers. Private Cloud also includes our legacy OpenStack Public Cloud business that we ceased to actively market to customers in 2017.</w:t>
      </w:r>
    </w:p>
    <w:p>
      <w:pPr>
        <w:spacing w:after="0" w:line="219" w:lineRule="exact"/>
        <w:rPr>
          <w:sz w:val="20"/>
          <w:szCs w:val="20"/>
          <w:color w:val="auto"/>
        </w:rPr>
      </w:pPr>
    </w:p>
    <w:p>
      <w:pPr>
        <w:ind w:right="120" w:firstLine="486"/>
        <w:spacing w:after="0" w:line="342" w:lineRule="auto"/>
        <w:rPr>
          <w:sz w:val="20"/>
          <w:szCs w:val="20"/>
          <w:color w:val="auto"/>
        </w:rPr>
      </w:pPr>
      <w:r>
        <w:rPr>
          <w:rFonts w:ascii="Arial" w:cs="Arial" w:eastAsia="Arial" w:hAnsi="Arial"/>
          <w:sz w:val="16"/>
          <w:szCs w:val="16"/>
          <w:color w:val="auto"/>
        </w:rPr>
        <w:t>Our prior Multicloud Services segment has been separated into its public and private cloud components and the offerings previously reported in our Apps &amp; Cross Platform segment have been reassigned to either the Public Cloud or Private Cloud segment based on the nature of the offering.</w:t>
      </w:r>
    </w:p>
    <w:p>
      <w:pPr>
        <w:spacing w:after="0" w:line="151"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Our segments are based upon a number of factors, including, the basis for our budgets and forecasts, organizational and management structure and the financial information regularly used by our Chief Operating Decision Maker to make key decisions and to assess performance. We assess financial performance of our segments on the basis of revenue and segment operating profit. Segment operating profit includes expenses directly attributable to running the respective segments' business. This excludes any corporate overhead expenses. We have centralized corporate functions that provide services to the segments in areas such as accounting, information technology, marketing, legal and human resources. Corporate function costs that are not allocated to the segments are included in the row labeled "Corporate functions" in the table below.</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300" w:firstLine="486"/>
        <w:spacing w:after="0" w:line="308" w:lineRule="auto"/>
        <w:rPr>
          <w:sz w:val="20"/>
          <w:szCs w:val="20"/>
          <w:color w:val="auto"/>
        </w:rPr>
      </w:pPr>
      <w:r>
        <w:rPr>
          <w:rFonts w:ascii="Arial" w:cs="Arial" w:eastAsia="Arial" w:hAnsi="Arial"/>
          <w:sz w:val="17"/>
          <w:szCs w:val="17"/>
          <w:color w:val="auto"/>
        </w:rPr>
        <w:t>The table below presents a reconciliation of revenue by reportable segment to consolidated revenue and a reconciliation of consolidated segment operating profit to consolidated loss before income taxes for the three and six months ended June 30, 2022 and 2023.</w:t>
      </w:r>
    </w:p>
    <w:p>
      <w:pPr>
        <w:spacing w:after="0" w:line="66"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45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499"/>
              <w:spacing w:after="0"/>
              <w:rPr>
                <w:sz w:val="20"/>
                <w:szCs w:val="20"/>
                <w:color w:val="auto"/>
              </w:rPr>
            </w:pPr>
            <w:r>
              <w:rPr>
                <w:rFonts w:ascii="Arial" w:cs="Arial" w:eastAsia="Arial" w:hAnsi="Arial"/>
                <w:sz w:val="16"/>
                <w:szCs w:val="16"/>
                <w:b w:val="1"/>
                <w:bCs w:val="1"/>
                <w:color w:val="auto"/>
              </w:rPr>
              <w:t>Three Months Ended June 30,</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619"/>
              <w:spacing w:after="0"/>
              <w:rPr>
                <w:sz w:val="20"/>
                <w:szCs w:val="20"/>
                <w:color w:val="auto"/>
              </w:rPr>
            </w:pPr>
            <w:r>
              <w:rPr>
                <w:rFonts w:ascii="Arial" w:cs="Arial" w:eastAsia="Arial" w:hAnsi="Arial"/>
                <w:sz w:val="16"/>
                <w:szCs w:val="16"/>
                <w:b w:val="1"/>
                <w:bCs w:val="1"/>
                <w:color w:val="auto"/>
              </w:rPr>
              <w:t>Six Months Ended June 30,</w:t>
            </w:r>
          </w:p>
        </w:tc>
      </w:tr>
      <w:tr>
        <w:trPr>
          <w:trHeight w:val="210"/>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2023</w:t>
            </w:r>
          </w:p>
        </w:tc>
      </w:tr>
      <w:tr>
        <w:trPr>
          <w:trHeight w:val="199"/>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Revenue by segment:</w:t>
            </w: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3"/>
        </w:trPr>
        <w:tc>
          <w:tcPr>
            <w:tcW w:w="4520" w:type="dxa"/>
            <w:vAlign w:val="bottom"/>
          </w:tcPr>
          <w:p>
            <w:pPr>
              <w:ind w:left="20"/>
              <w:spacing w:after="0"/>
              <w:rPr>
                <w:sz w:val="20"/>
                <w:szCs w:val="20"/>
                <w:color w:val="auto"/>
              </w:rPr>
            </w:pPr>
            <w:r>
              <w:rPr>
                <w:rFonts w:ascii="Arial" w:cs="Arial" w:eastAsia="Arial" w:hAnsi="Arial"/>
                <w:sz w:val="16"/>
                <w:szCs w:val="16"/>
                <w:color w:val="auto"/>
              </w:rPr>
              <w:t>Public Cloud</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422.1</w:t>
            </w:r>
          </w:p>
        </w:tc>
        <w:tc>
          <w:tcPr>
            <w:tcW w:w="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434.9</w:t>
            </w:r>
          </w:p>
        </w:tc>
        <w:tc>
          <w:tcPr>
            <w:tcW w:w="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839.1</w:t>
            </w:r>
          </w:p>
        </w:tc>
        <w:tc>
          <w:tcPr>
            <w:tcW w:w="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879.5</w:t>
            </w:r>
          </w:p>
        </w:tc>
      </w:tr>
      <w:tr>
        <w:trPr>
          <w:trHeight w:val="216"/>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Private Cloud</w:t>
            </w: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350.1</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311.4</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708.6</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625.5</w:t>
            </w:r>
          </w:p>
        </w:tc>
      </w:tr>
      <w:tr>
        <w:trPr>
          <w:trHeight w:val="213"/>
        </w:trPr>
        <w:tc>
          <w:tcPr>
            <w:tcW w:w="4520" w:type="dxa"/>
            <w:vAlign w:val="bottom"/>
          </w:tcPr>
          <w:p>
            <w:pPr>
              <w:ind w:left="180"/>
              <w:spacing w:after="0"/>
              <w:rPr>
                <w:sz w:val="20"/>
                <w:szCs w:val="20"/>
                <w:color w:val="auto"/>
              </w:rPr>
            </w:pPr>
            <w:r>
              <w:rPr>
                <w:rFonts w:ascii="Arial" w:cs="Arial" w:eastAsia="Arial" w:hAnsi="Arial"/>
                <w:sz w:val="16"/>
                <w:szCs w:val="16"/>
                <w:color w:val="auto"/>
              </w:rPr>
              <w:t>Total consolidated revenue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772.2</w:t>
            </w:r>
          </w:p>
        </w:tc>
        <w:tc>
          <w:tcPr>
            <w:tcW w:w="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746.3</w:t>
            </w:r>
          </w:p>
        </w:tc>
        <w:tc>
          <w:tcPr>
            <w:tcW w:w="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1,547.7</w:t>
            </w:r>
          </w:p>
        </w:tc>
        <w:tc>
          <w:tcPr>
            <w:tcW w:w="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1,505.0</w:t>
            </w: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4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3"/>
        </w:trPr>
        <w:tc>
          <w:tcPr>
            <w:tcW w:w="4520" w:type="dxa"/>
            <w:vAlign w:val="bottom"/>
          </w:tcPr>
          <w:p>
            <w:pPr>
              <w:ind w:left="20"/>
              <w:spacing w:after="0"/>
              <w:rPr>
                <w:sz w:val="20"/>
                <w:szCs w:val="20"/>
                <w:color w:val="auto"/>
              </w:rPr>
            </w:pPr>
            <w:r>
              <w:rPr>
                <w:rFonts w:ascii="Arial" w:cs="Arial" w:eastAsia="Arial" w:hAnsi="Arial"/>
                <w:sz w:val="16"/>
                <w:szCs w:val="16"/>
                <w:i w:val="1"/>
                <w:iCs w:val="1"/>
                <w:color w:val="auto"/>
              </w:rPr>
              <w:t>Segment operating profit:</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Public Cloud</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w:t>
            </w:r>
          </w:p>
        </w:tc>
      </w:tr>
      <w:tr>
        <w:trPr>
          <w:trHeight w:val="213"/>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Private Cloud</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132.7</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86.8</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269.5</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179.7</w:t>
            </w:r>
          </w:p>
        </w:tc>
      </w:tr>
      <w:tr>
        <w:trPr>
          <w:trHeight w:val="213"/>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consolidated segment operating profit</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221.2</w:t>
            </w:r>
          </w:p>
        </w:tc>
      </w:tr>
      <w:tr>
        <w:trPr>
          <w:trHeight w:val="213"/>
        </w:trPr>
        <w:tc>
          <w:tcPr>
            <w:tcW w:w="4520" w:type="dxa"/>
            <w:vAlign w:val="bottom"/>
          </w:tcPr>
          <w:p>
            <w:pPr>
              <w:ind w:left="140"/>
              <w:spacing w:after="0"/>
              <w:rPr>
                <w:sz w:val="20"/>
                <w:szCs w:val="20"/>
                <w:color w:val="auto"/>
              </w:rPr>
            </w:pPr>
            <w:r>
              <w:rPr>
                <w:rFonts w:ascii="Arial" w:cs="Arial" w:eastAsia="Arial" w:hAnsi="Arial"/>
                <w:sz w:val="16"/>
                <w:szCs w:val="16"/>
                <w:color w:val="auto"/>
              </w:rPr>
              <w:t>Corporate functions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(64.1)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(64.8)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(123.3)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(131.7)</w:t>
            </w:r>
          </w:p>
        </w:tc>
      </w:tr>
      <w:tr>
        <w:trPr>
          <w:trHeight w:val="219"/>
        </w:trPr>
        <w:tc>
          <w:tcPr>
            <w:tcW w:w="4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Share-based compensation expense</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w:t>
            </w:r>
          </w:p>
        </w:tc>
      </w:tr>
      <w:tr>
        <w:trPr>
          <w:trHeight w:val="216"/>
        </w:trPr>
        <w:tc>
          <w:tcPr>
            <w:tcW w:w="452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Special bonuses and other compensation expense </w:t>
            </w:r>
            <w:r>
              <w:rPr>
                <w:rFonts w:ascii="Arial" w:cs="Arial" w:eastAsia="Arial" w:hAnsi="Arial"/>
                <w:sz w:val="21"/>
                <w:szCs w:val="21"/>
                <w:color w:val="auto"/>
                <w:vertAlign w:val="superscript"/>
              </w:rPr>
              <w:t>(1)</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216"/>
        </w:trPr>
        <w:tc>
          <w:tcPr>
            <w:tcW w:w="4520" w:type="dxa"/>
            <w:vAlign w:val="bottom"/>
            <w:shd w:val="clear" w:color="auto" w:fill="CCEEFF"/>
          </w:tcPr>
          <w:p>
            <w:pPr>
              <w:ind w:left="140"/>
              <w:spacing w:after="0" w:line="216" w:lineRule="exact"/>
              <w:rPr>
                <w:sz w:val="20"/>
                <w:szCs w:val="20"/>
                <w:color w:val="auto"/>
              </w:rPr>
            </w:pPr>
            <w:r>
              <w:rPr>
                <w:rFonts w:ascii="Arial" w:cs="Arial" w:eastAsia="Arial" w:hAnsi="Arial"/>
                <w:sz w:val="16"/>
                <w:szCs w:val="16"/>
                <w:color w:val="auto"/>
              </w:rPr>
              <w:t xml:space="preserve">Transaction-related adjustments, net </w:t>
            </w:r>
            <w:r>
              <w:rPr>
                <w:rFonts w:ascii="Arial" w:cs="Arial" w:eastAsia="Arial" w:hAnsi="Arial"/>
                <w:sz w:val="21"/>
                <w:szCs w:val="21"/>
                <w:color w:val="auto"/>
                <w:vertAlign w:val="superscript"/>
              </w:rPr>
              <w:t>(2)</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16"/>
        </w:trPr>
        <w:tc>
          <w:tcPr>
            <w:tcW w:w="452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Restructuring and transformation expenses </w:t>
            </w:r>
            <w:r>
              <w:rPr>
                <w:rFonts w:ascii="Arial" w:cs="Arial" w:eastAsia="Arial" w:hAnsi="Arial"/>
                <w:sz w:val="21"/>
                <w:szCs w:val="21"/>
                <w:color w:val="auto"/>
                <w:vertAlign w:val="superscript"/>
              </w:rPr>
              <w:t>(3)</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(48.2)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(48.7)</w:t>
            </w:r>
          </w:p>
        </w:tc>
      </w:tr>
      <w:tr>
        <w:trPr>
          <w:trHeight w:val="216"/>
        </w:trPr>
        <w:tc>
          <w:tcPr>
            <w:tcW w:w="4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Hosted Exchange incident expenses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r>
      <w:tr>
        <w:trPr>
          <w:trHeight w:val="216"/>
        </w:trPr>
        <w:tc>
          <w:tcPr>
            <w:tcW w:w="452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Amortization of intangible assets </w:t>
            </w:r>
            <w:r>
              <w:rPr>
                <w:rFonts w:ascii="Arial" w:cs="Arial" w:eastAsia="Arial" w:hAnsi="Arial"/>
                <w:sz w:val="21"/>
                <w:szCs w:val="21"/>
                <w:color w:val="auto"/>
                <w:vertAlign w:val="superscript"/>
              </w:rPr>
              <w:t>(4)</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(42.2)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(41.0)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(84.4)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(81.9)</w:t>
            </w:r>
          </w:p>
        </w:tc>
      </w:tr>
      <w:tr>
        <w:trPr>
          <w:trHeight w:val="216"/>
        </w:trPr>
        <w:tc>
          <w:tcPr>
            <w:tcW w:w="4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Impairment of goodwill</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(543.1)</w:t>
            </w:r>
          </w:p>
        </w:tc>
      </w:tr>
      <w:tr>
        <w:trPr>
          <w:trHeight w:val="216"/>
        </w:trPr>
        <w:tc>
          <w:tcPr>
            <w:tcW w:w="452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UK office closure </w:t>
            </w:r>
            <w:r>
              <w:rPr>
                <w:rFonts w:ascii="Arial" w:cs="Arial" w:eastAsia="Arial" w:hAnsi="Arial"/>
                <w:sz w:val="21"/>
                <w:szCs w:val="21"/>
                <w:color w:val="auto"/>
                <w:vertAlign w:val="superscript"/>
              </w:rPr>
              <w:t>(5)</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(12.1)</w:t>
            </w:r>
          </w:p>
        </w:tc>
      </w:tr>
      <w:tr>
        <w:trPr>
          <w:trHeight w:val="216"/>
        </w:trPr>
        <w:tc>
          <w:tcPr>
            <w:tcW w:w="4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expense</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(114.2)</w:t>
            </w:r>
          </w:p>
        </w:tc>
      </w:tr>
      <w:tr>
        <w:trPr>
          <w:trHeight w:val="213"/>
        </w:trPr>
        <w:tc>
          <w:tcPr>
            <w:tcW w:w="4520" w:type="dxa"/>
            <w:vAlign w:val="bottom"/>
          </w:tcPr>
          <w:p>
            <w:pPr>
              <w:ind w:left="140"/>
              <w:spacing w:after="0"/>
              <w:rPr>
                <w:sz w:val="20"/>
                <w:szCs w:val="20"/>
                <w:color w:val="auto"/>
              </w:rPr>
            </w:pPr>
            <w:r>
              <w:rPr>
                <w:rFonts w:ascii="Arial" w:cs="Arial" w:eastAsia="Arial" w:hAnsi="Arial"/>
                <w:sz w:val="16"/>
                <w:szCs w:val="16"/>
                <w:color w:val="auto"/>
              </w:rPr>
              <w:t>Gain (loss) on investments, net</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219"/>
        </w:trPr>
        <w:tc>
          <w:tcPr>
            <w:tcW w:w="4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Gain on debt extinguishment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107.7</w:t>
            </w:r>
          </w:p>
        </w:tc>
      </w:tr>
      <w:tr>
        <w:trPr>
          <w:trHeight w:val="213"/>
        </w:trPr>
        <w:tc>
          <w:tcPr>
            <w:tcW w:w="45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income (expense), net</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r>
      <w:tr>
        <w:trPr>
          <w:trHeight w:val="232"/>
        </w:trPr>
        <w:tc>
          <w:tcPr>
            <w:tcW w:w="45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consolidated loss before income taxes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(85.5)</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(648.8)</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left="500" w:right="40" w:hanging="352"/>
        <w:spacing w:after="0" w:line="286" w:lineRule="auto"/>
        <w:tabs>
          <w:tab w:leader="none" w:pos="500" w:val="left"/>
        </w:tabs>
        <w:numPr>
          <w:ilvl w:val="0"/>
          <w:numId w:val="9"/>
        </w:numPr>
        <w:rPr>
          <w:rFonts w:ascii="Arial" w:cs="Arial" w:eastAsia="Arial" w:hAnsi="Arial"/>
          <w:sz w:val="15"/>
          <w:szCs w:val="15"/>
          <w:color w:val="auto"/>
        </w:rPr>
      </w:pPr>
      <w:r>
        <w:rPr>
          <w:rFonts w:ascii="Arial" w:cs="Arial" w:eastAsia="Arial" w:hAnsi="Arial"/>
          <w:sz w:val="15"/>
          <w:szCs w:val="15"/>
          <w:color w:val="auto"/>
        </w:rPr>
        <w:t>Includes expense related to retention bonuses, mainly relating to restructuring and integration projects, and the related payroll tax, senior executive signing bonuses and relocation costs, and payroll taxes associated with the exercise of stock options and vesting of restricted stock. Beginning in the second quarter of 2023, includes expense related to the one-time grant of long-term incentive bonuses as a component of our annual compensation award process.</w:t>
      </w:r>
    </w:p>
    <w:p>
      <w:pPr>
        <w:spacing w:after="0" w:line="4" w:lineRule="exact"/>
        <w:rPr>
          <w:rFonts w:ascii="Arial" w:cs="Arial" w:eastAsia="Arial" w:hAnsi="Arial"/>
          <w:sz w:val="15"/>
          <w:szCs w:val="15"/>
          <w:color w:val="auto"/>
        </w:rPr>
      </w:pPr>
    </w:p>
    <w:p>
      <w:pPr>
        <w:ind w:left="500" w:right="60" w:hanging="352"/>
        <w:spacing w:after="0" w:line="252" w:lineRule="auto"/>
        <w:tabs>
          <w:tab w:leader="none" w:pos="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legal, professional, accounting and other advisory fees related to acquisitions, certain one-time compliance costs related to being a public company, integration costs of acquired businesses, purchase accounting adjustments, payroll costs for employees that dedicate significant time to supporting these projects and exploratory acquisition and divestiture costs and expenses related to financing activities.</w:t>
      </w:r>
    </w:p>
    <w:p>
      <w:pPr>
        <w:spacing w:after="0" w:line="27" w:lineRule="exact"/>
        <w:rPr>
          <w:rFonts w:ascii="Arial" w:cs="Arial" w:eastAsia="Arial" w:hAnsi="Arial"/>
          <w:sz w:val="16"/>
          <w:szCs w:val="16"/>
          <w:color w:val="auto"/>
        </w:rPr>
      </w:pPr>
    </w:p>
    <w:p>
      <w:pPr>
        <w:ind w:left="500" w:right="120" w:hanging="352"/>
        <w:spacing w:after="0" w:line="256" w:lineRule="auto"/>
        <w:tabs>
          <w:tab w:leader="none" w:pos="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consulting and advisory fees related to business transformation and optimization activities, payroll costs for employees that dedicate significant time to these projects, as well as associated severance, certain facility closure costs, and lease termination expenses. This amount also includes total charges of $1.0 million and $4.2 million for the three and six months ended June 30, 2022, respectively, related to the July 2021 Restructuring Plan which are not accounted for as exit and disposal costs under ASC 420, including one-time offshore build out costs.</w:t>
      </w:r>
    </w:p>
    <w:p>
      <w:pPr>
        <w:spacing w:after="0" w:line="11" w:lineRule="exact"/>
        <w:rPr>
          <w:rFonts w:ascii="Arial" w:cs="Arial" w:eastAsia="Arial" w:hAnsi="Arial"/>
          <w:sz w:val="16"/>
          <w:szCs w:val="16"/>
          <w:color w:val="auto"/>
        </w:rPr>
      </w:pPr>
    </w:p>
    <w:p>
      <w:pPr>
        <w:ind w:left="500" w:hanging="352"/>
        <w:spacing w:after="0"/>
        <w:tabs>
          <w:tab w:leader="none" w:pos="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All of our intangible assets are attributable to acquisitions, including the Rackspace Acquisition in 2016.</w:t>
      </w:r>
    </w:p>
    <w:p>
      <w:pPr>
        <w:spacing w:after="0" w:line="59" w:lineRule="exact"/>
        <w:rPr>
          <w:rFonts w:ascii="Arial" w:cs="Arial" w:eastAsia="Arial" w:hAnsi="Arial"/>
          <w:sz w:val="16"/>
          <w:szCs w:val="16"/>
          <w:color w:val="auto"/>
        </w:rPr>
      </w:pPr>
    </w:p>
    <w:p>
      <w:pPr>
        <w:ind w:left="500" w:hanging="352"/>
        <w:spacing w:after="0"/>
        <w:tabs>
          <w:tab w:leader="none" w:pos="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Expense recognized related to the closure of a UK office that we exited in the second quarter of 2023 prior to the lease end date.</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72" w:lineRule="exact"/>
        <w:rPr>
          <w:rFonts w:ascii="Arial" w:cs="Arial" w:eastAsia="Arial" w:hAnsi="Arial"/>
          <w:sz w:val="16"/>
          <w:szCs w:val="16"/>
          <w:color w:val="auto"/>
        </w:rPr>
      </w:pPr>
    </w:p>
    <w:p>
      <w:pPr>
        <w:ind w:left="5540" w:hanging="111"/>
        <w:spacing w:after="0"/>
        <w:tabs>
          <w:tab w:leader="none" w:pos="5540" w:val="left"/>
        </w:tabs>
        <w:numPr>
          <w:ilvl w:val="1"/>
          <w:numId w:val="9"/>
        </w:numPr>
        <w:rPr>
          <w:rFonts w:ascii="Arial" w:cs="Arial" w:eastAsia="Arial" w:hAnsi="Arial"/>
          <w:sz w:val="18"/>
          <w:szCs w:val="18"/>
          <w:color w:val="auto"/>
        </w:rPr>
      </w:pPr>
      <w:r>
        <w:rPr>
          <w:rFonts w:ascii="Arial" w:cs="Arial" w:eastAsia="Arial" w:hAnsi="Arial"/>
          <w:sz w:val="18"/>
          <w:szCs w:val="18"/>
          <w:color w:val="auto"/>
        </w:rPr>
        <w:t>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table below presents depreciation expense included in segment operating profit above for the three and six months ended June 30, 2022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2023.</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360" w:type="dxa"/>
            <w:vAlign w:val="bottom"/>
          </w:tcPr>
          <w:p>
            <w:pPr>
              <w:spacing w:after="0"/>
              <w:rPr>
                <w:sz w:val="18"/>
                <w:szCs w:val="18"/>
                <w:color w:val="auto"/>
              </w:rPr>
            </w:pPr>
          </w:p>
        </w:tc>
        <w:tc>
          <w:tcPr>
            <w:tcW w:w="27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6"/>
                <w:szCs w:val="16"/>
                <w:b w:val="1"/>
                <w:bCs w:val="1"/>
                <w:color w:val="auto"/>
              </w:rPr>
              <w:t>Six Months Ended June 30,</w:t>
            </w:r>
          </w:p>
        </w:tc>
      </w:tr>
      <w:tr>
        <w:trPr>
          <w:trHeight w:val="210"/>
        </w:trPr>
        <w:tc>
          <w:tcPr>
            <w:tcW w:w="43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2022</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2023</w:t>
            </w:r>
          </w:p>
        </w:tc>
        <w:tc>
          <w:tcPr>
            <w:tcW w:w="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2023</w:t>
            </w:r>
          </w:p>
        </w:tc>
      </w:tr>
      <w:tr>
        <w:trPr>
          <w:trHeight w:val="212"/>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Public Cloud</w:t>
            </w:r>
          </w:p>
        </w:tc>
        <w:tc>
          <w:tcPr>
            <w:tcW w:w="1060" w:type="dxa"/>
            <w:vAlign w:val="bottom"/>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180" w:type="dxa"/>
            <w:vAlign w:val="bottom"/>
            <w:gridSpan w:val="2"/>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213"/>
        </w:trPr>
        <w:tc>
          <w:tcPr>
            <w:tcW w:w="4360" w:type="dxa"/>
            <w:vAlign w:val="bottom"/>
          </w:tcPr>
          <w:p>
            <w:pPr>
              <w:ind w:left="20"/>
              <w:spacing w:after="0"/>
              <w:rPr>
                <w:sz w:val="20"/>
                <w:szCs w:val="20"/>
                <w:color w:val="auto"/>
              </w:rPr>
            </w:pPr>
            <w:r>
              <w:rPr>
                <w:rFonts w:ascii="Arial" w:cs="Arial" w:eastAsia="Arial" w:hAnsi="Arial"/>
                <w:sz w:val="16"/>
                <w:szCs w:val="16"/>
                <w:color w:val="auto"/>
              </w:rPr>
              <w:t>Private Cloud</w:t>
            </w:r>
          </w:p>
        </w:tc>
        <w:tc>
          <w:tcPr>
            <w:tcW w:w="10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42.6</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44.9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88.5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88.8</w:t>
            </w:r>
          </w:p>
        </w:tc>
      </w:tr>
      <w:tr>
        <w:trPr>
          <w:trHeight w:val="219"/>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Corporate functions</w:t>
            </w:r>
          </w:p>
        </w:tc>
        <w:tc>
          <w:tcPr>
            <w:tcW w:w="10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w:t>
            </w:r>
          </w:p>
        </w:tc>
      </w:tr>
      <w:tr>
        <w:trPr>
          <w:trHeight w:val="210"/>
        </w:trPr>
        <w:tc>
          <w:tcPr>
            <w:tcW w:w="4360" w:type="dxa"/>
            <w:vAlign w:val="bottom"/>
          </w:tcPr>
          <w:p>
            <w:pPr>
              <w:ind w:left="180"/>
              <w:spacing w:after="0"/>
              <w:rPr>
                <w:sz w:val="20"/>
                <w:szCs w:val="20"/>
                <w:color w:val="auto"/>
              </w:rPr>
            </w:pPr>
            <w:r>
              <w:rPr>
                <w:rFonts w:ascii="Arial" w:cs="Arial" w:eastAsia="Arial" w:hAnsi="Arial"/>
                <w:sz w:val="16"/>
                <w:szCs w:val="16"/>
                <w:color w:val="auto"/>
              </w:rPr>
              <w:t>Total depreciation expense</w:t>
            </w:r>
          </w:p>
        </w:tc>
        <w:tc>
          <w:tcPr>
            <w:tcW w:w="106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56.1</w:t>
            </w:r>
          </w:p>
        </w:tc>
        <w:tc>
          <w:tcPr>
            <w:tcW w:w="1180" w:type="dxa"/>
            <w:vAlign w:val="bottom"/>
            <w:gridSpan w:val="2"/>
          </w:tcPr>
          <w:p>
            <w:pPr>
              <w:jc w:val="right"/>
              <w:ind w:right="879"/>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56.7</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115.4</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110.5</w:t>
            </w:r>
          </w:p>
        </w:tc>
      </w:tr>
      <w:tr>
        <w:trPr>
          <w:trHeight w:val="20"/>
        </w:trPr>
        <w:tc>
          <w:tcPr>
            <w:tcW w:w="43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Management does not use total assets by segment to evaluate segment performance or allocate resources. As such, total assets by segment are not disclosed.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25" w:right="61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ITEM 2 - MANAGEMENT'S DISCUSSION AND ANALYSIS OF FINANCIAL CONDITION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AND RESULTS OF OPERATIONS</w:t>
      </w:r>
    </w:p>
    <w:p>
      <w:pPr>
        <w:spacing w:after="0" w:line="238" w:lineRule="exact"/>
        <w:rPr>
          <w:sz w:val="20"/>
          <w:szCs w:val="20"/>
          <w:color w:val="auto"/>
        </w:rPr>
      </w:pPr>
    </w:p>
    <w:p>
      <w:pPr>
        <w:ind w:right="160" w:firstLine="486"/>
        <w:spacing w:after="0" w:line="275" w:lineRule="auto"/>
        <w:rPr>
          <w:sz w:val="20"/>
          <w:szCs w:val="20"/>
          <w:color w:val="auto"/>
        </w:rPr>
      </w:pPr>
      <w:r>
        <w:rPr>
          <w:rFonts w:ascii="Arial" w:cs="Arial" w:eastAsia="Arial" w:hAnsi="Arial"/>
          <w:sz w:val="17"/>
          <w:szCs w:val="17"/>
          <w:i w:val="1"/>
          <w:iCs w:val="1"/>
          <w:color w:val="auto"/>
        </w:rPr>
        <w:t>The following Management</w:t>
      </w:r>
      <w:r>
        <w:rPr>
          <w:rFonts w:ascii="Arial" w:cs="Arial" w:eastAsia="Arial" w:hAnsi="Arial"/>
          <w:sz w:val="17"/>
          <w:szCs w:val="17"/>
          <w:color w:val="auto"/>
        </w:rPr>
        <w:t>'</w:t>
      </w:r>
      <w:r>
        <w:rPr>
          <w:rFonts w:ascii="Arial" w:cs="Arial" w:eastAsia="Arial" w:hAnsi="Arial"/>
          <w:sz w:val="17"/>
          <w:szCs w:val="17"/>
          <w:i w:val="1"/>
          <w:iCs w:val="1"/>
          <w:color w:val="auto"/>
        </w:rPr>
        <w:t>s Discussion and Analysis of Financial Condition and Results of Operations (</w:t>
      </w:r>
      <w:r>
        <w:rPr>
          <w:rFonts w:ascii="Arial" w:cs="Arial" w:eastAsia="Arial" w:hAnsi="Arial"/>
          <w:sz w:val="17"/>
          <w:szCs w:val="17"/>
          <w:color w:val="auto"/>
        </w:rPr>
        <w:t>"</w:t>
      </w:r>
      <w:r>
        <w:rPr>
          <w:rFonts w:ascii="Arial" w:cs="Arial" w:eastAsia="Arial" w:hAnsi="Arial"/>
          <w:sz w:val="17"/>
          <w:szCs w:val="17"/>
          <w:i w:val="1"/>
          <w:iCs w:val="1"/>
          <w:color w:val="auto"/>
        </w:rPr>
        <w:t>MD&amp;A</w:t>
      </w:r>
      <w:r>
        <w:rPr>
          <w:rFonts w:ascii="Arial" w:cs="Arial" w:eastAsia="Arial" w:hAnsi="Arial"/>
          <w:sz w:val="17"/>
          <w:szCs w:val="17"/>
          <w:color w:val="auto"/>
        </w:rPr>
        <w:t>"</w:t>
      </w:r>
      <w:r>
        <w:rPr>
          <w:rFonts w:ascii="Arial" w:cs="Arial" w:eastAsia="Arial" w:hAnsi="Arial"/>
          <w:sz w:val="17"/>
          <w:szCs w:val="17"/>
          <w:i w:val="1"/>
          <w:iCs w:val="1"/>
          <w:color w:val="auto"/>
        </w:rPr>
        <w:t xml:space="preserve">) is intended to help readers understand our results of operations, financial condition and cash flows and should be read in conjunction with the condensed consolidated financial statements and the related notes included elsewhere in this Quarterly Report on Form 10-Q (this "Quarterly Report") and with the audited consolidated financial statements and the related notes included in our Annual Report. References to </w:t>
      </w:r>
      <w:r>
        <w:rPr>
          <w:rFonts w:ascii="Arial" w:cs="Arial" w:eastAsia="Arial" w:hAnsi="Arial"/>
          <w:sz w:val="17"/>
          <w:szCs w:val="17"/>
          <w:color w:val="auto"/>
        </w:rPr>
        <w:t>"</w:t>
      </w:r>
      <w:r>
        <w:rPr>
          <w:rFonts w:ascii="Arial" w:cs="Arial" w:eastAsia="Arial" w:hAnsi="Arial"/>
          <w:sz w:val="17"/>
          <w:szCs w:val="17"/>
          <w:i w:val="1"/>
          <w:iCs w:val="1"/>
          <w:color w:val="auto"/>
        </w:rPr>
        <w:t>Rackspace Technology,</w:t>
      </w:r>
      <w:r>
        <w:rPr>
          <w:rFonts w:ascii="Arial" w:cs="Arial" w:eastAsia="Arial" w:hAnsi="Arial"/>
          <w:sz w:val="17"/>
          <w:szCs w:val="17"/>
          <w:color w:val="auto"/>
        </w:rPr>
        <w:t>" "</w:t>
      </w:r>
      <w:r>
        <w:rPr>
          <w:rFonts w:ascii="Arial" w:cs="Arial" w:eastAsia="Arial" w:hAnsi="Arial"/>
          <w:sz w:val="17"/>
          <w:szCs w:val="17"/>
          <w:i w:val="1"/>
          <w:iCs w:val="1"/>
          <w:color w:val="auto"/>
        </w:rPr>
        <w:t>we,</w:t>
      </w:r>
      <w:r>
        <w:rPr>
          <w:rFonts w:ascii="Arial" w:cs="Arial" w:eastAsia="Arial" w:hAnsi="Arial"/>
          <w:sz w:val="17"/>
          <w:szCs w:val="17"/>
          <w:color w:val="auto"/>
        </w:rPr>
        <w:t>" "</w:t>
      </w:r>
      <w:r>
        <w:rPr>
          <w:rFonts w:ascii="Arial" w:cs="Arial" w:eastAsia="Arial" w:hAnsi="Arial"/>
          <w:sz w:val="17"/>
          <w:szCs w:val="17"/>
          <w:i w:val="1"/>
          <w:iCs w:val="1"/>
          <w:color w:val="auto"/>
        </w:rPr>
        <w:t>our company,</w:t>
      </w:r>
      <w:r>
        <w:rPr>
          <w:rFonts w:ascii="Arial" w:cs="Arial" w:eastAsia="Arial" w:hAnsi="Arial"/>
          <w:sz w:val="17"/>
          <w:szCs w:val="17"/>
          <w:color w:val="auto"/>
        </w:rPr>
        <w:t>" "</w:t>
      </w:r>
      <w:r>
        <w:rPr>
          <w:rFonts w:ascii="Arial" w:cs="Arial" w:eastAsia="Arial" w:hAnsi="Arial"/>
          <w:sz w:val="17"/>
          <w:szCs w:val="17"/>
          <w:i w:val="1"/>
          <w:iCs w:val="1"/>
          <w:color w:val="auto"/>
        </w:rPr>
        <w:t>the company,</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us,</w:t>
      </w:r>
      <w:r>
        <w:rPr>
          <w:rFonts w:ascii="Arial" w:cs="Arial" w:eastAsia="Arial" w:hAnsi="Arial"/>
          <w:sz w:val="17"/>
          <w:szCs w:val="17"/>
          <w:color w:val="auto"/>
        </w:rPr>
        <w:t xml:space="preserve">" </w:t>
      </w:r>
      <w:r>
        <w:rPr>
          <w:rFonts w:ascii="Arial" w:cs="Arial" w:eastAsia="Arial" w:hAnsi="Arial"/>
          <w:sz w:val="17"/>
          <w:szCs w:val="17"/>
          <w:i w:val="1"/>
          <w:iCs w:val="1"/>
          <w:color w:val="auto"/>
        </w:rPr>
        <w:t>or</w:t>
      </w:r>
      <w:r>
        <w:rPr>
          <w:rFonts w:ascii="Arial" w:cs="Arial" w:eastAsia="Arial" w:hAnsi="Arial"/>
          <w:sz w:val="17"/>
          <w:szCs w:val="17"/>
          <w:color w:val="auto"/>
        </w:rPr>
        <w:t xml:space="preserve"> "</w:t>
      </w:r>
      <w:r>
        <w:rPr>
          <w:rFonts w:ascii="Arial" w:cs="Arial" w:eastAsia="Arial" w:hAnsi="Arial"/>
          <w:sz w:val="17"/>
          <w:szCs w:val="17"/>
          <w:i w:val="1"/>
          <w:iCs w:val="1"/>
          <w:color w:val="auto"/>
        </w:rPr>
        <w:t>our</w:t>
      </w:r>
      <w:r>
        <w:rPr>
          <w:rFonts w:ascii="Arial" w:cs="Arial" w:eastAsia="Arial" w:hAnsi="Arial"/>
          <w:sz w:val="17"/>
          <w:szCs w:val="17"/>
          <w:color w:val="auto"/>
        </w:rPr>
        <w:t xml:space="preserve">" </w:t>
      </w:r>
      <w:r>
        <w:rPr>
          <w:rFonts w:ascii="Arial" w:cs="Arial" w:eastAsia="Arial" w:hAnsi="Arial"/>
          <w:sz w:val="17"/>
          <w:szCs w:val="17"/>
          <w:i w:val="1"/>
          <w:iCs w:val="1"/>
          <w:color w:val="auto"/>
        </w:rPr>
        <w:t>refer to Rackspace Technology, Inc. and its consolidated subsidiaries.</w:t>
      </w:r>
    </w:p>
    <w:p>
      <w:pPr>
        <w:spacing w:after="0" w:line="203"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i w:val="1"/>
          <w:iCs w:val="1"/>
          <w:color w:val="auto"/>
        </w:rPr>
        <w:t xml:space="preserve">The following discussion contains forward-looking statements that are subject to risks and uncertainties. Actual results may differ materially from those contained in any forward-looking statements. See </w:t>
      </w:r>
      <w:r>
        <w:rPr>
          <w:rFonts w:ascii="Arial" w:cs="Arial" w:eastAsia="Arial" w:hAnsi="Arial"/>
          <w:sz w:val="18"/>
          <w:szCs w:val="18"/>
          <w:color w:val="auto"/>
        </w:rPr>
        <w:t>"</w:t>
      </w:r>
      <w:r>
        <w:rPr>
          <w:rFonts w:ascii="Arial" w:cs="Arial" w:eastAsia="Arial" w:hAnsi="Arial"/>
          <w:sz w:val="18"/>
          <w:szCs w:val="18"/>
          <w:i w:val="1"/>
          <w:iCs w:val="1"/>
          <w:color w:val="auto"/>
        </w:rPr>
        <w:t>Special Note Regarding Forward-Looking Statements</w:t>
      </w:r>
      <w:r>
        <w:rPr>
          <w:rFonts w:ascii="Arial" w:cs="Arial" w:eastAsia="Arial" w:hAnsi="Arial"/>
          <w:sz w:val="18"/>
          <w:szCs w:val="18"/>
          <w:color w:val="auto"/>
        </w:rPr>
        <w:t>"</w:t>
      </w:r>
      <w:r>
        <w:rPr>
          <w:rFonts w:ascii="Arial" w:cs="Arial" w:eastAsia="Arial" w:hAnsi="Arial"/>
          <w:sz w:val="18"/>
          <w:szCs w:val="18"/>
          <w:i w:val="1"/>
          <w:iCs w:val="1"/>
          <w:color w:val="auto"/>
        </w:rPr>
        <w:t xml:space="preserve"> contained elsewhere in this Quarterly Report.</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right="160" w:firstLine="486"/>
        <w:spacing w:after="0" w:line="286" w:lineRule="auto"/>
        <w:rPr>
          <w:sz w:val="20"/>
          <w:szCs w:val="20"/>
          <w:color w:val="auto"/>
        </w:rPr>
      </w:pPr>
      <w:r>
        <w:rPr>
          <w:rFonts w:ascii="Arial" w:cs="Arial" w:eastAsia="Arial" w:hAnsi="Arial"/>
          <w:sz w:val="17"/>
          <w:szCs w:val="17"/>
          <w:color w:val="auto"/>
        </w:rPr>
        <w:t>We are a leading end-to-end multicloud technology services company. We design, build and operate our customers' cloud environments across all major technology platforms, irrespective of technology stack or deployment model. We partner with our customers at every stage of their cloud journey, enabling them to modernize applications, build new products and adopt innovative technologies.</w:t>
      </w:r>
    </w:p>
    <w:p>
      <w:pPr>
        <w:spacing w:after="0" w:line="192"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On July 21, 2021, we committed to an internal restructuring plan (the "July 2021 Restructuring Plan"), to drive a change in the type and location of certain positions that was expected to result in the termination of approximately 10% of our workforce. We recorded total charges of $1.0 million and $4.2 million for the three and six months ended June 30, 2022, respectively, related to this restructuring plan which are not accounted for as exit and disposal costs under ASC 420, consisting primarily of one-time offshore build out costs.</w:t>
      </w:r>
    </w:p>
    <w:p>
      <w:pPr>
        <w:spacing w:after="0" w:line="214" w:lineRule="exact"/>
        <w:rPr>
          <w:sz w:val="20"/>
          <w:szCs w:val="20"/>
          <w:color w:val="auto"/>
        </w:rPr>
      </w:pPr>
    </w:p>
    <w:p>
      <w:pPr>
        <w:ind w:right="100" w:firstLine="486"/>
        <w:spacing w:after="0" w:line="269" w:lineRule="auto"/>
        <w:rPr>
          <w:sz w:val="20"/>
          <w:szCs w:val="20"/>
          <w:color w:val="auto"/>
        </w:rPr>
      </w:pPr>
      <w:r>
        <w:rPr>
          <w:rFonts w:ascii="Arial" w:cs="Arial" w:eastAsia="Arial" w:hAnsi="Arial"/>
          <w:sz w:val="17"/>
          <w:szCs w:val="17"/>
          <w:color w:val="auto"/>
        </w:rPr>
        <w:t>In December 2022, we experienced a ransomware incident which caused service disruptions for our Hosted Exchange customers. The Hosted Exchange email business is a managed email solution provided to small and medium businesses and represented approximately 1% of our total annual revenue. Following discovery of the incident, we engaged an industry-leading global cybersecurity firm to help investigate the incident and remediate as necessary. The firm confirmed that the incident was quickly contained and limited solely to the Hosted Exchange email business. We have sunset the on-premises Hosted Exchange platform and have transitioned many customers from the Hosted Exchange platform to Microsoft 365 through our reseller agreement with Microsoft. During the three and six months ended June 30, 2023, we recorded $1.7 million and $4.9 million, respectively, of expenses related to the Hosted Exchange incident, including costs to investigate and remediate, legal and other professional services, and supplemental staff resources that were deployed to provide support to customers. We expect to continue to incur legal and other professional services costs in future periods and will expense those costs as incurred. We maintain cybersecurity insurance commensurate with the size of our business, and expect that a significant portion of the incremental costs related to the Hosted Exchange incident will be covered by insurance. However, the timing of insurance reimbursements may differ from the timing of recognition of the related expenses.</w:t>
      </w:r>
    </w:p>
    <w:p>
      <w:pPr>
        <w:spacing w:after="0" w:line="209"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Effective on January 1, 2023, we reorganized around a two-business unit operating model, Public Cloud and Private Cloud. This two-business unit operating model ensures increased focus, delivery, and service quality for our customers. Beginning in 2023, we changed our segment reporting to reflect this reorganization under two reportable segments: Public Cloud and Private Cloud. We have reflected this change in all historical comparative periods presented within this MD&amp;A.</w:t>
      </w:r>
    </w:p>
    <w:p>
      <w:pPr>
        <w:spacing w:after="0" w:line="214" w:lineRule="exact"/>
        <w:rPr>
          <w:sz w:val="20"/>
          <w:szCs w:val="20"/>
          <w:color w:val="auto"/>
        </w:rPr>
      </w:pPr>
    </w:p>
    <w:p>
      <w:pPr>
        <w:ind w:right="140" w:firstLine="486"/>
        <w:spacing w:after="0" w:line="273" w:lineRule="auto"/>
        <w:rPr>
          <w:sz w:val="20"/>
          <w:szCs w:val="20"/>
          <w:color w:val="auto"/>
        </w:rPr>
      </w:pPr>
      <w:r>
        <w:rPr>
          <w:rFonts w:ascii="Arial" w:cs="Arial" w:eastAsia="Arial" w:hAnsi="Arial"/>
          <w:sz w:val="17"/>
          <w:szCs w:val="17"/>
          <w:color w:val="auto"/>
        </w:rPr>
        <w:t>Our Public Cloud segment is a services-centric, capital-light model providing value-added cloud solutions through managed services, Elastic Engineering and professional services offerings for customer environments hosted on the Amazon Web Services ("AWS"), Microsoft Azure and Google Cloud public cloud platforms. Our Private Cloud segment is a technology-forward, capital-intensive model providing managed service offerings for customer environments hosted in one of our data centers as well as in those owned by customers or by third parties such as colocation providers. Private Cloud also includes our legacy OpenStack Public Cloud business that we ceased to actively market to customers in 2017. See Item 1 of Part I, Financial Statements - Note 14, "Segment Reporting," for additional information about our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256" w:lineRule="exact"/>
        <w:rPr>
          <w:sz w:val="20"/>
          <w:szCs w:val="20"/>
          <w:color w:val="auto"/>
        </w:rPr>
      </w:pPr>
    </w:p>
    <w:p>
      <w:pPr>
        <w:jc w:val="both"/>
        <w:ind w:right="100" w:firstLine="486"/>
        <w:spacing w:after="0" w:line="263" w:lineRule="auto"/>
        <w:rPr>
          <w:sz w:val="20"/>
          <w:szCs w:val="20"/>
          <w:color w:val="auto"/>
        </w:rPr>
      </w:pPr>
      <w:r>
        <w:rPr>
          <w:rFonts w:ascii="Arial" w:cs="Arial" w:eastAsia="Arial" w:hAnsi="Arial"/>
          <w:sz w:val="18"/>
          <w:szCs w:val="18"/>
          <w:color w:val="auto"/>
        </w:rPr>
        <w:t>We believe our combination of proprietary technology, automation capabilities and technical expertise creates a value proposition for our customers that is hard to replicate for both competitors and in-house IT departments. Our continued success depends to a significant extent on our ability to meet the challenges presented by our highly competitive and dynamic market, including the following key factors: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Differentiating Our Service Offerings in a Competitive Market Environment</w:t>
      </w:r>
    </w:p>
    <w:p>
      <w:pPr>
        <w:spacing w:after="0" w:line="252"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Our success depends to a significant extent on our ability to differentiate, expand and upgrade our service offerings in line with developing customer needs, while deepening our relationships with leading public cloud service providers and establishing new relationships, including with sales partners. We are a certified premier consulting and managed services partner to some of the largest cloud computing platforms, including AWS, Microsoft Azure, Google Cloud, Oracle, SAP and VMware. We believe we are unique in our ability to serve customers across major technology stacks and deployment options, all while delivering Fanatical Experience. Our existing and prospective customers are also under increasing pressure to move from on-premise or self-managed IT to the cloud to compete effectively in a digital economy and maximize the value of their cloud investments, which we believe presents an opportunity for professional services projects as well as new recurring business.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Relationships and Retention</w:t>
      </w:r>
    </w:p>
    <w:p>
      <w:pPr>
        <w:spacing w:after="0" w:line="252"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Our success greatly depends on our ability to retain and develop opportunities with our existing customers and to attract new customers. We operate in a growing but competitive and evolving market environment, requiring innovation to differentiate us from our competitors. We believe that our integrated cloud service portfolio and our differentiated customer experience and technology are keys to retaining and growing revenue from existing customers as well as acquiring new customers. For example, we believe that Rackspace Fabric provides customers a unified experience across their entire cloud and security footprint, and that our Rackspace Elastic Engineering model helps customers embrace a cloud native approach with on-demand access to a dedicated team of highly skilled cloud architects and engineers. These offerings differentiate us from legacy IT service providers that operate under long-term fixed and project-based fee structures often tethered to their existing technologies with less automation.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Mix Shift</w:t>
      </w:r>
    </w:p>
    <w:p>
      <w:pPr>
        <w:spacing w:after="0" w:line="252" w:lineRule="exact"/>
        <w:rPr>
          <w:sz w:val="20"/>
          <w:szCs w:val="20"/>
          <w:color w:val="auto"/>
        </w:rPr>
      </w:pPr>
    </w:p>
    <w:p>
      <w:pPr>
        <w:ind w:right="280" w:firstLine="486"/>
        <w:spacing w:after="0" w:line="255" w:lineRule="auto"/>
        <w:rPr>
          <w:sz w:val="20"/>
          <w:szCs w:val="20"/>
          <w:color w:val="auto"/>
        </w:rPr>
      </w:pPr>
      <w:r>
        <w:rPr>
          <w:rFonts w:ascii="Arial" w:cs="Arial" w:eastAsia="Arial" w:hAnsi="Arial"/>
          <w:sz w:val="18"/>
          <w:szCs w:val="18"/>
          <w:color w:val="auto"/>
        </w:rPr>
        <w:t>The mix of revenue has shifted in recent years, from our Private Cloud offerings to infrastructure resale and services within Public Cloud. Private Cloud offerings are generally hosted on our own infrastructure and deliver higher segment operating margins, but also require a higher level of capital expenditures. Conversely, Public Cloud segment operating margins are lower driven by high volumes of infrastructure resale revenue which come at significantly lower margins. However, Public Cloud requires significantly less capital expenditures. Going forward, the focus in Public Cloud is on expanding segment operating margins by driving cost efficiencies and growing services revenue, which are expected to come at higher margins than infrastructure resale.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Shift in Capital Intensity</w:t>
      </w:r>
    </w:p>
    <w:p>
      <w:pPr>
        <w:spacing w:after="0" w:line="252"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In recent years, the mix of our consolidated revenues has shifted from high capital intensity service offerings to low capital intensity service offerings and we expect this mix shift to continue. Historically, we primarily offered managed hosting and OpenStack Public Cloud services to our customers, which required us to deploy servers and equipment to ensure adequate capacity for new customers and, in certain cases, on behalf of customers at the start or during the performance of a contract, resulting in a high level of anticipatory and success-based capital expenditures. Today, the vast majority of our revenue is derived from service offerings, such as managed public cloud services, application services and professional services, which have significantly lower success-based capital requirements because they allow us to leverage our partners' infrastructure or technology to make our capital expenditures more efficient. As a result, we have recently experienced and expect to continue to experience changes in our capital expenditures requirements.</w:t>
      </w:r>
    </w:p>
    <w:p>
      <w:pPr>
        <w:spacing w:after="0" w:line="219"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Our capital expenditures equaled 5% and 6% of our revenue for the three months ended June 30, 2022 and 2023, respectively, and 4% and 8% of our revenue for the six months ended June 30, 2022 and 2023, respectively. While we saw an increase in capital expenditures for the three and six months ended June 30, 2023, we expect to return to our historical capital intensity levels over the longer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Key Components of Statement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39"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A substantial amount of our revenue, particularly within our Private Cloud segment, is generated pursuant to contracts that typically have a fixed term (typically from 12 to 36 months). Our customers generally have the right to cancel their contracts by providing us with written notice prior to the end of the fixed term, though most of our contracts provide for termination fees in the event of cancellation prior to the end of their term, typically amounting to the outstanding value of the contract. These contracts include a monthly recurring fee, which is determined based on the computing resources utilized and provided to the customer, the complexity of the underlying infrastructure and the level of support we provide. Most of our services within our Public Cloud segment and legacy OpenStack business generate usage-based revenue invoiced on a monthly basis and can be canceled at any time without penalty. We also generate revenue from usage-based fees and fees from professional services earned from customers using our hosting and other services. We typically recognize revenue on a daily basis, as services are provided, in an amount that reflects the consideration to which we expect to be entitled in exchange for our services. Our usage-based arrangements generally include a variable consideration component, consisting of monthly utility fees, with a defined price and undefined quantity. Our customer contracts also typically contain service level guarantees, including with respect to network uptime requirements, that provide discounts when we fail to meet specific obligations and, with respect to certain products, we may offer volume discounts based on usage. As these variable consideration components consist of a single distinct daily service provided on a single performance obligation, we account for all of them as services are provided and earned.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52" w:lineRule="exact"/>
        <w:rPr>
          <w:sz w:val="20"/>
          <w:szCs w:val="20"/>
          <w:color w:val="auto"/>
        </w:rPr>
      </w:pPr>
    </w:p>
    <w:p>
      <w:pPr>
        <w:ind w:right="20" w:firstLine="486"/>
        <w:spacing w:after="0" w:line="301" w:lineRule="auto"/>
        <w:rPr>
          <w:sz w:val="20"/>
          <w:szCs w:val="20"/>
          <w:color w:val="auto"/>
        </w:rPr>
      </w:pPr>
      <w:r>
        <w:rPr>
          <w:rFonts w:ascii="Arial" w:cs="Arial" w:eastAsia="Arial" w:hAnsi="Arial"/>
          <w:sz w:val="16"/>
          <w:szCs w:val="16"/>
          <w:color w:val="auto"/>
        </w:rPr>
        <w:t>Cost of revenue consists primarily of usage charges for third-party infrastructure and personnel costs (including salaries, bonuses, benefits and share-based compensation) for engineers, developers and other employees involved in the delivery of services to our customers. Cost of revenue also includes depreciation of servers, software and other systems infrastructure, data center rent and other infrastructure maintenance and support costs, including software license costs and utilities. Cost of revenue is driven mainly by demand for our services, our service mix and the cost of labor in a given geography.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 (SG&amp;A)</w:t>
      </w:r>
    </w:p>
    <w:p>
      <w:pPr>
        <w:spacing w:after="0" w:line="252"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Selling, general and administrative expenses consist primarily of personnel costs (including salaries, bonuses, commissions, benefits and share-based compensation) for our sales force, executive team and corporate administrative and support employees, including our human resources, finance, accounting and legal functions. SG&amp;A also includes research and development costs, repair and maintenance of corporate infrastructure, facilities rent, third-party advisory fees (including audit, legal and management consulting costs), marketing and advertising costs and insurance, as well as the amortization of related intangible assets and certain depreciation of fixed assets.</w:t>
      </w:r>
    </w:p>
    <w:p>
      <w:pPr>
        <w:spacing w:after="0" w:line="215" w:lineRule="exact"/>
        <w:rPr>
          <w:sz w:val="20"/>
          <w:szCs w:val="20"/>
          <w:color w:val="auto"/>
        </w:rPr>
      </w:pPr>
    </w:p>
    <w:p>
      <w:pPr>
        <w:ind w:right="500" w:firstLine="486"/>
        <w:spacing w:after="0" w:line="277" w:lineRule="auto"/>
        <w:rPr>
          <w:sz w:val="20"/>
          <w:szCs w:val="20"/>
          <w:color w:val="auto"/>
        </w:rPr>
      </w:pPr>
      <w:r>
        <w:rPr>
          <w:rFonts w:ascii="Arial" w:cs="Arial" w:eastAsia="Arial" w:hAnsi="Arial"/>
          <w:sz w:val="18"/>
          <w:szCs w:val="18"/>
          <w:color w:val="auto"/>
        </w:rPr>
        <w:t>SG&amp;A also includes transaction costs related to acquisitions and financings along with costs related to integration and business transformation initiatives which may impact the comparability of SG&amp;A between periods.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39"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Our income tax benefit (provision) and deferred tax assets and liabilities reflect management's best assessment of estimated current and future taxes to be paid. We are under certain domestic and foreign tax audits. Due to the complexity involved with certain tax matters, there is the possibility that the various taxing authorities may disagree with certain tax positions filed on our income tax returns. We believe we have made adequate provision for all uncertain tax positions. See Item 1 of Part I, Financial Statements - Note 10,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We discuss our historical results of operations, and the key components of those results, below. Past financial results are not necessarily indicative of future results.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2022 Compared to Three Months Ended June 30, 2023</w:t>
      </w:r>
    </w:p>
    <w:p>
      <w:pPr>
        <w:spacing w:after="0" w:line="252"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The following table sets forth our results of operations for the specified periods, as well as changes between periods and as a percentage of revenue for those same periods (totals in table may not foot due to rounding):</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6"/>
          </w:tcPr>
          <w:p>
            <w:pPr>
              <w:jc w:val="right"/>
              <w:ind w:right="520"/>
              <w:spacing w:after="0"/>
              <w:rPr>
                <w:sz w:val="20"/>
                <w:szCs w:val="20"/>
                <w:color w:val="auto"/>
              </w:rPr>
            </w:pPr>
            <w:r>
              <w:rPr>
                <w:rFonts w:ascii="Arial" w:cs="Arial" w:eastAsia="Arial" w:hAnsi="Arial"/>
                <w:sz w:val="16"/>
                <w:szCs w:val="16"/>
                <w:b w:val="1"/>
                <w:bCs w:val="1"/>
                <w:color w:val="auto"/>
                <w:w w:val="95"/>
              </w:rPr>
              <w:t>Three Months Ended June 30,</w:t>
            </w: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3"/>
        </w:trPr>
        <w:tc>
          <w:tcPr>
            <w:tcW w:w="3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2022</w:t>
            </w:r>
          </w:p>
        </w:tc>
        <w:tc>
          <w:tcPr>
            <w:tcW w:w="10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2023</w:t>
            </w: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6"/>
                <w:szCs w:val="16"/>
                <w:b w:val="1"/>
                <w:bCs w:val="1"/>
                <w:color w:val="auto"/>
                <w:w w:val="96"/>
              </w:rPr>
              <w:t>Year-Over-Year Comparison</w:t>
            </w:r>
          </w:p>
        </w:tc>
      </w:tr>
      <w:tr>
        <w:trPr>
          <w:trHeight w:val="210"/>
        </w:trPr>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6"/>
              </w:rPr>
              <w:t>% Revenue</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Amount</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3"/>
              </w:rPr>
              <w:t>% Revenue</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 Change</w:t>
            </w:r>
          </w:p>
        </w:tc>
      </w:tr>
      <w:tr>
        <w:trPr>
          <w:trHeight w:val="212"/>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772.2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13"/>
        </w:trPr>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(548.2)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(593.2)</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8.2 %</w:t>
            </w:r>
          </w:p>
        </w:tc>
      </w:tr>
      <w:tr>
        <w:trPr>
          <w:trHeight w:val="213"/>
        </w:trPr>
        <w:tc>
          <w:tcPr>
            <w:tcW w:w="3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Gross profit</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(31.7)%</w:t>
            </w:r>
          </w:p>
        </w:tc>
      </w:tr>
      <w:tr>
        <w:trPr>
          <w:trHeight w:val="203"/>
        </w:trPr>
        <w:tc>
          <w:tcPr>
            <w:tcW w:w="328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(220.0)</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(216.9)</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(1.4)%</w:t>
            </w:r>
          </w:p>
        </w:tc>
      </w:tr>
      <w:tr>
        <w:trPr>
          <w:trHeight w:val="209"/>
        </w:trPr>
        <w:tc>
          <w:tcPr>
            <w:tcW w:w="3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Income (loss) from operations</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13"/>
        </w:trPr>
        <w:tc>
          <w:tcPr>
            <w:tcW w:w="3280" w:type="dxa"/>
            <w:vAlign w:val="bottom"/>
          </w:tcPr>
          <w:p>
            <w:pPr>
              <w:ind w:left="20"/>
              <w:spacing w:after="0"/>
              <w:rPr>
                <w:sz w:val="20"/>
                <w:szCs w:val="20"/>
                <w:color w:val="auto"/>
              </w:rPr>
            </w:pPr>
            <w:r>
              <w:rPr>
                <w:rFonts w:ascii="Arial" w:cs="Arial" w:eastAsia="Arial" w:hAnsi="Arial"/>
                <w:sz w:val="16"/>
                <w:szCs w:val="16"/>
                <w:color w:val="auto"/>
              </w:rPr>
              <w:t>Other income (expense):</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3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expense</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13.5 %</w:t>
            </w:r>
          </w:p>
        </w:tc>
      </w:tr>
      <w:tr>
        <w:trPr>
          <w:trHeight w:val="213"/>
        </w:trPr>
        <w:tc>
          <w:tcPr>
            <w:tcW w:w="3280" w:type="dxa"/>
            <w:vAlign w:val="bottom"/>
          </w:tcPr>
          <w:p>
            <w:pPr>
              <w:ind w:left="140"/>
              <w:spacing w:after="0"/>
              <w:rPr>
                <w:sz w:val="20"/>
                <w:szCs w:val="20"/>
                <w:color w:val="auto"/>
              </w:rPr>
            </w:pPr>
            <w:r>
              <w:rPr>
                <w:rFonts w:ascii="Arial" w:cs="Arial" w:eastAsia="Arial" w:hAnsi="Arial"/>
                <w:sz w:val="16"/>
                <w:szCs w:val="16"/>
                <w:color w:val="auto"/>
              </w:rPr>
              <w:t>Gain (loss) on investments, net</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0.0 %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9"/>
        </w:trPr>
        <w:tc>
          <w:tcPr>
            <w:tcW w:w="3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Gain on debt extinguishment</w:t>
            </w:r>
          </w:p>
        </w:tc>
        <w:tc>
          <w:tcPr>
            <w:tcW w:w="22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94.9</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94.9</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16"/>
        </w:trPr>
        <w:tc>
          <w:tcPr>
            <w:tcW w:w="3280" w:type="dxa"/>
            <w:vAlign w:val="bottom"/>
          </w:tcPr>
          <w:p>
            <w:pPr>
              <w:ind w:left="140"/>
              <w:spacing w:after="0"/>
              <w:rPr>
                <w:sz w:val="20"/>
                <w:szCs w:val="20"/>
                <w:color w:val="auto"/>
              </w:rPr>
            </w:pPr>
            <w:r>
              <w:rPr>
                <w:rFonts w:ascii="Arial" w:cs="Arial" w:eastAsia="Arial" w:hAnsi="Arial"/>
                <w:sz w:val="16"/>
                <w:szCs w:val="16"/>
                <w:color w:val="auto"/>
              </w:rPr>
              <w:t>Other income (expense), net</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0.0 %</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0"/>
        </w:trPr>
        <w:tc>
          <w:tcPr>
            <w:tcW w:w="3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other income (expense)</w:t>
            </w: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(56.6)</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5.1 %</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94.5</w:t>
            </w:r>
          </w:p>
        </w:tc>
        <w:tc>
          <w:tcPr>
            <w:tcW w:w="1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06"/>
        </w:trPr>
        <w:tc>
          <w:tcPr>
            <w:tcW w:w="3280" w:type="dxa"/>
            <w:vAlign w:val="bottom"/>
          </w:tcPr>
          <w:p>
            <w:pPr>
              <w:ind w:left="360"/>
              <w:spacing w:after="0"/>
              <w:rPr>
                <w:sz w:val="20"/>
                <w:szCs w:val="20"/>
                <w:color w:val="auto"/>
              </w:rPr>
            </w:pPr>
            <w:r>
              <w:rPr>
                <w:rFonts w:ascii="Arial" w:cs="Arial" w:eastAsia="Arial" w:hAnsi="Arial"/>
                <w:sz w:val="16"/>
                <w:szCs w:val="16"/>
                <w:color w:val="auto"/>
              </w:rPr>
              <w:t>Loss before income taxes</w:t>
            </w: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(52.6)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(25.9)</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26.7</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(50.8)%</w:t>
            </w:r>
          </w:p>
        </w:tc>
      </w:tr>
      <w:tr>
        <w:trPr>
          <w:trHeight w:val="219"/>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Benefit (provision) for income taxes</w:t>
            </w: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10"/>
        </w:trPr>
        <w:tc>
          <w:tcPr>
            <w:tcW w:w="3280" w:type="dxa"/>
            <w:vAlign w:val="bottom"/>
          </w:tcPr>
          <w:p>
            <w:pPr>
              <w:ind w:left="480"/>
              <w:spacing w:after="0"/>
              <w:rPr>
                <w:sz w:val="20"/>
                <w:szCs w:val="20"/>
                <w:color w:val="auto"/>
              </w:rPr>
            </w:pPr>
            <w:r>
              <w:rPr>
                <w:rFonts w:ascii="Arial" w:cs="Arial" w:eastAsia="Arial" w:hAnsi="Arial"/>
                <w:sz w:val="16"/>
                <w:szCs w:val="16"/>
                <w:color w:val="auto"/>
              </w:rPr>
              <w:t>Net loss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(40.6)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(5.2)%</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(27.2)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(3.6)%</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13.4</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(33.0)%</w:t>
            </w:r>
          </w:p>
        </w:tc>
      </w:tr>
      <w:tr>
        <w:trPr>
          <w:trHeight w:val="20"/>
        </w:trPr>
        <w:tc>
          <w:tcPr>
            <w:tcW w:w="3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39" w:lineRule="exact"/>
        <w:rPr>
          <w:sz w:val="20"/>
          <w:szCs w:val="20"/>
          <w:color w:val="auto"/>
        </w:rPr>
      </w:pPr>
    </w:p>
    <w:p>
      <w:pPr>
        <w:ind w:right="400" w:firstLine="486"/>
        <w:spacing w:after="0" w:line="291" w:lineRule="auto"/>
        <w:rPr>
          <w:sz w:val="20"/>
          <w:szCs w:val="20"/>
          <w:color w:val="auto"/>
        </w:rPr>
      </w:pPr>
      <w:r>
        <w:rPr>
          <w:rFonts w:ascii="Arial" w:cs="Arial" w:eastAsia="Arial" w:hAnsi="Arial"/>
          <w:sz w:val="17"/>
          <w:szCs w:val="17"/>
          <w:color w:val="auto"/>
        </w:rPr>
        <w:t>Revenue decreased $26 million, or 3.4%, to $746 million in the three months ended June 30, 2023 from $772 million in the three months ended June 30, 2022. Revenue declined primarily due to Private Cloud, partially offset by growth in Public Cloud, as discussed below.</w:t>
      </w:r>
    </w:p>
    <w:p>
      <w:pPr>
        <w:spacing w:after="0" w:line="187"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color w:val="auto"/>
        </w:rPr>
        <w:t>After removing the impact of foreign currency fluctuations, on a constant currency basis, revenue decreased 3.2% year-over-year. The following table presents revenue growth by segment:</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479"/>
              <w:spacing w:after="0"/>
              <w:rPr>
                <w:sz w:val="20"/>
                <w:szCs w:val="20"/>
                <w:color w:val="auto"/>
              </w:rPr>
            </w:pPr>
            <w:r>
              <w:rPr>
                <w:rFonts w:ascii="Arial" w:cs="Arial" w:eastAsia="Arial" w:hAnsi="Arial"/>
                <w:sz w:val="16"/>
                <w:szCs w:val="16"/>
                <w:b w:val="1"/>
                <w:bCs w:val="1"/>
                <w:color w:val="auto"/>
              </w:rPr>
              <w:t>Three Months Ended June 30,</w:t>
            </w:r>
          </w:p>
        </w:tc>
        <w:tc>
          <w:tcPr>
            <w:tcW w:w="120" w:type="dxa"/>
            <w:vAlign w:val="bottom"/>
          </w:tcPr>
          <w:p>
            <w:pPr>
              <w:spacing w:after="0"/>
              <w:rPr>
                <w:sz w:val="18"/>
                <w:szCs w:val="18"/>
                <w:color w:val="auto"/>
              </w:rPr>
            </w:pPr>
          </w:p>
        </w:tc>
        <w:tc>
          <w:tcPr>
            <w:tcW w:w="3460" w:type="dxa"/>
            <w:vAlign w:val="bottom"/>
            <w:tcBorders>
              <w:bottom w:val="single" w:sz="8" w:color="auto"/>
            </w:tcBorders>
            <w:gridSpan w:val="3"/>
          </w:tcPr>
          <w:p>
            <w:pPr>
              <w:jc w:val="right"/>
              <w:ind w:right="1279"/>
              <w:spacing w:after="0"/>
              <w:rPr>
                <w:sz w:val="20"/>
                <w:szCs w:val="20"/>
                <w:color w:val="auto"/>
              </w:rPr>
            </w:pPr>
            <w:r>
              <w:rPr>
                <w:rFonts w:ascii="Arial" w:cs="Arial" w:eastAsia="Arial" w:hAnsi="Arial"/>
                <w:sz w:val="16"/>
                <w:szCs w:val="16"/>
                <w:b w:val="1"/>
                <w:bCs w:val="1"/>
                <w:color w:val="auto"/>
              </w:rPr>
              <w:t>% Change</w:t>
            </w:r>
          </w:p>
        </w:tc>
      </w:tr>
      <w:tr>
        <w:trPr>
          <w:trHeight w:val="213"/>
        </w:trPr>
        <w:tc>
          <w:tcPr>
            <w:tcW w:w="4440" w:type="dxa"/>
            <w:vAlign w:val="bottom"/>
          </w:tcPr>
          <w:p>
            <w:pPr>
              <w:ind w:left="20"/>
              <w:spacing w:after="0"/>
              <w:rPr>
                <w:sz w:val="20"/>
                <w:szCs w:val="20"/>
                <w:color w:val="auto"/>
              </w:rPr>
            </w:pPr>
            <w:r>
              <w:rPr>
                <w:rFonts w:ascii="Arial" w:cs="Arial" w:eastAsia="Arial" w:hAnsi="Arial"/>
                <w:sz w:val="14"/>
                <w:szCs w:val="14"/>
                <w:color w:val="auto"/>
              </w:rPr>
              <w:t>(In millions, except %)</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16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Actual</w:t>
            </w: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right"/>
              <w:ind w:right="19"/>
              <w:spacing w:after="0" w:line="213" w:lineRule="exact"/>
              <w:rPr>
                <w:sz w:val="20"/>
                <w:szCs w:val="20"/>
                <w:color w:val="auto"/>
              </w:rPr>
            </w:pPr>
            <w:r>
              <w:rPr>
                <w:rFonts w:ascii="Arial" w:cs="Arial" w:eastAsia="Arial" w:hAnsi="Arial"/>
                <w:sz w:val="16"/>
                <w:szCs w:val="16"/>
                <w:b w:val="1"/>
                <w:bCs w:val="1"/>
                <w:color w:val="auto"/>
                <w:w w:val="94"/>
              </w:rPr>
              <w:t xml:space="preserve">Constant Currency </w:t>
            </w:r>
            <w:r>
              <w:rPr>
                <w:rFonts w:ascii="Arial" w:cs="Arial" w:eastAsia="Arial" w:hAnsi="Arial"/>
                <w:sz w:val="21"/>
                <w:szCs w:val="21"/>
                <w:b w:val="1"/>
                <w:bCs w:val="1"/>
                <w:color w:val="auto"/>
                <w:w w:val="94"/>
                <w:vertAlign w:val="superscript"/>
              </w:rPr>
              <w:t>(a)</w:t>
            </w:r>
          </w:p>
        </w:tc>
      </w:tr>
      <w:tr>
        <w:trPr>
          <w:trHeight w:val="210"/>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Public Cloud</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422.1</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434.9</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3.0 %</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3.1 %</w:t>
            </w:r>
          </w:p>
        </w:tc>
      </w:tr>
      <w:tr>
        <w:trPr>
          <w:trHeight w:val="213"/>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Private Cloud</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350.1</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311.4</w:t>
            </w:r>
          </w:p>
        </w:tc>
        <w:tc>
          <w:tcPr>
            <w:tcW w:w="17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(11.1)%</w:t>
            </w:r>
          </w:p>
        </w:tc>
        <w:tc>
          <w:tcPr>
            <w:tcW w:w="18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(10.8)%</w:t>
            </w:r>
          </w:p>
        </w:tc>
      </w:tr>
      <w:tr>
        <w:trPr>
          <w:trHeight w:val="233"/>
        </w:trPr>
        <w:tc>
          <w:tcPr>
            <w:tcW w:w="4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772.2</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746.3</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r>
    </w:tbl>
    <w:p>
      <w:pPr>
        <w:spacing w:after="0" w:line="71" w:lineRule="exact"/>
        <w:rPr>
          <w:sz w:val="20"/>
          <w:szCs w:val="20"/>
          <w:color w:val="auto"/>
        </w:rPr>
      </w:pPr>
    </w:p>
    <w:p>
      <w:pPr>
        <w:ind w:left="400" w:hanging="392"/>
        <w:spacing w:after="0"/>
        <w:tabs>
          <w:tab w:leader="none" w:pos="4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Refer to "</w:t>
      </w:r>
      <w:r>
        <w:rPr>
          <w:rFonts w:ascii="Arial" w:cs="Arial" w:eastAsia="Arial" w:hAnsi="Arial"/>
          <w:sz w:val="16"/>
          <w:szCs w:val="16"/>
          <w:i w:val="1"/>
          <w:iCs w:val="1"/>
          <w:color w:val="auto"/>
        </w:rPr>
        <w:t>Non-GAAP Financial Measures</w:t>
      </w:r>
      <w:r>
        <w:rPr>
          <w:rFonts w:ascii="Arial" w:cs="Arial" w:eastAsia="Arial" w:hAnsi="Arial"/>
          <w:sz w:val="16"/>
          <w:szCs w:val="16"/>
          <w:color w:val="auto"/>
        </w:rPr>
        <w:t>" in this section for further explanation and reconciliation.</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51" w:lineRule="exact"/>
        <w:rPr>
          <w:rFonts w:ascii="Arial" w:cs="Arial" w:eastAsia="Arial" w:hAnsi="Arial"/>
          <w:sz w:val="16"/>
          <w:szCs w:val="16"/>
          <w:color w:val="auto"/>
        </w:rPr>
      </w:pPr>
    </w:p>
    <w:p>
      <w:pPr>
        <w:ind w:left="5540" w:hanging="111"/>
        <w:spacing w:after="0"/>
        <w:tabs>
          <w:tab w:leader="none" w:pos="55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00" w:firstLine="486"/>
        <w:spacing w:after="0" w:line="311" w:lineRule="auto"/>
        <w:rPr>
          <w:sz w:val="20"/>
          <w:szCs w:val="20"/>
          <w:color w:val="auto"/>
        </w:rPr>
      </w:pPr>
      <w:r>
        <w:rPr>
          <w:rFonts w:ascii="Arial" w:cs="Arial" w:eastAsia="Arial" w:hAnsi="Arial"/>
          <w:sz w:val="16"/>
          <w:szCs w:val="16"/>
          <w:color w:val="auto"/>
        </w:rPr>
        <w:t>Public Cloud revenue in the three months ended June 30, 2023 increased 3% on an actual and constant currency basis, from the three months ended June 30, 2022. Underlying growth was driven by both the acquisition of new customers and increased spend by existing customers, partially offset by cancellations by existing customers. Offerings in this segment with the strongest growth include infrastructure resale on AWS and Microsoft Azure.</w:t>
      </w:r>
    </w:p>
    <w:p>
      <w:pPr>
        <w:spacing w:after="0" w:line="176" w:lineRule="exact"/>
        <w:rPr>
          <w:sz w:val="20"/>
          <w:szCs w:val="20"/>
          <w:color w:val="auto"/>
        </w:rPr>
      </w:pPr>
    </w:p>
    <w:p>
      <w:pPr>
        <w:jc w:val="both"/>
        <w:ind w:right="420" w:firstLine="486"/>
        <w:spacing w:after="0" w:line="263" w:lineRule="auto"/>
        <w:rPr>
          <w:sz w:val="20"/>
          <w:szCs w:val="20"/>
          <w:color w:val="auto"/>
        </w:rPr>
      </w:pPr>
      <w:r>
        <w:rPr>
          <w:rFonts w:ascii="Arial" w:cs="Arial" w:eastAsia="Arial" w:hAnsi="Arial"/>
          <w:sz w:val="18"/>
          <w:szCs w:val="18"/>
          <w:color w:val="auto"/>
        </w:rPr>
        <w:t>Private Cloud revenue in the three months ended June 30, 2023 decreased 11% on an actual and constant currency basis, from the three months ended June 30, 2022, due to customers rolling off old generation private cloud offerings, expected decline in our legacy OpenStack business, and the impact from the Hosted Exchange incident.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252"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Cost of revenue increased $45 million, or 8%, to $593 million in the three months ended June 30, 2023 from $548 million in the three months ended June 30, 2022, primarily due to an increase in usage charges for third-party infrastructure associated with growth in these offerings. Data center costs increased as additional space was required to support customer growth and license expense increased as a result of increased usage between periods. Personnel costs were relatively flat between periods as higher severance expense in the three months ended June 30, 2023 was largely offset by lower non-equity incentive compensation.</w:t>
      </w:r>
    </w:p>
    <w:p>
      <w:pPr>
        <w:spacing w:after="0" w:line="215" w:lineRule="exact"/>
        <w:rPr>
          <w:sz w:val="20"/>
          <w:szCs w:val="20"/>
          <w:color w:val="auto"/>
        </w:rPr>
      </w:pPr>
    </w:p>
    <w:p>
      <w:pPr>
        <w:jc w:val="both"/>
        <w:ind w:right="200" w:firstLine="486"/>
        <w:spacing w:after="0" w:line="263" w:lineRule="auto"/>
        <w:rPr>
          <w:sz w:val="20"/>
          <w:szCs w:val="20"/>
          <w:color w:val="auto"/>
        </w:rPr>
      </w:pPr>
      <w:r>
        <w:rPr>
          <w:rFonts w:ascii="Arial" w:cs="Arial" w:eastAsia="Arial" w:hAnsi="Arial"/>
          <w:sz w:val="18"/>
          <w:szCs w:val="18"/>
          <w:color w:val="auto"/>
        </w:rPr>
        <w:t>As a percentage of revenue, cost of revenue increased 850 basis points in the three months ended June 30, 2023 to 79.5% from 71.0% in the three months ended June 30, 2022, primarily driven by a 500 basis point increase in usage charges for third-party infrastructure. Higher data center and license costs also contributed to the increase in basis points between periods.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39" w:lineRule="exact"/>
        <w:rPr>
          <w:sz w:val="20"/>
          <w:szCs w:val="20"/>
          <w:color w:val="auto"/>
        </w:rPr>
      </w:pPr>
    </w:p>
    <w:p>
      <w:pPr>
        <w:jc w:val="both"/>
        <w:ind w:right="120" w:firstLine="486"/>
        <w:spacing w:after="0" w:line="263" w:lineRule="auto"/>
        <w:rPr>
          <w:sz w:val="20"/>
          <w:szCs w:val="20"/>
          <w:color w:val="auto"/>
        </w:rPr>
      </w:pPr>
      <w:r>
        <w:rPr>
          <w:rFonts w:ascii="Arial" w:cs="Arial" w:eastAsia="Arial" w:hAnsi="Arial"/>
          <w:sz w:val="18"/>
          <w:szCs w:val="18"/>
          <w:color w:val="auto"/>
        </w:rPr>
        <w:t>Our gross profit was $153 million in the three months ended June 30, 2023, a decrease of $71 million from $224 million in the three months ended June 30, 2022. Our consolidated gross margin was 20.5% in the three months ended June 30, 2023, a decrease of 850 basis points from 29.0% in the three months ended June 30,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52" w:lineRule="exact"/>
        <w:rPr>
          <w:sz w:val="20"/>
          <w:szCs w:val="20"/>
          <w:color w:val="auto"/>
        </w:rPr>
      </w:pPr>
    </w:p>
    <w:p>
      <w:pPr>
        <w:ind w:right="60" w:firstLine="486"/>
        <w:spacing w:after="0" w:line="273" w:lineRule="auto"/>
        <w:rPr>
          <w:sz w:val="20"/>
          <w:szCs w:val="20"/>
          <w:color w:val="auto"/>
        </w:rPr>
      </w:pPr>
      <w:r>
        <w:rPr>
          <w:rFonts w:ascii="Arial" w:cs="Arial" w:eastAsia="Arial" w:hAnsi="Arial"/>
          <w:sz w:val="17"/>
          <w:szCs w:val="17"/>
          <w:color w:val="auto"/>
        </w:rPr>
        <w:t>Selling, general and administrative expenses decreased $3 million, or 1%, to $217 million in the three months ended June 30, 2023 from $220 million in the three months ended June 30, 2022. Personnel costs declined between periods due to reductions in salaries, share-based compensation, non-equity incentive compensation, and commissions expense, partially offset by higher severance expense between periods. Other non-personnel costs fluctuations include lower marketing spend, offset by higher office rent, professional fees, including costs incurred in the current period related to the December 2022 Hosted Exchange incident, and depreciation and amortization between periods. The increase in office rent includes $12 million of expense recognized for a UK office that we exited in the second quarter of 2023, prior to the lease end date.</w:t>
      </w:r>
    </w:p>
    <w:p>
      <w:pPr>
        <w:spacing w:after="0" w:line="205" w:lineRule="exact"/>
        <w:rPr>
          <w:sz w:val="20"/>
          <w:szCs w:val="20"/>
          <w:color w:val="auto"/>
        </w:rPr>
      </w:pPr>
    </w:p>
    <w:p>
      <w:pPr>
        <w:ind w:right="220" w:firstLine="486"/>
        <w:spacing w:after="0" w:line="263" w:lineRule="auto"/>
        <w:rPr>
          <w:sz w:val="20"/>
          <w:szCs w:val="20"/>
          <w:color w:val="auto"/>
        </w:rPr>
      </w:pPr>
      <w:r>
        <w:rPr>
          <w:rFonts w:ascii="Arial" w:cs="Arial" w:eastAsia="Arial" w:hAnsi="Arial"/>
          <w:sz w:val="18"/>
          <w:szCs w:val="18"/>
          <w:color w:val="auto"/>
        </w:rPr>
        <w:t>As a percentage of revenue, selling, general and administrative expenses increased 60 basis points, to 29.1% in the three months ended June 30, 2023 from 28.5% in the three months ended June 30, 2022, as the decline in revenue was greater than the reduction in expense, for the reasons discussed above.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(Loss) from Operations, Segment Operating Profit, and Non-GAAP Operating Profit</w:t>
      </w:r>
    </w:p>
    <w:p>
      <w:pPr>
        <w:spacing w:after="0" w:line="252"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Our loss from operations was $64 million in the three months ended June 30, 2023, a decrease of $68 million from $4 million income from operations in the three months ended June 30, 2022. Our Non-GAAP Operating Profit was $39 million in the three months ended June 30, 2023, a decrease of $60 million from $99 million in the three months ended June 30, 2022. Non-GAAP Operating Profit is a non-GAAP financial measure. See "Non-GAAP Financial Measures" below for more information.</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table below presents a reconciliation of income (loss) from operations to Non-GAAP Operating Profit.</w:t>
      </w:r>
    </w:p>
    <w:p>
      <w:pPr>
        <w:spacing w:after="0" w:line="388" w:lineRule="exact"/>
        <w:rPr>
          <w:sz w:val="20"/>
          <w:szCs w:val="20"/>
          <w:color w:val="auto"/>
        </w:rPr>
      </w:pPr>
    </w:p>
    <w:p>
      <w:pPr>
        <w:ind w:left="8540"/>
        <w:spacing w:after="0"/>
        <w:rPr>
          <w:sz w:val="20"/>
          <w:szCs w:val="20"/>
          <w:color w:val="auto"/>
        </w:rPr>
      </w:pPr>
      <w:r>
        <w:rPr>
          <w:rFonts w:ascii="Arial" w:cs="Arial" w:eastAsia="Arial" w:hAnsi="Arial"/>
          <w:sz w:val="16"/>
          <w:szCs w:val="16"/>
          <w:b w:val="1"/>
          <w:bCs w:val="1"/>
          <w:color w:val="auto"/>
        </w:rPr>
        <w:t>Three Months Ended June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2023</w:t>
            </w:r>
          </w:p>
        </w:tc>
      </w:tr>
      <w:tr>
        <w:trPr>
          <w:trHeight w:val="212"/>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from operations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w:t>
            </w: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color w:val="auto"/>
              </w:rPr>
              <w:t>Share-based compensation expense</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19.5</w:t>
            </w:r>
          </w:p>
        </w:tc>
      </w:tr>
      <w:tr>
        <w:trPr>
          <w:trHeight w:val="219"/>
        </w:trPr>
        <w:tc>
          <w:tcPr>
            <w:tcW w:w="794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Special bonuses and other compensation expense </w:t>
            </w:r>
            <w:r>
              <w:rPr>
                <w:rFonts w:ascii="Arial" w:cs="Arial" w:eastAsia="Arial" w:hAnsi="Arial"/>
                <w:sz w:val="21"/>
                <w:szCs w:val="21"/>
                <w:color w:val="auto"/>
                <w:vertAlign w:val="superscript"/>
              </w:rPr>
              <w:t>(a)</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r>
      <w:tr>
        <w:trPr>
          <w:trHeight w:val="216"/>
        </w:trPr>
        <w:tc>
          <w:tcPr>
            <w:tcW w:w="79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Transaction-related adjustments, net </w:t>
            </w:r>
            <w:r>
              <w:rPr>
                <w:rFonts w:ascii="Arial" w:cs="Arial" w:eastAsia="Arial" w:hAnsi="Arial"/>
                <w:sz w:val="21"/>
                <w:szCs w:val="21"/>
                <w:color w:val="auto"/>
                <w:vertAlign w:val="superscript"/>
              </w:rPr>
              <w:t>(b)</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6"/>
        </w:trPr>
        <w:tc>
          <w:tcPr>
            <w:tcW w:w="79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Restructuring and transformation expenses </w:t>
            </w:r>
            <w:r>
              <w:rPr>
                <w:rFonts w:ascii="Arial" w:cs="Arial" w:eastAsia="Arial" w:hAnsi="Arial"/>
                <w:sz w:val="21"/>
                <w:szCs w:val="21"/>
                <w:color w:val="auto"/>
                <w:vertAlign w:val="superscript"/>
              </w:rPr>
              <w:t>(c)</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w:t>
            </w: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color w:val="auto"/>
              </w:rPr>
              <w:t>Hosted Exchange incident expenses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19"/>
        </w:trPr>
        <w:tc>
          <w:tcPr>
            <w:tcW w:w="794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Amortization of intangible assets </w:t>
            </w:r>
            <w:r>
              <w:rPr>
                <w:rFonts w:ascii="Arial" w:cs="Arial" w:eastAsia="Arial" w:hAnsi="Arial"/>
                <w:sz w:val="21"/>
                <w:szCs w:val="21"/>
                <w:color w:val="auto"/>
                <w:vertAlign w:val="superscript"/>
              </w:rPr>
              <w:t>(d)</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w:t>
            </w:r>
          </w:p>
        </w:tc>
      </w:tr>
      <w:tr>
        <w:trPr>
          <w:trHeight w:val="216"/>
        </w:trPr>
        <w:tc>
          <w:tcPr>
            <w:tcW w:w="794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 xml:space="preserve">UK office closure </w:t>
            </w:r>
            <w:r>
              <w:rPr>
                <w:rFonts w:ascii="Arial" w:cs="Arial" w:eastAsia="Arial" w:hAnsi="Arial"/>
                <w:sz w:val="21"/>
                <w:szCs w:val="21"/>
                <w:color w:val="auto"/>
                <w:vertAlign w:val="superscript"/>
              </w:rPr>
              <w:t>(e)</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w:t>
            </w:r>
          </w:p>
        </w:tc>
      </w:tr>
      <w:tr>
        <w:trPr>
          <w:trHeight w:val="229"/>
        </w:trPr>
        <w:tc>
          <w:tcPr>
            <w:tcW w:w="79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Non-GAAP Operating Profit</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98.5</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500" w:right="60" w:hanging="347"/>
        <w:spacing w:after="0" w:line="277" w:lineRule="auto"/>
        <w:tabs>
          <w:tab w:leader="none" w:pos="5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Includes expense related to retention bonuses, mainly relating to restructuring and integration projects, and the related payroll tax, senior executive signing bonuses and relocation costs, and payroll taxes associated with the exercise of stock options and vesting of restricted stock. Beginning in the second quarter of 2023, includes expense related to the one-time grant of long-term incentive bonuses as a component of our annual compensation award process.</w:t>
      </w:r>
    </w:p>
    <w:p>
      <w:pPr>
        <w:spacing w:after="0" w:line="10" w:lineRule="exact"/>
        <w:rPr>
          <w:rFonts w:ascii="Arial" w:cs="Arial" w:eastAsia="Arial" w:hAnsi="Arial"/>
          <w:sz w:val="15"/>
          <w:szCs w:val="15"/>
          <w:color w:val="auto"/>
        </w:rPr>
      </w:pPr>
    </w:p>
    <w:p>
      <w:pPr>
        <w:ind w:left="500" w:right="80" w:hanging="352"/>
        <w:spacing w:after="0" w:line="261" w:lineRule="auto"/>
        <w:tabs>
          <w:tab w:leader="none" w:pos="5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legal, professional, accounting and other advisory fees related to acquisitions, certain one-time compliance costs related to being a public company, integration costs of acquired businesses, purchase accounting adjustments, payroll costs for employees that dedicate significant time to supporting these projects and exploratory acquisition and divestiture costs and expenses related to financing activities.</w:t>
      </w:r>
    </w:p>
    <w:p>
      <w:pPr>
        <w:spacing w:after="0" w:line="20" w:lineRule="exact"/>
        <w:rPr>
          <w:rFonts w:ascii="Arial" w:cs="Arial" w:eastAsia="Arial" w:hAnsi="Arial"/>
          <w:sz w:val="16"/>
          <w:szCs w:val="16"/>
          <w:color w:val="auto"/>
        </w:rPr>
      </w:pPr>
    </w:p>
    <w:p>
      <w:pPr>
        <w:ind w:left="500" w:right="140" w:hanging="347"/>
        <w:spacing w:after="0" w:line="250" w:lineRule="auto"/>
        <w:tabs>
          <w:tab w:leader="none" w:pos="5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consulting and advisory fees related to business transformation and optimization activities, payroll costs for employees that dedicate significant time to these projects, as well as associated severance, certain facility closure costs, and lease termination expenses. This amount also includes total charges of $1.0 million for the three months ended June 30, 2022 related to the July 2021 Restructuring Plan which are not accounted for as exit and disposal costs under ASC 420, including one-time offshore build out costs.</w:t>
      </w:r>
    </w:p>
    <w:p>
      <w:pPr>
        <w:spacing w:after="0" w:line="29" w:lineRule="exact"/>
        <w:rPr>
          <w:rFonts w:ascii="Arial" w:cs="Arial" w:eastAsia="Arial" w:hAnsi="Arial"/>
          <w:sz w:val="16"/>
          <w:szCs w:val="16"/>
          <w:color w:val="auto"/>
        </w:rPr>
      </w:pPr>
    </w:p>
    <w:p>
      <w:pPr>
        <w:ind w:left="500" w:hanging="352"/>
        <w:spacing w:after="0"/>
        <w:tabs>
          <w:tab w:leader="none" w:pos="5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All of our intangible assets are attributable to acquisitions, including the Rackspace Acquisition in 2016.</w:t>
      </w:r>
    </w:p>
    <w:p>
      <w:pPr>
        <w:spacing w:after="0" w:line="59" w:lineRule="exact"/>
        <w:rPr>
          <w:rFonts w:ascii="Arial" w:cs="Arial" w:eastAsia="Arial" w:hAnsi="Arial"/>
          <w:sz w:val="16"/>
          <w:szCs w:val="16"/>
          <w:color w:val="auto"/>
        </w:rPr>
      </w:pPr>
    </w:p>
    <w:p>
      <w:pPr>
        <w:ind w:left="500" w:hanging="347"/>
        <w:spacing w:after="0"/>
        <w:tabs>
          <w:tab w:leader="none" w:pos="5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Expense recognized related to the closure of a UK office that we exited in the second quarter of 2023 prior to the lease end date.</w:t>
      </w:r>
    </w:p>
    <w:p>
      <w:pPr>
        <w:spacing w:after="0" w:line="36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Our segment operating profit and segment operating margin for the periods indicated, and the change between periods is shown in the table below:</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w w:val="98"/>
              </w:rPr>
              <w:t>Three Months Ended June 30,</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3"/>
        </w:trPr>
        <w:tc>
          <w:tcPr>
            <w:tcW w:w="4100" w:type="dxa"/>
            <w:vAlign w:val="bottom"/>
          </w:tcPr>
          <w:p>
            <w:pPr>
              <w:ind w:left="20"/>
              <w:spacing w:after="0"/>
              <w:rPr>
                <w:sz w:val="20"/>
                <w:szCs w:val="20"/>
                <w:color w:val="auto"/>
              </w:rPr>
            </w:pPr>
            <w:r>
              <w:rPr>
                <w:rFonts w:ascii="Arial" w:cs="Arial" w:eastAsia="Arial" w:hAnsi="Arial"/>
                <w:sz w:val="14"/>
                <w:szCs w:val="14"/>
                <w:color w:val="auto"/>
              </w:rPr>
              <w:t>(In millions, except %)</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899"/>
              <w:spacing w:after="0"/>
              <w:rPr>
                <w:sz w:val="20"/>
                <w:szCs w:val="20"/>
                <w:color w:val="auto"/>
              </w:rPr>
            </w:pPr>
            <w:r>
              <w:rPr>
                <w:rFonts w:ascii="Arial" w:cs="Arial" w:eastAsia="Arial" w:hAnsi="Arial"/>
                <w:sz w:val="16"/>
                <w:szCs w:val="16"/>
                <w:b w:val="1"/>
                <w:bCs w:val="1"/>
                <w:color w:val="auto"/>
                <w:w w:val="89"/>
              </w:rPr>
              <w:t>2022</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899"/>
              <w:spacing w:after="0"/>
              <w:rPr>
                <w:sz w:val="20"/>
                <w:szCs w:val="20"/>
                <w:color w:val="auto"/>
              </w:rPr>
            </w:pPr>
            <w:r>
              <w:rPr>
                <w:rFonts w:ascii="Arial" w:cs="Arial" w:eastAsia="Arial" w:hAnsi="Arial"/>
                <w:sz w:val="16"/>
                <w:szCs w:val="16"/>
                <w:b w:val="1"/>
                <w:bCs w:val="1"/>
                <w:color w:val="auto"/>
                <w:w w:val="89"/>
              </w:rPr>
              <w:t>2023</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6"/>
                <w:szCs w:val="16"/>
                <w:b w:val="1"/>
                <w:bCs w:val="1"/>
                <w:color w:val="auto"/>
                <w:w w:val="93"/>
              </w:rPr>
              <w:t>Year-Over-Year Comparison</w:t>
            </w:r>
          </w:p>
        </w:tc>
      </w:tr>
      <w:tr>
        <w:trPr>
          <w:trHeight w:val="158"/>
        </w:trPr>
        <w:tc>
          <w:tcPr>
            <w:tcW w:w="4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right"/>
              <w:spacing w:after="0" w:line="158" w:lineRule="exact"/>
              <w:rPr>
                <w:sz w:val="20"/>
                <w:szCs w:val="20"/>
                <w:color w:val="auto"/>
              </w:rPr>
            </w:pPr>
            <w:r>
              <w:rPr>
                <w:rFonts w:ascii="Arial" w:cs="Arial" w:eastAsia="Arial" w:hAnsi="Arial"/>
                <w:sz w:val="16"/>
                <w:szCs w:val="16"/>
                <w:b w:val="1"/>
                <w:bCs w:val="1"/>
                <w:color w:val="auto"/>
              </w:rPr>
              <w:t>% of Segment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spacing w:after="0" w:line="158" w:lineRule="exact"/>
              <w:rPr>
                <w:sz w:val="20"/>
                <w:szCs w:val="20"/>
                <w:color w:val="auto"/>
              </w:rPr>
            </w:pPr>
            <w:r>
              <w:rPr>
                <w:rFonts w:ascii="Arial" w:cs="Arial" w:eastAsia="Arial" w:hAnsi="Arial"/>
                <w:sz w:val="16"/>
                <w:szCs w:val="16"/>
                <w:b w:val="1"/>
                <w:bCs w:val="1"/>
                <w:color w:val="auto"/>
                <w:w w:val="98"/>
              </w:rPr>
              <w:t>% of Segment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b w:val="1"/>
                <w:bCs w:val="1"/>
                <w:color w:val="auto"/>
              </w:rPr>
              <w:t>Segment operating profit:</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Amount</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Revenue</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Amount</w:t>
            </w: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Revenue</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10"/>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Public Cloud</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7.1 %</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3.9 %</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(43.1)%</w:t>
            </w:r>
          </w:p>
        </w:tc>
      </w:tr>
      <w:tr>
        <w:trPr>
          <w:trHeight w:val="213"/>
        </w:trPr>
        <w:tc>
          <w:tcPr>
            <w:tcW w:w="4100" w:type="dxa"/>
            <w:vAlign w:val="bottom"/>
          </w:tcPr>
          <w:p>
            <w:pPr>
              <w:ind w:left="20"/>
              <w:spacing w:after="0"/>
              <w:rPr>
                <w:sz w:val="20"/>
                <w:szCs w:val="20"/>
                <w:color w:val="auto"/>
              </w:rPr>
            </w:pPr>
            <w:r>
              <w:rPr>
                <w:rFonts w:ascii="Arial" w:cs="Arial" w:eastAsia="Arial" w:hAnsi="Arial"/>
                <w:sz w:val="16"/>
                <w:szCs w:val="16"/>
                <w:color w:val="auto"/>
              </w:rPr>
              <w:t>Private Cloud</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132.7</w:t>
            </w:r>
          </w:p>
        </w:tc>
        <w:tc>
          <w:tcPr>
            <w:tcW w:w="1320" w:type="dxa"/>
            <w:vAlign w:val="bottom"/>
            <w:gridSpan w:val="3"/>
          </w:tcPr>
          <w:p>
            <w:pPr>
              <w:jc w:val="right"/>
              <w:spacing w:after="0"/>
              <w:rPr>
                <w:sz w:val="20"/>
                <w:szCs w:val="20"/>
                <w:color w:val="auto"/>
              </w:rPr>
            </w:pPr>
            <w:r>
              <w:rPr>
                <w:rFonts w:ascii="Arial" w:cs="Arial" w:eastAsia="Arial" w:hAnsi="Arial"/>
                <w:sz w:val="16"/>
                <w:szCs w:val="16"/>
                <w:color w:val="auto"/>
              </w:rPr>
              <w:t>37.9 %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86.8</w:t>
            </w:r>
          </w:p>
        </w:tc>
        <w:tc>
          <w:tcPr>
            <w:tcW w:w="1320" w:type="dxa"/>
            <w:vAlign w:val="bottom"/>
            <w:gridSpan w:val="3"/>
          </w:tcPr>
          <w:p>
            <w:pPr>
              <w:jc w:val="right"/>
              <w:spacing w:after="0"/>
              <w:rPr>
                <w:sz w:val="20"/>
                <w:szCs w:val="20"/>
                <w:color w:val="auto"/>
              </w:rPr>
            </w:pPr>
            <w:r>
              <w:rPr>
                <w:rFonts w:ascii="Arial" w:cs="Arial" w:eastAsia="Arial" w:hAnsi="Arial"/>
                <w:sz w:val="16"/>
                <w:szCs w:val="16"/>
                <w:color w:val="auto"/>
              </w:rPr>
              <w:t>27.9 %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(45.9)</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(34.6)%</w:t>
            </w:r>
          </w:p>
        </w:tc>
      </w:tr>
      <w:tr>
        <w:trPr>
          <w:trHeight w:val="212"/>
        </w:trPr>
        <w:tc>
          <w:tcPr>
            <w:tcW w:w="41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consolidated segment operating profit</w:t>
            </w: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162.6</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103.8</w:t>
            </w: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(58.8)</w:t>
            </w:r>
          </w:p>
        </w:tc>
        <w:tc>
          <w:tcPr>
            <w:tcW w:w="12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(36.2)%</w:t>
            </w:r>
          </w:p>
        </w:tc>
      </w:tr>
      <w:tr>
        <w:trPr>
          <w:trHeight w:val="213"/>
        </w:trPr>
        <w:tc>
          <w:tcPr>
            <w:tcW w:w="410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Corporate functions</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(64.1)</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(64.8)</w:t>
            </w:r>
          </w:p>
        </w:tc>
        <w:tc>
          <w:tcPr>
            <w:tcW w:w="12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1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1.1 %</w:t>
            </w:r>
          </w:p>
        </w:tc>
      </w:tr>
      <w:tr>
        <w:trPr>
          <w:trHeight w:val="233"/>
        </w:trPr>
        <w:tc>
          <w:tcPr>
            <w:tcW w:w="4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Non-GAAP Operating Profit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98.5</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(60.4)%</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bl>
    <w:p>
      <w:pPr>
        <w:spacing w:after="0" w:line="283"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Public Cloud operating profit decreased 43% in the three months ended June 30, 2023 from the three months ended June 30, 2022. Segment operating profit as a percentage of segment revenue decreased by 320 basis points, reflecting a 7% increase in segment operating expenses, partially offset by a 3% increase in segment revenue. The increase in costs was mainly driven by higher third-party infrastructure costs due to the increase in revenue with additional increases in customer licenses.</w:t>
      </w:r>
    </w:p>
    <w:p>
      <w:pPr>
        <w:spacing w:after="0" w:line="214" w:lineRule="exact"/>
        <w:rPr>
          <w:sz w:val="20"/>
          <w:szCs w:val="20"/>
          <w:color w:val="auto"/>
        </w:rPr>
      </w:pPr>
    </w:p>
    <w:p>
      <w:pPr>
        <w:ind w:right="440" w:firstLine="486"/>
        <w:spacing w:after="0" w:line="286" w:lineRule="auto"/>
        <w:rPr>
          <w:sz w:val="20"/>
          <w:szCs w:val="20"/>
          <w:color w:val="auto"/>
        </w:rPr>
      </w:pPr>
      <w:r>
        <w:rPr>
          <w:rFonts w:ascii="Arial" w:cs="Arial" w:eastAsia="Arial" w:hAnsi="Arial"/>
          <w:sz w:val="17"/>
          <w:szCs w:val="17"/>
          <w:color w:val="auto"/>
        </w:rPr>
        <w:t>Private Cloud operating profit decreased 35% in the three months ended June 30, 2023 from the three months ended June 30, 2022. Segment operating profit as a percentage of segment revenue decreased by 1,000 basis points, due to an 11% decrease in segment revenue and a 3% increase in segment operating expenses. The increase in costs was mainly driven by higher data center costs in the current period.</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380" w:firstLine="486"/>
        <w:spacing w:after="0" w:line="263" w:lineRule="auto"/>
        <w:rPr>
          <w:sz w:val="20"/>
          <w:szCs w:val="20"/>
          <w:color w:val="auto"/>
        </w:rPr>
      </w:pPr>
      <w:r>
        <w:rPr>
          <w:rFonts w:ascii="Arial" w:cs="Arial" w:eastAsia="Arial" w:hAnsi="Arial"/>
          <w:sz w:val="18"/>
          <w:szCs w:val="18"/>
          <w:color w:val="auto"/>
        </w:rPr>
        <w:t>Centralized corporate functions that provide services to the segments in areas such as accounting, information technology, marketing, legal and human resources are not allocated to the segments and are included in "corporate functions" in the table above. This expense increased 1% in the three months ended June 30, 2023 from the three months ended June 30, 2022.</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For more information about our segment operating profit, see Item 1 of Part I, Financial Statements - Note 14, "Segment Reporting."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39"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Interest expense increased $7 million, or 13%, to $57 million in the three months ended June 30, 2023 from $51 million in the three months ended June 30, 2022, due primarily to rising interest rates and the impact on our variable-rate Term Loan Facility.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Debt Extinguishment</w:t>
      </w:r>
    </w:p>
    <w:p>
      <w:pPr>
        <w:spacing w:after="0" w:line="239" w:lineRule="exact"/>
        <w:rPr>
          <w:sz w:val="20"/>
          <w:szCs w:val="20"/>
          <w:color w:val="auto"/>
        </w:rPr>
      </w:pPr>
    </w:p>
    <w:p>
      <w:pPr>
        <w:ind w:right="300" w:firstLine="486"/>
        <w:spacing w:after="0" w:line="308" w:lineRule="auto"/>
        <w:rPr>
          <w:sz w:val="20"/>
          <w:szCs w:val="20"/>
          <w:color w:val="auto"/>
        </w:rPr>
      </w:pPr>
      <w:r>
        <w:rPr>
          <w:rFonts w:ascii="Arial" w:cs="Arial" w:eastAsia="Arial" w:hAnsi="Arial"/>
          <w:sz w:val="17"/>
          <w:szCs w:val="17"/>
          <w:color w:val="auto"/>
        </w:rPr>
        <w:t>We recorded a $95 million gain on debt extinguishment in the three months ended June 30, 2023 related to repurchases of $142 million principal amount of 5.375% Senior Notes. We did not record a gain on debt extinguishment in the three months ended June 30, 2022.</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239" w:lineRule="exact"/>
        <w:rPr>
          <w:sz w:val="20"/>
          <w:szCs w:val="20"/>
          <w:color w:val="auto"/>
        </w:rPr>
      </w:pPr>
    </w:p>
    <w:p>
      <w:pPr>
        <w:ind w:right="440" w:firstLine="486"/>
        <w:spacing w:after="0" w:line="277" w:lineRule="auto"/>
        <w:rPr>
          <w:sz w:val="20"/>
          <w:szCs w:val="20"/>
          <w:color w:val="auto"/>
        </w:rPr>
      </w:pPr>
      <w:r>
        <w:rPr>
          <w:rFonts w:ascii="Arial" w:cs="Arial" w:eastAsia="Arial" w:hAnsi="Arial"/>
          <w:sz w:val="18"/>
          <w:szCs w:val="18"/>
          <w:color w:val="auto"/>
        </w:rPr>
        <w:t>We had $0.2 million of other income and $6 million of other expense in the three months ended June 30, 2023 and June 30, 2022, respectively, primarily due to foreign currency transaction gains and losses between periods.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 (Provision) for Income Taxes</w:t>
      </w:r>
    </w:p>
    <w:p>
      <w:pPr>
        <w:spacing w:after="0" w:line="239" w:lineRule="exact"/>
        <w:rPr>
          <w:sz w:val="20"/>
          <w:szCs w:val="20"/>
          <w:color w:val="auto"/>
        </w:rPr>
      </w:pPr>
    </w:p>
    <w:p>
      <w:pPr>
        <w:ind w:firstLine="486"/>
        <w:spacing w:after="0" w:line="296" w:lineRule="auto"/>
        <w:rPr>
          <w:sz w:val="20"/>
          <w:szCs w:val="20"/>
          <w:color w:val="auto"/>
        </w:rPr>
      </w:pPr>
      <w:r>
        <w:rPr>
          <w:rFonts w:ascii="Arial" w:cs="Arial" w:eastAsia="Arial" w:hAnsi="Arial"/>
          <w:sz w:val="16"/>
          <w:szCs w:val="16"/>
          <w:color w:val="auto"/>
        </w:rPr>
        <w:t>We had a $1 million income tax expense in the three months ended June 30, 2023 compared to a $12 million income tax benefit in the three months ended June 30, 2022. Our effective tax rate decreased to (5.1)% in the three months ended June 30, 2023 from 22.9% in the three months ended June 30, 2022. The decrease in the effective tax rate year-over-year and the difference between the effective tax rate and the statutory rate for the three months ended June 30, 2023 is primarily due to the tax impact associated with changes in the valuation allowance, geographic distribution of profits, the tax effects from nondeductible share-based compensation, and executive compensation that is nondeductible under IRC Section 162(m).</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2022 Compared to Six Months Ended June 30, 2023</w:t>
      </w:r>
    </w:p>
    <w:p>
      <w:pPr>
        <w:spacing w:after="0" w:line="252"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The following table sets forth our results of operations for the specified periods, as well as changes between periods and as a percentage of revenue for those same periods (totals in table may not foot due to rounding):</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6"/>
          </w:tcPr>
          <w:p>
            <w:pPr>
              <w:jc w:val="right"/>
              <w:ind w:right="600"/>
              <w:spacing w:after="0"/>
              <w:rPr>
                <w:sz w:val="20"/>
                <w:szCs w:val="20"/>
                <w:color w:val="auto"/>
              </w:rPr>
            </w:pPr>
            <w:r>
              <w:rPr>
                <w:rFonts w:ascii="Arial" w:cs="Arial" w:eastAsia="Arial" w:hAnsi="Arial"/>
                <w:sz w:val="16"/>
                <w:szCs w:val="16"/>
                <w:b w:val="1"/>
                <w:bCs w:val="1"/>
                <w:color w:val="auto"/>
              </w:rPr>
              <w:t>Six Months Ended June 30,</w:t>
            </w:r>
          </w:p>
        </w:tc>
        <w:tc>
          <w:tcPr>
            <w:tcW w:w="10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3"/>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2022</w:t>
            </w:r>
          </w:p>
        </w:tc>
        <w:tc>
          <w:tcPr>
            <w:tcW w:w="10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2023</w:t>
            </w:r>
          </w:p>
        </w:tc>
        <w:tc>
          <w:tcPr>
            <w:tcW w:w="10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6"/>
                <w:szCs w:val="16"/>
                <w:b w:val="1"/>
                <w:bCs w:val="1"/>
                <w:color w:val="auto"/>
                <w:w w:val="96"/>
              </w:rPr>
              <w:t>Year-Over-Year Comparison</w:t>
            </w:r>
          </w:p>
        </w:tc>
      </w:tr>
      <w:tr>
        <w:trPr>
          <w:trHeight w:val="209"/>
        </w:trPr>
        <w:tc>
          <w:tcPr>
            <w:tcW w:w="3280" w:type="dxa"/>
            <w:vAlign w:val="bottom"/>
          </w:tcPr>
          <w:p>
            <w:pPr>
              <w:ind w:left="20"/>
              <w:spacing w:after="0"/>
              <w:rPr>
                <w:sz w:val="20"/>
                <w:szCs w:val="20"/>
                <w:color w:val="auto"/>
              </w:rPr>
            </w:pPr>
            <w:r>
              <w:rPr>
                <w:rFonts w:ascii="Arial" w:cs="Arial" w:eastAsia="Arial" w:hAnsi="Arial"/>
                <w:sz w:val="14"/>
                <w:szCs w:val="14"/>
                <w:color w:val="auto"/>
              </w:rPr>
              <w:t>(In millions, except %)</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6"/>
              </w:rPr>
              <w:t>% Revenue</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6"/>
              </w:rPr>
              <w:t>% Revenue</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 Change</w:t>
            </w:r>
          </w:p>
        </w:tc>
      </w:tr>
      <w:tr>
        <w:trPr>
          <w:trHeight w:val="212"/>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1,547.7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1,505.0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16"/>
        </w:trPr>
        <w:tc>
          <w:tcPr>
            <w:tcW w:w="328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(1,097.7)</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(70.9)%</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(1,182.3)</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(78.6)%</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(84.6)</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7.7 %</w:t>
            </w:r>
          </w:p>
        </w:tc>
      </w:tr>
      <w:tr>
        <w:trPr>
          <w:trHeight w:val="210"/>
        </w:trPr>
        <w:tc>
          <w:tcPr>
            <w:tcW w:w="3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Gross profit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21.4 %</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(127.3)</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(28.3)%</w:t>
            </w:r>
          </w:p>
        </w:tc>
      </w:tr>
      <w:tr>
        <w:trPr>
          <w:trHeight w:val="213"/>
        </w:trPr>
        <w:tc>
          <w:tcPr>
            <w:tcW w:w="328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(425.1)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(27.5)%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(424.4)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0.7</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(0.2)%</w:t>
            </w:r>
          </w:p>
        </w:tc>
      </w:tr>
      <w:tr>
        <w:trPr>
          <w:trHeight w:val="219"/>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 of goodwill</w:t>
            </w:r>
          </w:p>
        </w:tc>
        <w:tc>
          <w:tcPr>
            <w:tcW w:w="20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(543.1)</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07"/>
        </w:trPr>
        <w:tc>
          <w:tcPr>
            <w:tcW w:w="3280" w:type="dxa"/>
            <w:vAlign w:val="bottom"/>
          </w:tcPr>
          <w:p>
            <w:pPr>
              <w:ind w:left="360"/>
              <w:spacing w:after="0"/>
              <w:rPr>
                <w:sz w:val="20"/>
                <w:szCs w:val="20"/>
                <w:color w:val="auto"/>
              </w:rPr>
            </w:pPr>
            <w:r>
              <w:rPr>
                <w:rFonts w:ascii="Arial" w:cs="Arial" w:eastAsia="Arial" w:hAnsi="Arial"/>
                <w:sz w:val="16"/>
                <w:szCs w:val="16"/>
                <w:color w:val="auto"/>
              </w:rPr>
              <w:t>Income (loss) from operations</w:t>
            </w:r>
          </w:p>
        </w:tc>
        <w:tc>
          <w:tcPr>
            <w:tcW w:w="2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24.9</w:t>
            </w: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1.6 %</w:t>
            </w: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(644.8)</w:t>
            </w: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(42.8)%</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(669.7)</w:t>
            </w:r>
          </w:p>
        </w:tc>
        <w:tc>
          <w:tcPr>
            <w:tcW w:w="1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9"/>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3"/>
        </w:trPr>
        <w:tc>
          <w:tcPr>
            <w:tcW w:w="328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(100.6)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(114.2)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(13.6)</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13.5 %</w:t>
            </w:r>
          </w:p>
        </w:tc>
      </w:tr>
      <w:tr>
        <w:trPr>
          <w:trHeight w:val="219"/>
        </w:trPr>
        <w:tc>
          <w:tcPr>
            <w:tcW w:w="3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Gain (loss) on investments, net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13"/>
        </w:trPr>
        <w:tc>
          <w:tcPr>
            <w:tcW w:w="3280" w:type="dxa"/>
            <w:vAlign w:val="bottom"/>
          </w:tcPr>
          <w:p>
            <w:pPr>
              <w:ind w:left="140"/>
              <w:spacing w:after="0"/>
              <w:rPr>
                <w:sz w:val="20"/>
                <w:szCs w:val="20"/>
                <w:color w:val="auto"/>
              </w:rPr>
            </w:pPr>
            <w:r>
              <w:rPr>
                <w:rFonts w:ascii="Arial" w:cs="Arial" w:eastAsia="Arial" w:hAnsi="Arial"/>
                <w:sz w:val="16"/>
                <w:szCs w:val="16"/>
                <w:color w:val="auto"/>
              </w:rPr>
              <w:t>Gain on debt extinguishment</w:t>
            </w:r>
          </w:p>
        </w:tc>
        <w:tc>
          <w:tcPr>
            <w:tcW w:w="200" w:type="dxa"/>
            <w:vAlign w:val="bottom"/>
          </w:tcPr>
          <w:p>
            <w:pPr>
              <w:spacing w:after="0"/>
              <w:rPr>
                <w:sz w:val="18"/>
                <w:szCs w:val="18"/>
                <w:color w:val="auto"/>
              </w:rPr>
            </w:pPr>
          </w:p>
        </w:tc>
        <w:tc>
          <w:tcPr>
            <w:tcW w:w="1300" w:type="dxa"/>
            <w:vAlign w:val="bottom"/>
            <w:gridSpan w:val="3"/>
          </w:tcPr>
          <w:p>
            <w:pPr>
              <w:jc w:val="right"/>
              <w:ind w:right="38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107.7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7.2 %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107.7</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100.0 %</w:t>
            </w:r>
          </w:p>
        </w:tc>
      </w:tr>
      <w:tr>
        <w:trPr>
          <w:trHeight w:val="219"/>
        </w:trPr>
        <w:tc>
          <w:tcPr>
            <w:tcW w:w="3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income (expense), net</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0.2 %</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07"/>
        </w:trPr>
        <w:tc>
          <w:tcPr>
            <w:tcW w:w="32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other income (expense)</w:t>
            </w: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(110.4)</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106.4</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(96.4)%</w:t>
            </w:r>
          </w:p>
        </w:tc>
      </w:tr>
      <w:tr>
        <w:trPr>
          <w:trHeight w:val="212"/>
        </w:trPr>
        <w:tc>
          <w:tcPr>
            <w:tcW w:w="3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Loss before income taxes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(563.3)</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13"/>
        </w:trPr>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Benefit for income taxes</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0.4 %</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0.6 %</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50.0 %</w:t>
            </w:r>
          </w:p>
        </w:tc>
      </w:tr>
      <w:tr>
        <w:trPr>
          <w:trHeight w:val="233"/>
        </w:trPr>
        <w:tc>
          <w:tcPr>
            <w:tcW w:w="32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Net loss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(639.2)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(560.1)</w:t>
            </w: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52" w:lineRule="exact"/>
        <w:rPr>
          <w:sz w:val="20"/>
          <w:szCs w:val="20"/>
          <w:color w:val="auto"/>
        </w:rPr>
      </w:pPr>
    </w:p>
    <w:p>
      <w:pPr>
        <w:ind w:right="440" w:firstLine="486"/>
        <w:spacing w:after="0" w:line="308" w:lineRule="auto"/>
        <w:rPr>
          <w:sz w:val="20"/>
          <w:szCs w:val="20"/>
          <w:color w:val="auto"/>
        </w:rPr>
      </w:pPr>
      <w:r>
        <w:rPr>
          <w:rFonts w:ascii="Arial" w:cs="Arial" w:eastAsia="Arial" w:hAnsi="Arial"/>
          <w:sz w:val="17"/>
          <w:szCs w:val="17"/>
          <w:color w:val="auto"/>
        </w:rPr>
        <w:t>Revenue decreased $43 million, or 2.8%, to $1,505 million in the six months ended June 30, 2023 from $1,548 million in the six months ended June 30, 2022. Revenue declined primarily due to Private Cloud, partially offset by growth in Public Cloud, as discussed below.</w:t>
      </w:r>
    </w:p>
    <w:p>
      <w:pPr>
        <w:spacing w:after="0" w:line="173"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After removing the impact from foreign currency fluctuations, on a constant currency basis, revenue decreased 2.1% year-over-year. The following table presents revenue growth by segment:</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6"/>
                <w:szCs w:val="16"/>
                <w:b w:val="1"/>
                <w:bCs w:val="1"/>
                <w:color w:val="auto"/>
              </w:rPr>
              <w:t>Six Months Ended June 30,</w:t>
            </w:r>
          </w:p>
        </w:tc>
        <w:tc>
          <w:tcPr>
            <w:tcW w:w="120" w:type="dxa"/>
            <w:vAlign w:val="bottom"/>
          </w:tcPr>
          <w:p>
            <w:pPr>
              <w:spacing w:after="0"/>
              <w:rPr>
                <w:sz w:val="18"/>
                <w:szCs w:val="18"/>
                <w:color w:val="auto"/>
              </w:rPr>
            </w:pPr>
          </w:p>
        </w:tc>
        <w:tc>
          <w:tcPr>
            <w:tcW w:w="3460" w:type="dxa"/>
            <w:vAlign w:val="bottom"/>
            <w:tcBorders>
              <w:bottom w:val="single" w:sz="8" w:color="auto"/>
            </w:tcBorders>
            <w:gridSpan w:val="3"/>
          </w:tcPr>
          <w:p>
            <w:pPr>
              <w:jc w:val="right"/>
              <w:ind w:right="1279"/>
              <w:spacing w:after="0"/>
              <w:rPr>
                <w:sz w:val="20"/>
                <w:szCs w:val="20"/>
                <w:color w:val="auto"/>
              </w:rPr>
            </w:pPr>
            <w:r>
              <w:rPr>
                <w:rFonts w:ascii="Arial" w:cs="Arial" w:eastAsia="Arial" w:hAnsi="Arial"/>
                <w:sz w:val="16"/>
                <w:szCs w:val="16"/>
                <w:b w:val="1"/>
                <w:bCs w:val="1"/>
                <w:color w:val="auto"/>
              </w:rPr>
              <w:t>% Change</w:t>
            </w:r>
          </w:p>
        </w:tc>
      </w:tr>
      <w:tr>
        <w:trPr>
          <w:trHeight w:val="213"/>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Actual</w:t>
            </w:r>
          </w:p>
        </w:tc>
        <w:tc>
          <w:tcPr>
            <w:tcW w:w="12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ind w:right="19"/>
              <w:spacing w:after="0" w:line="213" w:lineRule="exact"/>
              <w:rPr>
                <w:sz w:val="20"/>
                <w:szCs w:val="20"/>
                <w:color w:val="auto"/>
              </w:rPr>
            </w:pPr>
            <w:r>
              <w:rPr>
                <w:rFonts w:ascii="Arial" w:cs="Arial" w:eastAsia="Arial" w:hAnsi="Arial"/>
                <w:sz w:val="16"/>
                <w:szCs w:val="16"/>
                <w:b w:val="1"/>
                <w:bCs w:val="1"/>
                <w:color w:val="auto"/>
                <w:w w:val="94"/>
              </w:rPr>
              <w:t xml:space="preserve">Constant Currency </w:t>
            </w:r>
            <w:r>
              <w:rPr>
                <w:rFonts w:ascii="Arial" w:cs="Arial" w:eastAsia="Arial" w:hAnsi="Arial"/>
                <w:sz w:val="21"/>
                <w:szCs w:val="21"/>
                <w:b w:val="1"/>
                <w:bCs w:val="1"/>
                <w:color w:val="auto"/>
                <w:w w:val="94"/>
                <w:vertAlign w:val="superscript"/>
              </w:rPr>
              <w:t>(a)</w:t>
            </w:r>
          </w:p>
        </w:tc>
      </w:tr>
      <w:tr>
        <w:trPr>
          <w:trHeight w:val="210"/>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Public Cloud</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839.1</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879.5</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4.8 %</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5.2 %</w:t>
            </w:r>
          </w:p>
        </w:tc>
      </w:tr>
      <w:tr>
        <w:trPr>
          <w:trHeight w:val="203"/>
        </w:trPr>
        <w:tc>
          <w:tcPr>
            <w:tcW w:w="4440" w:type="dxa"/>
            <w:vAlign w:val="bottom"/>
          </w:tcPr>
          <w:p>
            <w:pPr>
              <w:ind w:left="20"/>
              <w:spacing w:after="0"/>
              <w:rPr>
                <w:sz w:val="20"/>
                <w:szCs w:val="20"/>
                <w:color w:val="auto"/>
              </w:rPr>
            </w:pPr>
            <w:r>
              <w:rPr>
                <w:rFonts w:ascii="Arial" w:cs="Arial" w:eastAsia="Arial" w:hAnsi="Arial"/>
                <w:sz w:val="16"/>
                <w:szCs w:val="16"/>
                <w:color w:val="auto"/>
              </w:rPr>
              <w:t>Private Cloud</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708.6</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625.5</w:t>
            </w: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(11.7)%</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(10.8)%</w:t>
            </w:r>
          </w:p>
        </w:tc>
      </w:tr>
      <w:tr>
        <w:trPr>
          <w:trHeight w:val="230"/>
        </w:trPr>
        <w:tc>
          <w:tcPr>
            <w:tcW w:w="4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1,547.7</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1,505.0</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r>
    </w:tbl>
    <w:p>
      <w:pPr>
        <w:spacing w:after="0" w:line="85" w:lineRule="exact"/>
        <w:rPr>
          <w:sz w:val="20"/>
          <w:szCs w:val="20"/>
          <w:color w:val="auto"/>
        </w:rPr>
      </w:pPr>
    </w:p>
    <w:p>
      <w:pPr>
        <w:ind w:left="400" w:hanging="392"/>
        <w:spacing w:after="0"/>
        <w:tabs>
          <w:tab w:leader="none" w:pos="4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Refer to "</w:t>
      </w:r>
      <w:r>
        <w:rPr>
          <w:rFonts w:ascii="Arial" w:cs="Arial" w:eastAsia="Arial" w:hAnsi="Arial"/>
          <w:sz w:val="16"/>
          <w:szCs w:val="16"/>
          <w:i w:val="1"/>
          <w:iCs w:val="1"/>
          <w:color w:val="auto"/>
        </w:rPr>
        <w:t>Non-GAAP Financial Measures</w:t>
      </w:r>
      <w:r>
        <w:rPr>
          <w:rFonts w:ascii="Arial" w:cs="Arial" w:eastAsia="Arial" w:hAnsi="Arial"/>
          <w:sz w:val="16"/>
          <w:szCs w:val="16"/>
          <w:color w:val="auto"/>
        </w:rPr>
        <w:t>" in this section for further explanation and reconciliation.</w:t>
      </w:r>
    </w:p>
    <w:p>
      <w:pPr>
        <w:spacing w:after="0" w:line="244"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Public Cloud revenue in the six months ended June 30, 2023 increased 5% on an actual and constant currency basis, from the six months ended June 30, 2022. Underlying growth was driven by both the acquisition of new customers and increased spend by existing customers, partially offset by cancellations by existing customers. Offerings in this segment with the strongest growth include infrastructure resale on AWS, Microsoft Azure and Google Cloud.</w:t>
      </w:r>
    </w:p>
    <w:p>
      <w:pPr>
        <w:spacing w:after="0" w:line="214" w:lineRule="exact"/>
        <w:rPr>
          <w:sz w:val="20"/>
          <w:szCs w:val="20"/>
          <w:color w:val="auto"/>
        </w:rPr>
      </w:pPr>
    </w:p>
    <w:p>
      <w:pPr>
        <w:jc w:val="both"/>
        <w:ind w:right="140" w:firstLine="486"/>
        <w:spacing w:after="0" w:line="263" w:lineRule="auto"/>
        <w:rPr>
          <w:sz w:val="20"/>
          <w:szCs w:val="20"/>
          <w:color w:val="auto"/>
        </w:rPr>
      </w:pPr>
      <w:r>
        <w:rPr>
          <w:rFonts w:ascii="Arial" w:cs="Arial" w:eastAsia="Arial" w:hAnsi="Arial"/>
          <w:sz w:val="18"/>
          <w:szCs w:val="18"/>
          <w:color w:val="auto"/>
        </w:rPr>
        <w:t>Private Cloud revenue in the six months ended June 30, 2023 decreased 12% on an actual basis, and 11% on a constant currency basis, from the six months ended June 30, 2022, due to customers rolling off old generation private cloud offerings, expected decline in our legacy OpenStack business, and the impact from the Hosted Exchange incident.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252"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Cost of revenue increased $85 million, or 8%, to $1,182 million in the six months ended June 30, 2023 from $1,098 million in the six months ended June 30, 2022, primarily due to an increase in usage charges for third-party infrastructure associated with growth in these offerings. In addition, personnel costs increased between periods primarily due to higher severance expense in the six months ended June 30, 2023, partially offset by lower non-equity incentive compensation. Data center costs increased as additional space was required to support customer growth and license expense increased as a result of increased usage between periods.</w:t>
      </w:r>
    </w:p>
    <w:p>
      <w:pPr>
        <w:spacing w:after="0" w:line="215" w:lineRule="exact"/>
        <w:rPr>
          <w:sz w:val="20"/>
          <w:szCs w:val="20"/>
          <w:color w:val="auto"/>
        </w:rPr>
      </w:pPr>
    </w:p>
    <w:p>
      <w:pPr>
        <w:ind w:right="160" w:firstLine="486"/>
        <w:spacing w:after="0" w:line="263" w:lineRule="auto"/>
        <w:rPr>
          <w:sz w:val="20"/>
          <w:szCs w:val="20"/>
          <w:color w:val="auto"/>
        </w:rPr>
      </w:pPr>
      <w:r>
        <w:rPr>
          <w:rFonts w:ascii="Arial" w:cs="Arial" w:eastAsia="Arial" w:hAnsi="Arial"/>
          <w:sz w:val="18"/>
          <w:szCs w:val="18"/>
          <w:color w:val="auto"/>
        </w:rPr>
        <w:t>As a percentage of revenue, cost of revenue increased 770 basis points in the six months ended June 30, 2023 to 78.6% from 70.9% in the six months ended June 30, 2022, primarily driven by a 490 basis point increase in usage charges for third-party infrastructure. Higher personnel, data center, and license costs also contributed to the increase in basis points between periods.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52" w:lineRule="exact"/>
        <w:rPr>
          <w:sz w:val="20"/>
          <w:szCs w:val="20"/>
          <w:color w:val="auto"/>
        </w:rPr>
      </w:pPr>
    </w:p>
    <w:p>
      <w:pPr>
        <w:jc w:val="both"/>
        <w:ind w:right="300" w:firstLine="486"/>
        <w:spacing w:after="0" w:line="263" w:lineRule="auto"/>
        <w:rPr>
          <w:sz w:val="20"/>
          <w:szCs w:val="20"/>
          <w:color w:val="auto"/>
        </w:rPr>
      </w:pPr>
      <w:r>
        <w:rPr>
          <w:rFonts w:ascii="Arial" w:cs="Arial" w:eastAsia="Arial" w:hAnsi="Arial"/>
          <w:sz w:val="18"/>
          <w:szCs w:val="18"/>
          <w:color w:val="auto"/>
        </w:rPr>
        <w:t>Our gross profit was $323 million in the six months ended June 30, 2023, a decrease of $127 million from $450 million in the six months ended June 30, 2022. Our consolidated gross margin was 21.4% in the six months ended June 30, 2023, a decrease of 770 basis points from 29.1% in the six months ended June 30,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39" w:lineRule="exact"/>
        <w:rPr>
          <w:sz w:val="20"/>
          <w:szCs w:val="20"/>
          <w:color w:val="auto"/>
        </w:rPr>
      </w:pPr>
    </w:p>
    <w:p>
      <w:pPr>
        <w:ind w:right="100" w:firstLine="486"/>
        <w:spacing w:after="0" w:line="273" w:lineRule="auto"/>
        <w:rPr>
          <w:sz w:val="20"/>
          <w:szCs w:val="20"/>
          <w:color w:val="auto"/>
        </w:rPr>
      </w:pPr>
      <w:r>
        <w:rPr>
          <w:rFonts w:ascii="Arial" w:cs="Arial" w:eastAsia="Arial" w:hAnsi="Arial"/>
          <w:sz w:val="17"/>
          <w:szCs w:val="17"/>
          <w:color w:val="auto"/>
        </w:rPr>
        <w:t>Selling, general and administrative expenses were $424 million in the six months ended June 30, 2023 compared to $425 million in the six months ended June 30, 2022. Personnel costs were relatively flat between periods as higher severance expense in the six months ended June 30, 2023 was largely offset by lower share-based compensation, non-equity incentive compensation, commissions, and salaries between periods. Other non-personnel costs fluctuations include lower marketing spend and depreciation and amortization expense, offset by higher office rent and professional fees, including costs incurred in the current period related to the December 2022 Hosted Exchange incident. The increase in office rent includes $12 million of expense recognized for a UK office that we exited in the second quarter of 2023, prior to the lease end date.</w:t>
      </w:r>
    </w:p>
    <w:p>
      <w:pPr>
        <w:spacing w:after="0" w:line="205" w:lineRule="exact"/>
        <w:rPr>
          <w:sz w:val="20"/>
          <w:szCs w:val="20"/>
          <w:color w:val="auto"/>
        </w:rPr>
      </w:pPr>
    </w:p>
    <w:p>
      <w:pPr>
        <w:ind w:right="60" w:firstLine="486"/>
        <w:spacing w:after="0" w:line="342" w:lineRule="auto"/>
        <w:rPr>
          <w:sz w:val="20"/>
          <w:szCs w:val="20"/>
          <w:color w:val="auto"/>
        </w:rPr>
      </w:pPr>
      <w:r>
        <w:rPr>
          <w:rFonts w:ascii="Arial" w:cs="Arial" w:eastAsia="Arial" w:hAnsi="Arial"/>
          <w:sz w:val="16"/>
          <w:szCs w:val="16"/>
          <w:color w:val="auto"/>
        </w:rPr>
        <w:t>As a percentage of revenue, selling, general and administrative expenses increased 70 basis points, to 28.2% in the six months ended June 30, 2023 from 27.5% in the six months ended June 30, 2022, as the decline in revenue was greater than the reduction in expense, for the reasons discussed above.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(Loss) from Operations, Segment Operating Profit, and Non-GAAP Operating Profit</w:t>
      </w:r>
    </w:p>
    <w:p>
      <w:pPr>
        <w:spacing w:after="0" w:line="252"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Our loss from operations was $645 million in the six months ended June 30, 2023, a decrease of $670 million from $25 million income from operations in the six months ended June 30, 2022. Our Non-GAAP Operating Profit was $90 million in the six months ended June 30, 2023, a decrease of $121 million from $211 million in the six months ended June 30, 2022. Non-GAAP Operating Profit is a non-GAAP financial measure. See "Non-GAAP Financial Measures" below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a reconciliation of income (loss) from operations to Non-GAAP Operating Profit.</w:t>
      </w:r>
    </w:p>
    <w:p>
      <w:pPr>
        <w:spacing w:after="0" w:line="293" w:lineRule="exact"/>
        <w:rPr>
          <w:sz w:val="20"/>
          <w:szCs w:val="20"/>
          <w:color w:val="auto"/>
        </w:rPr>
      </w:pPr>
    </w:p>
    <w:p>
      <w:pPr>
        <w:ind w:left="8640"/>
        <w:spacing w:after="0"/>
        <w:rPr>
          <w:sz w:val="20"/>
          <w:szCs w:val="20"/>
          <w:color w:val="auto"/>
        </w:rPr>
      </w:pPr>
      <w:r>
        <w:rPr>
          <w:rFonts w:ascii="Arial" w:cs="Arial" w:eastAsia="Arial" w:hAnsi="Arial"/>
          <w:sz w:val="16"/>
          <w:szCs w:val="16"/>
          <w:b w:val="1"/>
          <w:bCs w:val="1"/>
          <w:color w:val="auto"/>
        </w:rPr>
        <w:t>Six Months Ended June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2023</w:t>
            </w:r>
          </w:p>
        </w:tc>
      </w:tr>
      <w:tr>
        <w:trPr>
          <w:trHeight w:val="212"/>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from operations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(644.8)</w:t>
            </w: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color w:val="auto"/>
              </w:rPr>
              <w:t>Share-based compensation expense</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40.1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34.7</w:t>
            </w:r>
          </w:p>
        </w:tc>
      </w:tr>
      <w:tr>
        <w:trPr>
          <w:trHeight w:val="219"/>
        </w:trPr>
        <w:tc>
          <w:tcPr>
            <w:tcW w:w="794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Special bonuses and other compensation expense </w:t>
            </w:r>
            <w:r>
              <w:rPr>
                <w:rFonts w:ascii="Arial" w:cs="Arial" w:eastAsia="Arial" w:hAnsi="Arial"/>
                <w:sz w:val="21"/>
                <w:szCs w:val="21"/>
                <w:color w:val="auto"/>
                <w:vertAlign w:val="superscript"/>
              </w:rPr>
              <w:t>(a)</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r>
      <w:tr>
        <w:trPr>
          <w:trHeight w:val="216"/>
        </w:trPr>
        <w:tc>
          <w:tcPr>
            <w:tcW w:w="79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Transaction-related adjustments, net </w:t>
            </w:r>
            <w:r>
              <w:rPr>
                <w:rFonts w:ascii="Arial" w:cs="Arial" w:eastAsia="Arial" w:hAnsi="Arial"/>
                <w:sz w:val="21"/>
                <w:szCs w:val="21"/>
                <w:color w:val="auto"/>
                <w:vertAlign w:val="superscript"/>
              </w:rPr>
              <w:t>(b)</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16"/>
        </w:trPr>
        <w:tc>
          <w:tcPr>
            <w:tcW w:w="79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Restructuring and transformation expenses </w:t>
            </w:r>
            <w:r>
              <w:rPr>
                <w:rFonts w:ascii="Arial" w:cs="Arial" w:eastAsia="Arial" w:hAnsi="Arial"/>
                <w:sz w:val="21"/>
                <w:szCs w:val="21"/>
                <w:color w:val="auto"/>
                <w:vertAlign w:val="superscript"/>
              </w:rPr>
              <w:t>(c)</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w:t>
            </w: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color w:val="auto"/>
              </w:rPr>
              <w:t>Hosted Exchange incident expenses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219"/>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 of goodwill</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543.1</w:t>
            </w:r>
          </w:p>
        </w:tc>
      </w:tr>
      <w:tr>
        <w:trPr>
          <w:trHeight w:val="216"/>
        </w:trPr>
        <w:tc>
          <w:tcPr>
            <w:tcW w:w="79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Amortization of intangible assets </w:t>
            </w:r>
            <w:r>
              <w:rPr>
                <w:rFonts w:ascii="Arial" w:cs="Arial" w:eastAsia="Arial" w:hAnsi="Arial"/>
                <w:sz w:val="21"/>
                <w:szCs w:val="21"/>
                <w:color w:val="auto"/>
                <w:vertAlign w:val="superscript"/>
              </w:rPr>
              <w:t>(d)</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84.4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81.9</w:t>
            </w:r>
          </w:p>
        </w:tc>
      </w:tr>
      <w:tr>
        <w:trPr>
          <w:trHeight w:val="216"/>
        </w:trPr>
        <w:tc>
          <w:tcPr>
            <w:tcW w:w="7940" w:type="dxa"/>
            <w:vAlign w:val="bottom"/>
            <w:tcBorders>
              <w:bottom w:val="single" w:sz="8" w:color="CCEEFF"/>
            </w:tcBorders>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UK office closure </w:t>
            </w:r>
            <w:r>
              <w:rPr>
                <w:rFonts w:ascii="Arial" w:cs="Arial" w:eastAsia="Arial" w:hAnsi="Arial"/>
                <w:sz w:val="21"/>
                <w:szCs w:val="21"/>
                <w:color w:val="auto"/>
                <w:vertAlign w:val="superscript"/>
              </w:rPr>
              <w:t>(e)</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w:t>
            </w:r>
          </w:p>
        </w:tc>
      </w:tr>
      <w:tr>
        <w:trPr>
          <w:trHeight w:val="210"/>
        </w:trPr>
        <w:tc>
          <w:tcPr>
            <w:tcW w:w="7940" w:type="dxa"/>
            <w:vAlign w:val="bottom"/>
          </w:tcPr>
          <w:p>
            <w:pPr>
              <w:ind w:left="240"/>
              <w:spacing w:after="0"/>
              <w:rPr>
                <w:sz w:val="20"/>
                <w:szCs w:val="20"/>
                <w:color w:val="auto"/>
              </w:rPr>
            </w:pPr>
            <w:r>
              <w:rPr>
                <w:rFonts w:ascii="Arial" w:cs="Arial" w:eastAsia="Arial" w:hAnsi="Arial"/>
                <w:sz w:val="16"/>
                <w:szCs w:val="16"/>
                <w:color w:val="auto"/>
              </w:rPr>
              <w:t>Non-GAAP Operating Profit</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210.6</w:t>
            </w:r>
          </w:p>
        </w:tc>
        <w:tc>
          <w:tcPr>
            <w:tcW w:w="5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89.5</w:t>
            </w:r>
          </w:p>
        </w:tc>
      </w:tr>
      <w:tr>
        <w:trPr>
          <w:trHeight w:val="20"/>
        </w:trPr>
        <w:tc>
          <w:tcPr>
            <w:tcW w:w="79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368" w:lineRule="exact"/>
        <w:rPr>
          <w:sz w:val="20"/>
          <w:szCs w:val="20"/>
          <w:color w:val="auto"/>
        </w:rPr>
      </w:pPr>
    </w:p>
    <w:p>
      <w:pPr>
        <w:ind w:left="500" w:right="60" w:hanging="347"/>
        <w:spacing w:after="0" w:line="277" w:lineRule="auto"/>
        <w:tabs>
          <w:tab w:leader="none" w:pos="5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Includes expense related to retention bonuses, mainly relating to restructuring and integration projects, and the related payroll tax, senior executive signing bonuses and relocation costs, and payroll taxes associated with the exercise of stock options and vesting of restricted stock. Beginning in the second quarter of 2023, includes expense related to the one-time grant of long-term incentive bonuses as a component of our annual compensation award process.</w:t>
      </w:r>
    </w:p>
    <w:p>
      <w:pPr>
        <w:spacing w:after="0" w:line="10" w:lineRule="exact"/>
        <w:rPr>
          <w:rFonts w:ascii="Arial" w:cs="Arial" w:eastAsia="Arial" w:hAnsi="Arial"/>
          <w:sz w:val="15"/>
          <w:szCs w:val="15"/>
          <w:color w:val="auto"/>
        </w:rPr>
      </w:pPr>
    </w:p>
    <w:p>
      <w:pPr>
        <w:ind w:left="500" w:right="80" w:hanging="352"/>
        <w:spacing w:after="0" w:line="261" w:lineRule="auto"/>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legal, professional, accounting and other advisory fees related to acquisitions, certain one-time compliance costs related to being a public company, integration costs of acquired businesses, purchase accounting adjustments, payroll costs for employees that dedicate significant time to supporting these projects and exploratory acquisition and divestiture costs and expenses related to financing activities.</w:t>
      </w:r>
    </w:p>
    <w:p>
      <w:pPr>
        <w:spacing w:after="0" w:line="7" w:lineRule="exact"/>
        <w:rPr>
          <w:rFonts w:ascii="Arial" w:cs="Arial" w:eastAsia="Arial" w:hAnsi="Arial"/>
          <w:sz w:val="16"/>
          <w:szCs w:val="16"/>
          <w:color w:val="auto"/>
        </w:rPr>
      </w:pPr>
    </w:p>
    <w:p>
      <w:pPr>
        <w:ind w:left="500" w:right="140" w:hanging="347"/>
        <w:spacing w:after="0" w:line="256" w:lineRule="auto"/>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consulting and advisory fees related to business transformation and optimization activities, payroll costs for employees that dedicate significant time to these projects, as well as associated severance, facility closure costs, and lease termination expenses. This amount also includes total charges of $4.2 million for the six months ended June 30, 2022 related to the July 2021 Restructuring Plan which are not accounted for as exit and disposal costs under ASC 420, including one-time offshore build out costs.</w:t>
      </w:r>
    </w:p>
    <w:p>
      <w:pPr>
        <w:spacing w:after="0" w:line="24" w:lineRule="exact"/>
        <w:rPr>
          <w:rFonts w:ascii="Arial" w:cs="Arial" w:eastAsia="Arial" w:hAnsi="Arial"/>
          <w:sz w:val="16"/>
          <w:szCs w:val="16"/>
          <w:color w:val="auto"/>
        </w:rPr>
      </w:pPr>
    </w:p>
    <w:p>
      <w:pPr>
        <w:ind w:left="500" w:hanging="352"/>
        <w:spacing w:after="0"/>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All of our intangible assets are attributable to acquisitions, including the Rackspace Acquisition in 2016.</w:t>
      </w:r>
    </w:p>
    <w:p>
      <w:pPr>
        <w:spacing w:after="0" w:line="45" w:lineRule="exact"/>
        <w:rPr>
          <w:rFonts w:ascii="Arial" w:cs="Arial" w:eastAsia="Arial" w:hAnsi="Arial"/>
          <w:sz w:val="16"/>
          <w:szCs w:val="16"/>
          <w:color w:val="auto"/>
        </w:rPr>
      </w:pPr>
    </w:p>
    <w:p>
      <w:pPr>
        <w:ind w:left="500" w:hanging="347"/>
        <w:spacing w:after="0"/>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Expense recognized related to the closure of a UK office that we exited in the second quarter of 2023 prior to the lease end date.</w:t>
      </w:r>
    </w:p>
    <w:p>
      <w:pPr>
        <w:spacing w:after="0" w:line="3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segment operating profit and segment operating margin for the periods indicated, and the change between periods is shown in the table below:</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6"/>
                <w:szCs w:val="16"/>
                <w:b w:val="1"/>
                <w:bCs w:val="1"/>
                <w:color w:val="auto"/>
              </w:rPr>
              <w:t>Six Months Ended June 30,</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00" w:type="dxa"/>
            <w:vAlign w:val="bottom"/>
          </w:tcPr>
          <w:p>
            <w:pPr>
              <w:ind w:left="20"/>
              <w:spacing w:after="0"/>
              <w:rPr>
                <w:sz w:val="20"/>
                <w:szCs w:val="20"/>
                <w:color w:val="auto"/>
              </w:rPr>
            </w:pPr>
            <w:r>
              <w:rPr>
                <w:rFonts w:ascii="Arial" w:cs="Arial" w:eastAsia="Arial" w:hAnsi="Arial"/>
                <w:sz w:val="14"/>
                <w:szCs w:val="14"/>
                <w:color w:val="auto"/>
              </w:rPr>
              <w:t>(In millions, except %)</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899"/>
              <w:spacing w:after="0"/>
              <w:rPr>
                <w:sz w:val="20"/>
                <w:szCs w:val="20"/>
                <w:color w:val="auto"/>
              </w:rPr>
            </w:pPr>
            <w:r>
              <w:rPr>
                <w:rFonts w:ascii="Arial" w:cs="Arial" w:eastAsia="Arial" w:hAnsi="Arial"/>
                <w:sz w:val="16"/>
                <w:szCs w:val="16"/>
                <w:b w:val="1"/>
                <w:bCs w:val="1"/>
                <w:color w:val="auto"/>
                <w:w w:val="89"/>
              </w:rPr>
              <w:t>2022</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899"/>
              <w:spacing w:after="0"/>
              <w:rPr>
                <w:sz w:val="20"/>
                <w:szCs w:val="20"/>
                <w:color w:val="auto"/>
              </w:rPr>
            </w:pPr>
            <w:r>
              <w:rPr>
                <w:rFonts w:ascii="Arial" w:cs="Arial" w:eastAsia="Arial" w:hAnsi="Arial"/>
                <w:sz w:val="16"/>
                <w:szCs w:val="16"/>
                <w:b w:val="1"/>
                <w:bCs w:val="1"/>
                <w:color w:val="auto"/>
                <w:w w:val="89"/>
              </w:rPr>
              <w:t>2023</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6"/>
                <w:szCs w:val="16"/>
                <w:b w:val="1"/>
                <w:bCs w:val="1"/>
                <w:color w:val="auto"/>
                <w:w w:val="93"/>
              </w:rPr>
              <w:t>Year-Over-Year Comparison</w:t>
            </w:r>
          </w:p>
        </w:tc>
        <w:tc>
          <w:tcPr>
            <w:tcW w:w="0" w:type="dxa"/>
            <w:vAlign w:val="bottom"/>
          </w:tcPr>
          <w:p>
            <w:pPr>
              <w:spacing w:after="0"/>
              <w:rPr>
                <w:sz w:val="1"/>
                <w:szCs w:val="1"/>
                <w:color w:val="auto"/>
              </w:rPr>
            </w:pPr>
          </w:p>
        </w:tc>
      </w:tr>
      <w:tr>
        <w:trPr>
          <w:trHeight w:val="158"/>
        </w:trPr>
        <w:tc>
          <w:tcPr>
            <w:tcW w:w="41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Segment operating profit:</w:t>
            </w:r>
          </w:p>
        </w:tc>
        <w:tc>
          <w:tcPr>
            <w:tcW w:w="160" w:type="dxa"/>
            <w:vAlign w:val="bottom"/>
          </w:tcPr>
          <w:p>
            <w:pPr>
              <w:spacing w:after="0"/>
              <w:rPr>
                <w:sz w:val="13"/>
                <w:szCs w:val="13"/>
                <w:color w:val="auto"/>
              </w:rPr>
            </w:pPr>
          </w:p>
        </w:tc>
        <w:tc>
          <w:tcPr>
            <w:tcW w:w="82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Amount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right"/>
              <w:spacing w:after="0" w:line="158" w:lineRule="exact"/>
              <w:rPr>
                <w:sz w:val="20"/>
                <w:szCs w:val="20"/>
                <w:color w:val="auto"/>
              </w:rPr>
            </w:pPr>
            <w:r>
              <w:rPr>
                <w:rFonts w:ascii="Arial" w:cs="Arial" w:eastAsia="Arial" w:hAnsi="Arial"/>
                <w:sz w:val="16"/>
                <w:szCs w:val="16"/>
                <w:b w:val="1"/>
                <w:bCs w:val="1"/>
                <w:color w:val="auto"/>
              </w:rPr>
              <w:t>% of Segment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Amount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spacing w:after="0" w:line="158" w:lineRule="exact"/>
              <w:rPr>
                <w:sz w:val="20"/>
                <w:szCs w:val="20"/>
                <w:color w:val="auto"/>
              </w:rPr>
            </w:pPr>
            <w:r>
              <w:rPr>
                <w:rFonts w:ascii="Arial" w:cs="Arial" w:eastAsia="Arial" w:hAnsi="Arial"/>
                <w:sz w:val="16"/>
                <w:szCs w:val="16"/>
                <w:b w:val="1"/>
                <w:bCs w:val="1"/>
                <w:color w:val="auto"/>
                <w:w w:val="98"/>
              </w:rPr>
              <w:t>% of Segment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3"/>
                <w:szCs w:val="13"/>
                <w:color w:val="auto"/>
              </w:rPr>
            </w:pPr>
          </w:p>
        </w:tc>
        <w:tc>
          <w:tcPr>
            <w:tcW w:w="114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410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Revenue</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Revenue</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Public Cloud</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7.7 %</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4.7 %</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(35.6)%</w:t>
            </w:r>
          </w:p>
        </w:tc>
        <w:tc>
          <w:tcPr>
            <w:tcW w:w="0" w:type="dxa"/>
            <w:vAlign w:val="bottom"/>
          </w:tcPr>
          <w:p>
            <w:pPr>
              <w:spacing w:after="0"/>
              <w:rPr>
                <w:sz w:val="1"/>
                <w:szCs w:val="1"/>
                <w:color w:val="auto"/>
              </w:rPr>
            </w:pPr>
          </w:p>
        </w:tc>
      </w:tr>
      <w:tr>
        <w:trPr>
          <w:trHeight w:val="203"/>
        </w:trPr>
        <w:tc>
          <w:tcPr>
            <w:tcW w:w="4100" w:type="dxa"/>
            <w:vAlign w:val="bottom"/>
          </w:tcPr>
          <w:p>
            <w:pPr>
              <w:ind w:left="20"/>
              <w:spacing w:after="0"/>
              <w:rPr>
                <w:sz w:val="20"/>
                <w:szCs w:val="20"/>
                <w:color w:val="auto"/>
              </w:rPr>
            </w:pPr>
            <w:r>
              <w:rPr>
                <w:rFonts w:ascii="Arial" w:cs="Arial" w:eastAsia="Arial" w:hAnsi="Arial"/>
                <w:sz w:val="16"/>
                <w:szCs w:val="16"/>
                <w:color w:val="auto"/>
              </w:rPr>
              <w:t>Private Cloud</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269.5</w:t>
            </w:r>
          </w:p>
        </w:tc>
        <w:tc>
          <w:tcPr>
            <w:tcW w:w="1320" w:type="dxa"/>
            <w:vAlign w:val="bottom"/>
            <w:gridSpan w:val="3"/>
          </w:tcPr>
          <w:p>
            <w:pPr>
              <w:jc w:val="right"/>
              <w:spacing w:after="0"/>
              <w:rPr>
                <w:sz w:val="20"/>
                <w:szCs w:val="20"/>
                <w:color w:val="auto"/>
              </w:rPr>
            </w:pPr>
            <w:r>
              <w:rPr>
                <w:rFonts w:ascii="Arial" w:cs="Arial" w:eastAsia="Arial" w:hAnsi="Arial"/>
                <w:sz w:val="16"/>
                <w:szCs w:val="16"/>
                <w:color w:val="auto"/>
              </w:rPr>
              <w:t>38.0 %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179.7</w:t>
            </w:r>
          </w:p>
        </w:tc>
        <w:tc>
          <w:tcPr>
            <w:tcW w:w="1320" w:type="dxa"/>
            <w:vAlign w:val="bottom"/>
            <w:gridSpan w:val="3"/>
          </w:tcPr>
          <w:p>
            <w:pPr>
              <w:jc w:val="right"/>
              <w:spacing w:after="0"/>
              <w:rPr>
                <w:sz w:val="20"/>
                <w:szCs w:val="20"/>
                <w:color w:val="auto"/>
              </w:rPr>
            </w:pPr>
            <w:r>
              <w:rPr>
                <w:rFonts w:ascii="Arial" w:cs="Arial" w:eastAsia="Arial" w:hAnsi="Arial"/>
                <w:sz w:val="16"/>
                <w:szCs w:val="16"/>
                <w:color w:val="auto"/>
              </w:rPr>
              <w:t>28.7 %</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(89.8)</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(33.3)%</w:t>
            </w:r>
          </w:p>
        </w:tc>
        <w:tc>
          <w:tcPr>
            <w:tcW w:w="0" w:type="dxa"/>
            <w:vAlign w:val="bottom"/>
          </w:tcPr>
          <w:p>
            <w:pPr>
              <w:spacing w:after="0"/>
              <w:rPr>
                <w:sz w:val="1"/>
                <w:szCs w:val="1"/>
                <w:color w:val="auto"/>
              </w:rPr>
            </w:pPr>
          </w:p>
        </w:tc>
      </w:tr>
      <w:tr>
        <w:trPr>
          <w:trHeight w:val="210"/>
        </w:trPr>
        <w:tc>
          <w:tcPr>
            <w:tcW w:w="4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consolidated segment operating profit</w:t>
            </w: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333.9</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221.2</w:t>
            </w: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0" w:type="dxa"/>
            <w:vAlign w:val="bottom"/>
          </w:tcPr>
          <w:p>
            <w:pPr>
              <w:spacing w:after="0"/>
              <w:rPr>
                <w:sz w:val="1"/>
                <w:szCs w:val="1"/>
                <w:color w:val="auto"/>
              </w:rPr>
            </w:pPr>
          </w:p>
        </w:tc>
      </w:tr>
      <w:tr>
        <w:trPr>
          <w:trHeight w:val="216"/>
        </w:trPr>
        <w:tc>
          <w:tcPr>
            <w:tcW w:w="4100" w:type="dxa"/>
            <w:vAlign w:val="bottom"/>
          </w:tcPr>
          <w:p>
            <w:pPr>
              <w:ind w:left="260"/>
              <w:spacing w:after="0"/>
              <w:rPr>
                <w:sz w:val="20"/>
                <w:szCs w:val="20"/>
                <w:color w:val="auto"/>
              </w:rPr>
            </w:pPr>
            <w:r>
              <w:rPr>
                <w:rFonts w:ascii="Arial" w:cs="Arial" w:eastAsia="Arial" w:hAnsi="Arial"/>
                <w:sz w:val="16"/>
                <w:szCs w:val="16"/>
                <w:color w:val="auto"/>
              </w:rPr>
              <w:t>Corporate functions</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(123.3)</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(131.7)</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6.8 %</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Non-GAAP Operating Profit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89.5</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(57.5)%</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Public Cloud operating profit decreased 36% in the six months ended June 30, 2023 from the six months ended June 30, 2022. Segment operating profit as a percentage of segment revenue decreased by 300 basis points, reflecting an 8% increase in segment operating expenses, partially offset by a 5% increase in segment revenue. The increase in costs was mainly driven by higher third-party infrastructure costs due to the increase in revenue with additional increases in customer licenses.</w:t>
      </w:r>
    </w:p>
    <w:p>
      <w:pPr>
        <w:spacing w:after="0" w:line="214"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Private Cloud operating profit decreased 33% in the six months ended June 30, 2023 from the six months ended June 30, 2022. Segment operating profit as a percentage of segment revenue decreased by 930 basis points, due to a 12% decrease in segment revenue and a 2% increase in segment operating expenses. The increase in costs was mainly driven by higher data center costs in the current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0" w:firstLine="486"/>
        <w:spacing w:after="0" w:line="311" w:lineRule="auto"/>
        <w:rPr>
          <w:sz w:val="20"/>
          <w:szCs w:val="20"/>
          <w:color w:val="auto"/>
        </w:rPr>
      </w:pPr>
      <w:r>
        <w:rPr>
          <w:rFonts w:ascii="Arial" w:cs="Arial" w:eastAsia="Arial" w:hAnsi="Arial"/>
          <w:sz w:val="16"/>
          <w:szCs w:val="16"/>
          <w:color w:val="auto"/>
        </w:rPr>
        <w:t>Centralized corporate functions that provide services to the segments in areas such as accounting, information technology, marketing, legal and human resources are not allocated to the segments and are included in "corporate functions" in the table above. This expense increased 7% in the six months ended June 30, 2023 from the six months ended June 30, 2022 primarily due to increases in payroll costs and professional fees.</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For more information about our segment operating profit, see Item 1 of Part I, Financial Statements - Note 14, "Segment Reporting."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Goodwill</w:t>
      </w:r>
    </w:p>
    <w:p>
      <w:pPr>
        <w:spacing w:after="0" w:line="252"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We recorded a total of $543 million in non-cash goodwill impairment charges in the six months ended June 30, 2023. There was no such impairment in the six months ended June 30, 2022.</w:t>
      </w:r>
    </w:p>
    <w:p>
      <w:pPr>
        <w:spacing w:after="0" w:line="197"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Due to the change in our segment reporting as a result of the business reorganization as of January 1, 2023, we completed a quantitative goodwill impairment analysis both prior and subsequent to the aforementioned change. The results of the quantitative goodwill impairment analysis performed as of December 31, 2022 prior to the change indicated an impairment within our former Apps &amp; Cross Platform reporting unit, and we recorded a non-cash impairment charge of $129 million in the fourth quarter of 2022 as described in our Annual Report. The results of the quantitative goodwill impairment analysis performed as of January 1, 2023 subsequent to the change indicated an impairment within our Private Cloud reporting unit, and we recorded a non-cash impairment charge of $271 million in the first quarter of 2023.</w:t>
      </w:r>
    </w:p>
    <w:p>
      <w:pPr>
        <w:spacing w:after="0" w:line="205"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During the first quarter of 2023, we experienced a sustained decline in our stock price resulting in our market capitalization being less than the carrying value of our combined reporting units. As of March 31, 2023, we assessed several events and circumstances that could affect the significant inputs used to determine the fair value of our reporting units, including the significance of the amount, if any, of excess carrying value over fair value, consistency of operating margins and cash flows, budgeted-to-actual performance for the first three months of the year, overall change in economic climate, changes in the industry and competitive environment, and earnings quality and sustainability. After considering all available evidence in our evaluation of goodwill impairment indicators, we determined it appropriate to perform an interim quantitative assessment of our reporting units as of March 31, 2023. The results of this quantitative goodwill impairment analysis indicated an impairment within our Private Cloud reporting unit, and we recorded an additional non-cash impairment charge of $272 million in the first quarter of 2023.</w:t>
      </w:r>
    </w:p>
    <w:p>
      <w:pPr>
        <w:spacing w:after="0" w:line="205" w:lineRule="exact"/>
        <w:rPr>
          <w:sz w:val="20"/>
          <w:szCs w:val="20"/>
          <w:color w:val="auto"/>
        </w:rPr>
      </w:pPr>
    </w:p>
    <w:p>
      <w:pPr>
        <w:ind w:right="540" w:firstLine="486"/>
        <w:spacing w:after="0" w:line="261" w:lineRule="auto"/>
        <w:rPr>
          <w:sz w:val="20"/>
          <w:szCs w:val="20"/>
          <w:color w:val="auto"/>
        </w:rPr>
      </w:pPr>
      <w:r>
        <w:rPr>
          <w:rFonts w:ascii="Arial" w:cs="Arial" w:eastAsia="Arial" w:hAnsi="Arial"/>
          <w:sz w:val="18"/>
          <w:szCs w:val="18"/>
          <w:color w:val="auto"/>
        </w:rPr>
        <w:t>See "Critical Accounting Policies and Estimates" in this section and Item 1 of Part I, Financial Statements - Note 5, "Goodwill and Intangible Assets" for further discussion.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52"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Interest expense increased $14 million, or 14%, to $114 million in the six months ended June 30, 2023 from $101 million in the six months ended June 30, 2022, due primarily to rising interest rates and the impact on our variable-rate Term Loan Facility.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Debt Extinguishment</w:t>
      </w:r>
    </w:p>
    <w:p>
      <w:pPr>
        <w:spacing w:after="0" w:line="252" w:lineRule="exact"/>
        <w:rPr>
          <w:sz w:val="20"/>
          <w:szCs w:val="20"/>
          <w:color w:val="auto"/>
        </w:rPr>
      </w:pPr>
    </w:p>
    <w:p>
      <w:pPr>
        <w:ind w:right="340" w:firstLine="486"/>
        <w:spacing w:after="0" w:line="308" w:lineRule="auto"/>
        <w:rPr>
          <w:sz w:val="20"/>
          <w:szCs w:val="20"/>
          <w:color w:val="auto"/>
        </w:rPr>
      </w:pPr>
      <w:r>
        <w:rPr>
          <w:rFonts w:ascii="Arial" w:cs="Arial" w:eastAsia="Arial" w:hAnsi="Arial"/>
          <w:sz w:val="17"/>
          <w:szCs w:val="17"/>
          <w:color w:val="auto"/>
        </w:rPr>
        <w:t>We recorded a $108 million gain on debt extinguishment in the six months ended June 30, 2023 related to repurchases of $165 million principal amount of 5.375% Senior Notes. We did not record a gain on debt extinguishment in the six months ended June 30, 2022.</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239" w:lineRule="exact"/>
        <w:rPr>
          <w:sz w:val="20"/>
          <w:szCs w:val="20"/>
          <w:color w:val="auto"/>
        </w:rPr>
      </w:pPr>
    </w:p>
    <w:p>
      <w:pPr>
        <w:ind w:right="620" w:firstLine="486"/>
        <w:spacing w:after="0" w:line="261" w:lineRule="auto"/>
        <w:rPr>
          <w:sz w:val="20"/>
          <w:szCs w:val="20"/>
          <w:color w:val="auto"/>
        </w:rPr>
      </w:pPr>
      <w:r>
        <w:rPr>
          <w:rFonts w:ascii="Arial" w:cs="Arial" w:eastAsia="Arial" w:hAnsi="Arial"/>
          <w:sz w:val="18"/>
          <w:szCs w:val="18"/>
          <w:color w:val="auto"/>
        </w:rPr>
        <w:t>We had $2 million of other income and $10 million of other expense in the six months ended June 30, 2023 and June 30, 2022, respectively, primarily due to foreign currency transaction gains and losses between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 for Income Taxes</w:t>
      </w:r>
    </w:p>
    <w:p>
      <w:pPr>
        <w:spacing w:after="0" w:line="239" w:lineRule="exact"/>
        <w:rPr>
          <w:sz w:val="20"/>
          <w:szCs w:val="20"/>
          <w:color w:val="auto"/>
        </w:rPr>
      </w:pPr>
    </w:p>
    <w:p>
      <w:pPr>
        <w:ind w:firstLine="486"/>
        <w:spacing w:after="0" w:line="294" w:lineRule="auto"/>
        <w:rPr>
          <w:sz w:val="20"/>
          <w:szCs w:val="20"/>
          <w:color w:val="auto"/>
        </w:rPr>
      </w:pPr>
      <w:r>
        <w:rPr>
          <w:rFonts w:ascii="Arial" w:cs="Arial" w:eastAsia="Arial" w:hAnsi="Arial"/>
          <w:sz w:val="16"/>
          <w:szCs w:val="16"/>
          <w:color w:val="auto"/>
        </w:rPr>
        <w:t>Our income tax benefit increased to $10 million in the six months ended June 30, 2023 from $6 million in the six months ended June 30, 2022. Our effective tax rate decreased to 1.5% in the six months ended June 30, 2023 from 7.4% in the six months ended June 30, 2022. The decrease in the effective tax rate year-over-year is primarily due to the tax impact associated with the goodwill impairment recorded in the first quarter of 2023 as well as changes in the valuation allowance. The majority of the goodwill impairment recorded in the first quarter of 2023 was nondeductible for income tax purposes. The difference between the effective tax rate and the statutory rate for the six months ended June 30, 2023 is primarily due to the tax impact associated with the goodwill impairment recorded in the first quarter of 2023, executive compensation that is nondeductible under IRC Section 162(m), the geographic distribution of profits, tax effects from nondeductible share-based compensation as well as an increase in the valuation allowance.</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Non-GAAP Financial Measures</w:t>
      </w:r>
    </w:p>
    <w:p>
      <w:pPr>
        <w:spacing w:after="0" w:line="256" w:lineRule="exact"/>
        <w:rPr>
          <w:sz w:val="20"/>
          <w:szCs w:val="20"/>
          <w:color w:val="auto"/>
        </w:rPr>
      </w:pPr>
    </w:p>
    <w:p>
      <w:pPr>
        <w:ind w:right="40" w:firstLine="486"/>
        <w:spacing w:after="0" w:line="291" w:lineRule="auto"/>
        <w:rPr>
          <w:sz w:val="20"/>
          <w:szCs w:val="20"/>
          <w:color w:val="auto"/>
        </w:rPr>
      </w:pPr>
      <w:r>
        <w:rPr>
          <w:rFonts w:ascii="Arial" w:cs="Arial" w:eastAsia="Arial" w:hAnsi="Arial"/>
          <w:sz w:val="16"/>
          <w:szCs w:val="16"/>
          <w:color w:val="auto"/>
        </w:rPr>
        <w:t>We track several non-GAAP financial measures to monitor and manage our underlying financial performance. The following discussion includes the presentation of constant currency revenue, Non-GAAP Gross Profit, Non-GAAP Net Income (Loss), Non-GAAP Operating Profit, Adjusted EBITDA and Non-GAAP Earnings (Loss) Per Share, which are non-GAAP financial measures that exclude the impact of certain costs, losses and gains that are required to be included in our profit and loss measures under GAAP. Although we believe these measures are useful to investors and analysts for the same reasons they are useful to management, as discussed below, these measures are not a substitute for, or superior to, U.S. GAAP financial measures or disclosures. Other companies may calculate similarly-titled non-GAAP measures differently, limiting their usefulness as comparative measures. We have reconciled each of these non-GAAP measures to the applicable most comparable GAAP measure throughout this MD&amp;A.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Constant Currency Revenue</w:t>
      </w:r>
    </w:p>
    <w:p>
      <w:pPr>
        <w:spacing w:after="0" w:line="239" w:lineRule="exact"/>
        <w:rPr>
          <w:sz w:val="20"/>
          <w:szCs w:val="20"/>
          <w:color w:val="auto"/>
        </w:rPr>
      </w:pPr>
    </w:p>
    <w:p>
      <w:pPr>
        <w:ind w:firstLine="486"/>
        <w:spacing w:after="0" w:line="275" w:lineRule="auto"/>
        <w:rPr>
          <w:sz w:val="20"/>
          <w:szCs w:val="20"/>
          <w:color w:val="auto"/>
        </w:rPr>
      </w:pPr>
      <w:r>
        <w:rPr>
          <w:rFonts w:ascii="Arial" w:cs="Arial" w:eastAsia="Arial" w:hAnsi="Arial"/>
          <w:sz w:val="17"/>
          <w:szCs w:val="17"/>
          <w:color w:val="auto"/>
        </w:rPr>
        <w:t>We use constant currency revenue as an additional metric for understanding and assessing our growth excluding the effect of foreign currency rate fluctuations on our international business operations. Constant currency information compares results between periods as if exchange rates had remained constant period over period and is calculated by translating the non-U.S. dollar income statement balances for the most current period to U.S. dollars using the average exchange rate from the comparative period rather than the actual exchange rates in effect during the respective period. We also believe this is an important metric to help investors evaluate our performance in comparison to prior periods.</w:t>
      </w:r>
    </w:p>
    <w:p>
      <w:pPr>
        <w:spacing w:after="0" w:line="203"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The following tables present, by segment, actual and constant currency revenue and constant currency revenue growth rates, for and between the periods indicated: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40" w:type="dxa"/>
            <w:vAlign w:val="bottom"/>
          </w:tcPr>
          <w:p>
            <w:pPr>
              <w:spacing w:after="0"/>
              <w:rPr>
                <w:sz w:val="16"/>
                <w:szCs w:val="16"/>
                <w:color w:val="auto"/>
              </w:rPr>
            </w:pPr>
          </w:p>
        </w:tc>
        <w:tc>
          <w:tcPr>
            <w:tcW w:w="1520" w:type="dxa"/>
            <w:vAlign w:val="bottom"/>
            <w:gridSpan w:val="2"/>
          </w:tcPr>
          <w:p>
            <w:pPr>
              <w:ind w:left="20"/>
              <w:spacing w:after="0"/>
              <w:rPr>
                <w:sz w:val="20"/>
                <w:szCs w:val="20"/>
                <w:color w:val="auto"/>
              </w:rPr>
            </w:pPr>
            <w:r>
              <w:rPr>
                <w:rFonts w:ascii="Arial" w:cs="Arial" w:eastAsia="Arial" w:hAnsi="Arial"/>
                <w:sz w:val="16"/>
                <w:szCs w:val="16"/>
                <w:b w:val="1"/>
                <w:bCs w:val="1"/>
                <w:color w:val="auto"/>
                <w:w w:val="93"/>
              </w:rPr>
              <w:t>Three Months Ended</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160" w:type="dxa"/>
            <w:vAlign w:val="bottom"/>
            <w:gridSpan w:val="7"/>
            <w:vMerge w:val="restart"/>
          </w:tcPr>
          <w:p>
            <w:pPr>
              <w:jc w:val="center"/>
              <w:ind w:right="179"/>
              <w:spacing w:after="0"/>
              <w:rPr>
                <w:sz w:val="20"/>
                <w:szCs w:val="20"/>
                <w:color w:val="auto"/>
              </w:rPr>
            </w:pPr>
            <w:r>
              <w:rPr>
                <w:rFonts w:ascii="Arial" w:cs="Arial" w:eastAsia="Arial" w:hAnsi="Arial"/>
                <w:sz w:val="16"/>
                <w:szCs w:val="16"/>
                <w:b w:val="1"/>
                <w:bCs w:val="1"/>
                <w:color w:val="auto"/>
                <w:w w:val="92"/>
              </w:rPr>
              <w:t>Three Months Ended June 30, 2023</w:t>
            </w:r>
          </w:p>
        </w:tc>
        <w:tc>
          <w:tcPr>
            <w:tcW w:w="100" w:type="dxa"/>
            <w:vAlign w:val="bottom"/>
          </w:tcPr>
          <w:p>
            <w:pPr>
              <w:spacing w:after="0"/>
              <w:rPr>
                <w:sz w:val="16"/>
                <w:szCs w:val="16"/>
                <w:color w:val="auto"/>
              </w:rPr>
            </w:pPr>
          </w:p>
        </w:tc>
        <w:tc>
          <w:tcPr>
            <w:tcW w:w="1760" w:type="dxa"/>
            <w:vAlign w:val="bottom"/>
            <w:gridSpan w:val="3"/>
            <w:vMerge w:val="restart"/>
          </w:tcPr>
          <w:p>
            <w:pPr>
              <w:ind w:left="1020"/>
              <w:spacing w:after="0"/>
              <w:rPr>
                <w:sz w:val="20"/>
                <w:szCs w:val="20"/>
                <w:color w:val="auto"/>
              </w:rPr>
            </w:pPr>
            <w:r>
              <w:rPr>
                <w:rFonts w:ascii="Arial" w:cs="Arial" w:eastAsia="Arial" w:hAnsi="Arial"/>
                <w:sz w:val="16"/>
                <w:szCs w:val="16"/>
                <w:b w:val="1"/>
                <w:bCs w:val="1"/>
                <w:color w:val="auto"/>
                <w:w w:val="93"/>
              </w:rPr>
              <w:t>% Change</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3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97"/>
              </w:rPr>
              <w:t>June 30, 2022</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160" w:type="dxa"/>
            <w:vAlign w:val="bottom"/>
            <w:tcBorders>
              <w:bottom w:val="single" w:sz="8" w:color="auto"/>
            </w:tcBorders>
            <w:gridSpan w:val="7"/>
            <w:vMerge w:val="continue"/>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Borders>
              <w:bottom w:val="single" w:sz="8" w:color="auto"/>
            </w:tcBorders>
            <w:gridSpan w:val="3"/>
            <w:vMerge w:val="continue"/>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Revenue</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Revenue</w:t>
            </w:r>
          </w:p>
        </w:tc>
        <w:tc>
          <w:tcPr>
            <w:tcW w:w="100" w:type="dxa"/>
            <w:vAlign w:val="bottom"/>
          </w:tcPr>
          <w:p>
            <w:pPr>
              <w:spacing w:after="0"/>
              <w:rPr>
                <w:sz w:val="13"/>
                <w:szCs w:val="13"/>
                <w:color w:val="auto"/>
              </w:rPr>
            </w:pPr>
          </w:p>
        </w:tc>
        <w:tc>
          <w:tcPr>
            <w:tcW w:w="1420" w:type="dxa"/>
            <w:vAlign w:val="bottom"/>
            <w:gridSpan w:val="2"/>
          </w:tcPr>
          <w:p>
            <w:pPr>
              <w:jc w:val="center"/>
              <w:spacing w:after="0" w:line="158" w:lineRule="exact"/>
              <w:rPr>
                <w:sz w:val="20"/>
                <w:szCs w:val="20"/>
                <w:color w:val="auto"/>
              </w:rPr>
            </w:pPr>
            <w:r>
              <w:rPr>
                <w:rFonts w:ascii="Arial" w:cs="Arial" w:eastAsia="Arial" w:hAnsi="Arial"/>
                <w:sz w:val="16"/>
                <w:szCs w:val="16"/>
                <w:b w:val="1"/>
                <w:bCs w:val="1"/>
                <w:color w:val="auto"/>
                <w:w w:val="92"/>
              </w:rPr>
              <w:t>Foreign Currency</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right"/>
              <w:ind w:right="239"/>
              <w:spacing w:after="0" w:line="158" w:lineRule="exact"/>
              <w:rPr>
                <w:sz w:val="20"/>
                <w:szCs w:val="20"/>
                <w:color w:val="auto"/>
              </w:rPr>
            </w:pPr>
            <w:r>
              <w:rPr>
                <w:rFonts w:ascii="Arial" w:cs="Arial" w:eastAsia="Arial" w:hAnsi="Arial"/>
                <w:sz w:val="16"/>
                <w:szCs w:val="16"/>
                <w:b w:val="1"/>
                <w:bCs w:val="1"/>
                <w:color w:val="auto"/>
                <w:w w:val="98"/>
              </w:rPr>
              <w:t>Revenue in</w:t>
            </w:r>
          </w:p>
        </w:tc>
        <w:tc>
          <w:tcPr>
            <w:tcW w:w="100" w:type="dxa"/>
            <w:vAlign w:val="bottom"/>
          </w:tcPr>
          <w:p>
            <w:pPr>
              <w:spacing w:after="0"/>
              <w:rPr>
                <w:sz w:val="13"/>
                <w:szCs w:val="13"/>
                <w:color w:val="auto"/>
              </w:rPr>
            </w:pPr>
          </w:p>
        </w:tc>
        <w:tc>
          <w:tcPr>
            <w:tcW w:w="132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Actual</w:t>
            </w:r>
          </w:p>
        </w:tc>
        <w:tc>
          <w:tcPr>
            <w:tcW w:w="120" w:type="dxa"/>
            <w:vAlign w:val="bottom"/>
            <w:vMerge w:val="restart"/>
          </w:tcPr>
          <w:p>
            <w:pPr>
              <w:spacing w:after="0"/>
              <w:rPr>
                <w:sz w:val="13"/>
                <w:szCs w:val="13"/>
                <w:color w:val="auto"/>
              </w:rPr>
            </w:pPr>
          </w:p>
        </w:tc>
        <w:tc>
          <w:tcPr>
            <w:tcW w:w="320" w:type="dxa"/>
            <w:vAlign w:val="bottom"/>
            <w:vMerge w:val="restart"/>
          </w:tcPr>
          <w:p>
            <w:pPr>
              <w:spacing w:after="0"/>
              <w:rPr>
                <w:sz w:val="13"/>
                <w:szCs w:val="13"/>
                <w:color w:val="auto"/>
              </w:rPr>
            </w:pPr>
          </w:p>
        </w:tc>
        <w:tc>
          <w:tcPr>
            <w:tcW w:w="1020" w:type="dxa"/>
            <w:vAlign w:val="bottom"/>
          </w:tcPr>
          <w:p>
            <w:pPr>
              <w:jc w:val="right"/>
              <w:ind w:right="279"/>
              <w:spacing w:after="0" w:line="158" w:lineRule="exact"/>
              <w:rPr>
                <w:sz w:val="20"/>
                <w:szCs w:val="20"/>
                <w:color w:val="auto"/>
              </w:rPr>
            </w:pPr>
            <w:r>
              <w:rPr>
                <w:rFonts w:ascii="Arial" w:cs="Arial" w:eastAsia="Arial" w:hAnsi="Arial"/>
                <w:sz w:val="16"/>
                <w:szCs w:val="16"/>
                <w:b w:val="1"/>
                <w:bCs w:val="1"/>
                <w:color w:val="auto"/>
                <w:w w:val="92"/>
              </w:rPr>
              <w:t>Constant</w:t>
            </w:r>
          </w:p>
        </w:tc>
        <w:tc>
          <w:tcPr>
            <w:tcW w:w="0" w:type="dxa"/>
            <w:vAlign w:val="bottom"/>
          </w:tcPr>
          <w:p>
            <w:pPr>
              <w:spacing w:after="0"/>
              <w:rPr>
                <w:sz w:val="1"/>
                <w:szCs w:val="1"/>
                <w:color w:val="auto"/>
              </w:rPr>
            </w:pPr>
          </w:p>
        </w:tc>
      </w:tr>
      <w:tr>
        <w:trPr>
          <w:trHeight w:val="216"/>
        </w:trPr>
        <w:tc>
          <w:tcPr>
            <w:tcW w:w="23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59"/>
              <w:spacing w:after="0" w:line="216" w:lineRule="exact"/>
              <w:rPr>
                <w:sz w:val="20"/>
                <w:szCs w:val="20"/>
                <w:color w:val="auto"/>
              </w:rPr>
            </w:pPr>
            <w:r>
              <w:rPr>
                <w:rFonts w:ascii="Arial" w:cs="Arial" w:eastAsia="Arial" w:hAnsi="Arial"/>
                <w:sz w:val="16"/>
                <w:szCs w:val="16"/>
                <w:b w:val="1"/>
                <w:bCs w:val="1"/>
                <w:color w:val="auto"/>
                <w:w w:val="89"/>
              </w:rPr>
              <w:t xml:space="preserve">Translation </w:t>
            </w:r>
            <w:r>
              <w:rPr>
                <w:rFonts w:ascii="Arial" w:cs="Arial" w:eastAsia="Arial" w:hAnsi="Arial"/>
                <w:sz w:val="21"/>
                <w:szCs w:val="21"/>
                <w:b w:val="1"/>
                <w:bCs w:val="1"/>
                <w:color w:val="auto"/>
                <w:w w:val="89"/>
                <w:vertAlign w:val="superscript"/>
              </w:rPr>
              <w:t>(a)</w:t>
            </w:r>
          </w:p>
        </w:tc>
        <w:tc>
          <w:tcPr>
            <w:tcW w:w="12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3"/>
              </w:rPr>
              <w:t>Constant Currency</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w w:val="93"/>
              </w:rPr>
              <w:t>Currency</w:t>
            </w:r>
          </w:p>
        </w:tc>
        <w:tc>
          <w:tcPr>
            <w:tcW w:w="0" w:type="dxa"/>
            <w:vAlign w:val="bottom"/>
          </w:tcPr>
          <w:p>
            <w:pPr>
              <w:spacing w:after="0"/>
              <w:rPr>
                <w:sz w:val="1"/>
                <w:szCs w:val="1"/>
                <w:color w:val="auto"/>
              </w:rPr>
            </w:pPr>
          </w:p>
        </w:tc>
      </w:tr>
      <w:tr>
        <w:trPr>
          <w:trHeight w:val="210"/>
        </w:trPr>
        <w:tc>
          <w:tcPr>
            <w:tcW w:w="2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Public Cloud</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422.1</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435.4</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3.0 %</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3.1 %</w:t>
            </w:r>
          </w:p>
        </w:tc>
        <w:tc>
          <w:tcPr>
            <w:tcW w:w="0" w:type="dxa"/>
            <w:vAlign w:val="bottom"/>
          </w:tcPr>
          <w:p>
            <w:pPr>
              <w:spacing w:after="0"/>
              <w:rPr>
                <w:sz w:val="1"/>
                <w:szCs w:val="1"/>
                <w:color w:val="auto"/>
              </w:rPr>
            </w:pPr>
          </w:p>
        </w:tc>
      </w:tr>
      <w:tr>
        <w:trPr>
          <w:trHeight w:val="203"/>
        </w:trPr>
        <w:tc>
          <w:tcPr>
            <w:tcW w:w="2340" w:type="dxa"/>
            <w:vAlign w:val="bottom"/>
          </w:tcPr>
          <w:p>
            <w:pPr>
              <w:ind w:left="20"/>
              <w:spacing w:after="0"/>
              <w:rPr>
                <w:sz w:val="20"/>
                <w:szCs w:val="20"/>
                <w:color w:val="auto"/>
              </w:rPr>
            </w:pPr>
            <w:r>
              <w:rPr>
                <w:rFonts w:ascii="Arial" w:cs="Arial" w:eastAsia="Arial" w:hAnsi="Arial"/>
                <w:sz w:val="16"/>
                <w:szCs w:val="16"/>
                <w:color w:val="auto"/>
              </w:rPr>
              <w:t>Private Cloud</w:t>
            </w: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350.1</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311.4</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312.1</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30"/>
        </w:trPr>
        <w:tc>
          <w:tcPr>
            <w:tcW w:w="23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772.2</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747.5</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5" w:lineRule="exact"/>
        <w:rPr>
          <w:sz w:val="20"/>
          <w:szCs w:val="20"/>
          <w:color w:val="auto"/>
        </w:rPr>
      </w:pPr>
    </w:p>
    <w:p>
      <w:pPr>
        <w:ind w:left="140"/>
        <w:spacing w:after="0"/>
        <w:tabs>
          <w:tab w:leader="none" w:pos="46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The effect of foreign currency is calculated by translating current period results using the average exchange rate from the prior comparative period.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center"/>
              <w:ind w:right="39"/>
              <w:spacing w:after="0"/>
              <w:rPr>
                <w:sz w:val="20"/>
                <w:szCs w:val="20"/>
                <w:color w:val="auto"/>
              </w:rPr>
            </w:pPr>
            <w:r>
              <w:rPr>
                <w:rFonts w:ascii="Arial" w:cs="Arial" w:eastAsia="Arial" w:hAnsi="Arial"/>
                <w:sz w:val="16"/>
                <w:szCs w:val="16"/>
                <w:b w:val="1"/>
                <w:bCs w:val="1"/>
                <w:color w:val="auto"/>
                <w:w w:val="92"/>
              </w:rPr>
              <w:t>Six Months Ended</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160" w:type="dxa"/>
            <w:vAlign w:val="bottom"/>
            <w:gridSpan w:val="7"/>
            <w:vMerge w:val="restart"/>
          </w:tcPr>
          <w:p>
            <w:pPr>
              <w:jc w:val="center"/>
              <w:ind w:right="179"/>
              <w:spacing w:after="0"/>
              <w:rPr>
                <w:sz w:val="20"/>
                <w:szCs w:val="20"/>
                <w:color w:val="auto"/>
              </w:rPr>
            </w:pPr>
            <w:r>
              <w:rPr>
                <w:rFonts w:ascii="Arial" w:cs="Arial" w:eastAsia="Arial" w:hAnsi="Arial"/>
                <w:sz w:val="16"/>
                <w:szCs w:val="16"/>
                <w:b w:val="1"/>
                <w:bCs w:val="1"/>
                <w:color w:val="auto"/>
                <w:w w:val="91"/>
              </w:rPr>
              <w:t>Six Months Ended June 30, 2023</w:t>
            </w:r>
          </w:p>
        </w:tc>
        <w:tc>
          <w:tcPr>
            <w:tcW w:w="100" w:type="dxa"/>
            <w:vAlign w:val="bottom"/>
          </w:tcPr>
          <w:p>
            <w:pPr>
              <w:spacing w:after="0"/>
              <w:rPr>
                <w:sz w:val="16"/>
                <w:szCs w:val="16"/>
                <w:color w:val="auto"/>
              </w:rPr>
            </w:pPr>
          </w:p>
        </w:tc>
        <w:tc>
          <w:tcPr>
            <w:tcW w:w="1760" w:type="dxa"/>
            <w:vAlign w:val="bottom"/>
            <w:gridSpan w:val="3"/>
            <w:vMerge w:val="restart"/>
          </w:tcPr>
          <w:p>
            <w:pPr>
              <w:ind w:left="1020"/>
              <w:spacing w:after="0"/>
              <w:rPr>
                <w:sz w:val="20"/>
                <w:szCs w:val="20"/>
                <w:color w:val="auto"/>
              </w:rPr>
            </w:pPr>
            <w:r>
              <w:rPr>
                <w:rFonts w:ascii="Arial" w:cs="Arial" w:eastAsia="Arial" w:hAnsi="Arial"/>
                <w:sz w:val="16"/>
                <w:szCs w:val="16"/>
                <w:b w:val="1"/>
                <w:bCs w:val="1"/>
                <w:color w:val="auto"/>
                <w:w w:val="93"/>
              </w:rPr>
              <w:t>% Change</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3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0"/>
              </w:rPr>
              <w:t>June 30, 2022</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160" w:type="dxa"/>
            <w:vAlign w:val="bottom"/>
            <w:tcBorders>
              <w:bottom w:val="single" w:sz="8" w:color="auto"/>
            </w:tcBorders>
            <w:gridSpan w:val="7"/>
            <w:vMerge w:val="continue"/>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Borders>
              <w:bottom w:val="single" w:sz="8" w:color="auto"/>
            </w:tcBorders>
            <w:gridSpan w:val="3"/>
            <w:vMerge w:val="continue"/>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vMerge w:val="restart"/>
          </w:tcPr>
          <w:p>
            <w:pPr>
              <w:jc w:val="center"/>
              <w:ind w:right="39"/>
              <w:spacing w:after="0"/>
              <w:rPr>
                <w:sz w:val="20"/>
                <w:szCs w:val="20"/>
                <w:color w:val="auto"/>
              </w:rPr>
            </w:pPr>
            <w:r>
              <w:rPr>
                <w:rFonts w:ascii="Arial" w:cs="Arial" w:eastAsia="Arial" w:hAnsi="Arial"/>
                <w:sz w:val="16"/>
                <w:szCs w:val="16"/>
                <w:b w:val="1"/>
                <w:bCs w:val="1"/>
                <w:color w:val="auto"/>
                <w:w w:val="89"/>
              </w:rPr>
              <w:t>Revenue</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Revenue</w:t>
            </w:r>
          </w:p>
        </w:tc>
        <w:tc>
          <w:tcPr>
            <w:tcW w:w="100" w:type="dxa"/>
            <w:vAlign w:val="bottom"/>
          </w:tcPr>
          <w:p>
            <w:pPr>
              <w:spacing w:after="0"/>
              <w:rPr>
                <w:sz w:val="13"/>
                <w:szCs w:val="13"/>
                <w:color w:val="auto"/>
              </w:rPr>
            </w:pPr>
          </w:p>
        </w:tc>
        <w:tc>
          <w:tcPr>
            <w:tcW w:w="1420" w:type="dxa"/>
            <w:vAlign w:val="bottom"/>
            <w:gridSpan w:val="2"/>
          </w:tcPr>
          <w:p>
            <w:pPr>
              <w:jc w:val="center"/>
              <w:spacing w:after="0" w:line="158" w:lineRule="exact"/>
              <w:rPr>
                <w:sz w:val="20"/>
                <w:szCs w:val="20"/>
                <w:color w:val="auto"/>
              </w:rPr>
            </w:pPr>
            <w:r>
              <w:rPr>
                <w:rFonts w:ascii="Arial" w:cs="Arial" w:eastAsia="Arial" w:hAnsi="Arial"/>
                <w:sz w:val="16"/>
                <w:szCs w:val="16"/>
                <w:b w:val="1"/>
                <w:bCs w:val="1"/>
                <w:color w:val="auto"/>
                <w:w w:val="92"/>
              </w:rPr>
              <w:t>Foreign Currency</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right"/>
              <w:ind w:right="239"/>
              <w:spacing w:after="0" w:line="158" w:lineRule="exact"/>
              <w:rPr>
                <w:sz w:val="20"/>
                <w:szCs w:val="20"/>
                <w:color w:val="auto"/>
              </w:rPr>
            </w:pPr>
            <w:r>
              <w:rPr>
                <w:rFonts w:ascii="Arial" w:cs="Arial" w:eastAsia="Arial" w:hAnsi="Arial"/>
                <w:sz w:val="16"/>
                <w:szCs w:val="16"/>
                <w:b w:val="1"/>
                <w:bCs w:val="1"/>
                <w:color w:val="auto"/>
                <w:w w:val="98"/>
              </w:rPr>
              <w:t>Revenue in</w:t>
            </w:r>
          </w:p>
        </w:tc>
        <w:tc>
          <w:tcPr>
            <w:tcW w:w="100" w:type="dxa"/>
            <w:vAlign w:val="bottom"/>
          </w:tcPr>
          <w:p>
            <w:pPr>
              <w:spacing w:after="0"/>
              <w:rPr>
                <w:sz w:val="13"/>
                <w:szCs w:val="13"/>
                <w:color w:val="auto"/>
              </w:rPr>
            </w:pPr>
          </w:p>
        </w:tc>
        <w:tc>
          <w:tcPr>
            <w:tcW w:w="132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Actual</w:t>
            </w:r>
          </w:p>
        </w:tc>
        <w:tc>
          <w:tcPr>
            <w:tcW w:w="120" w:type="dxa"/>
            <w:vAlign w:val="bottom"/>
            <w:vMerge w:val="restart"/>
          </w:tcPr>
          <w:p>
            <w:pPr>
              <w:spacing w:after="0"/>
              <w:rPr>
                <w:sz w:val="13"/>
                <w:szCs w:val="13"/>
                <w:color w:val="auto"/>
              </w:rPr>
            </w:pPr>
          </w:p>
        </w:tc>
        <w:tc>
          <w:tcPr>
            <w:tcW w:w="320" w:type="dxa"/>
            <w:vAlign w:val="bottom"/>
            <w:vMerge w:val="restart"/>
          </w:tcPr>
          <w:p>
            <w:pPr>
              <w:spacing w:after="0"/>
              <w:rPr>
                <w:sz w:val="13"/>
                <w:szCs w:val="13"/>
                <w:color w:val="auto"/>
              </w:rPr>
            </w:pPr>
          </w:p>
        </w:tc>
        <w:tc>
          <w:tcPr>
            <w:tcW w:w="1020" w:type="dxa"/>
            <w:vAlign w:val="bottom"/>
          </w:tcPr>
          <w:p>
            <w:pPr>
              <w:jc w:val="right"/>
              <w:ind w:right="279"/>
              <w:spacing w:after="0" w:line="158" w:lineRule="exact"/>
              <w:rPr>
                <w:sz w:val="20"/>
                <w:szCs w:val="20"/>
                <w:color w:val="auto"/>
              </w:rPr>
            </w:pPr>
            <w:r>
              <w:rPr>
                <w:rFonts w:ascii="Arial" w:cs="Arial" w:eastAsia="Arial" w:hAnsi="Arial"/>
                <w:sz w:val="16"/>
                <w:szCs w:val="16"/>
                <w:b w:val="1"/>
                <w:bCs w:val="1"/>
                <w:color w:val="auto"/>
                <w:w w:val="92"/>
              </w:rPr>
              <w:t>Constant</w:t>
            </w:r>
          </w:p>
        </w:tc>
        <w:tc>
          <w:tcPr>
            <w:tcW w:w="0" w:type="dxa"/>
            <w:vAlign w:val="bottom"/>
          </w:tcPr>
          <w:p>
            <w:pPr>
              <w:spacing w:after="0"/>
              <w:rPr>
                <w:sz w:val="1"/>
                <w:szCs w:val="1"/>
                <w:color w:val="auto"/>
              </w:rPr>
            </w:pPr>
          </w:p>
        </w:tc>
      </w:tr>
      <w:tr>
        <w:trPr>
          <w:trHeight w:val="216"/>
        </w:trPr>
        <w:tc>
          <w:tcPr>
            <w:tcW w:w="2340" w:type="dxa"/>
            <w:vAlign w:val="bottom"/>
          </w:tcPr>
          <w:p>
            <w:pPr>
              <w:ind w:left="20"/>
              <w:spacing w:after="0"/>
              <w:rPr>
                <w:sz w:val="20"/>
                <w:szCs w:val="20"/>
                <w:color w:val="auto"/>
              </w:rPr>
            </w:pPr>
            <w:r>
              <w:rPr>
                <w:rFonts w:ascii="Arial" w:cs="Arial" w:eastAsia="Arial" w:hAnsi="Arial"/>
                <w:sz w:val="14"/>
                <w:szCs w:val="14"/>
                <w:color w:val="auto"/>
              </w:rPr>
              <w:t>(In millions, except %)</w:t>
            </w: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79"/>
              <w:spacing w:after="0" w:line="216" w:lineRule="exact"/>
              <w:rPr>
                <w:sz w:val="20"/>
                <w:szCs w:val="20"/>
                <w:color w:val="auto"/>
              </w:rPr>
            </w:pPr>
            <w:r>
              <w:rPr>
                <w:rFonts w:ascii="Arial" w:cs="Arial" w:eastAsia="Arial" w:hAnsi="Arial"/>
                <w:sz w:val="16"/>
                <w:szCs w:val="16"/>
                <w:b w:val="1"/>
                <w:bCs w:val="1"/>
                <w:color w:val="auto"/>
                <w:w w:val="89"/>
              </w:rPr>
              <w:t xml:space="preserve">Translation </w:t>
            </w:r>
            <w:r>
              <w:rPr>
                <w:rFonts w:ascii="Arial" w:cs="Arial" w:eastAsia="Arial" w:hAnsi="Arial"/>
                <w:sz w:val="21"/>
                <w:szCs w:val="21"/>
                <w:b w:val="1"/>
                <w:bCs w:val="1"/>
                <w:color w:val="auto"/>
                <w:w w:val="89"/>
                <w:vertAlign w:val="superscript"/>
              </w:rPr>
              <w:t>(a)</w:t>
            </w:r>
          </w:p>
        </w:tc>
        <w:tc>
          <w:tcPr>
            <w:tcW w:w="120" w:type="dxa"/>
            <w:vAlign w:val="bottom"/>
          </w:tcPr>
          <w:p>
            <w:pPr>
              <w:spacing w:after="0"/>
              <w:rPr>
                <w:sz w:val="18"/>
                <w:szCs w:val="18"/>
                <w:color w:val="auto"/>
              </w:rPr>
            </w:pPr>
          </w:p>
        </w:tc>
        <w:tc>
          <w:tcPr>
            <w:tcW w:w="13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3"/>
              </w:rPr>
              <w:t>Constant Currency</w:t>
            </w:r>
          </w:p>
        </w:tc>
        <w:tc>
          <w:tcPr>
            <w:tcW w:w="100" w:type="dxa"/>
            <w:vAlign w:val="bottom"/>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w w:val="93"/>
              </w:rPr>
              <w:t>Currency</w:t>
            </w:r>
          </w:p>
        </w:tc>
        <w:tc>
          <w:tcPr>
            <w:tcW w:w="0" w:type="dxa"/>
            <w:vAlign w:val="bottom"/>
          </w:tcPr>
          <w:p>
            <w:pPr>
              <w:spacing w:after="0"/>
              <w:rPr>
                <w:sz w:val="1"/>
                <w:szCs w:val="1"/>
                <w:color w:val="auto"/>
              </w:rPr>
            </w:pPr>
          </w:p>
        </w:tc>
      </w:tr>
      <w:tr>
        <w:trPr>
          <w:trHeight w:val="210"/>
        </w:trPr>
        <w:tc>
          <w:tcPr>
            <w:tcW w:w="2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Public Cloud</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839.1</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882.7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4.8 %</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5.2 %</w:t>
            </w:r>
          </w:p>
        </w:tc>
        <w:tc>
          <w:tcPr>
            <w:tcW w:w="0" w:type="dxa"/>
            <w:vAlign w:val="bottom"/>
          </w:tcPr>
          <w:p>
            <w:pPr>
              <w:spacing w:after="0"/>
              <w:rPr>
                <w:sz w:val="1"/>
                <w:szCs w:val="1"/>
                <w:color w:val="auto"/>
              </w:rPr>
            </w:pPr>
          </w:p>
        </w:tc>
      </w:tr>
      <w:tr>
        <w:trPr>
          <w:trHeight w:val="213"/>
        </w:trPr>
        <w:tc>
          <w:tcPr>
            <w:tcW w:w="2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Private Cloud</w:t>
            </w: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708.6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625.5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632.0</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(11.7)%</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33"/>
        </w:trPr>
        <w:tc>
          <w:tcPr>
            <w:tcW w:w="23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1,547.7</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1,505.0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1,514.7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5" w:lineRule="exact"/>
        <w:rPr>
          <w:sz w:val="20"/>
          <w:szCs w:val="20"/>
          <w:color w:val="auto"/>
        </w:rPr>
      </w:pPr>
    </w:p>
    <w:p>
      <w:pPr>
        <w:ind w:left="480" w:hanging="330"/>
        <w:spacing w:after="0"/>
        <w:tabs>
          <w:tab w:leader="none" w:pos="4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effect of foreign currency is calculated by translating current period results using the average exchange rate from the prior comparative period.</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89" w:lineRule="exact"/>
        <w:rPr>
          <w:rFonts w:ascii="Arial" w:cs="Arial" w:eastAsia="Arial" w:hAnsi="Arial"/>
          <w:sz w:val="16"/>
          <w:szCs w:val="16"/>
          <w:color w:val="auto"/>
        </w:rPr>
      </w:pPr>
    </w:p>
    <w:p>
      <w:pPr>
        <w:ind w:left="5540" w:hanging="111"/>
        <w:spacing w:after="0"/>
        <w:tabs>
          <w:tab w:leader="none" w:pos="55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Gross Profit</w:t>
      </w:r>
    </w:p>
    <w:p>
      <w:pPr>
        <w:spacing w:after="0" w:line="252"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We present Non-GAAP Gross Profit in this MD&amp;A because we believe the measure is useful in analyzing trends in our underlying, recurring gross margins. We define Non-GAAP Gross Profit as gross profit, adjusted to exclude the impact of share-based compensation expense and other non-recurring or unusual compensation items, purchase accounting-related effects, certain business transformation-related costs, and costs related to the Hosted Exchange incident.</w:t>
      </w:r>
    </w:p>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table below presents a reconciliation of gross profit to Non-GAAP Gross Profit:</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80" w:type="dxa"/>
            <w:vAlign w:val="bottom"/>
          </w:tcPr>
          <w:p>
            <w:pPr>
              <w:spacing w:after="0"/>
              <w:rPr>
                <w:sz w:val="18"/>
                <w:szCs w:val="18"/>
                <w:color w:val="auto"/>
              </w:rPr>
            </w:pPr>
          </w:p>
        </w:tc>
        <w:tc>
          <w:tcPr>
            <w:tcW w:w="27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6"/>
                <w:szCs w:val="16"/>
                <w:b w:val="1"/>
                <w:bCs w:val="1"/>
                <w:color w:val="auto"/>
              </w:rPr>
              <w:t>Six Months Ended June 30,</w:t>
            </w:r>
          </w:p>
        </w:tc>
        <w:tc>
          <w:tcPr>
            <w:tcW w:w="540" w:type="dxa"/>
            <w:vAlign w:val="bottom"/>
            <w:tcBorders>
              <w:bottom w:val="single" w:sz="8" w:color="auto"/>
            </w:tcBorders>
          </w:tcPr>
          <w:p>
            <w:pPr>
              <w:spacing w:after="0"/>
              <w:rPr>
                <w:sz w:val="18"/>
                <w:szCs w:val="18"/>
                <w:color w:val="auto"/>
              </w:rPr>
            </w:pPr>
          </w:p>
        </w:tc>
      </w:tr>
      <w:tr>
        <w:trPr>
          <w:trHeight w:val="210"/>
        </w:trPr>
        <w:tc>
          <w:tcPr>
            <w:tcW w:w="45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2022</w:t>
            </w:r>
          </w:p>
        </w:tc>
        <w:tc>
          <w:tcPr>
            <w:tcW w:w="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2023</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2022</w:t>
            </w:r>
          </w:p>
        </w:tc>
        <w:tc>
          <w:tcPr>
            <w:tcW w:w="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40" w:type="dxa"/>
            <w:vAlign w:val="bottom"/>
            <w:tcBorders>
              <w:bottom w:val="single" w:sz="8" w:color="auto"/>
            </w:tcBorders>
          </w:tcPr>
          <w:p>
            <w:pPr>
              <w:spacing w:after="0"/>
              <w:rPr>
                <w:sz w:val="18"/>
                <w:szCs w:val="18"/>
                <w:color w:val="auto"/>
              </w:rPr>
            </w:pPr>
          </w:p>
        </w:tc>
      </w:tr>
      <w:tr>
        <w:trPr>
          <w:trHeight w:val="212"/>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040" w:type="dxa"/>
            <w:vAlign w:val="bottom"/>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224.0</w:t>
            </w:r>
          </w:p>
        </w:tc>
        <w:tc>
          <w:tcPr>
            <w:tcW w:w="1180" w:type="dxa"/>
            <w:vAlign w:val="bottom"/>
            <w:gridSpan w:val="2"/>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153.1</w:t>
            </w:r>
          </w:p>
        </w:tc>
        <w:tc>
          <w:tcPr>
            <w:tcW w:w="1160" w:type="dxa"/>
            <w:vAlign w:val="bottom"/>
            <w:gridSpan w:val="2"/>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450.0</w:t>
            </w:r>
          </w:p>
        </w:tc>
        <w:tc>
          <w:tcPr>
            <w:tcW w:w="1160" w:type="dxa"/>
            <w:vAlign w:val="bottom"/>
            <w:gridSpan w:val="2"/>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322.7</w:t>
            </w: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Share-based compensation expense</w:t>
            </w: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19"/>
        </w:trPr>
        <w:tc>
          <w:tcPr>
            <w:tcW w:w="458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Other compensation expense </w:t>
            </w:r>
            <w:r>
              <w:rPr>
                <w:rFonts w:ascii="Arial" w:cs="Arial" w:eastAsia="Arial" w:hAnsi="Arial"/>
                <w:sz w:val="21"/>
                <w:szCs w:val="21"/>
                <w:color w:val="auto"/>
                <w:vertAlign w:val="superscript"/>
              </w:rPr>
              <w:t>(a)</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16"/>
        </w:trPr>
        <w:tc>
          <w:tcPr>
            <w:tcW w:w="45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Purchase accounting impact on expense </w:t>
            </w:r>
            <w:r>
              <w:rPr>
                <w:rFonts w:ascii="Arial" w:cs="Arial" w:eastAsia="Arial" w:hAnsi="Arial"/>
                <w:sz w:val="21"/>
                <w:szCs w:val="21"/>
                <w:color w:val="auto"/>
                <w:vertAlign w:val="superscript"/>
              </w:rPr>
              <w:t>(b)</w:t>
            </w: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6"/>
        </w:trPr>
        <w:tc>
          <w:tcPr>
            <w:tcW w:w="45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Restructuring and transformation expenses </w:t>
            </w:r>
            <w:r>
              <w:rPr>
                <w:rFonts w:ascii="Arial" w:cs="Arial" w:eastAsia="Arial" w:hAnsi="Arial"/>
                <w:sz w:val="21"/>
                <w:szCs w:val="21"/>
                <w:color w:val="auto"/>
                <w:vertAlign w:val="superscript"/>
              </w:rPr>
              <w:t>(c)</w:t>
            </w: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r>
      <w:tr>
        <w:trPr>
          <w:trHeight w:val="216"/>
        </w:trPr>
        <w:tc>
          <w:tcPr>
            <w:tcW w:w="4580" w:type="dxa"/>
            <w:vAlign w:val="bottom"/>
          </w:tcPr>
          <w:p>
            <w:pPr>
              <w:ind w:left="20"/>
              <w:spacing w:after="0"/>
              <w:rPr>
                <w:sz w:val="20"/>
                <w:szCs w:val="20"/>
                <w:color w:val="auto"/>
              </w:rPr>
            </w:pPr>
            <w:r>
              <w:rPr>
                <w:rFonts w:ascii="Arial" w:cs="Arial" w:eastAsia="Arial" w:hAnsi="Arial"/>
                <w:sz w:val="16"/>
                <w:szCs w:val="16"/>
                <w:color w:val="auto"/>
              </w:rPr>
              <w:t>Hosted Exchange incident expenses</w:t>
            </w:r>
          </w:p>
        </w:tc>
        <w:tc>
          <w:tcPr>
            <w:tcW w:w="10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r>
      <w:tr>
        <w:trPr>
          <w:trHeight w:val="230"/>
        </w:trPr>
        <w:tc>
          <w:tcPr>
            <w:tcW w:w="4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Non-GAAP Gross Profit</w:t>
            </w:r>
          </w:p>
        </w:tc>
        <w:tc>
          <w:tcPr>
            <w:tcW w:w="1040" w:type="dxa"/>
            <w:vAlign w:val="bottom"/>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231.7</w:t>
            </w:r>
          </w:p>
        </w:tc>
        <w:tc>
          <w:tcPr>
            <w:tcW w:w="1180" w:type="dxa"/>
            <w:vAlign w:val="bottom"/>
            <w:gridSpan w:val="2"/>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162.9</w:t>
            </w:r>
          </w:p>
        </w:tc>
        <w:tc>
          <w:tcPr>
            <w:tcW w:w="1160" w:type="dxa"/>
            <w:vAlign w:val="bottom"/>
            <w:gridSpan w:val="2"/>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467.3</w:t>
            </w:r>
          </w:p>
        </w:tc>
        <w:tc>
          <w:tcPr>
            <w:tcW w:w="1160" w:type="dxa"/>
            <w:vAlign w:val="bottom"/>
            <w:gridSpan w:val="2"/>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341.6</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ind w:left="500" w:right="60" w:hanging="474"/>
        <w:spacing w:after="0" w:line="230" w:lineRule="auto"/>
        <w:tabs>
          <w:tab w:leader="none" w:pos="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Adjustments for retention bonuses, mainly in connection with restructuring and transformation projects, and the related payroll tax, and payroll taxes associated with the exercise of stock options and vesting of restricted stock. Beginning in the second quarter of 2023, includes expense related to the one-time grant of long-term incentive bonuses as a component of our annual compensation award process.</w:t>
      </w:r>
    </w:p>
    <w:p>
      <w:pPr>
        <w:spacing w:after="0" w:line="11" w:lineRule="exact"/>
        <w:rPr>
          <w:rFonts w:ascii="Arial" w:cs="Arial" w:eastAsia="Arial" w:hAnsi="Arial"/>
          <w:sz w:val="16"/>
          <w:szCs w:val="16"/>
          <w:color w:val="auto"/>
        </w:rPr>
      </w:pPr>
    </w:p>
    <w:p>
      <w:pPr>
        <w:ind w:left="500" w:hanging="474"/>
        <w:spacing w:after="0"/>
        <w:tabs>
          <w:tab w:leader="none" w:pos="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Adjustment for the impact of purchase accounting from the Rackspace Acquisition on expenses.</w:t>
      </w:r>
    </w:p>
    <w:p>
      <w:pPr>
        <w:spacing w:after="0" w:line="45" w:lineRule="exact"/>
        <w:rPr>
          <w:rFonts w:ascii="Arial" w:cs="Arial" w:eastAsia="Arial" w:hAnsi="Arial"/>
          <w:sz w:val="16"/>
          <w:szCs w:val="16"/>
          <w:color w:val="auto"/>
        </w:rPr>
      </w:pPr>
    </w:p>
    <w:p>
      <w:pPr>
        <w:jc w:val="both"/>
        <w:ind w:left="500" w:right="60" w:hanging="474"/>
        <w:spacing w:after="0" w:line="230" w:lineRule="auto"/>
        <w:tabs>
          <w:tab w:leader="none" w:pos="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Adjustment for the impact of business transformation and optimization activities, as well as associated severance, certain facility closure costs and lease termination expenses. This amount also includes certain costs associated with the July 2021 Restructuring Plan which are not accounted for as exit and disposal costs under ASC 420, including one-time offshore build out costs.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Net Income (Loss), Non-GAAP Operating Profit and Adjusted EBITDA</w:t>
      </w:r>
    </w:p>
    <w:p>
      <w:pPr>
        <w:spacing w:after="0" w:line="252"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We present Non-GAAP Net Income (Loss), Non-GAAP Operating Profit and Adjusted EBITDA because they are a basis upon which management assesses our performance and we believe they are useful to evaluating our financial performance. We believe that excluding items from net income that may not be indicative of, or are unrelated to, our core operating results, and that may vary in frequency or magnitude, enhances the comparability of our results and provides a better baseline for analyzing trends in our business.</w:t>
      </w:r>
    </w:p>
    <w:p>
      <w:pPr>
        <w:spacing w:after="0" w:line="214" w:lineRule="exact"/>
        <w:rPr>
          <w:sz w:val="20"/>
          <w:szCs w:val="20"/>
          <w:color w:val="auto"/>
        </w:rPr>
      </w:pPr>
    </w:p>
    <w:p>
      <w:pPr>
        <w:ind w:right="20" w:firstLine="486"/>
        <w:spacing w:after="0" w:line="287" w:lineRule="auto"/>
        <w:rPr>
          <w:sz w:val="20"/>
          <w:szCs w:val="20"/>
          <w:color w:val="auto"/>
        </w:rPr>
      </w:pPr>
      <w:r>
        <w:rPr>
          <w:rFonts w:ascii="Arial" w:cs="Arial" w:eastAsia="Arial" w:hAnsi="Arial"/>
          <w:sz w:val="16"/>
          <w:szCs w:val="16"/>
          <w:color w:val="auto"/>
        </w:rPr>
        <w:t>The Rackspace Acquisition was structured as a leveraged buyout of Rackspace Technology Global, our predecessor, and resulted in several accounting and capital structure impacts. For example, the revaluation of our assets and liabilities resulted in a significant increase in our amortizable intangible assets and goodwill, the incurrence of a significant amount of debt to partially finance the Rackspace Acquisition resulted in interest payments that reflect our high leverage and cost of debt capital, and the conversion of Rackspace Technology Global’s unvested equity compensation into a cash-settled bonus plan and obligation to pay management fees to our equityholders resulted in new cash commitments. In addition, the change in ownership and management resulting from the Rackspace Acquisition led to a strategic realignment in our operations that had a significant impact on our financial results. Following the Rackspace Acquisition, we acquired several businesses, sold businesses and investments that we deemed to be non-core and launched multiple integration and business transformation initiatives intended to improve the efficiency of people and operations and identify recurring cost savings and new revenue growth opportunities. We believe that these transactions and activities resulted in costs, which have historically been substantial, and that may not be indicative of, or are not related to, our core operating results, including interest related to the incurrence of additional debt to finance acquisitions and third party legal, advisory and consulting fees and severance, retention bonus and other internal costs that we believe would not have been incurred in the absence of these transactions and activities and also may not be indicative of, or related to, our core operating results.</w:t>
      </w:r>
    </w:p>
    <w:p>
      <w:pPr>
        <w:spacing w:after="0" w:line="195" w:lineRule="exact"/>
        <w:rPr>
          <w:sz w:val="20"/>
          <w:szCs w:val="20"/>
          <w:color w:val="auto"/>
        </w:rPr>
      </w:pPr>
    </w:p>
    <w:p>
      <w:pPr>
        <w:ind w:right="240" w:firstLine="486"/>
        <w:spacing w:after="0" w:line="301" w:lineRule="auto"/>
        <w:rPr>
          <w:sz w:val="20"/>
          <w:szCs w:val="20"/>
          <w:color w:val="auto"/>
        </w:rPr>
      </w:pPr>
      <w:r>
        <w:rPr>
          <w:rFonts w:ascii="Arial" w:cs="Arial" w:eastAsia="Arial" w:hAnsi="Arial"/>
          <w:sz w:val="16"/>
          <w:szCs w:val="16"/>
          <w:color w:val="auto"/>
        </w:rPr>
        <w:t>We define Non-GAAP Net Income (Loss) as net income (loss) adjusted to exclude the impact of non-cash charges for share-based compensation, special bonuses and other compensation expense, transaction-related costs and adjustments, restructuring and transformation charges, costs related to the Hosted Exchange incident, the amortization of acquired intangible assets, goodwill and asset impairment charges, costs related to the closure of a UK office, and certain other non-operating, non-recurring or non-core gains and losses, as well as the tax effects of these non-GAAP adjustments.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20" w:firstLine="486"/>
        <w:spacing w:after="0" w:line="279" w:lineRule="auto"/>
        <w:rPr>
          <w:sz w:val="20"/>
          <w:szCs w:val="20"/>
          <w:color w:val="auto"/>
        </w:rPr>
      </w:pPr>
      <w:r>
        <w:rPr>
          <w:rFonts w:ascii="Arial" w:cs="Arial" w:eastAsia="Arial" w:hAnsi="Arial"/>
          <w:sz w:val="17"/>
          <w:szCs w:val="17"/>
          <w:color w:val="auto"/>
        </w:rPr>
        <w:t>We define Non-GAAP Operating Profit as income (loss) from operations adjusted to exclude the impact of non-cash charges for share-based compensation, special bonuses and other compensation expense, transaction-related costs and adjustments, restructuring and transformation charges, costs related to the Hosted Exchange incident, the amortization of acquired intangible assets, goodwill and asset impairment charges, costs related to the closure of a UK office, and certain other non-operating, non-recurring or non-core gains and losses.</w:t>
      </w:r>
    </w:p>
    <w:p>
      <w:pPr>
        <w:spacing w:after="0" w:line="198" w:lineRule="exact"/>
        <w:rPr>
          <w:sz w:val="20"/>
          <w:szCs w:val="20"/>
          <w:color w:val="auto"/>
        </w:rPr>
      </w:pPr>
    </w:p>
    <w:p>
      <w:pPr>
        <w:jc w:val="both"/>
        <w:ind w:right="40" w:firstLine="486"/>
        <w:spacing w:after="0" w:line="259" w:lineRule="auto"/>
        <w:rPr>
          <w:sz w:val="20"/>
          <w:szCs w:val="20"/>
          <w:color w:val="auto"/>
        </w:rPr>
      </w:pPr>
      <w:r>
        <w:rPr>
          <w:rFonts w:ascii="Arial" w:cs="Arial" w:eastAsia="Arial" w:hAnsi="Arial"/>
          <w:sz w:val="18"/>
          <w:szCs w:val="18"/>
          <w:color w:val="auto"/>
        </w:rPr>
        <w:t>We define Adjusted EBITDA as net income (loss) adjusted to exclude the impact of non-cash charges for share-based compensation, special bonuses and other compensation expense, transaction-related costs and adjustments, restructuring and transformation charges, costs related to the Hosted Exchange incident, costs related to the closure of a UK office, certain other non-operating, non-recurring or non-core gains and losses, interest expense, income taxes, depreciation and amortization, and goodwill and asset impairment charges.</w:t>
      </w:r>
    </w:p>
    <w:p>
      <w:pPr>
        <w:spacing w:after="0" w:line="214" w:lineRule="exact"/>
        <w:rPr>
          <w:sz w:val="20"/>
          <w:szCs w:val="20"/>
          <w:color w:val="auto"/>
        </w:rPr>
      </w:pPr>
    </w:p>
    <w:p>
      <w:pPr>
        <w:jc w:val="both"/>
        <w:ind w:right="80" w:firstLine="486"/>
        <w:spacing w:after="0" w:line="286" w:lineRule="auto"/>
        <w:rPr>
          <w:sz w:val="20"/>
          <w:szCs w:val="20"/>
          <w:color w:val="auto"/>
        </w:rPr>
      </w:pPr>
      <w:r>
        <w:rPr>
          <w:rFonts w:ascii="Arial" w:cs="Arial" w:eastAsia="Arial" w:hAnsi="Arial"/>
          <w:sz w:val="17"/>
          <w:szCs w:val="17"/>
          <w:color w:val="auto"/>
        </w:rPr>
        <w:t>Non-GAAP Operating Profit and Adjusted EBITDA are management's principal metrics for measuring our underlying financial performance. Non-GAAP Operating Profit and Adjusted EBITDA, along with other quantitative and qualitative information, are also the principal financial measures used by management and our board of directors in determining performance-based compensation for our management and key employees.</w:t>
      </w:r>
    </w:p>
    <w:p>
      <w:pPr>
        <w:spacing w:after="0" w:line="192"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These non-GAAP measures are not intended to imply that we would have generated higher income or avoided net losses if the Rackspace Acquisition and the subsequent transactions and initiatives had not occurred. In the future we may incur expenses or charges such as those added back to calculate Non-GAAP Net Income (Loss), Non-GAAP Operating Profit or Adjusted EBITDA. Our presentation of Non-GAAP Net Income (Loss), Non-GAAP Operating Profit and Adjusted EBITDA should not be construed as an inference that our future results will be unaffected by these items. Other companies, including our peer companies, may calculate similarly-titled measures in a different manner from us, and therefore, our non-GAAP measures may not be comparable to similarly-titled measures of other companies. Investors are cautioned against using these measures to the exclusion of our results in accordance with GAAP.</w:t>
      </w:r>
    </w:p>
    <w:p>
      <w:pPr>
        <w:spacing w:after="0" w:line="208" w:lineRule="exact"/>
        <w:rPr>
          <w:sz w:val="20"/>
          <w:szCs w:val="20"/>
          <w:color w:val="auto"/>
        </w:rPr>
      </w:pPr>
    </w:p>
    <w:p>
      <w:pPr>
        <w:ind w:right="280" w:firstLine="486"/>
        <w:spacing w:after="0" w:line="270" w:lineRule="auto"/>
        <w:rPr>
          <w:sz w:val="20"/>
          <w:szCs w:val="20"/>
          <w:color w:val="auto"/>
        </w:rPr>
      </w:pPr>
      <w:r>
        <w:rPr>
          <w:rFonts w:ascii="Arial" w:cs="Arial" w:eastAsia="Arial" w:hAnsi="Arial"/>
          <w:sz w:val="17"/>
          <w:szCs w:val="17"/>
          <w:color w:val="auto"/>
        </w:rPr>
        <w:t>The following tables present a reconciliation of Non-GAAP Net Income (Loss) and Adjusted EBITDA to the most directly comparable GAAP financial measures. For a reconciliation of income (loss) from operations to Non-GAAP Operating Profit, see "</w:t>
      </w:r>
      <w:r>
        <w:rPr>
          <w:rFonts w:ascii="Arial" w:cs="Arial" w:eastAsia="Arial" w:hAnsi="Arial"/>
          <w:sz w:val="17"/>
          <w:szCs w:val="17"/>
          <w:i w:val="1"/>
          <w:iCs w:val="1"/>
          <w:color w:val="auto"/>
        </w:rPr>
        <w:t>Income (Loss) from Operations, Segment</w:t>
      </w:r>
      <w:r>
        <w:rPr>
          <w:rFonts w:ascii="Arial" w:cs="Arial" w:eastAsia="Arial" w:hAnsi="Arial"/>
          <w:sz w:val="17"/>
          <w:szCs w:val="17"/>
          <w:color w:val="auto"/>
        </w:rPr>
        <w:t xml:space="preserve"> </w:t>
      </w:r>
      <w:r>
        <w:rPr>
          <w:rFonts w:ascii="Arial" w:cs="Arial" w:eastAsia="Arial" w:hAnsi="Arial"/>
          <w:sz w:val="17"/>
          <w:szCs w:val="17"/>
          <w:i w:val="1"/>
          <w:iCs w:val="1"/>
          <w:color w:val="auto"/>
        </w:rPr>
        <w:t>Operating Profit, and Non-GAAP Operating Profit</w:t>
      </w:r>
      <w:r>
        <w:rPr>
          <w:rFonts w:ascii="Arial" w:cs="Arial" w:eastAsia="Arial" w:hAnsi="Arial"/>
          <w:sz w:val="17"/>
          <w:szCs w:val="17"/>
          <w:color w:val="auto"/>
        </w:rPr>
        <w:t>" in the year-over-year comparison under "Results of Operations" above.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reconciliation to Non-GAAP Net Income (Loss)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6"/>
                <w:szCs w:val="16"/>
                <w:b w:val="1"/>
                <w:bCs w:val="1"/>
                <w:color w:val="auto"/>
              </w:rPr>
              <w:t>Three Months Ended June 30,</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619"/>
              <w:spacing w:after="0"/>
              <w:rPr>
                <w:sz w:val="20"/>
                <w:szCs w:val="20"/>
                <w:color w:val="auto"/>
              </w:rPr>
            </w:pPr>
            <w:r>
              <w:rPr>
                <w:rFonts w:ascii="Arial" w:cs="Arial" w:eastAsia="Arial" w:hAnsi="Arial"/>
                <w:sz w:val="16"/>
                <w:szCs w:val="16"/>
                <w:b w:val="1"/>
                <w:bCs w:val="1"/>
                <w:color w:val="auto"/>
              </w:rPr>
              <w:t>Six Months Ended June 30,</w:t>
            </w:r>
          </w:p>
        </w:tc>
      </w:tr>
      <w:tr>
        <w:trPr>
          <w:trHeight w:val="210"/>
        </w:trPr>
        <w:tc>
          <w:tcPr>
            <w:tcW w:w="45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r>
      <w:tr>
        <w:trPr>
          <w:trHeight w:val="212"/>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(639.2)</w:t>
            </w: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Share-based compensation expense</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40.1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34.7</w:t>
            </w:r>
          </w:p>
        </w:tc>
      </w:tr>
      <w:tr>
        <w:trPr>
          <w:trHeight w:val="219"/>
        </w:trPr>
        <w:tc>
          <w:tcPr>
            <w:tcW w:w="458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Special bonuses and other compensation expense </w:t>
            </w:r>
            <w:r>
              <w:rPr>
                <w:rFonts w:ascii="Arial" w:cs="Arial" w:eastAsia="Arial" w:hAnsi="Arial"/>
                <w:sz w:val="21"/>
                <w:szCs w:val="21"/>
                <w:color w:val="auto"/>
                <w:vertAlign w:val="superscript"/>
              </w:rPr>
              <w:t>(a)</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r>
      <w:tr>
        <w:trPr>
          <w:trHeight w:val="216"/>
        </w:trPr>
        <w:tc>
          <w:tcPr>
            <w:tcW w:w="45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Transaction-related adjustments, net </w:t>
            </w:r>
            <w:r>
              <w:rPr>
                <w:rFonts w:ascii="Arial" w:cs="Arial" w:eastAsia="Arial" w:hAnsi="Arial"/>
                <w:sz w:val="21"/>
                <w:szCs w:val="21"/>
                <w:color w:val="auto"/>
                <w:vertAlign w:val="superscript"/>
              </w:rPr>
              <w:t>(b)</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16"/>
        </w:trPr>
        <w:tc>
          <w:tcPr>
            <w:tcW w:w="45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Restructuring and transformation expenses </w:t>
            </w:r>
            <w:r>
              <w:rPr>
                <w:rFonts w:ascii="Arial" w:cs="Arial" w:eastAsia="Arial" w:hAnsi="Arial"/>
                <w:sz w:val="21"/>
                <w:szCs w:val="21"/>
                <w:color w:val="auto"/>
                <w:vertAlign w:val="superscript"/>
              </w:rPr>
              <w:t>(c)</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w:t>
            </w: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Hosted Exchange incident expenses</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219"/>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 of goodwill</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543.1</w:t>
            </w:r>
          </w:p>
        </w:tc>
      </w:tr>
      <w:tr>
        <w:trPr>
          <w:trHeight w:val="216"/>
        </w:trPr>
        <w:tc>
          <w:tcPr>
            <w:tcW w:w="45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UK office closure </w:t>
            </w:r>
            <w:r>
              <w:rPr>
                <w:rFonts w:ascii="Arial" w:cs="Arial" w:eastAsia="Arial" w:hAnsi="Arial"/>
                <w:sz w:val="21"/>
                <w:szCs w:val="21"/>
                <w:color w:val="auto"/>
                <w:vertAlign w:val="superscript"/>
              </w:rPr>
              <w:t>(d)</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12.1</w:t>
            </w:r>
          </w:p>
        </w:tc>
      </w:tr>
      <w:tr>
        <w:trPr>
          <w:trHeight w:val="216"/>
        </w:trPr>
        <w:tc>
          <w:tcPr>
            <w:tcW w:w="45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Net (gain) loss on divestiture and investments </w:t>
            </w:r>
            <w:r>
              <w:rPr>
                <w:rFonts w:ascii="Arial" w:cs="Arial" w:eastAsia="Arial" w:hAnsi="Arial"/>
                <w:sz w:val="21"/>
                <w:szCs w:val="21"/>
                <w:color w:val="auto"/>
                <w:vertAlign w:val="superscript"/>
              </w:rPr>
              <w:t>(e)</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16"/>
        </w:trPr>
        <w:tc>
          <w:tcPr>
            <w:tcW w:w="45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Gain on debt extinguishment </w:t>
            </w:r>
            <w:r>
              <w:rPr>
                <w:rFonts w:ascii="Arial" w:cs="Arial" w:eastAsia="Arial" w:hAnsi="Arial"/>
                <w:sz w:val="21"/>
                <w:szCs w:val="21"/>
                <w:color w:val="auto"/>
                <w:vertAlign w:val="superscript"/>
              </w:rPr>
              <w:t>(f)</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(94.9)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(107.7)</w:t>
            </w:r>
          </w:p>
        </w:tc>
      </w:tr>
      <w:tr>
        <w:trPr>
          <w:trHeight w:val="216"/>
        </w:trPr>
        <w:tc>
          <w:tcPr>
            <w:tcW w:w="45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Other (income) expense, net </w:t>
            </w:r>
            <w:r>
              <w:rPr>
                <w:rFonts w:ascii="Arial" w:cs="Arial" w:eastAsia="Arial" w:hAnsi="Arial"/>
                <w:sz w:val="21"/>
                <w:szCs w:val="21"/>
                <w:color w:val="auto"/>
                <w:vertAlign w:val="superscript"/>
              </w:rPr>
              <w:t>(g)</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16"/>
        </w:trPr>
        <w:tc>
          <w:tcPr>
            <w:tcW w:w="45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Amortization of intangible assets </w:t>
            </w:r>
            <w:r>
              <w:rPr>
                <w:rFonts w:ascii="Arial" w:cs="Arial" w:eastAsia="Arial" w:hAnsi="Arial"/>
                <w:sz w:val="21"/>
                <w:szCs w:val="21"/>
                <w:color w:val="auto"/>
                <w:vertAlign w:val="superscript"/>
              </w:rPr>
              <w:t>(h)</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42.2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41.0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84.4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81.9</w:t>
            </w:r>
          </w:p>
        </w:tc>
      </w:tr>
      <w:tr>
        <w:trPr>
          <w:trHeight w:val="216"/>
        </w:trPr>
        <w:tc>
          <w:tcPr>
            <w:tcW w:w="4580" w:type="dxa"/>
            <w:vAlign w:val="bottom"/>
            <w:tcBorders>
              <w:bottom w:val="single" w:sz="8" w:color="CCEEFF"/>
            </w:tcBorders>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Tax effect of non-GAAP adjustments </w:t>
            </w:r>
            <w:r>
              <w:rPr>
                <w:rFonts w:ascii="Arial" w:cs="Arial" w:eastAsia="Arial" w:hAnsi="Arial"/>
                <w:sz w:val="21"/>
                <w:szCs w:val="21"/>
                <w:color w:val="auto"/>
                <w:vertAlign w:val="superscript"/>
              </w:rPr>
              <w:t>(i)</w:t>
            </w: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10"/>
        </w:trPr>
        <w:tc>
          <w:tcPr>
            <w:tcW w:w="4580" w:type="dxa"/>
            <w:vAlign w:val="bottom"/>
          </w:tcPr>
          <w:p>
            <w:pPr>
              <w:ind w:left="240"/>
              <w:spacing w:after="0"/>
              <w:rPr>
                <w:sz w:val="20"/>
                <w:szCs w:val="20"/>
                <w:color w:val="auto"/>
              </w:rPr>
            </w:pPr>
            <w:r>
              <w:rPr>
                <w:rFonts w:ascii="Arial" w:cs="Arial" w:eastAsia="Arial" w:hAnsi="Arial"/>
                <w:sz w:val="16"/>
                <w:szCs w:val="16"/>
                <w:color w:val="auto"/>
              </w:rPr>
              <w:t>Non-GAAP Net Income (Loss)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35.5</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(13.5)</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81.4</w:t>
            </w:r>
          </w:p>
        </w:tc>
        <w:tc>
          <w:tcPr>
            <w:tcW w:w="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(18.2)</w:t>
            </w:r>
          </w:p>
        </w:tc>
      </w:tr>
      <w:tr>
        <w:trPr>
          <w:trHeight w:val="20"/>
        </w:trPr>
        <w:tc>
          <w:tcPr>
            <w:tcW w:w="45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reconciliation to Adjusted EBITDA</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6"/>
                <w:szCs w:val="16"/>
                <w:b w:val="1"/>
                <w:bCs w:val="1"/>
                <w:color w:val="auto"/>
              </w:rPr>
              <w:t>Three Months Ended June 30,</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619"/>
              <w:spacing w:after="0"/>
              <w:rPr>
                <w:sz w:val="20"/>
                <w:szCs w:val="20"/>
                <w:color w:val="auto"/>
              </w:rPr>
            </w:pPr>
            <w:r>
              <w:rPr>
                <w:rFonts w:ascii="Arial" w:cs="Arial" w:eastAsia="Arial" w:hAnsi="Arial"/>
                <w:sz w:val="16"/>
                <w:szCs w:val="16"/>
                <w:b w:val="1"/>
                <w:bCs w:val="1"/>
                <w:color w:val="auto"/>
              </w:rPr>
              <w:t>Six Months Ended June 30,</w:t>
            </w:r>
          </w:p>
        </w:tc>
      </w:tr>
      <w:tr>
        <w:trPr>
          <w:trHeight w:val="210"/>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r>
      <w:tr>
        <w:trPr>
          <w:trHeight w:val="212"/>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(639.2)</w:t>
            </w: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Share-based compensation expense</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40.1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34.7</w:t>
            </w:r>
          </w:p>
        </w:tc>
      </w:tr>
      <w:tr>
        <w:trPr>
          <w:trHeight w:val="219"/>
        </w:trPr>
        <w:tc>
          <w:tcPr>
            <w:tcW w:w="458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Special bonuses and other compensation expense </w:t>
            </w:r>
            <w:r>
              <w:rPr>
                <w:rFonts w:ascii="Arial" w:cs="Arial" w:eastAsia="Arial" w:hAnsi="Arial"/>
                <w:sz w:val="21"/>
                <w:szCs w:val="21"/>
                <w:color w:val="auto"/>
                <w:vertAlign w:val="superscript"/>
              </w:rPr>
              <w:t>(a)</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r>
      <w:tr>
        <w:trPr>
          <w:trHeight w:val="216"/>
        </w:trPr>
        <w:tc>
          <w:tcPr>
            <w:tcW w:w="45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Transaction-related adjustments, net </w:t>
            </w:r>
            <w:r>
              <w:rPr>
                <w:rFonts w:ascii="Arial" w:cs="Arial" w:eastAsia="Arial" w:hAnsi="Arial"/>
                <w:sz w:val="21"/>
                <w:szCs w:val="21"/>
                <w:color w:val="auto"/>
                <w:vertAlign w:val="superscript"/>
              </w:rPr>
              <w:t>(b)</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16"/>
        </w:trPr>
        <w:tc>
          <w:tcPr>
            <w:tcW w:w="45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Restructuring and transformation expenses </w:t>
            </w:r>
            <w:r>
              <w:rPr>
                <w:rFonts w:ascii="Arial" w:cs="Arial" w:eastAsia="Arial" w:hAnsi="Arial"/>
                <w:sz w:val="21"/>
                <w:szCs w:val="21"/>
                <w:color w:val="auto"/>
                <w:vertAlign w:val="superscript"/>
              </w:rPr>
              <w:t>(c)</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w:t>
            </w: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Hosted Exchange incident expenses</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219"/>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 of goodwill</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543.1</w:t>
            </w:r>
          </w:p>
        </w:tc>
      </w:tr>
      <w:tr>
        <w:trPr>
          <w:trHeight w:val="216"/>
        </w:trPr>
        <w:tc>
          <w:tcPr>
            <w:tcW w:w="45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UK office closure </w:t>
            </w:r>
            <w:r>
              <w:rPr>
                <w:rFonts w:ascii="Arial" w:cs="Arial" w:eastAsia="Arial" w:hAnsi="Arial"/>
                <w:sz w:val="21"/>
                <w:szCs w:val="21"/>
                <w:color w:val="auto"/>
                <w:vertAlign w:val="superscript"/>
              </w:rPr>
              <w:t>(d)</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12.1</w:t>
            </w:r>
          </w:p>
        </w:tc>
      </w:tr>
      <w:tr>
        <w:trPr>
          <w:trHeight w:val="216"/>
        </w:trPr>
        <w:tc>
          <w:tcPr>
            <w:tcW w:w="45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Net (gain) loss on divestiture and investments </w:t>
            </w:r>
            <w:r>
              <w:rPr>
                <w:rFonts w:ascii="Arial" w:cs="Arial" w:eastAsia="Arial" w:hAnsi="Arial"/>
                <w:sz w:val="21"/>
                <w:szCs w:val="21"/>
                <w:color w:val="auto"/>
                <w:vertAlign w:val="superscript"/>
              </w:rPr>
              <w:t>(e)</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16"/>
        </w:trPr>
        <w:tc>
          <w:tcPr>
            <w:tcW w:w="45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Gain on debt extinguishment </w:t>
            </w:r>
            <w:r>
              <w:rPr>
                <w:rFonts w:ascii="Arial" w:cs="Arial" w:eastAsia="Arial" w:hAnsi="Arial"/>
                <w:sz w:val="21"/>
                <w:szCs w:val="21"/>
                <w:color w:val="auto"/>
                <w:vertAlign w:val="superscript"/>
              </w:rPr>
              <w:t>(f)</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(94.9)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(107.7)</w:t>
            </w:r>
          </w:p>
        </w:tc>
      </w:tr>
      <w:tr>
        <w:trPr>
          <w:trHeight w:val="216"/>
        </w:trPr>
        <w:tc>
          <w:tcPr>
            <w:tcW w:w="45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Other (income) expense, net </w:t>
            </w:r>
            <w:r>
              <w:rPr>
                <w:rFonts w:ascii="Arial" w:cs="Arial" w:eastAsia="Arial" w:hAnsi="Arial"/>
                <w:sz w:val="21"/>
                <w:szCs w:val="21"/>
                <w:color w:val="auto"/>
                <w:vertAlign w:val="superscript"/>
              </w:rPr>
              <w:t>(g)</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50.5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57.3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100.6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114.2</w:t>
            </w:r>
          </w:p>
        </w:tc>
      </w:tr>
      <w:tr>
        <w:trPr>
          <w:trHeight w:val="219"/>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(benefit) for income taxes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r>
      <w:tr>
        <w:trPr>
          <w:trHeight w:val="216"/>
        </w:trPr>
        <w:tc>
          <w:tcPr>
            <w:tcW w:w="458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 xml:space="preserve">Depreciation and amortization </w:t>
            </w:r>
            <w:r>
              <w:rPr>
                <w:rFonts w:ascii="Arial" w:cs="Arial" w:eastAsia="Arial" w:hAnsi="Arial"/>
                <w:sz w:val="21"/>
                <w:szCs w:val="21"/>
                <w:color w:val="auto"/>
                <w:vertAlign w:val="superscript"/>
              </w:rPr>
              <w:t>(j)</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98.1</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199.5</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189.1</w:t>
            </w:r>
          </w:p>
        </w:tc>
      </w:tr>
      <w:tr>
        <w:trPr>
          <w:trHeight w:val="229"/>
        </w:trPr>
        <w:tc>
          <w:tcPr>
            <w:tcW w:w="45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Adjusted EBITDA</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154.4</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93.5</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325.7</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196.7</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left="500" w:right="60" w:hanging="347"/>
        <w:spacing w:after="0" w:line="286" w:lineRule="auto"/>
        <w:tabs>
          <w:tab w:leader="none" w:pos="5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Includes expense related to retention bonuses, mainly relating to restructuring and integration projects, and the related payroll tax, senior executive signing bonuses and relocation costs, and payroll taxes associated with the exercise of stock options and vesting of restricted stock. Beginning in the second quarter of 2023, includes expense related to the one-time grant of long-term incentive bonuses as a component of our annual compensation award process.</w:t>
      </w:r>
    </w:p>
    <w:p>
      <w:pPr>
        <w:spacing w:after="0" w:line="4" w:lineRule="exact"/>
        <w:rPr>
          <w:rFonts w:ascii="Arial" w:cs="Arial" w:eastAsia="Arial" w:hAnsi="Arial"/>
          <w:sz w:val="15"/>
          <w:szCs w:val="15"/>
          <w:color w:val="auto"/>
        </w:rPr>
      </w:pPr>
    </w:p>
    <w:p>
      <w:pPr>
        <w:ind w:left="500" w:right="80" w:hanging="352"/>
        <w:spacing w:after="0" w:line="252" w:lineRule="auto"/>
        <w:tabs>
          <w:tab w:leader="none" w:pos="5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Includes legal, professional, accounting and other advisory fees related to acquisitions, certain one-time compliance costs related to being a public company, integration costs of acquired businesses, purchase accounting adjustments, payroll costs for employees that dedicate significant time to supporting these projects and exploratory acquisition and divestiture costs and expenses related to financing activities.</w:t>
      </w:r>
    </w:p>
    <w:p>
      <w:pPr>
        <w:spacing w:after="0" w:line="27" w:lineRule="exact"/>
        <w:rPr>
          <w:rFonts w:ascii="Arial" w:cs="Arial" w:eastAsia="Arial" w:hAnsi="Arial"/>
          <w:sz w:val="16"/>
          <w:szCs w:val="16"/>
          <w:color w:val="auto"/>
        </w:rPr>
      </w:pPr>
    </w:p>
    <w:p>
      <w:pPr>
        <w:ind w:left="500" w:right="140" w:hanging="347"/>
        <w:spacing w:after="0" w:line="250" w:lineRule="auto"/>
        <w:tabs>
          <w:tab w:leader="none" w:pos="5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Includes consulting and advisory fees related to business transformation and optimization activities, payroll costs for employees that dedicate significant time to these projects, as well as associated severance, certain facility closure costs, and lease termination expenses. This amount also includes total charges of $1.0 million and $4.2 million for the three and six months ended June 30, 2022, respectively, related to the July 2021 Restructuring Plan which are not accounted for as exit and disposal costs under ASC 420, including one-time offshore build out costs.</w:t>
      </w:r>
    </w:p>
    <w:p>
      <w:pPr>
        <w:spacing w:after="0" w:line="29" w:lineRule="exact"/>
        <w:rPr>
          <w:rFonts w:ascii="Arial" w:cs="Arial" w:eastAsia="Arial" w:hAnsi="Arial"/>
          <w:sz w:val="16"/>
          <w:szCs w:val="16"/>
          <w:color w:val="auto"/>
        </w:rPr>
      </w:pPr>
    </w:p>
    <w:p>
      <w:pPr>
        <w:ind w:left="500" w:hanging="352"/>
        <w:spacing w:after="0"/>
        <w:tabs>
          <w:tab w:leader="none" w:pos="5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Expense recognized related to the closure of a UK office that we exited in the second quarter of 2023 prior to the lease end date.</w:t>
      </w:r>
    </w:p>
    <w:p>
      <w:pPr>
        <w:spacing w:after="0" w:line="59" w:lineRule="exact"/>
        <w:rPr>
          <w:rFonts w:ascii="Arial" w:cs="Arial" w:eastAsia="Arial" w:hAnsi="Arial"/>
          <w:sz w:val="16"/>
          <w:szCs w:val="16"/>
          <w:color w:val="auto"/>
        </w:rPr>
      </w:pPr>
    </w:p>
    <w:p>
      <w:pPr>
        <w:ind w:left="500" w:hanging="347"/>
        <w:spacing w:after="0"/>
        <w:tabs>
          <w:tab w:leader="none" w:pos="5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Includes gains and losses on investment and from dispositions.</w:t>
      </w:r>
    </w:p>
    <w:p>
      <w:pPr>
        <w:spacing w:after="0" w:line="59" w:lineRule="exact"/>
        <w:rPr>
          <w:rFonts w:ascii="Arial" w:cs="Arial" w:eastAsia="Arial" w:hAnsi="Arial"/>
          <w:sz w:val="16"/>
          <w:szCs w:val="16"/>
          <w:color w:val="auto"/>
        </w:rPr>
      </w:pPr>
    </w:p>
    <w:p>
      <w:pPr>
        <w:ind w:left="500" w:hanging="338"/>
        <w:spacing w:after="0"/>
        <w:tabs>
          <w:tab w:leader="none" w:pos="5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Includes gains related to repurchases of 5.375% Senior Notes.</w:t>
      </w:r>
    </w:p>
    <w:p>
      <w:pPr>
        <w:spacing w:after="0" w:line="59" w:lineRule="exact"/>
        <w:rPr>
          <w:rFonts w:ascii="Arial" w:cs="Arial" w:eastAsia="Arial" w:hAnsi="Arial"/>
          <w:sz w:val="16"/>
          <w:szCs w:val="16"/>
          <w:color w:val="auto"/>
        </w:rPr>
      </w:pPr>
    </w:p>
    <w:p>
      <w:pPr>
        <w:ind w:left="500" w:hanging="352"/>
        <w:spacing w:after="0"/>
        <w:tabs>
          <w:tab w:leader="none" w:pos="5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Primarily consists of foreign currency gains and losses.</w:t>
      </w:r>
    </w:p>
    <w:p>
      <w:pPr>
        <w:spacing w:after="0" w:line="45" w:lineRule="exact"/>
        <w:rPr>
          <w:rFonts w:ascii="Arial" w:cs="Arial" w:eastAsia="Arial" w:hAnsi="Arial"/>
          <w:sz w:val="16"/>
          <w:szCs w:val="16"/>
          <w:color w:val="auto"/>
        </w:rPr>
      </w:pPr>
    </w:p>
    <w:p>
      <w:pPr>
        <w:ind w:left="500" w:hanging="352"/>
        <w:spacing w:after="0"/>
        <w:tabs>
          <w:tab w:leader="none" w:pos="5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All of our intangible assets are attributable to acquisitions, including the Rackspace Acquisition in 2016.</w:t>
      </w:r>
    </w:p>
    <w:p>
      <w:pPr>
        <w:spacing w:after="0" w:line="59" w:lineRule="exact"/>
        <w:rPr>
          <w:sz w:val="20"/>
          <w:szCs w:val="20"/>
          <w:color w:val="auto"/>
        </w:rPr>
      </w:pPr>
    </w:p>
    <w:p>
      <w:pPr>
        <w:ind w:left="500" w:right="40" w:hanging="334"/>
        <w:spacing w:after="0" w:line="267" w:lineRule="auto"/>
        <w:tabs>
          <w:tab w:leader="none" w:pos="5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We utilize an estimated structural long-term non-GAAP tax rate in order to provide consistency across reporting periods, removing the effect of non-recurring tax adjustments, which include but are not limited to tax rate changes, U.S. tax reform, share-based compensation, audit conclusions and changes to valuation allowances. When computing this long-term rate for the 2022 and 2023 interim periods, we based it on an average of the 2021 and estimated 2022 tax rates and 2022 and estimated 2023 tax rates, respectively, recomputed to remove the tax effect of non-GAAP pre-tax adjustments and non-recurring tax adjustments, resulting in a structural non-GAAP tax rate of 26% for all periods. The non-GAAP tax rate could be subject to change for a variety of reasons, including the rapidly evolving global tax environment, significant changes in our geographic earnings mix including due to acquisition activity, or other changes to our strategy or business operations. We will re-evaluate our long-term non-GAAP tax rate as appropriate. We believe that making these adjustments facilitates a better evaluation of our current operating performance and comparisons to prior periods.</w:t>
      </w:r>
    </w:p>
    <w:p>
      <w:pPr>
        <w:spacing w:after="0" w:line="17" w:lineRule="exact"/>
        <w:rPr>
          <w:rFonts w:ascii="Arial" w:cs="Arial" w:eastAsia="Arial" w:hAnsi="Arial"/>
          <w:sz w:val="15"/>
          <w:szCs w:val="15"/>
          <w:color w:val="auto"/>
        </w:rPr>
      </w:pPr>
    </w:p>
    <w:p>
      <w:pPr>
        <w:ind w:left="500" w:hanging="334"/>
        <w:spacing w:after="0"/>
        <w:tabs>
          <w:tab w:leader="none" w:pos="5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Excludes accelerated depreciation expense related to facility closures.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59" w:lineRule="exact"/>
        <w:rPr>
          <w:rFonts w:ascii="Arial" w:cs="Arial" w:eastAsia="Arial" w:hAnsi="Arial"/>
          <w:sz w:val="16"/>
          <w:szCs w:val="16"/>
          <w:color w:val="auto"/>
        </w:rPr>
      </w:pPr>
    </w:p>
    <w:p>
      <w:pPr>
        <w:ind w:left="5540" w:hanging="111"/>
        <w:spacing w:after="0"/>
        <w:tabs>
          <w:tab w:leader="none" w:pos="55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Earnings (Loss) Per Share</w:t>
      </w:r>
    </w:p>
    <w:p>
      <w:pPr>
        <w:spacing w:after="0" w:line="252"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We define Non-GAAP Earnings (Loss) Per Share as Non-GAAP Net Income (Loss) divided by our GAAP weighted average number of shares outstanding for the period on a diluted basis and further adjusted for the weighted average number of shares associated with securities which are anti-dilutive to GAAP loss per share but dilutive to Non-GAAP Earnings (Loss) Per Share. Management uses Non-GAAP Earnings (Loss) Per Share to evaluate the performance of our business on a comparable basis from period to period, including by adjusting for the impact of the issuance of shares that would be dilutive to Non-GAAP Earnings (Loss) Per Share. The following table reconciles Non-GAAP Earnings (Loss) Per Share to our GAAP net loss per share on a diluted basis: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860" w:type="dxa"/>
            <w:vAlign w:val="bottom"/>
          </w:tcPr>
          <w:p>
            <w:pPr>
              <w:spacing w:after="0"/>
              <w:rPr>
                <w:sz w:val="18"/>
                <w:szCs w:val="18"/>
                <w:color w:val="auto"/>
              </w:rPr>
            </w:pPr>
          </w:p>
        </w:tc>
        <w:tc>
          <w:tcPr>
            <w:tcW w:w="27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Six Months Ended June 30,</w:t>
            </w:r>
          </w:p>
        </w:tc>
        <w:tc>
          <w:tcPr>
            <w:tcW w:w="520" w:type="dxa"/>
            <w:vAlign w:val="bottom"/>
            <w:tcBorders>
              <w:bottom w:val="single" w:sz="8" w:color="auto"/>
            </w:tcBorders>
          </w:tcPr>
          <w:p>
            <w:pPr>
              <w:spacing w:after="0"/>
              <w:rPr>
                <w:sz w:val="18"/>
                <w:szCs w:val="18"/>
                <w:color w:val="auto"/>
              </w:rPr>
            </w:pPr>
          </w:p>
        </w:tc>
      </w:tr>
      <w:tr>
        <w:trPr>
          <w:trHeight w:val="210"/>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per share amounts)</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2022</w:t>
            </w: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2023</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20" w:type="dxa"/>
            <w:vAlign w:val="bottom"/>
            <w:tcBorders>
              <w:bottom w:val="single" w:sz="8" w:color="auto"/>
            </w:tcBorders>
          </w:tcPr>
          <w:p>
            <w:pPr>
              <w:spacing w:after="0"/>
              <w:rPr>
                <w:sz w:val="18"/>
                <w:szCs w:val="18"/>
                <w:color w:val="auto"/>
              </w:rPr>
            </w:pPr>
          </w:p>
        </w:tc>
      </w:tr>
      <w:tr>
        <w:trPr>
          <w:trHeight w:val="212"/>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attributable to common stockholders</w:t>
            </w: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1200" w:type="dxa"/>
            <w:vAlign w:val="bottom"/>
            <w:gridSpan w:val="2"/>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1060" w:type="dxa"/>
            <w:vAlign w:val="bottom"/>
            <w:gridSpan w:val="2"/>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w:t>
            </w:r>
          </w:p>
        </w:tc>
        <w:tc>
          <w:tcPr>
            <w:tcW w:w="1040" w:type="dxa"/>
            <w:vAlign w:val="bottom"/>
            <w:gridSpan w:val="2"/>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(639.2)</w:t>
            </w:r>
          </w:p>
        </w:tc>
      </w:tr>
      <w:tr>
        <w:trPr>
          <w:trHeight w:val="213"/>
        </w:trPr>
        <w:tc>
          <w:tcPr>
            <w:tcW w:w="4860" w:type="dxa"/>
            <w:vAlign w:val="bottom"/>
          </w:tcPr>
          <w:p>
            <w:pPr>
              <w:ind w:left="20"/>
              <w:spacing w:after="0"/>
              <w:rPr>
                <w:sz w:val="20"/>
                <w:szCs w:val="20"/>
                <w:color w:val="auto"/>
              </w:rPr>
            </w:pPr>
            <w:r>
              <w:rPr>
                <w:rFonts w:ascii="Arial" w:cs="Arial" w:eastAsia="Arial" w:hAnsi="Arial"/>
                <w:sz w:val="16"/>
                <w:szCs w:val="16"/>
                <w:color w:val="auto"/>
              </w:rPr>
              <w:t>Non-GAAP Net Income (Loss)</w:t>
            </w:r>
          </w:p>
        </w:tc>
        <w:tc>
          <w:tcPr>
            <w:tcW w:w="1060" w:type="dxa"/>
            <w:vAlign w:val="bottom"/>
          </w:tcPr>
          <w:p>
            <w:pPr>
              <w:jc w:val="right"/>
              <w:ind w:right="87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35.5</w:t>
            </w:r>
          </w:p>
        </w:tc>
        <w:tc>
          <w:tcPr>
            <w:tcW w:w="1200" w:type="dxa"/>
            <w:vAlign w:val="bottom"/>
            <w:gridSpan w:val="2"/>
          </w:tcPr>
          <w:p>
            <w:pPr>
              <w:jc w:val="right"/>
              <w:ind w:right="899"/>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(13.5)</w:t>
            </w:r>
          </w:p>
        </w:tc>
        <w:tc>
          <w:tcPr>
            <w:tcW w:w="1060" w:type="dxa"/>
            <w:vAlign w:val="bottom"/>
            <w:gridSpan w:val="2"/>
          </w:tcPr>
          <w:p>
            <w:pPr>
              <w:jc w:val="right"/>
              <w:ind w:right="779"/>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81.4</w:t>
            </w:r>
          </w:p>
        </w:tc>
        <w:tc>
          <w:tcPr>
            <w:tcW w:w="1040" w:type="dxa"/>
            <w:vAlign w:val="bottom"/>
            <w:gridSpan w:val="2"/>
          </w:tcPr>
          <w:p>
            <w:pPr>
              <w:jc w:val="right"/>
              <w:ind w:right="759"/>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(18.2)</w:t>
            </w:r>
          </w:p>
        </w:tc>
      </w:tr>
      <w:tr>
        <w:trPr>
          <w:trHeight w:val="219"/>
        </w:trPr>
        <w:tc>
          <w:tcPr>
            <w:tcW w:w="48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r>
      <w:tr>
        <w:trPr>
          <w:trHeight w:val="213"/>
        </w:trPr>
        <w:tc>
          <w:tcPr>
            <w:tcW w:w="4860" w:type="dxa"/>
            <w:vAlign w:val="bottom"/>
          </w:tcPr>
          <w:p>
            <w:pPr>
              <w:ind w:left="20"/>
              <w:spacing w:after="0"/>
              <w:rPr>
                <w:sz w:val="20"/>
                <w:szCs w:val="20"/>
                <w:color w:val="auto"/>
              </w:rPr>
            </w:pPr>
            <w:r>
              <w:rPr>
                <w:rFonts w:ascii="Arial" w:cs="Arial" w:eastAsia="Arial" w:hAnsi="Arial"/>
                <w:sz w:val="16"/>
                <w:szCs w:val="16"/>
                <w:color w:val="auto"/>
              </w:rPr>
              <w:t>Weighted average number of shares - Diluted</w:t>
            </w: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209.5</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215.1</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210.5</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214.2</w:t>
            </w:r>
          </w:p>
        </w:tc>
      </w:tr>
      <w:tr>
        <w:trPr>
          <w:trHeight w:val="219"/>
        </w:trPr>
        <w:tc>
          <w:tcPr>
            <w:tcW w:w="486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Effect of dilutive securities </w:t>
            </w:r>
            <w:r>
              <w:rPr>
                <w:rFonts w:ascii="Arial" w:cs="Arial" w:eastAsia="Arial" w:hAnsi="Arial"/>
                <w:sz w:val="21"/>
                <w:szCs w:val="21"/>
                <w:color w:val="auto"/>
                <w:vertAlign w:val="superscript"/>
              </w:rPr>
              <w:t>(a)</w:t>
            </w:r>
          </w:p>
        </w:tc>
        <w:tc>
          <w:tcPr>
            <w:tcW w:w="10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09"/>
        </w:trPr>
        <w:tc>
          <w:tcPr>
            <w:tcW w:w="4860" w:type="dxa"/>
            <w:vAlign w:val="bottom"/>
          </w:tcPr>
          <w:p>
            <w:pPr>
              <w:ind w:left="240"/>
              <w:spacing w:after="0"/>
              <w:rPr>
                <w:sz w:val="20"/>
                <w:szCs w:val="20"/>
                <w:color w:val="auto"/>
              </w:rPr>
            </w:pPr>
            <w:r>
              <w:rPr>
                <w:rFonts w:ascii="Arial" w:cs="Arial" w:eastAsia="Arial" w:hAnsi="Arial"/>
                <w:sz w:val="16"/>
                <w:szCs w:val="16"/>
                <w:color w:val="auto"/>
              </w:rPr>
              <w:t>Non-GAAP weighted average number of shares - Diluted</w:t>
            </w:r>
          </w:p>
        </w:tc>
        <w:tc>
          <w:tcPr>
            <w:tcW w:w="10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209.9</w:t>
            </w:r>
          </w:p>
        </w:tc>
        <w:tc>
          <w:tcPr>
            <w:tcW w:w="12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216.3</w:t>
            </w:r>
          </w:p>
        </w:tc>
        <w:tc>
          <w:tcPr>
            <w:tcW w:w="1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211.2</w:t>
            </w:r>
          </w:p>
        </w:tc>
        <w:tc>
          <w:tcPr>
            <w:tcW w:w="1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215.6</w:t>
            </w: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183"/>
        </w:trPr>
        <w:tc>
          <w:tcPr>
            <w:tcW w:w="48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r>
      <w:tr>
        <w:trPr>
          <w:trHeight w:val="213"/>
        </w:trPr>
        <w:tc>
          <w:tcPr>
            <w:tcW w:w="4860" w:type="dxa"/>
            <w:vAlign w:val="bottom"/>
          </w:tcPr>
          <w:p>
            <w:pPr>
              <w:ind w:left="20"/>
              <w:spacing w:after="0"/>
              <w:rPr>
                <w:sz w:val="20"/>
                <w:szCs w:val="20"/>
                <w:color w:val="auto"/>
              </w:rPr>
            </w:pPr>
            <w:r>
              <w:rPr>
                <w:rFonts w:ascii="Arial" w:cs="Arial" w:eastAsia="Arial" w:hAnsi="Arial"/>
                <w:sz w:val="16"/>
                <w:szCs w:val="16"/>
                <w:color w:val="auto"/>
              </w:rPr>
              <w:t>Net loss per share - Diluted</w:t>
            </w:r>
          </w:p>
        </w:tc>
        <w:tc>
          <w:tcPr>
            <w:tcW w:w="1060" w:type="dxa"/>
            <w:vAlign w:val="bottom"/>
          </w:tcPr>
          <w:p>
            <w:pPr>
              <w:jc w:val="right"/>
              <w:ind w:right="87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(0.19)</w:t>
            </w:r>
          </w:p>
        </w:tc>
        <w:tc>
          <w:tcPr>
            <w:tcW w:w="1200" w:type="dxa"/>
            <w:vAlign w:val="bottom"/>
            <w:gridSpan w:val="2"/>
          </w:tcPr>
          <w:p>
            <w:pPr>
              <w:jc w:val="right"/>
              <w:ind w:right="899"/>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(0.13)</w:t>
            </w:r>
          </w:p>
        </w:tc>
        <w:tc>
          <w:tcPr>
            <w:tcW w:w="1060" w:type="dxa"/>
            <w:vAlign w:val="bottom"/>
            <w:gridSpan w:val="2"/>
          </w:tcPr>
          <w:p>
            <w:pPr>
              <w:jc w:val="right"/>
              <w:ind w:right="779"/>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(0.38)</w:t>
            </w:r>
          </w:p>
        </w:tc>
        <w:tc>
          <w:tcPr>
            <w:tcW w:w="1040" w:type="dxa"/>
            <w:vAlign w:val="bottom"/>
            <w:gridSpan w:val="2"/>
          </w:tcPr>
          <w:p>
            <w:pPr>
              <w:jc w:val="right"/>
              <w:ind w:right="759"/>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(2.98)</w:t>
            </w:r>
          </w:p>
        </w:tc>
      </w:tr>
      <w:tr>
        <w:trPr>
          <w:trHeight w:val="219"/>
        </w:trPr>
        <w:tc>
          <w:tcPr>
            <w:tcW w:w="486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Per share impacts of adjustments to net loss </w:t>
            </w:r>
            <w:r>
              <w:rPr>
                <w:rFonts w:ascii="Arial" w:cs="Arial" w:eastAsia="Arial" w:hAnsi="Arial"/>
                <w:sz w:val="21"/>
                <w:szCs w:val="21"/>
                <w:color w:val="auto"/>
                <w:vertAlign w:val="superscript"/>
              </w:rPr>
              <w:t>(b)</w:t>
            </w: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0.36</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0.76</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w:t>
            </w:r>
          </w:p>
        </w:tc>
      </w:tr>
      <w:tr>
        <w:trPr>
          <w:trHeight w:val="216"/>
        </w:trPr>
        <w:tc>
          <w:tcPr>
            <w:tcW w:w="486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 xml:space="preserve">Per share impacts of shares dilutive after adjustments to net loss </w:t>
            </w:r>
            <w:r>
              <w:rPr>
                <w:rFonts w:ascii="Arial" w:cs="Arial" w:eastAsia="Arial" w:hAnsi="Arial"/>
                <w:sz w:val="21"/>
                <w:szCs w:val="21"/>
                <w:color w:val="auto"/>
                <w:vertAlign w:val="superscript"/>
              </w:rPr>
              <w:t>(a)</w:t>
            </w:r>
          </w:p>
        </w:tc>
        <w:tc>
          <w:tcPr>
            <w:tcW w:w="10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0.00</w:t>
            </w: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0.00</w:t>
            </w:r>
          </w:p>
        </w:tc>
      </w:tr>
      <w:tr>
        <w:trPr>
          <w:trHeight w:val="229"/>
        </w:trPr>
        <w:tc>
          <w:tcPr>
            <w:tcW w:w="48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Non-GAAP Earnings (Loss) Per Share</w:t>
            </w: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0.17</w:t>
            </w:r>
          </w:p>
        </w:tc>
        <w:tc>
          <w:tcPr>
            <w:tcW w:w="1200" w:type="dxa"/>
            <w:vAlign w:val="bottom"/>
            <w:gridSpan w:val="2"/>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1060" w:type="dxa"/>
            <w:vAlign w:val="bottom"/>
            <w:gridSpan w:val="2"/>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0.39</w:t>
            </w:r>
          </w:p>
        </w:tc>
        <w:tc>
          <w:tcPr>
            <w:tcW w:w="1040" w:type="dxa"/>
            <w:vAlign w:val="bottom"/>
            <w:gridSpan w:val="2"/>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(0.08)</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left="500" w:right="40" w:hanging="347"/>
        <w:spacing w:after="0" w:line="251" w:lineRule="auto"/>
        <w:tabs>
          <w:tab w:leader="none" w:pos="5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Reflects impact of awards that would have been anti-dilutive to net loss per share, and therefore not included in the calculation, but would be dilutive to Non-GAAP Earnings (Loss) Per Share and are therefore included in the share count for purposes of this non-GAAP measure. Potential common share equivalents consist of shares issuable upon the exercise of stock options, vesting of restricted stock units (including performance-based restricted stock units) or purchases under the Employee Stock Purchase Plan (the "ESPP"), as well as contingent shares associated with our acquisition of Datapipe Parent, Inc. Certain of our potential common share equivalents are contingent on Apollo achieving pre-established performance targets based on a multiple of their invested capital ("MOI</w:t>
      </w:r>
      <w:r>
        <w:rPr>
          <w:rFonts w:ascii="Arial" w:cs="Arial" w:eastAsia="Arial" w:hAnsi="Arial"/>
          <w:sz w:val="17"/>
          <w:szCs w:val="17"/>
          <w:color w:val="auto"/>
        </w:rPr>
        <w:t>C")</w:t>
      </w:r>
      <w:r>
        <w:rPr>
          <w:rFonts w:ascii="Arial" w:cs="Arial" w:eastAsia="Arial" w:hAnsi="Arial"/>
          <w:sz w:val="16"/>
          <w:szCs w:val="16"/>
          <w:color w:val="auto"/>
        </w:rPr>
        <w:t>, which are included in the denominator for the entire period if such shares would be issuable as of the end of the reporting period assuming the end of the reporting period was the end of the contingency period.</w:t>
      </w:r>
    </w:p>
    <w:p>
      <w:pPr>
        <w:spacing w:after="0" w:line="31" w:lineRule="exact"/>
        <w:rPr>
          <w:rFonts w:ascii="Arial" w:cs="Arial" w:eastAsia="Arial" w:hAnsi="Arial"/>
          <w:sz w:val="16"/>
          <w:szCs w:val="16"/>
          <w:color w:val="auto"/>
        </w:rPr>
      </w:pPr>
    </w:p>
    <w:p>
      <w:pPr>
        <w:ind w:left="500" w:right="500" w:hanging="352"/>
        <w:spacing w:after="0" w:line="275" w:lineRule="auto"/>
        <w:tabs>
          <w:tab w:leader="none" w:pos="5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Reflects the aggregate adjustments made to reconcile Non-GAAP Net Income (Loss) to our net loss, as noted in the above table, divided by the GAAP diluted number of shares outstanding for the relevant period.</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10" w:lineRule="exact"/>
        <w:rPr>
          <w:rFonts w:ascii="Arial" w:cs="Arial" w:eastAsia="Arial" w:hAnsi="Arial"/>
          <w:sz w:val="16"/>
          <w:szCs w:val="16"/>
          <w:color w:val="auto"/>
        </w:rPr>
      </w:pPr>
    </w:p>
    <w:p>
      <w:pPr>
        <w:ind w:left="5540" w:hanging="111"/>
        <w:spacing w:after="0"/>
        <w:tabs>
          <w:tab w:leader="none" w:pos="55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52"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We primarily finance our operations and capital expenditures with internally-generated cash from operations and hardware leases, and if necessary, borrowings under the Revolving Credit Facility. As of June 30, 2023, the Revolving Credit Facility provided for up to $375 million of borrowings, $50 million of which was drawn as of June 30, 2023. As such, as of June 30, 2023, we had $325.0 million of available commitments remaining under the Revolving Credit Facility. Our primary uses of cash are working capital requirements, debt service requirements and capital expenditures. Based on our current level of operations and available cash, we believe our sources will provide sufficient liquidity over at least the next twelve months. We cannot provide assurance, however, that our business will generate sufficient cash flows from operations or that future borrowings will be available to us under the Revolving Credit Facility or from other sources in an amount sufficient to enable us to pay our indebtedness or to fund our other liquidity needs. Our ability to do so depends on prevailing economic conditions and other factors, many of which are beyond our control. In addition, upon the occurrence of certain events, such as a change of control, we could be required to repay or refinance our indebtedness. We cannot assure that we will be able to refinance any of our indebtedness, including the Senior Facilities, the 5.375% Senior Notes and the 3.50% Senior Secured Notes, on commercially reasonable terms or at all. Any future acquisitions, joint ventures or other similar transactions will likely require additional capital, and there can be no assurance that any such capital will be available to us on acceptable terms or at all.</w:t>
      </w:r>
    </w:p>
    <w:p>
      <w:pPr>
        <w:spacing w:after="0" w:line="206" w:lineRule="exact"/>
        <w:rPr>
          <w:sz w:val="20"/>
          <w:szCs w:val="20"/>
          <w:color w:val="auto"/>
        </w:rPr>
      </w:pPr>
    </w:p>
    <w:p>
      <w:pPr>
        <w:ind w:firstLine="486"/>
        <w:spacing w:after="0" w:line="296" w:lineRule="auto"/>
        <w:rPr>
          <w:sz w:val="20"/>
          <w:szCs w:val="20"/>
          <w:color w:val="auto"/>
        </w:rPr>
      </w:pPr>
      <w:r>
        <w:rPr>
          <w:rFonts w:ascii="Arial" w:cs="Arial" w:eastAsia="Arial" w:hAnsi="Arial"/>
          <w:sz w:val="16"/>
          <w:szCs w:val="16"/>
          <w:color w:val="auto"/>
        </w:rPr>
        <w:t>From time to time, depending upon market and other conditions, as well as upon our cash balances and liquidity, we, our subsidiaries or our affiliates may acquire (and have acquired) our outstanding debt securities or our other indebtedness through open market purchases, privately negotiated transactions, tender offers, redemption or otherwise, upon such terms and at such prices as we, our subsidiaries or our affiliates may determine (or as may be provided for in the indenture governing the 5.375% Senior Notes (the "5.375% Notes Indenture") or the indenture governing the 3.50% Senior Secured Notes (the "3.50% Notes Indenture" and, together with the 5.375% Notes Indenture, the "Indentures"), if applicable), for cash or other consideration.</w:t>
      </w:r>
    </w:p>
    <w:p>
      <w:pPr>
        <w:spacing w:after="0" w:line="188" w:lineRule="exact"/>
        <w:rPr>
          <w:sz w:val="20"/>
          <w:szCs w:val="20"/>
          <w:color w:val="auto"/>
        </w:rPr>
      </w:pPr>
    </w:p>
    <w:p>
      <w:pPr>
        <w:ind w:right="40" w:firstLine="486"/>
        <w:spacing w:after="0" w:line="275" w:lineRule="auto"/>
        <w:rPr>
          <w:sz w:val="20"/>
          <w:szCs w:val="20"/>
          <w:color w:val="auto"/>
        </w:rPr>
      </w:pPr>
      <w:r>
        <w:rPr>
          <w:rFonts w:ascii="Arial" w:cs="Arial" w:eastAsia="Arial" w:hAnsi="Arial"/>
          <w:sz w:val="17"/>
          <w:szCs w:val="17"/>
          <w:color w:val="auto"/>
        </w:rPr>
        <w:t>On March 3, 2022, our board of directors authorized a program to repurchase up to $75 million of shares of our common stock from time to time through open-market transactions, privately negotiated transactions, accelerated share repurchases and other transactions in accordance with applicable security laws. During the six months ended June 30, 2022, we repurchased $31 million, or 3.1 million shares, of our common stock on the open market under this program. No shares were repurchased during the six months ended June 30, 2023. As of June 30, 2023, approximately $44 million of the amount authorized by the board under the current program remained available for additional purchases.</w:t>
      </w:r>
    </w:p>
    <w:p>
      <w:pPr>
        <w:spacing w:after="0" w:line="203"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At June 30, 2023, we held $160 million in cash and cash equivalents (not including $3 million in restricted cash, which is included in "Other non-current assets"), of which $103 million was held by foreign entities.</w:t>
      </w:r>
    </w:p>
    <w:p>
      <w:pPr>
        <w:spacing w:after="0" w:line="197" w:lineRule="exact"/>
        <w:rPr>
          <w:sz w:val="20"/>
          <w:szCs w:val="20"/>
          <w:color w:val="auto"/>
        </w:rPr>
      </w:pPr>
    </w:p>
    <w:p>
      <w:pPr>
        <w:jc w:val="both"/>
        <w:ind w:right="200" w:firstLine="486"/>
        <w:spacing w:after="0" w:line="263" w:lineRule="auto"/>
        <w:rPr>
          <w:sz w:val="20"/>
          <w:szCs w:val="20"/>
          <w:color w:val="auto"/>
        </w:rPr>
      </w:pPr>
      <w:r>
        <w:rPr>
          <w:rFonts w:ascii="Arial" w:cs="Arial" w:eastAsia="Arial" w:hAnsi="Arial"/>
          <w:sz w:val="18"/>
          <w:szCs w:val="18"/>
          <w:color w:val="auto"/>
        </w:rPr>
        <w:t>We have entered into installment payment arrangements with certain equipment and software vendors, along with sale-leaseback arrangements for equipment and certain property leases that are considered financing obligations. We had $66 million outstanding with respect to these arrangements as of June 30, 2023. We may choose to utilize these various sources of funding in future periods.</w:t>
      </w:r>
    </w:p>
    <w:p>
      <w:pPr>
        <w:spacing w:after="0" w:line="211" w:lineRule="exact"/>
        <w:rPr>
          <w:sz w:val="20"/>
          <w:szCs w:val="20"/>
          <w:color w:val="auto"/>
        </w:rPr>
      </w:pPr>
    </w:p>
    <w:p>
      <w:pPr>
        <w:ind w:right="440" w:firstLine="486"/>
        <w:spacing w:after="0" w:line="308" w:lineRule="auto"/>
        <w:rPr>
          <w:sz w:val="20"/>
          <w:szCs w:val="20"/>
          <w:color w:val="auto"/>
        </w:rPr>
      </w:pPr>
      <w:r>
        <w:rPr>
          <w:rFonts w:ascii="Arial" w:cs="Arial" w:eastAsia="Arial" w:hAnsi="Arial"/>
          <w:sz w:val="17"/>
          <w:szCs w:val="17"/>
          <w:color w:val="auto"/>
        </w:rPr>
        <w:t>We also lease certain equipment and real estate under operating and finance lease agreements. We had $556 million outstanding with respect to operating and finance lease agreements as of June 30, 2023. We may choose to utilize such leasing arrangements in future periods.</w:t>
      </w:r>
    </w:p>
    <w:p>
      <w:pPr>
        <w:spacing w:after="0" w:line="173"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color w:val="auto"/>
        </w:rPr>
        <w:t>As of June 30, 2023, we had $3,184 million aggregate principal amount outstanding under our Term Loan Facility, 5.375% Senior Notes, and 3.50% Senior Secured Notes. In addition, the Revolving Credit Facility provided for up to $375 million of borrowings, $50 million of which was drawn as of June 30, 2023. Our liquidity requirements are significant, primarily due to debt service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Facilitie</w:t>
      </w:r>
      <w:r>
        <w:rPr>
          <w:rFonts w:ascii="Arial" w:cs="Arial" w:eastAsia="Arial" w:hAnsi="Arial"/>
          <w:sz w:val="18"/>
          <w:szCs w:val="18"/>
          <w:b w:val="1"/>
          <w:bCs w:val="1"/>
          <w:i w:val="1"/>
          <w:iCs w:val="1"/>
          <w:color w:val="auto"/>
        </w:rPr>
        <w:t>s</w:t>
      </w:r>
    </w:p>
    <w:p>
      <w:pPr>
        <w:spacing w:after="0" w:line="252"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On February 9, 2021, we amended and restated the credit agreement governing our senior secured credit facilities (the "First Lien Credit Agreement"), which included a new seven-year $2,300 million senior secured first lien term loan facility (the "Term Loan Facility") and the Revolving Credit Facility (together, the "Senior Facilities"). We used the borrowings under the Term Loan Facility, together with the proceeds from the issuance of the 3.50% Senior Secured Notes described below (together, the "February 2021 Refinancing Transaction"), to repay all borrowings under the prior term loan facility (the "Prior Term Loan Facility"), to pay related fees and expenses and for general corporate purposes. The Term Loan Facility will mature on February 15, 2028 and the Revolving Credit Facility will mature on August 7, 2025. We may request one or more incremental term loan facilities, one or more incremental revolving credit facilities and/or increase the commitments under the Revolving Credit Facility in an amount equal to the greater of $860 million and 1.0x Pro Forma Adjusted EBITDA (as defined in the amended First Lien Credit Agreement), plus additional amounts, subject to compliance with applicable leverage ratios and certain terms and conditions.</w:t>
      </w:r>
    </w:p>
    <w:p>
      <w:pPr>
        <w:spacing w:after="0" w:line="208" w:lineRule="exact"/>
        <w:rPr>
          <w:sz w:val="20"/>
          <w:szCs w:val="20"/>
          <w:color w:val="auto"/>
        </w:rPr>
      </w:pPr>
    </w:p>
    <w:p>
      <w:pPr>
        <w:ind w:firstLine="486"/>
        <w:spacing w:after="0" w:line="275" w:lineRule="auto"/>
        <w:rPr>
          <w:sz w:val="20"/>
          <w:szCs w:val="20"/>
          <w:color w:val="auto"/>
        </w:rPr>
      </w:pPr>
      <w:r>
        <w:rPr>
          <w:rFonts w:ascii="Arial" w:cs="Arial" w:eastAsia="Arial" w:hAnsi="Arial"/>
          <w:sz w:val="17"/>
          <w:szCs w:val="17"/>
          <w:color w:val="auto"/>
        </w:rPr>
        <w:t>Interest on the Term Loan Facility is due at the end of each interest period elected, not exceeding 90 days, for SOFR loans and at the end of every calendar quarter for base rate loans. As of June 30, 2023, the interest rate on the Term Loan Facility was 8.00%. We are required to make quarterly amortization payments of $5.8 million, which began on June 30, 2021. The Revolving Credit Facility includes a commitment fee equal to 0.50% per annum in respect of the unused commitments that is due quarterly. This fee is subject to one step-down based on the net first lien leverage ratio. The Senior Facilities require us to make certain mandatory prepayments under certain conditions defined in the credit agreement.</w:t>
      </w:r>
    </w:p>
    <w:p>
      <w:pPr>
        <w:spacing w:after="0" w:line="203"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Rackspace Technology Global, our wholly-owned subsidiary, is the borrower under the Senior Facilities, and all obligations under the Senior Facilities are (i) guaranteed by Inception Parent, Rackspace Technology Global's immediate parent company, on a limited recourse basis and secured by the equity interests of Rackspace Technology Global held by Inception Parent and (ii) guaranteed by Rackspace Technology Global's wholly-owned domestic restricted subsidiaries and secured by substantially all material owned assets of Rackspace Technology Global and the subsidiary guarantors, including the equity interests held by each, in each case subject to certain exceptions.</w:t>
      </w:r>
    </w:p>
    <w:p>
      <w:pPr>
        <w:spacing w:after="0" w:line="215" w:lineRule="exact"/>
        <w:rPr>
          <w:sz w:val="20"/>
          <w:szCs w:val="20"/>
          <w:color w:val="auto"/>
        </w:rPr>
      </w:pPr>
    </w:p>
    <w:p>
      <w:pPr>
        <w:ind w:right="360" w:firstLine="486"/>
        <w:spacing w:after="0" w:line="342" w:lineRule="auto"/>
        <w:rPr>
          <w:sz w:val="20"/>
          <w:szCs w:val="20"/>
          <w:color w:val="auto"/>
        </w:rPr>
      </w:pPr>
      <w:r>
        <w:rPr>
          <w:rFonts w:ascii="Arial" w:cs="Arial" w:eastAsia="Arial" w:hAnsi="Arial"/>
          <w:sz w:val="16"/>
          <w:szCs w:val="16"/>
          <w:color w:val="auto"/>
        </w:rPr>
        <w:t>As of June 30, 2023, $2,248 million aggregate principal amount of the Term Loan Facility and $50 million of borrowings under the Revolving Credit Facility remained outstanding. See Item 1 of Part I, Financial Statements - Note 6, "Debt," for more information regarding our Senior Facilities.</w:t>
      </w:r>
    </w:p>
    <w:p>
      <w:pPr>
        <w:spacing w:after="0" w:line="151" w:lineRule="exact"/>
        <w:rPr>
          <w:sz w:val="20"/>
          <w:szCs w:val="20"/>
          <w:color w:val="auto"/>
        </w:rPr>
      </w:pPr>
    </w:p>
    <w:p>
      <w:pPr>
        <w:jc w:val="both"/>
        <w:ind w:right="80" w:firstLine="486"/>
        <w:spacing w:after="0" w:line="263" w:lineRule="auto"/>
        <w:rPr>
          <w:sz w:val="20"/>
          <w:szCs w:val="20"/>
          <w:color w:val="auto"/>
        </w:rPr>
      </w:pPr>
      <w:r>
        <w:rPr>
          <w:rFonts w:ascii="Arial" w:cs="Arial" w:eastAsia="Arial" w:hAnsi="Arial"/>
          <w:sz w:val="18"/>
          <w:szCs w:val="18"/>
          <w:color w:val="auto"/>
        </w:rPr>
        <w:t>We have entered into interest rate swap agreements to manage the interest rate risk associated with interest payments on the Term Loan Facility that result from fluctuations in Term SOFR. See Item 1 of Part I, Financial Statements - Note 11, "Derivatives," for more information on the interest rate swap agreements.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3.50% Senior Secured Notes due 2028</w:t>
      </w:r>
    </w:p>
    <w:p>
      <w:pPr>
        <w:spacing w:after="0" w:line="252" w:lineRule="exact"/>
        <w:rPr>
          <w:sz w:val="20"/>
          <w:szCs w:val="20"/>
          <w:color w:val="auto"/>
        </w:rPr>
      </w:pPr>
    </w:p>
    <w:p>
      <w:pPr>
        <w:ind w:right="280" w:firstLine="486"/>
        <w:spacing w:after="0" w:line="279" w:lineRule="auto"/>
        <w:rPr>
          <w:sz w:val="20"/>
          <w:szCs w:val="20"/>
          <w:color w:val="auto"/>
        </w:rPr>
      </w:pPr>
      <w:r>
        <w:rPr>
          <w:rFonts w:ascii="Arial" w:cs="Arial" w:eastAsia="Arial" w:hAnsi="Arial"/>
          <w:sz w:val="17"/>
          <w:szCs w:val="17"/>
          <w:color w:val="auto"/>
        </w:rPr>
        <w:t>On February 9, 2021, Rackspace Technology Global issued $550 million aggregate principal amount of 3.50% Senior Secured Notes. The 3.50% Senior Secured Notes will mature on February 15, 2028 and bear interest at an annual fixed rate of 3.50%. Interest is payable semiannually on each February 15 and August 15, commencing on August 15, 2021. We may redeem some or all of the 3.50% Senior Secured Notes at our option prior to February 15, 2024 subject to certain limitations and conditions outlined in the 3.50% Notes Indenture.</w:t>
      </w:r>
    </w:p>
    <w:p>
      <w:pPr>
        <w:spacing w:after="0" w:line="198" w:lineRule="exact"/>
        <w:rPr>
          <w:sz w:val="20"/>
          <w:szCs w:val="20"/>
          <w:color w:val="auto"/>
        </w:rPr>
      </w:pPr>
    </w:p>
    <w:p>
      <w:pPr>
        <w:ind w:firstLine="441"/>
        <w:spacing w:after="0" w:line="342" w:lineRule="auto"/>
        <w:rPr>
          <w:sz w:val="20"/>
          <w:szCs w:val="20"/>
          <w:color w:val="auto"/>
        </w:rPr>
      </w:pPr>
      <w:r>
        <w:rPr>
          <w:rFonts w:ascii="Arial" w:cs="Arial" w:eastAsia="Arial" w:hAnsi="Arial"/>
          <w:sz w:val="16"/>
          <w:szCs w:val="16"/>
          <w:color w:val="auto"/>
        </w:rPr>
        <w:t>The 3.50% Senior Secured Notes are secured by first-priority security interests in substantially all material owned assets of Rackspace Technology Global and the subsidiary guarantors, including the equity interest held by each, subject to certain exceptions, which assets also secure the Senior Facilities.</w:t>
      </w:r>
    </w:p>
    <w:p>
      <w:pPr>
        <w:spacing w:after="0" w:line="15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June 30, 2023, $550 million aggregate principal amount of the 3.50% Senior Secured Notes remained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5.375% Senior Notes due 2028</w:t>
      </w:r>
    </w:p>
    <w:p>
      <w:pPr>
        <w:spacing w:after="0" w:line="252"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Rackspace Technology Global issued $550 million aggregate principal amount of the 5.375% Senior Notes on December 1, 2020. The 5.375% Senior Notes will mature on December 1, 2028 and bear interest at a fixed rate of 5.375% per year, payable semi-annually on each June 1 and December 1, commencing on June 1, 2021. The 5.375% Senior Notes are guaranteed on a senior unsecured basis by all of Rackspace Technology Global's wholly-owned domestic restricted subsidiaries that guarantee the Senior Facilities.</w:t>
      </w:r>
    </w:p>
    <w:p>
      <w:pPr>
        <w:spacing w:after="0" w:line="214"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During the six months ended June 30, 2023, we repurchased and surrendered for cancellation $165 million aggregate principal amount of 5.375% Senior Notes for $57 million, including accrued interest of $1 million and excluding related fees and expenses.</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June 30, 2023, $385 million aggregate principal amount of the 5.375% Senior Notes remained outstanding.</w:t>
      </w:r>
    </w:p>
    <w:p>
      <w:pPr>
        <w:spacing w:after="0" w:line="252" w:lineRule="exact"/>
        <w:rPr>
          <w:sz w:val="20"/>
          <w:szCs w:val="20"/>
          <w:color w:val="auto"/>
        </w:rPr>
      </w:pPr>
    </w:p>
    <w:p>
      <w:pPr>
        <w:ind w:right="420" w:firstLine="486"/>
        <w:spacing w:after="0" w:line="342" w:lineRule="auto"/>
        <w:rPr>
          <w:sz w:val="20"/>
          <w:szCs w:val="20"/>
          <w:color w:val="auto"/>
        </w:rPr>
      </w:pPr>
      <w:r>
        <w:rPr>
          <w:rFonts w:ascii="Arial" w:cs="Arial" w:eastAsia="Arial" w:hAnsi="Arial"/>
          <w:sz w:val="16"/>
          <w:szCs w:val="16"/>
          <w:color w:val="auto"/>
        </w:rPr>
        <w:t>Subsequent to June 30, 2023 and through August 9, 2023, we repurchased and surrendered for cancellation an additional $57 million aggregate principal amount of 5.375% Senior Notes for $20 million, including accrued interest of $0.3 million and excluding related fees and expenses.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covenants</w:t>
      </w:r>
    </w:p>
    <w:p>
      <w:pPr>
        <w:spacing w:after="0" w:line="252" w:lineRule="exact"/>
        <w:rPr>
          <w:sz w:val="20"/>
          <w:szCs w:val="20"/>
          <w:color w:val="auto"/>
        </w:rPr>
      </w:pPr>
    </w:p>
    <w:p>
      <w:pPr>
        <w:ind w:right="40" w:firstLine="486"/>
        <w:spacing w:after="0" w:line="289" w:lineRule="auto"/>
        <w:rPr>
          <w:sz w:val="20"/>
          <w:szCs w:val="20"/>
          <w:color w:val="auto"/>
        </w:rPr>
      </w:pPr>
      <w:r>
        <w:rPr>
          <w:rFonts w:ascii="Arial" w:cs="Arial" w:eastAsia="Arial" w:hAnsi="Arial"/>
          <w:sz w:val="16"/>
          <w:szCs w:val="16"/>
          <w:color w:val="auto"/>
        </w:rPr>
        <w:t>Our Term Loan Facility is not subject to a financial maintenance covenant. The Revolving Credit Facility includes a financial maintenance covenant that limits the borrower's net first lien leverage ratio to a maximum of 5.00 to 1.00. The net first lien leverage ratio is calculated as the ratio of (x) the total amount of the borrower's first lien debt for borrowed money (which is currently identical to the total amount outstanding under the Senior Facilities), less the borrower's unrestricted cash and cash equivalents, to (y) consolidated EBITDA (as defined under the First Lien Credit Agreement governing the Senior Facilities). However, this financial maintenance covenant will only be applicable and tested if the aggregate amount of outstanding borrowings under the Revolving Credit Facility and letters of credit issued thereunder (excluding $25 million of undrawn letters of credit and cash collateralized letters of credit) as of the last day of a fiscal quarter is equal to or greater than 35% of the Revolving Credit Facility commitments as of the last day of such fiscal quarter. Additional covenants in the Senior Facilities limit our subsidiaries' ability to, among other things, incur certain additional debt and liens, pay certain dividends or make other restricted payments, make certain investments, make certain asset sales and enter into certain transactions with affiliates.</w:t>
      </w:r>
    </w:p>
    <w:p>
      <w:pPr>
        <w:spacing w:after="0" w:line="193"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The Indentures contain covenants that, among other things, limit our subsidiaries' ability to incur certain additional debt, incur certain liens securing debt, pay certain dividends or make other restricted payments, make certain investments, make certain asset sales and enter into certain transactions with affiliates. These covenants are subject to a number of exceptions, limitations, and qualifications as set forth in the Indentures. Additionally, upon the occurrence of a change of control (as defined in the Indentures), we will be required to make an offer to repurchase all of the outstanding 5.375% Senior Notes and 3.50% Senior Secured Notes, respectively, at a price in cash equal to 101.000% of the aggregate principal amount, plus accrued and unpaid interest, if any, to, but not including the purchase date.</w:t>
      </w:r>
    </w:p>
    <w:p>
      <w:pPr>
        <w:spacing w:after="0" w:line="219"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Our "consolidated EBITDA," as defined under our debt instruments, is calculated in the same manner as our Adjusted EBITDA, presented elsewhere in this report, except that our debt instruments allow us to adjust for additional items, including certain start-up costs, and to give pro forma effect to acquisitions, including resulting synergies, and internal cost savings initiatives. In addition, under the Indentures, the calculation of consolidated EBITDA does not take into account substantially any changes in GAAP subsequent to the date of issuance, whereas under the Senior Facilities the calculation of consolidated EBITDA takes into account the impact of certain changes in GAAP subsequent to the original closing date other than with respect to capital leases.</w:t>
      </w:r>
    </w:p>
    <w:p>
      <w:pPr>
        <w:spacing w:after="0" w:line="21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June 30, 2023, we were in compliance with all covenants under the Senior Facilities and the Indentures.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a summary of our capital expenditures for the periods indicated:</w:t>
      </w:r>
    </w:p>
    <w:p>
      <w:pPr>
        <w:spacing w:after="0" w:line="145" w:lineRule="exact"/>
        <w:rPr>
          <w:sz w:val="20"/>
          <w:szCs w:val="20"/>
          <w:color w:val="auto"/>
        </w:rPr>
      </w:pPr>
    </w:p>
    <w:p>
      <w:pPr>
        <w:ind w:left="8420"/>
        <w:spacing w:after="0"/>
        <w:rPr>
          <w:sz w:val="20"/>
          <w:szCs w:val="20"/>
          <w:color w:val="auto"/>
        </w:rPr>
      </w:pPr>
      <w:r>
        <w:rPr>
          <w:rFonts w:ascii="Arial" w:cs="Arial" w:eastAsia="Arial" w:hAnsi="Arial"/>
          <w:sz w:val="16"/>
          <w:szCs w:val="16"/>
          <w:b w:val="1"/>
          <w:bCs w:val="1"/>
          <w:color w:val="auto"/>
        </w:rPr>
        <w:t>Six Months Ended June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4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top w:val="single" w:sz="8" w:color="auto"/>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2023</w:t>
            </w:r>
          </w:p>
        </w:tc>
      </w:tr>
      <w:tr>
        <w:trPr>
          <w:trHeight w:val="212"/>
        </w:trPr>
        <w:tc>
          <w:tcPr>
            <w:tcW w:w="7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Customer gear</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5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82.3</w:t>
            </w:r>
          </w:p>
        </w:tc>
      </w:tr>
      <w:tr>
        <w:trPr>
          <w:trHeight w:val="213"/>
        </w:trPr>
        <w:tc>
          <w:tcPr>
            <w:tcW w:w="7500" w:type="dxa"/>
            <w:vAlign w:val="bottom"/>
          </w:tcPr>
          <w:p>
            <w:pPr>
              <w:ind w:left="140"/>
              <w:spacing w:after="0"/>
              <w:rPr>
                <w:sz w:val="20"/>
                <w:szCs w:val="20"/>
                <w:color w:val="auto"/>
              </w:rPr>
            </w:pPr>
            <w:r>
              <w:rPr>
                <w:rFonts w:ascii="Arial" w:cs="Arial" w:eastAsia="Arial" w:hAnsi="Arial"/>
                <w:sz w:val="16"/>
                <w:szCs w:val="16"/>
                <w:color w:val="auto"/>
              </w:rPr>
              <w:t>Data center build outs</w:t>
            </w: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2.7</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19"/>
        </w:trPr>
        <w:tc>
          <w:tcPr>
            <w:tcW w:w="7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Office build outs</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13"/>
        </w:trPr>
        <w:tc>
          <w:tcPr>
            <w:tcW w:w="75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Capitalized software and other projects</w:t>
            </w: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w:t>
            </w:r>
          </w:p>
        </w:tc>
        <w:tc>
          <w:tcPr>
            <w:tcW w:w="1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w:t>
            </w:r>
          </w:p>
        </w:tc>
      </w:tr>
      <w:tr>
        <w:trPr>
          <w:trHeight w:val="233"/>
        </w:trPr>
        <w:tc>
          <w:tcPr>
            <w:tcW w:w="7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capital expenditures</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68.1</w:t>
            </w:r>
          </w:p>
        </w:tc>
        <w:tc>
          <w:tcPr>
            <w:tcW w:w="5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116.2</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20" w:firstLine="486"/>
        <w:spacing w:after="0" w:line="311" w:lineRule="auto"/>
        <w:rPr>
          <w:sz w:val="20"/>
          <w:szCs w:val="20"/>
          <w:color w:val="auto"/>
        </w:rPr>
      </w:pPr>
      <w:r>
        <w:rPr>
          <w:rFonts w:ascii="Arial" w:cs="Arial" w:eastAsia="Arial" w:hAnsi="Arial"/>
          <w:sz w:val="16"/>
          <w:szCs w:val="16"/>
          <w:color w:val="auto"/>
        </w:rPr>
        <w:t>Capital expenditures were $116 million in the six months ended June 30, 2023, compared to $68 million in the six months ended June 30, 2022, an increase of $48 million. The increase in capital expenditures was driven by purchases of customer gear originally intended to support a specific new customer. This new customer did not materialize as expected; however, the gear is fungible and will be redeployed to support other business requirements.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a summary of certain cash flow information for the periods indicated:</w:t>
      </w:r>
    </w:p>
    <w:p>
      <w:pPr>
        <w:spacing w:after="0" w:line="145" w:lineRule="exact"/>
        <w:rPr>
          <w:sz w:val="20"/>
          <w:szCs w:val="20"/>
          <w:color w:val="auto"/>
        </w:rPr>
      </w:pPr>
    </w:p>
    <w:p>
      <w:pPr>
        <w:ind w:left="8420"/>
        <w:spacing w:after="0"/>
        <w:rPr>
          <w:sz w:val="20"/>
          <w:szCs w:val="20"/>
          <w:color w:val="auto"/>
        </w:rPr>
      </w:pPr>
      <w:r>
        <w:rPr>
          <w:rFonts w:ascii="Arial" w:cs="Arial" w:eastAsia="Arial" w:hAnsi="Arial"/>
          <w:sz w:val="16"/>
          <w:szCs w:val="16"/>
          <w:b w:val="1"/>
          <w:bCs w:val="1"/>
          <w:color w:val="auto"/>
        </w:rPr>
        <w:t>Six Months Ended June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4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top w:val="single" w:sz="8" w:color="auto"/>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2023</w:t>
            </w:r>
          </w:p>
        </w:tc>
      </w:tr>
      <w:tr>
        <w:trPr>
          <w:trHeight w:val="212"/>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provided by operating activities</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148.5</w:t>
            </w:r>
          </w:p>
        </w:tc>
        <w:tc>
          <w:tcPr>
            <w:tcW w:w="5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center"/>
              <w:ind w:left="879"/>
              <w:spacing w:after="0"/>
              <w:rPr>
                <w:sz w:val="20"/>
                <w:szCs w:val="20"/>
                <w:color w:val="auto"/>
              </w:rPr>
            </w:pPr>
            <w:r>
              <w:rPr>
                <w:rFonts w:ascii="Arial" w:cs="Arial" w:eastAsia="Arial" w:hAnsi="Arial"/>
                <w:sz w:val="16"/>
                <w:szCs w:val="16"/>
                <w:color w:val="auto"/>
                <w:w w:val="96"/>
              </w:rPr>
              <w:t>35.9</w:t>
            </w:r>
          </w:p>
        </w:tc>
      </w:tr>
      <w:tr>
        <w:trPr>
          <w:trHeight w:val="213"/>
        </w:trPr>
        <w:tc>
          <w:tcPr>
            <w:tcW w:w="7500" w:type="dxa"/>
            <w:vAlign w:val="bottom"/>
          </w:tcPr>
          <w:p>
            <w:pPr>
              <w:ind w:left="20"/>
              <w:spacing w:after="0"/>
              <w:rPr>
                <w:sz w:val="20"/>
                <w:szCs w:val="20"/>
                <w:color w:val="auto"/>
              </w:rPr>
            </w:pPr>
            <w:r>
              <w:rPr>
                <w:rFonts w:ascii="Arial" w:cs="Arial" w:eastAsia="Arial" w:hAnsi="Arial"/>
                <w:sz w:val="16"/>
                <w:szCs w:val="16"/>
                <w:color w:val="auto"/>
              </w:rPr>
              <w:t>Cash used in investing activities</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(50.6)</w:t>
            </w:r>
          </w:p>
        </w:tc>
        <w:tc>
          <w:tcPr>
            <w:tcW w:w="5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380" w:type="dxa"/>
            <w:vAlign w:val="bottom"/>
          </w:tcPr>
          <w:p>
            <w:pPr>
              <w:jc w:val="center"/>
              <w:ind w:left="859"/>
              <w:spacing w:after="0"/>
              <w:rPr>
                <w:sz w:val="20"/>
                <w:szCs w:val="20"/>
                <w:color w:val="auto"/>
              </w:rPr>
            </w:pPr>
            <w:r>
              <w:rPr>
                <w:rFonts w:ascii="Arial" w:cs="Arial" w:eastAsia="Arial" w:hAnsi="Arial"/>
                <w:sz w:val="16"/>
                <w:szCs w:val="16"/>
                <w:color w:val="auto"/>
                <w:w w:val="95"/>
              </w:rPr>
              <w:t>(34.9)</w:t>
            </w:r>
          </w:p>
        </w:tc>
      </w:tr>
      <w:tr>
        <w:trPr>
          <w:trHeight w:val="219"/>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used in financing activities</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(104.4)</w:t>
            </w:r>
          </w:p>
        </w:tc>
        <w:tc>
          <w:tcPr>
            <w:tcW w:w="5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center"/>
              <w:ind w:left="859"/>
              <w:spacing w:after="0"/>
              <w:rPr>
                <w:sz w:val="20"/>
                <w:szCs w:val="20"/>
                <w:color w:val="auto"/>
              </w:rPr>
            </w:pPr>
            <w:r>
              <w:rPr>
                <w:rFonts w:ascii="Arial" w:cs="Arial" w:eastAsia="Arial" w:hAnsi="Arial"/>
                <w:sz w:val="16"/>
                <w:szCs w:val="16"/>
                <w:color w:val="auto"/>
                <w:w w:val="95"/>
              </w:rPr>
              <w:t>(70.8)</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Operating Activities</w:t>
      </w:r>
    </w:p>
    <w:p>
      <w:pPr>
        <w:spacing w:after="0" w:line="252" w:lineRule="exact"/>
        <w:rPr>
          <w:sz w:val="20"/>
          <w:szCs w:val="20"/>
          <w:color w:val="auto"/>
        </w:rPr>
      </w:pPr>
    </w:p>
    <w:p>
      <w:pPr>
        <w:ind w:right="160" w:firstLine="486"/>
        <w:spacing w:after="0" w:line="286" w:lineRule="auto"/>
        <w:rPr>
          <w:sz w:val="20"/>
          <w:szCs w:val="20"/>
          <w:color w:val="auto"/>
        </w:rPr>
      </w:pPr>
      <w:r>
        <w:rPr>
          <w:rFonts w:ascii="Arial" w:cs="Arial" w:eastAsia="Arial" w:hAnsi="Arial"/>
          <w:sz w:val="17"/>
          <w:szCs w:val="17"/>
          <w:color w:val="auto"/>
        </w:rPr>
        <w:t>Net cash provided by operating activities results primarily from cash received from customers, offset by cash payments made for employee and consultant compensation (less amounts capitalized related to internal-use software that are reflected as cash used in investing activities), data center costs, license costs, third-party infrastructure costs, marketing programs, interest, taxes, and other general corporate expenditures.</w:t>
      </w:r>
    </w:p>
    <w:p>
      <w:pPr>
        <w:spacing w:after="0" w:line="192" w:lineRule="exact"/>
        <w:rPr>
          <w:sz w:val="20"/>
          <w:szCs w:val="20"/>
          <w:color w:val="auto"/>
        </w:rPr>
      </w:pPr>
    </w:p>
    <w:p>
      <w:pPr>
        <w:ind w:right="120" w:firstLine="486"/>
        <w:spacing w:after="0" w:line="301" w:lineRule="auto"/>
        <w:rPr>
          <w:sz w:val="20"/>
          <w:szCs w:val="20"/>
          <w:color w:val="auto"/>
        </w:rPr>
      </w:pPr>
      <w:r>
        <w:rPr>
          <w:rFonts w:ascii="Arial" w:cs="Arial" w:eastAsia="Arial" w:hAnsi="Arial"/>
          <w:sz w:val="16"/>
          <w:szCs w:val="16"/>
          <w:color w:val="auto"/>
        </w:rPr>
        <w:t>Net cash provided by operating activities was $36 million in the six months ended June 30, 2023 compared to $149 million in the six months ended June 30, 2022. The reduction in operating cash was primarily driven by a $144 million increase in operating expense payments, largely for third-party infrastructure costs, and a $30 million increase in interest payments on debt. Partially offsetting the cash used in operating activities was a $64 million increase in cash collections, primarily as a result of increased focus on collection efforts with customers, and to a lesser extent, timing of collections.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Investing Activities</w:t>
      </w:r>
    </w:p>
    <w:p>
      <w:pPr>
        <w:spacing w:after="0" w:line="252"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Net cash used in investing activities primarily consists of capital expenditures to meet the demands of our customer base and our strategic initiatives. The largest outlays of cash are for purchases of customer gear, data center and office build outs, and capitalized payroll costs related to internal-use software development.</w:t>
      </w:r>
    </w:p>
    <w:p>
      <w:pPr>
        <w:spacing w:after="0" w:line="211"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Net cash used in investing activities decreased $16 million, or 31%, in the six months ended June 30, 2023 compared to the six months ended</w:t>
      </w:r>
    </w:p>
    <w:p>
      <w:pPr>
        <w:spacing w:after="0" w:line="35" w:lineRule="exact"/>
        <w:rPr>
          <w:sz w:val="20"/>
          <w:szCs w:val="20"/>
          <w:color w:val="auto"/>
        </w:rPr>
      </w:pPr>
    </w:p>
    <w:p>
      <w:pPr>
        <w:ind w:right="60"/>
        <w:spacing w:after="0" w:line="323" w:lineRule="auto"/>
        <w:rPr>
          <w:sz w:val="20"/>
          <w:szCs w:val="20"/>
          <w:color w:val="auto"/>
        </w:rPr>
      </w:pPr>
      <w:r>
        <w:rPr>
          <w:rFonts w:ascii="Arial" w:cs="Arial" w:eastAsia="Arial" w:hAnsi="Arial"/>
          <w:sz w:val="16"/>
          <w:szCs w:val="16"/>
          <w:color w:val="auto"/>
        </w:rPr>
        <w:t>June 30, 2022. The decrease was driven by an $11 million reduction in cash purchases of property, equipment, and software year-over-year. In addition, we made an $8 million cash payment in connection with the acquisition of Just Analytics Pte. Ltd. during the six months ended June 30, 2022.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Financing Activities</w:t>
      </w:r>
    </w:p>
    <w:p>
      <w:pPr>
        <w:spacing w:after="0" w:line="252" w:lineRule="exact"/>
        <w:rPr>
          <w:sz w:val="20"/>
          <w:szCs w:val="20"/>
          <w:color w:val="auto"/>
        </w:rPr>
      </w:pPr>
    </w:p>
    <w:p>
      <w:pPr>
        <w:ind w:right="140" w:firstLine="486"/>
        <w:spacing w:after="0" w:line="263" w:lineRule="auto"/>
        <w:rPr>
          <w:sz w:val="20"/>
          <w:szCs w:val="20"/>
          <w:color w:val="auto"/>
        </w:rPr>
      </w:pPr>
      <w:r>
        <w:rPr>
          <w:rFonts w:ascii="Arial" w:cs="Arial" w:eastAsia="Arial" w:hAnsi="Arial"/>
          <w:sz w:val="18"/>
          <w:szCs w:val="18"/>
          <w:color w:val="auto"/>
        </w:rPr>
        <w:t>Financing activities generally include cash activity related to debt and other long-term financing arrangements (for example, finance lease obligations and financing obligations), including proceeds from and repayments of borrowings, and cash activity related to the issuance and repurchase of equity.</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Net cash used in financing activities decreased $34 million, or 32%, in the six months ended June 30, 2023 compared to the six months ended</w:t>
      </w:r>
    </w:p>
    <w:p>
      <w:pPr>
        <w:spacing w:after="0" w:line="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June 30, 2022. The change was driven by $31 million in common stock share repurchases during the six months ended June 30, 2022 as part of the program authorized in March 2022 and a $16 million reduction in principal payments of financing obligations. In addition, during the six months ended June 30, 2023, we borrowed $50 million under the Revolving Credit Facility. Partially offsetting these drivers was a $56 million increase in payments related to long-term debt between periods as the current period includes $56 million of 5.375% Senior Note repurchases, while the prior period only includes quarterly principal payments on our Term Loan Facility. The remaining variance includes a $7 million increase in finance lease principal payments between periods.</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Our critical accounting policies and estimates have not changed from those described in our Annual Report under "Management's Discussion and Analysis of Financial Condition and Results of Operations - Critical Accounting Policies and Estimates." For a description of recent accounting pronouncements, see Item 1 of Part I, Financial Statements - Note 1, "Company Overview, Basis of Presentation, and Summary of Significant Accounting Policies."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Indefinite-Lived Intangible Assets</w:t>
      </w:r>
    </w:p>
    <w:p>
      <w:pPr>
        <w:spacing w:after="0" w:line="252" w:lineRule="exact"/>
        <w:rPr>
          <w:sz w:val="20"/>
          <w:szCs w:val="20"/>
          <w:color w:val="auto"/>
        </w:rPr>
      </w:pPr>
    </w:p>
    <w:p>
      <w:pPr>
        <w:ind w:right="380" w:firstLine="486"/>
        <w:spacing w:after="0" w:line="342" w:lineRule="auto"/>
        <w:rPr>
          <w:sz w:val="20"/>
          <w:szCs w:val="20"/>
          <w:color w:val="auto"/>
        </w:rPr>
      </w:pPr>
      <w:r>
        <w:rPr>
          <w:rFonts w:ascii="Arial" w:cs="Arial" w:eastAsia="Arial" w:hAnsi="Arial"/>
          <w:sz w:val="16"/>
          <w:szCs w:val="16"/>
          <w:color w:val="auto"/>
        </w:rPr>
        <w:t>Goodwill represents the excess of the purchase price over the fair value of identifiable net assets of businesses acquired. Our indefinite-lived intangible assets consists of our Rackspace trade name, which was recorded at fair value on our balance sheet at the date of the Rackspace Acquisition.</w:t>
      </w:r>
    </w:p>
    <w:p>
      <w:pPr>
        <w:spacing w:after="0" w:line="151"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Application of the goodwill and other indefinite-lived intangible asset impairment test requires judgment, including the identification of reporting units, assignment of assets and liabilities to reporting units, assignment of goodwill to reporting units and determination of the fair value of each reporting unit. We test goodwill and our indefinite-lived intangible asset, the Rackspace trade name, for impairment on an annual basis as of October 1st or more frequently if events or circumstances indicate a potential impairment. These events or circumstances could include a significant change in the business climate, regulatory environment, established business plans, operating performance indicators or competition. Potential impairment indicators may also include, but are not limited to, (i) the results of our most recent annual or interim impairment testing, (ii) downward revisions to internal forecasts, and the magnitude thereof, if any, (iii) declines in our market capitalization below our book value, and the magnitude and duration of those declines, if any, (iv) a reorganization resulting in a change to our operating segments, and (v) other macroeconomic factors, such as increases in interest rates that may affect the weighted average cost of capital, volatility in the equity and debt markets, or fluctuations in foreign currency exchange rates that may negatively impact our reported results of operations.</w:t>
      </w:r>
    </w:p>
    <w:p>
      <w:pPr>
        <w:spacing w:after="0" w:line="212"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Goodwill is tested for impairment at the reporting unit level. A reporting unit is an operating segment or one level below an operating segment (referred to as a component). We allocate goodwill to reporting units based on the reporting unit expected to benefit from the business combination. Assets and liabilities are assigned to each of our reporting units if they are employed by a reporting unit and are considered in the determination of the reporting unit fair value. Certain assets and liabilities are shared by multiple reporting units, and thus, are allocated to each reporting unit based on the relative size of a reporting unit, primarily based on revenue. We have two reporting units with goodwill: Public Cloud and Private Cloud. Goodwill allocated to our third reporting unit, OpenStack Public Cloud, was fully impaired during the fourth quarter of 2021.</w:t>
      </w:r>
    </w:p>
    <w:p>
      <w:pPr>
        <w:spacing w:after="0" w:line="205" w:lineRule="exact"/>
        <w:rPr>
          <w:sz w:val="20"/>
          <w:szCs w:val="20"/>
          <w:color w:val="auto"/>
        </w:rPr>
      </w:pPr>
    </w:p>
    <w:p>
      <w:pPr>
        <w:ind w:right="120" w:firstLine="486"/>
        <w:spacing w:after="0" w:line="287" w:lineRule="auto"/>
        <w:rPr>
          <w:sz w:val="20"/>
          <w:szCs w:val="20"/>
          <w:color w:val="auto"/>
        </w:rPr>
      </w:pPr>
      <w:r>
        <w:rPr>
          <w:rFonts w:ascii="Arial" w:cs="Arial" w:eastAsia="Arial" w:hAnsi="Arial"/>
          <w:sz w:val="16"/>
          <w:szCs w:val="16"/>
          <w:color w:val="auto"/>
        </w:rPr>
        <w:t>We estimate the fair values of our reporting units and the Rackspace trade name using the discounted cash flow method and relief-from-royalty method, respectively. These calculations require the use of significant estimates and assumptions, such as: (i) the royalty rate; (ii) the estimation of future revenue and projected margins, which are dependent on internal cash flow forecasts; (iii) estimation of the terminal growth rates and capital spending; and</w:t>
      </w:r>
    </w:p>
    <w:p>
      <w:pPr>
        <w:spacing w:after="0" w:line="2" w:lineRule="exact"/>
        <w:rPr>
          <w:sz w:val="20"/>
          <w:szCs w:val="20"/>
          <w:color w:val="auto"/>
        </w:rPr>
      </w:pPr>
    </w:p>
    <w:p>
      <w:pPr>
        <w:ind w:right="200" w:firstLine="8"/>
        <w:spacing w:after="0" w:line="292" w:lineRule="auto"/>
        <w:tabs>
          <w:tab w:leader="none" w:pos="305" w:val="left"/>
        </w:tabs>
        <w:numPr>
          <w:ilvl w:val="0"/>
          <w:numId w:val="19"/>
        </w:numPr>
        <w:rPr>
          <w:rFonts w:ascii="Arial" w:cs="Arial" w:eastAsia="Arial" w:hAnsi="Arial"/>
          <w:sz w:val="16"/>
          <w:szCs w:val="16"/>
          <w:color w:val="auto"/>
        </w:rPr>
      </w:pPr>
      <w:r>
        <w:rPr>
          <w:rFonts w:ascii="Arial" w:cs="Arial" w:eastAsia="Arial" w:hAnsi="Arial"/>
          <w:sz w:val="16"/>
          <w:szCs w:val="16"/>
          <w:color w:val="auto"/>
        </w:rPr>
        <w:t>determination of discount rates. The discount rates used are based on our weighted average cost of capital and are adjusted for risks and uncertainties inherent in our business and in our estimation of future cash flows. As part of the goodwill impairment test, we also consider our market capitalization in assessing the reasonableness of the combined fair values estimated for our reporting units, including OpenStack Public Cloud. The estimates and assumptions used to calculate the fair value of our reporting units and the Rackspace trade name from year to year are based on operating results, market conditions, and other factors. Changes in these estimates and assumptions could produce materially different results.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83" w:lineRule="exact"/>
        <w:rPr>
          <w:rFonts w:ascii="Arial" w:cs="Arial" w:eastAsia="Arial" w:hAnsi="Arial"/>
          <w:sz w:val="16"/>
          <w:szCs w:val="16"/>
          <w:color w:val="auto"/>
        </w:rPr>
      </w:pPr>
    </w:p>
    <w:p>
      <w:pPr>
        <w:ind w:left="5540" w:hanging="111"/>
        <w:spacing w:after="0"/>
        <w:tabs>
          <w:tab w:leader="none" w:pos="55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00" w:firstLine="486"/>
        <w:spacing w:after="0" w:line="296" w:lineRule="auto"/>
        <w:rPr>
          <w:sz w:val="20"/>
          <w:szCs w:val="20"/>
          <w:color w:val="auto"/>
        </w:rPr>
      </w:pPr>
      <w:r>
        <w:rPr>
          <w:rFonts w:ascii="Arial" w:cs="Arial" w:eastAsia="Arial" w:hAnsi="Arial"/>
          <w:sz w:val="16"/>
          <w:szCs w:val="16"/>
          <w:color w:val="auto"/>
        </w:rPr>
        <w:t>For the quantitative goodwill impairment analysis, we utilize the income approach to determine the fair value of our reporting units. The income approach utilizes a discounted cash flow method which is based on the present value of projected cash flows. The discounted cash flow models reflect our assumptions regarding revenue growth rates, projected gross profit margins, risk-adjusted discount rate, terminal period growth rate, economic and market trends and other expectations about the anticipated operating results of our reporting units. The terminal period growth rate is selected based on economic conditions and consideration of growth rates used in the forecast period and historical performance of the reporting unit.</w:t>
      </w:r>
    </w:p>
    <w:p>
      <w:pPr>
        <w:spacing w:after="0" w:line="188"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Due to the change in our segment reporting as a result of the business reorganization as of January 1, 2023, we completed a quantitative goodwill impairment analysis both prior and subsequent to the aforementioned change. The results of the quantitative goodwill impairment analysis performed as of December 31, 2022 prior to the change indicated an impairment within our former Apps &amp; Cross Platform reporting unit, and we recorded a non-cash impairment charge of $129 million in the fourth quarter of 2022 as described in our Annual Report. We reassigned goodwill to the updated reporting units using a relative fair value approach. The results of the quantitative goodwill impairment analysis performed as of January 1, 2023 subsequent to the change indicated an impairment within our Private Cloud reporting unit, and we recorded a non-cash impairment charge of $271 million in the first quarter of 2023.</w:t>
      </w:r>
    </w:p>
    <w:p>
      <w:pPr>
        <w:spacing w:after="0" w:line="222"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For the quantitative goodwill impairment analysis performed as of January 1, 2023, we utilized a range of our weighted-average cost of capital of 10.5% to 12% as our discount rate, which was risk-adjusted for each reporting unit. After determining the fair value of our reporting units, we reconciled the combined fair value of the reporting units to the company's market capitalization as of January 1, 2023. As a result, we determined that the carrying amount of our Private Cloud reporting unit exceeded its fair value and recorded a goodwill impairment charge of $271 million, which is included in "Impairment of goodwill" in our Condensed Consolidated Statements of Comprehensive Loss for the six months ended June 30, 2023. The impairment primarily resulted from reduced growth rates as compared to the former Multicloud Services reporting unit and the reallocation of certain costs between the three reporting units to reflect the going-forward operating model following the business reorganization. The Public Cloud reporting unit was determined to have a fair value that exceeded its carrying value by approximately 20% and therefore no impairment was recognized.</w:t>
      </w:r>
    </w:p>
    <w:p>
      <w:pPr>
        <w:spacing w:after="0" w:line="192"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We performed sensitivity analyses on the key inputs and assumptions used in determining the estimated fair value of our reporting units by utilizing changes in assumptions that reflect reasonably likely future changes in the discount rate used in the weighted-average cost of capital calculation and the terminal growth rate. Assuming all other assumptions and inputs used in the discounted cash flow analysis are held constant, a 50 basis point increase in the discount rate assumption would result in decreases in fair value of our Private Cloud and Public Cloud reporting units of approximately $175 million and $67 million, respectively.</w:t>
      </w:r>
    </w:p>
    <w:p>
      <w:pPr>
        <w:spacing w:after="0" w:line="215" w:lineRule="exact"/>
        <w:rPr>
          <w:sz w:val="20"/>
          <w:szCs w:val="20"/>
          <w:color w:val="auto"/>
        </w:rPr>
      </w:pPr>
    </w:p>
    <w:p>
      <w:pPr>
        <w:ind w:right="20" w:firstLine="486"/>
        <w:spacing w:after="0" w:line="271" w:lineRule="auto"/>
        <w:rPr>
          <w:sz w:val="20"/>
          <w:szCs w:val="20"/>
          <w:color w:val="auto"/>
        </w:rPr>
      </w:pPr>
      <w:r>
        <w:rPr>
          <w:rFonts w:ascii="Arial" w:cs="Arial" w:eastAsia="Arial" w:hAnsi="Arial"/>
          <w:sz w:val="17"/>
          <w:szCs w:val="17"/>
          <w:color w:val="auto"/>
        </w:rPr>
        <w:t>During the first quarter of 2023, we experienced a sustained decline in our stock price resulting in our market capitalization being less than the carrying value of our combined reporting units. As of March 31, 2023, we assessed several events and circumstances that could affect the significant inputs used to determine the fair value of our reporting units, including the significance of the amount, if any, of excess carrying value over fair value, consistency of operating margins and cash flows, budgeted-to-actual performance for the first three months of the year, overall change in economic climate, changes in the industry and competitive environment, and earnings quality and sustainability. After considering all available evidence in our evaluation of goodwill impairment indicators, we determined it appropriate to perform an interim quantitative assessment of our reporting units as of March 31, 2023. The results of this quantitative goodwill impairment analysis indicated an impairment within our Private Cloud reporting unit, and we recorded an additional non-cash impairment charge of $272 million in the first quarter of 2023.</w:t>
      </w:r>
    </w:p>
    <w:p>
      <w:pPr>
        <w:spacing w:after="0" w:line="205"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For the quantitative goodwill impairment analysis performed as of March 31, 2023, we utilized a range of our weighted-average cost of capital of 10.0% to 11.5% as our discount rate, which was risk-adjusted for each reporting unit. After determining the fair value of our reporting units, we reconciled the combined fair value of the reporting units to the company's market capitalization as of March 31, 2023. As a result, we determined that the carrying amount of our Private Cloud reporting unit exceeded its fair value and recorded a goodwill impairment charge of $272 million, which is included in "Impairment of goodwill" in our Condensed Consolidated Statements of Comprehensive Loss for the six months ended June 30, 2023. The impairment was driven by the company's most recent cash flow projections as revised in the first quarter of 2023 which reflected current market conditions and current trends in business performance, including slower than anticipated actualization of bookings. The Public Cloud reporting unit was determined to have a fair value that exceeded its carrying value by approximately 14% and therefore no impairment was recognized.</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We performed sensitivity analyses on the key inputs and assumptions used in determining the estimated fair value of our reporting units by utilizing changes in assumptions that reflect reasonably likely future changes in the discount rate used in the weighted-average cost of capital calculation and the terminal growth rate. Assuming all other assumptions and inputs used in the discounted cash flow analysis are held constant, a 50 basis point increase in the discount rate assumption would result in decreases in fair value of our Private Cloud and Public Cloud reporting units of approximately $80 million and $65 million, respectively.</w:t>
      </w:r>
    </w:p>
    <w:p>
      <w:pPr>
        <w:spacing w:after="0" w:line="215"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As of both January 1, 2023 and March 31, 2023, due to the factors discussed above, we performed a quantitative assessment of our indefinite-lived intangible asset utilizing a relief from royalty method. Significant estimates and assumptions included in the relief from royalty method are expectations of revenue growth rates, and selection of royalty rate and discount rate. We utilized a royalty rate of 0.5% and a discount rate of 11%. We completed the quantitative assessments of our indefinite-lived intangible asset prior to testing our goodwill for impairment as of January 1, 2023 and March 31, 2023 which did not indicate any impairment of the Rackspace trade name.</w:t>
      </w:r>
    </w:p>
    <w:p>
      <w:pPr>
        <w:spacing w:after="0" w:line="215"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The fair value determination of our reporting units and our indefinite-lived intangible asset is judgmental in nature and requires the use of estimates and assumptions that are sensitive to changes. Assumptions include estimation of the royalty rate, estimation of future revenue and projected margins, which are dependent on internal cash flow forecasts, estimation of the terminal growth rates and capital spending, and determination of discount rates. As a result, there can be no assurance that the estimates and assumptions made for purposes of the quantitative goodwill and indefinite-lived intangible impairment tests will prove to be an accurate prediction of future results. Examples of events or circumstances that could reasonably be expected to negatively affect the underlying key assumptions and ultimately impact the estimated fair value of our reporting units may include such items as: (i) volatility in the equity and debt markets or other macroeconomic factors, (ii) an increase in the weighted-average cost of capital due to further increases in interest rates, (iii) decrease in future cash flows due to lower than expected sales, or (iv) fluctuations in foreign currency exchange rates that may negatively impact our reported results of operations. Accordingly, if our current cash flow assumptions are not realized, we experience further sustained declines in our stock price or market capitalization, or increases in costs of capital, it is possible that an additional impairment charge may be recorded in the future, which could be material.</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52" w:lineRule="exact"/>
        <w:rPr>
          <w:sz w:val="20"/>
          <w:szCs w:val="20"/>
          <w:color w:val="auto"/>
        </w:rPr>
      </w:pPr>
    </w:p>
    <w:p>
      <w:pPr>
        <w:ind w:right="420" w:firstLine="486"/>
        <w:spacing w:after="0" w:line="277" w:lineRule="auto"/>
        <w:rPr>
          <w:sz w:val="20"/>
          <w:szCs w:val="20"/>
          <w:color w:val="auto"/>
        </w:rPr>
      </w:pPr>
      <w:r>
        <w:rPr>
          <w:rFonts w:ascii="Arial" w:cs="Arial" w:eastAsia="Arial" w:hAnsi="Arial"/>
          <w:sz w:val="18"/>
          <w:szCs w:val="18"/>
          <w:color w:val="auto"/>
        </w:rPr>
        <w:t>We also performed recoverability tests of our long-lived assets in conjunction with the goodwill impairment analyses as of January 1, 2023 and March 31, 2023 which did not result in any impairment charges.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 – 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Rates</w:t>
      </w:r>
    </w:p>
    <w:p>
      <w:pPr>
        <w:spacing w:after="0" w:line="252"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We are exposed to interest rate risk associated with fluctuations in interest rates on our floating-rate debt under our Senior Facilities, which includes our $375 million Revolving Credit Facility and Term Loan Facility. As of June 30, 2023, there was $50 million of outstanding borrowings under the Revolving Credit Facility and $2,248 million outstanding under the Term Loan Facility. As of June 30, 2023, assuming the Revolving Credit Facility was fully drawn, each 0.125% change in assumed blended interest rates would result in a $3 million change in annual interest expense on indebtedness under the Senior Facilities.</w:t>
      </w:r>
    </w:p>
    <w:p>
      <w:pPr>
        <w:spacing w:after="0" w:line="215"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Our Term Loan Facility bears interest at an annual rate equal to an applicable margin plus one-month Term SOFR, subject to a 0.75% floor. Prior to the April 26, 2023 amendment to our First Lien Credit Agreement, three-month LIBOR was the benchmark rate for determining the applicable interest rate. As such, we have historically entered into interest rate swap agreements indexed to three-month LIBOR in order to manage our risk from fluctuations in three-month LIBOR above the 0.75% floor. During 2022, three of these swap agreements matured.</w:t>
      </w:r>
    </w:p>
    <w:p>
      <w:pPr>
        <w:spacing w:after="0" w:line="214"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To continue to manage our exposure to interest rate risk associated with our Term Loan Facility, in May 2023 we amended our remaining swap agreement to change the index from three-month LIBOR (subject to a floor of 0.75%) to one-month Term SOFR (subject to a floor of 0.75%); consistent with the First Lien Credit Agreement amendment in April 2023. The fixed rate for this swap agreement is presented in the table below. As of June 30, 2023, the interest rate on the Term Loan Facility was 8.00%, equal to an applicable margin of 2.86% (including the credit spread adjustment of 0.11%) plus one-month Term SOFR for the interest period of 5.14%</w:t>
      </w:r>
    </w:p>
    <w:p>
      <w:pPr>
        <w:spacing w:after="0" w:line="2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key terms of the swap outstanding as of June 30, 2023 are presented below:</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Transaction Date</w:t>
            </w:r>
          </w:p>
        </w:tc>
        <w:tc>
          <w:tcPr>
            <w:tcW w:w="100" w:type="dxa"/>
            <w:vAlign w:val="bottom"/>
          </w:tcPr>
          <w:p>
            <w:pPr>
              <w:spacing w:after="0"/>
              <w:rPr>
                <w:sz w:val="16"/>
                <w:szCs w:val="16"/>
                <w:color w:val="auto"/>
              </w:rPr>
            </w:pPr>
          </w:p>
        </w:tc>
        <w:tc>
          <w:tcPr>
            <w:tcW w:w="24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Effective Date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jc w:val="center"/>
              <w:ind w:right="39"/>
              <w:spacing w:after="0"/>
              <w:rPr>
                <w:sz w:val="20"/>
                <w:szCs w:val="20"/>
                <w:color w:val="auto"/>
              </w:rPr>
            </w:pPr>
            <w:r>
              <w:rPr>
                <w:rFonts w:ascii="Arial" w:cs="Arial" w:eastAsia="Arial" w:hAnsi="Arial"/>
                <w:sz w:val="16"/>
                <w:szCs w:val="16"/>
                <w:b w:val="1"/>
                <w:bCs w:val="1"/>
                <w:color w:val="auto"/>
                <w:w w:val="92"/>
              </w:rPr>
              <w:t>Notional Amount (in</w:t>
            </w:r>
          </w:p>
        </w:tc>
        <w:tc>
          <w:tcPr>
            <w:tcW w:w="120" w:type="dxa"/>
            <w:vAlign w:val="bottom"/>
          </w:tcPr>
          <w:p>
            <w:pPr>
              <w:spacing w:after="0"/>
              <w:rPr>
                <w:sz w:val="16"/>
                <w:szCs w:val="16"/>
                <w:color w:val="auto"/>
              </w:rPr>
            </w:pPr>
          </w:p>
        </w:tc>
        <w:tc>
          <w:tcPr>
            <w:tcW w:w="17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Fixed Rate Paid</w:t>
            </w:r>
          </w:p>
        </w:tc>
        <w:tc>
          <w:tcPr>
            <w:tcW w:w="120" w:type="dxa"/>
            <w:vAlign w:val="bottom"/>
          </w:tcPr>
          <w:p>
            <w:pPr>
              <w:spacing w:after="0"/>
              <w:rPr>
                <w:sz w:val="16"/>
                <w:szCs w:val="16"/>
                <w:color w:val="auto"/>
              </w:rPr>
            </w:pPr>
          </w:p>
        </w:tc>
        <w:tc>
          <w:tcPr>
            <w:tcW w:w="24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8"/>
              </w:rPr>
              <w:t>Maturity Date</w:t>
            </w:r>
          </w:p>
        </w:tc>
        <w:tc>
          <w:tcPr>
            <w:tcW w:w="0" w:type="dxa"/>
            <w:vAlign w:val="bottom"/>
          </w:tcPr>
          <w:p>
            <w:pPr>
              <w:spacing w:after="0"/>
              <w:rPr>
                <w:sz w:val="1"/>
                <w:szCs w:val="1"/>
                <w:color w:val="auto"/>
              </w:rPr>
            </w:pPr>
          </w:p>
        </w:tc>
      </w:tr>
      <w:tr>
        <w:trPr>
          <w:trHeight w:val="213"/>
        </w:trPr>
        <w:tc>
          <w:tcPr>
            <w:tcW w:w="25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1"/>
              </w:rPr>
              <w:t>millions)</w:t>
            </w:r>
          </w:p>
        </w:tc>
        <w:tc>
          <w:tcPr>
            <w:tcW w:w="12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February 2021</w:t>
            </w:r>
          </w:p>
        </w:tc>
        <w:tc>
          <w:tcPr>
            <w:tcW w:w="100" w:type="dxa"/>
            <w:vAlign w:val="bottom"/>
            <w:shd w:val="clear" w:color="auto" w:fill="CCEEFF"/>
          </w:tcPr>
          <w:p>
            <w:pPr>
              <w:spacing w:after="0"/>
              <w:rPr>
                <w:sz w:val="18"/>
                <w:szCs w:val="18"/>
                <w:color w:val="auto"/>
              </w:rPr>
            </w:pPr>
          </w:p>
        </w:tc>
        <w:tc>
          <w:tcPr>
            <w:tcW w:w="2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February 9, 2021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1,350.0</w:t>
            </w:r>
          </w:p>
        </w:tc>
        <w:tc>
          <w:tcPr>
            <w:tcW w:w="1820" w:type="dxa"/>
            <w:vAlign w:val="bottom"/>
            <w:gridSpan w:val="2"/>
            <w:shd w:val="clear" w:color="auto" w:fill="CCEEFF"/>
          </w:tcPr>
          <w:p>
            <w:pPr>
              <w:jc w:val="right"/>
              <w:ind w:right="439"/>
              <w:spacing w:after="0"/>
              <w:rPr>
                <w:sz w:val="20"/>
                <w:szCs w:val="20"/>
                <w:color w:val="auto"/>
              </w:rPr>
            </w:pPr>
            <w:r>
              <w:rPr>
                <w:rFonts w:ascii="Arial" w:cs="Arial" w:eastAsia="Arial" w:hAnsi="Arial"/>
                <w:sz w:val="16"/>
                <w:szCs w:val="16"/>
                <w:color w:val="auto"/>
              </w:rPr>
              <w:t>2.34150%</w:t>
            </w:r>
          </w:p>
        </w:tc>
        <w:tc>
          <w:tcPr>
            <w:tcW w:w="120" w:type="dxa"/>
            <w:vAlign w:val="bottom"/>
            <w:shd w:val="clear" w:color="auto" w:fill="CCEEFF"/>
          </w:tcPr>
          <w:p>
            <w:pPr>
              <w:spacing w:after="0"/>
              <w:rPr>
                <w:sz w:val="18"/>
                <w:szCs w:val="18"/>
                <w:color w:val="auto"/>
              </w:rPr>
            </w:pPr>
          </w:p>
        </w:tc>
        <w:tc>
          <w:tcPr>
            <w:tcW w:w="2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February 9, 2026</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Item 1 of Part I, Financial Statements - Note 11, "Derivatives," for more information on interest rate swaps.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Currencies</w:t>
      </w:r>
    </w:p>
    <w:p>
      <w:pPr>
        <w:spacing w:after="0" w:line="252" w:lineRule="exact"/>
        <w:rPr>
          <w:sz w:val="20"/>
          <w:szCs w:val="20"/>
          <w:color w:val="auto"/>
        </w:rPr>
      </w:pPr>
    </w:p>
    <w:p>
      <w:pPr>
        <w:ind w:right="100" w:firstLine="486"/>
        <w:spacing w:after="0" w:line="290" w:lineRule="auto"/>
        <w:rPr>
          <w:sz w:val="20"/>
          <w:szCs w:val="20"/>
          <w:color w:val="auto"/>
        </w:rPr>
      </w:pPr>
      <w:r>
        <w:rPr>
          <w:rFonts w:ascii="Arial" w:cs="Arial" w:eastAsia="Arial" w:hAnsi="Arial"/>
          <w:sz w:val="16"/>
          <w:szCs w:val="16"/>
          <w:color w:val="auto"/>
        </w:rPr>
        <w:t>We are subject to foreign currency translation risk due to the translation of the results of our subsidiaries from their respective functional currencies to the U.S. dollar, our functional currency. As a result, we discuss our revenue on a constant currency as well as actual basis, highlighting our sensitivity to changes in foreign exchange rates. See "</w:t>
      </w:r>
      <w:r>
        <w:rPr>
          <w:rFonts w:ascii="Arial" w:cs="Arial" w:eastAsia="Arial" w:hAnsi="Arial"/>
          <w:sz w:val="16"/>
          <w:szCs w:val="16"/>
          <w:i w:val="1"/>
          <w:iCs w:val="1"/>
          <w:color w:val="auto"/>
        </w:rPr>
        <w:t>Constant Currency Revenue</w:t>
      </w:r>
      <w:r>
        <w:rPr>
          <w:rFonts w:ascii="Arial" w:cs="Arial" w:eastAsia="Arial" w:hAnsi="Arial"/>
          <w:sz w:val="16"/>
          <w:szCs w:val="16"/>
          <w:color w:val="auto"/>
        </w:rPr>
        <w:t>." While the majority of our customers are invoiced, and the majority of our expenses are paid, by us or our subsidiaries in their respective functional currencies, we also have exposure to foreign currency transaction gains and losses as the result of certain receivables due from our foreign subsidiaries. As such, the results of operations and cash flows of our foreign subsidiaries are subject to fluctuations in foreign currency exchange rates. In the six months ended June 30, 2023, we recognized foreign currency transaction gains of $2 million within "Other income (expense), net" in our Condensed Consolidated Statements of Comprehensive Loss. As we grow our international operations, our exposure to foreign currency translation and transaction risk could become more significant.</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have in the past and may in the future enter into foreign currency hedging instruments to limit our exposure to foreign currency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Power Prices</w:t>
      </w:r>
    </w:p>
    <w:p>
      <w:pPr>
        <w:spacing w:after="0" w:line="239" w:lineRule="exact"/>
        <w:rPr>
          <w:sz w:val="20"/>
          <w:szCs w:val="20"/>
          <w:color w:val="auto"/>
        </w:rPr>
      </w:pPr>
    </w:p>
    <w:p>
      <w:pPr>
        <w:ind w:right="140" w:firstLine="486"/>
        <w:spacing w:after="0" w:line="301" w:lineRule="auto"/>
        <w:rPr>
          <w:sz w:val="20"/>
          <w:szCs w:val="20"/>
          <w:color w:val="auto"/>
        </w:rPr>
      </w:pPr>
      <w:r>
        <w:rPr>
          <w:rFonts w:ascii="Arial" w:cs="Arial" w:eastAsia="Arial" w:hAnsi="Arial"/>
          <w:sz w:val="16"/>
          <w:szCs w:val="16"/>
          <w:color w:val="auto"/>
        </w:rPr>
        <w:t>We are a large consumer of power. In the six months ended June 30, 2023, we expensed approximately $22 million for utility companies to power our data centers, representing approximately 1% of our revenue. Power costs vary by geography, the source of power generation and seasonal fluctuations and are subject to certain proposed legislation that may increase our exposure to increased power costs. We have power contracts for data centers in the Dallas-Fort Worth, San Jose, Somerset, New Jersey and London areas that allow us to procure power either on a fixed price or on a variable price basis.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4 – 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52"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Under the supervision and with the participation of our senior management, including our Chief Executive Officer and Chief Financial Officer, we conducted an evaluation of the effectiveness of the design and operation of our disclosure controls and procedures, as defined in Rules 13a-15(e) and 15d-15(e) under the Securities Exchange Act of 1934 (the "Exchange Act"), as amended, as of the end of the period covered by this Quarterly Report (the "Evaluation Date"). Based on this evaluation, our Chief Executive Officer and Chief Financial Officer, concluded as of the Evaluation Date that our disclosure controls and procedures were effective such that the information relating to the company, including our consolidated subsidiaries, required to be disclosed in our SEC reports (i) is recorded, processed, summarized and reported within the time periods specified in SEC rules and forms, and (ii) is accumulated and communicated to our management, including our Chief Executive Officer and Chief Financial Officer, as appropriate, to allow timely decisions regarding required disclosure.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w:t>
      </w:r>
    </w:p>
    <w:p>
      <w:pPr>
        <w:spacing w:after="0" w:line="252" w:lineRule="exact"/>
        <w:rPr>
          <w:sz w:val="20"/>
          <w:szCs w:val="20"/>
          <w:color w:val="auto"/>
        </w:rPr>
      </w:pPr>
    </w:p>
    <w:p>
      <w:pPr>
        <w:ind w:firstLine="486"/>
        <w:spacing w:after="0" w:line="342" w:lineRule="auto"/>
        <w:rPr>
          <w:sz w:val="20"/>
          <w:szCs w:val="20"/>
          <w:color w:val="auto"/>
        </w:rPr>
      </w:pPr>
      <w:r>
        <w:rPr>
          <w:rFonts w:ascii="Arial" w:cs="Arial" w:eastAsia="Arial" w:hAnsi="Arial"/>
          <w:sz w:val="16"/>
          <w:szCs w:val="16"/>
          <w:color w:val="auto"/>
        </w:rPr>
        <w:t>There were no changes in our internal controls over financial reporting during our most recent fiscal quarter reporting period identified in connection with management's evaluation that have materially affected, or are reasonably likely to materially affect, our internal control over financial reporting.</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of Internal Controls</w:t>
      </w:r>
    </w:p>
    <w:p>
      <w:pPr>
        <w:spacing w:after="0" w:line="252"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disclosure controls and procedures or our internal controls will prevent all error and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 – LEGAL PROCEEDINGS</w:t>
      </w:r>
    </w:p>
    <w:p>
      <w:pPr>
        <w:spacing w:after="0" w:line="256" w:lineRule="exact"/>
        <w:rPr>
          <w:sz w:val="20"/>
          <w:szCs w:val="20"/>
          <w:color w:val="auto"/>
        </w:rPr>
      </w:pPr>
    </w:p>
    <w:p>
      <w:pPr>
        <w:jc w:val="both"/>
        <w:ind w:right="620" w:firstLine="486"/>
        <w:spacing w:after="0" w:line="263" w:lineRule="auto"/>
        <w:rPr>
          <w:sz w:val="20"/>
          <w:szCs w:val="20"/>
          <w:color w:val="auto"/>
        </w:rPr>
      </w:pPr>
      <w:r>
        <w:rPr>
          <w:rFonts w:ascii="Arial" w:cs="Arial" w:eastAsia="Arial" w:hAnsi="Arial"/>
          <w:sz w:val="18"/>
          <w:szCs w:val="18"/>
          <w:color w:val="auto"/>
        </w:rPr>
        <w:t>We have contingencies resulting from various litigation, claims and commitments. We record accruals for loss contingencies when losses are considered probable and can be reasonably estimated. The amount that will ultimately be paid related to these matters may differ from the recorded accruals, and the timing of such payments is uncertain.</w:t>
      </w:r>
    </w:p>
    <w:p>
      <w:pPr>
        <w:spacing w:after="0" w:line="211" w:lineRule="exact"/>
        <w:rPr>
          <w:sz w:val="20"/>
          <w:szCs w:val="20"/>
          <w:color w:val="auto"/>
        </w:rPr>
      </w:pPr>
    </w:p>
    <w:p>
      <w:pPr>
        <w:ind w:right="340" w:firstLine="486"/>
        <w:spacing w:after="0" w:line="263" w:lineRule="auto"/>
        <w:rPr>
          <w:sz w:val="20"/>
          <w:szCs w:val="20"/>
          <w:color w:val="auto"/>
        </w:rPr>
      </w:pPr>
      <w:r>
        <w:rPr>
          <w:rFonts w:ascii="Arial" w:cs="Arial" w:eastAsia="Arial" w:hAnsi="Arial"/>
          <w:sz w:val="18"/>
          <w:szCs w:val="18"/>
          <w:color w:val="auto"/>
        </w:rPr>
        <w:t>From time to time we may be subject to various legal proceedings arising in the ordinary course of business. In addition, from time to time, third parties may bring intellectual property claims against us asserting that certain of our offerings, services and technologies infringe, misappropriate or otherwise violate the intellectual property or proprietary rights of others.</w:t>
      </w:r>
    </w:p>
    <w:p>
      <w:pPr>
        <w:spacing w:after="0" w:line="211" w:lineRule="exact"/>
        <w:rPr>
          <w:sz w:val="20"/>
          <w:szCs w:val="20"/>
          <w:color w:val="auto"/>
        </w:rPr>
      </w:pPr>
    </w:p>
    <w:p>
      <w:pPr>
        <w:ind w:right="660" w:firstLine="486"/>
        <w:spacing w:after="0" w:line="277" w:lineRule="auto"/>
        <w:rPr>
          <w:sz w:val="20"/>
          <w:szCs w:val="20"/>
          <w:color w:val="auto"/>
        </w:rPr>
      </w:pPr>
      <w:r>
        <w:rPr>
          <w:rFonts w:ascii="Arial" w:cs="Arial" w:eastAsia="Arial" w:hAnsi="Arial"/>
          <w:sz w:val="18"/>
          <w:szCs w:val="18"/>
          <w:color w:val="auto"/>
        </w:rPr>
        <w:t>We are not party to any litigation, the outcome of which, if determined adversely to us, would individually or in the aggregate be reasonably expected to have a material and adverse effect on our business, financial position or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Hosted Exchange Incident</w:t>
      </w:r>
    </w:p>
    <w:p>
      <w:pPr>
        <w:spacing w:after="0" w:line="252" w:lineRule="exact"/>
        <w:rPr>
          <w:sz w:val="20"/>
          <w:szCs w:val="20"/>
          <w:color w:val="auto"/>
        </w:rPr>
      </w:pPr>
    </w:p>
    <w:p>
      <w:pPr>
        <w:ind w:right="100" w:firstLine="486"/>
        <w:spacing w:after="0" w:line="296" w:lineRule="auto"/>
        <w:rPr>
          <w:sz w:val="20"/>
          <w:szCs w:val="20"/>
          <w:color w:val="auto"/>
        </w:rPr>
      </w:pPr>
      <w:r>
        <w:rPr>
          <w:rFonts w:ascii="Arial" w:cs="Arial" w:eastAsia="Arial" w:hAnsi="Arial"/>
          <w:sz w:val="16"/>
          <w:szCs w:val="16"/>
          <w:color w:val="auto"/>
        </w:rPr>
        <w:t>We are named in several lawsuits in connection with our previously disclosed ransomware incident. The pending lawsuits seek, among other things, equitable and compensatory relief. We are vigorously defending these matters. We do not expect any of these claims, individually or in the aggregate, to have a material adverse effect on our consolidated financial position or results of operations. However, at this early stage in the proceedings, we are not able to determine the probability of the outcome of these matters or a range of reasonably expected losses, if any. We maintain insurance, including coverage for cyber-attacks, subject to certain deductibles and policy limitations, in an amount that we believe appropriate.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1A – RISK FACTORS</w:t>
      </w:r>
    </w:p>
    <w:p>
      <w:pPr>
        <w:spacing w:after="0" w:line="256" w:lineRule="exact"/>
        <w:rPr>
          <w:sz w:val="20"/>
          <w:szCs w:val="20"/>
          <w:color w:val="auto"/>
        </w:rPr>
      </w:pPr>
    </w:p>
    <w:p>
      <w:pPr>
        <w:ind w:firstLine="486"/>
        <w:spacing w:after="0" w:line="275" w:lineRule="auto"/>
        <w:rPr>
          <w:sz w:val="20"/>
          <w:szCs w:val="20"/>
          <w:color w:val="auto"/>
        </w:rPr>
      </w:pPr>
      <w:r>
        <w:rPr>
          <w:rFonts w:ascii="Arial" w:cs="Arial" w:eastAsia="Arial" w:hAnsi="Arial"/>
          <w:sz w:val="17"/>
          <w:szCs w:val="17"/>
          <w:color w:val="auto"/>
        </w:rPr>
        <w:t>We have disclosed under the heading "Risk Factors" in our Annual Report the risk factors which materially affect our business, financial condition or results of operations. There have been no material changes from the risk factors previously disclosed. You should carefully consider the risk factors set forth in our Annual Report and the other information set forth elsewhere in this Quarterly Report on Form 10-Q. You should be aware that these risk factors and other information may not describe every risk facing our company. Additional risks and uncertainties not currently known to us or that we currently deem to be immaterial also may materially adversely affect our business, financial condition and/or operating results.</w:t>
      </w:r>
    </w:p>
    <w:p>
      <w:pPr>
        <w:spacing w:after="0" w:line="199"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ITEM 2 – UNREGISTERED SALES OF EQUITY SECURITIES AND USE OF PROCEEDS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During the three months ended June 30, 2023, we did not repurchase any of our common stock.</w:t>
      </w:r>
    </w:p>
    <w:p>
      <w:pPr>
        <w:spacing w:after="0" w:line="252" w:lineRule="exact"/>
        <w:rPr>
          <w:sz w:val="20"/>
          <w:szCs w:val="20"/>
          <w:color w:val="auto"/>
        </w:rPr>
      </w:pPr>
    </w:p>
    <w:p>
      <w:pPr>
        <w:ind w:right="120" w:firstLine="486"/>
        <w:spacing w:after="0" w:line="301" w:lineRule="auto"/>
        <w:rPr>
          <w:sz w:val="20"/>
          <w:szCs w:val="20"/>
          <w:color w:val="auto"/>
        </w:rPr>
      </w:pPr>
      <w:r>
        <w:rPr>
          <w:rFonts w:ascii="Arial" w:cs="Arial" w:eastAsia="Arial" w:hAnsi="Arial"/>
          <w:sz w:val="16"/>
          <w:szCs w:val="16"/>
          <w:color w:val="auto"/>
        </w:rPr>
        <w:t>On March 3, 2022, our board of directors authorized a program to repurchase up to $75.0 million of shares of our common stock. The authorization was effective immediately, expires on September 30, 2023 and can be discontinued at any time. Under the program, shares may be repurchased from time to time through open-market transactions (including pre-set trading plans), privately negotiated transactions, accelerated share repurchases and other transactions in accordance with applicable security laws. As of June 30, 2023, $44.0 million remains available to be purchased under this program.</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3 – DEFAULTS UPON SENIOR SECURITIES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4 – MINE SAFETY DISCLOSURES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5 – OTHER INFORMATION</w:t>
      </w:r>
    </w:p>
    <w:p>
      <w:pPr>
        <w:spacing w:after="0" w:line="256" w:lineRule="exact"/>
        <w:rPr>
          <w:sz w:val="20"/>
          <w:szCs w:val="20"/>
          <w:color w:val="auto"/>
        </w:rPr>
      </w:pPr>
    </w:p>
    <w:p>
      <w:pPr>
        <w:ind w:firstLine="486"/>
        <w:spacing w:after="0" w:line="342" w:lineRule="auto"/>
        <w:rPr>
          <w:sz w:val="20"/>
          <w:szCs w:val="20"/>
          <w:color w:val="auto"/>
        </w:rPr>
      </w:pPr>
      <w:r>
        <w:rPr>
          <w:rFonts w:ascii="Arial" w:cs="Arial" w:eastAsia="Arial" w:hAnsi="Arial"/>
          <w:sz w:val="16"/>
          <w:szCs w:val="16"/>
          <w:color w:val="auto"/>
        </w:rPr>
        <w:t>During the fiscal quarter ended June 30, 2023, none of the Company’s directors or officers (as defined in Rule 16a-1(f) of the Exchange Act) adopted or terminated a "Rule 10b5-1 trading arrangement" or a "non-Rule 10b5-1 trading arrangement," as each term is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8"/>
              </w:rPr>
              <w:t>Table of Contents</w:t>
            </w:r>
          </w:p>
        </w:tc>
        <w:tc>
          <w:tcPr>
            <w:tcW w:w="6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1"/>
        </w:trPr>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900" w:type="dxa"/>
            <w:vAlign w:val="bottom"/>
            <w:gridSpan w:val="4"/>
          </w:tcPr>
          <w:p>
            <w:pPr>
              <w:ind w:left="3460"/>
              <w:spacing w:after="0"/>
              <w:rPr>
                <w:sz w:val="20"/>
                <w:szCs w:val="20"/>
                <w:color w:val="auto"/>
              </w:rPr>
            </w:pPr>
            <w:r>
              <w:rPr>
                <w:rFonts w:ascii="Arial" w:cs="Arial" w:eastAsia="Arial" w:hAnsi="Arial"/>
                <w:sz w:val="18"/>
                <w:szCs w:val="18"/>
                <w:b w:val="1"/>
                <w:bCs w:val="1"/>
                <w:color w:val="auto"/>
              </w:rPr>
              <w:t>ITEM 6 – EXHIBITS</w:t>
            </w:r>
          </w:p>
        </w:tc>
        <w:tc>
          <w:tcPr>
            <w:tcW w:w="0" w:type="dxa"/>
            <w:vAlign w:val="bottom"/>
          </w:tcPr>
          <w:p>
            <w:pPr>
              <w:spacing w:after="0"/>
              <w:rPr>
                <w:sz w:val="1"/>
                <w:szCs w:val="1"/>
                <w:color w:val="auto"/>
              </w:rPr>
            </w:pPr>
          </w:p>
        </w:tc>
      </w:tr>
      <w:tr>
        <w:trPr>
          <w:trHeight w:val="445"/>
        </w:trPr>
        <w:tc>
          <w:tcPr>
            <w:tcW w:w="12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6"/>
              </w:rPr>
              <w:t>Exhibit</w:t>
            </w:r>
          </w:p>
        </w:tc>
        <w:tc>
          <w:tcPr>
            <w:tcW w:w="60" w:type="dxa"/>
            <w:vAlign w:val="bottom"/>
          </w:tcPr>
          <w:p>
            <w:pPr>
              <w:spacing w:after="0"/>
              <w:rPr>
                <w:sz w:val="24"/>
                <w:szCs w:val="24"/>
                <w:color w:val="auto"/>
              </w:rPr>
            </w:pPr>
          </w:p>
        </w:tc>
        <w:tc>
          <w:tcPr>
            <w:tcW w:w="9900" w:type="dxa"/>
            <w:vAlign w:val="bottom"/>
            <w:gridSpan w:val="4"/>
            <w:vMerge w:val="restart"/>
          </w:tcPr>
          <w:p>
            <w:pPr>
              <w:ind w:left="4200"/>
              <w:spacing w:after="0"/>
              <w:rPr>
                <w:sz w:val="20"/>
                <w:szCs w:val="20"/>
                <w:color w:val="auto"/>
              </w:rPr>
            </w:pPr>
            <w:r>
              <w:rPr>
                <w:rFonts w:ascii="Arial" w:cs="Arial" w:eastAsia="Arial" w:hAnsi="Arial"/>
                <w:sz w:val="18"/>
                <w:szCs w:val="18"/>
                <w:b w:val="1"/>
                <w:bCs w:val="1"/>
                <w:color w:val="auto"/>
              </w:rPr>
              <w:t>Exhibit Description</w:t>
            </w:r>
          </w:p>
        </w:tc>
        <w:tc>
          <w:tcPr>
            <w:tcW w:w="0" w:type="dxa"/>
            <w:vAlign w:val="bottom"/>
          </w:tcPr>
          <w:p>
            <w:pPr>
              <w:spacing w:after="0"/>
              <w:rPr>
                <w:sz w:val="1"/>
                <w:szCs w:val="1"/>
                <w:color w:val="auto"/>
              </w:rPr>
            </w:pPr>
          </w:p>
        </w:tc>
      </w:tr>
      <w:tr>
        <w:trPr>
          <w:trHeight w:val="239"/>
        </w:trPr>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900" w:type="dxa"/>
            <w:vAlign w:val="bottom"/>
            <w:tcBorders>
              <w:bottom w:val="single" w:sz="8" w:color="auto"/>
            </w:tcBorders>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1280" w:type="dxa"/>
            <w:vAlign w:val="bottom"/>
            <w:gridSpan w:val="2"/>
          </w:tcPr>
          <w:p>
            <w:pPr>
              <w:jc w:val="center"/>
              <w:ind w:right="60"/>
              <w:spacing w:after="0" w:line="169" w:lineRule="exact"/>
              <w:rPr>
                <w:sz w:val="20"/>
                <w:szCs w:val="20"/>
                <w:color w:val="auto"/>
              </w:rPr>
            </w:pPr>
            <w:r>
              <w:rPr>
                <w:rFonts w:ascii="Arial" w:cs="Arial" w:eastAsia="Arial" w:hAnsi="Arial"/>
                <w:sz w:val="18"/>
                <w:szCs w:val="18"/>
                <w:color w:val="auto"/>
                <w:w w:val="95"/>
              </w:rPr>
              <w:t>10.1*†</w:t>
            </w:r>
          </w:p>
        </w:tc>
        <w:tc>
          <w:tcPr>
            <w:tcW w:w="60" w:type="dxa"/>
            <w:vAlign w:val="bottom"/>
          </w:tcPr>
          <w:p>
            <w:pPr>
              <w:spacing w:after="0"/>
              <w:rPr>
                <w:sz w:val="16"/>
                <w:szCs w:val="16"/>
                <w:color w:val="auto"/>
              </w:rPr>
            </w:pPr>
          </w:p>
        </w:tc>
        <w:tc>
          <w:tcPr>
            <w:tcW w:w="9900" w:type="dxa"/>
            <w:vAlign w:val="bottom"/>
            <w:gridSpan w:val="4"/>
          </w:tcPr>
          <w:p>
            <w:pPr>
              <w:spacing w:after="0" w:line="169" w:lineRule="exact"/>
              <w:rPr>
                <w:sz w:val="20"/>
                <w:szCs w:val="20"/>
                <w:color w:val="auto"/>
              </w:rPr>
            </w:pPr>
            <w:r>
              <w:rPr>
                <w:rFonts w:ascii="Arial" w:cs="Arial" w:eastAsia="Arial" w:hAnsi="Arial"/>
                <w:sz w:val="18"/>
                <w:szCs w:val="18"/>
                <w:color w:val="0000FF"/>
              </w:rPr>
              <w:t>Rackspace Technology, Inc. Amendment No. 2 to 2020 Equity Incentive Plan</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580" w:type="dxa"/>
            <w:vAlign w:val="bottom"/>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0" w:type="dxa"/>
            <w:vAlign w:val="bottom"/>
          </w:tcPr>
          <w:p>
            <w:pPr>
              <w:jc w:val="center"/>
              <w:spacing w:after="0"/>
              <w:rPr>
                <w:sz w:val="20"/>
                <w:szCs w:val="20"/>
                <w:color w:val="auto"/>
              </w:rPr>
            </w:pPr>
            <w:r>
              <w:rPr>
                <w:rFonts w:ascii="Arial" w:cs="Arial" w:eastAsia="Arial" w:hAnsi="Arial"/>
                <w:sz w:val="18"/>
                <w:szCs w:val="18"/>
                <w:color w:val="auto"/>
                <w:w w:val="99"/>
              </w:rPr>
              <w:t>31.1*</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900" w:type="dxa"/>
            <w:vAlign w:val="bottom"/>
            <w:gridSpan w:val="4"/>
          </w:tcPr>
          <w:p>
            <w:pPr>
              <w:spacing w:after="0"/>
              <w:rPr>
                <w:sz w:val="20"/>
                <w:szCs w:val="20"/>
                <w:color w:val="auto"/>
              </w:rPr>
            </w:pPr>
            <w:r>
              <w:rPr>
                <w:rFonts w:ascii="Arial" w:cs="Arial" w:eastAsia="Arial" w:hAnsi="Arial"/>
                <w:sz w:val="18"/>
                <w:szCs w:val="18"/>
                <w:color w:val="0000FF"/>
              </w:rPr>
              <w:t>Certification of the Chief Executive Officer pursuant to Section 302 of the Sarbanes-Oxley Act of 2002</w:t>
            </w:r>
          </w:p>
        </w:tc>
        <w:tc>
          <w:tcPr>
            <w:tcW w:w="0" w:type="dxa"/>
            <w:vAlign w:val="bottom"/>
          </w:tcPr>
          <w:p>
            <w:pPr>
              <w:spacing w:after="0"/>
              <w:rPr>
                <w:sz w:val="1"/>
                <w:szCs w:val="1"/>
                <w:color w:val="auto"/>
              </w:rPr>
            </w:pPr>
          </w:p>
        </w:tc>
      </w:tr>
      <w:tr>
        <w:trPr>
          <w:trHeight w:val="236"/>
        </w:trPr>
        <w:tc>
          <w:tcPr>
            <w:tcW w:w="1200" w:type="dxa"/>
            <w:vAlign w:val="bottom"/>
          </w:tcPr>
          <w:p>
            <w:pPr>
              <w:jc w:val="center"/>
              <w:spacing w:after="0"/>
              <w:rPr>
                <w:sz w:val="20"/>
                <w:szCs w:val="20"/>
                <w:color w:val="auto"/>
              </w:rPr>
            </w:pPr>
            <w:r>
              <w:rPr>
                <w:rFonts w:ascii="Arial" w:cs="Arial" w:eastAsia="Arial" w:hAnsi="Arial"/>
                <w:sz w:val="18"/>
                <w:szCs w:val="18"/>
                <w:color w:val="auto"/>
                <w:w w:val="99"/>
              </w:rPr>
              <w:t>31.2*</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91"/>
              </w:rPr>
              <w:t>Certification of the Chief Financial Officer pursuant to Section 302 of the Sarbanes-Oxley Act of 2002</w:t>
            </w:r>
          </w:p>
        </w:tc>
        <w:tc>
          <w:tcPr>
            <w:tcW w:w="40" w:type="dxa"/>
            <w:vAlign w:val="bottom"/>
            <w:tcBorders>
              <w:top w:val="single" w:sz="8" w:color="0000FF"/>
            </w:tcBorders>
          </w:tcPr>
          <w:p>
            <w:pPr>
              <w:spacing w:after="0"/>
              <w:rPr>
                <w:sz w:val="20"/>
                <w:szCs w:val="20"/>
                <w:color w:val="auto"/>
              </w:rPr>
            </w:pPr>
          </w:p>
        </w:tc>
        <w:tc>
          <w:tcPr>
            <w:tcW w:w="2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200" w:type="dxa"/>
            <w:vAlign w:val="bottom"/>
          </w:tcPr>
          <w:p>
            <w:pPr>
              <w:jc w:val="center"/>
              <w:spacing w:after="0"/>
              <w:rPr>
                <w:sz w:val="20"/>
                <w:szCs w:val="20"/>
                <w:color w:val="auto"/>
              </w:rPr>
            </w:pPr>
            <w:r>
              <w:rPr>
                <w:rFonts w:ascii="Arial" w:cs="Arial" w:eastAsia="Arial" w:hAnsi="Arial"/>
                <w:sz w:val="18"/>
                <w:szCs w:val="18"/>
                <w:color w:val="auto"/>
              </w:rPr>
              <w:t>32.1**</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900" w:type="dxa"/>
            <w:vAlign w:val="bottom"/>
            <w:gridSpan w:val="4"/>
          </w:tcPr>
          <w:p>
            <w:pPr>
              <w:spacing w:after="0"/>
              <w:rPr>
                <w:sz w:val="20"/>
                <w:szCs w:val="20"/>
                <w:color w:val="auto"/>
              </w:rPr>
            </w:pPr>
            <w:r>
              <w:rPr>
                <w:rFonts w:ascii="Arial" w:cs="Arial" w:eastAsia="Arial" w:hAnsi="Arial"/>
                <w:sz w:val="18"/>
                <w:szCs w:val="18"/>
                <w:color w:val="0000FF"/>
              </w:rPr>
              <w:t>Certification of the Chief Executive Officer pursuant to Section 906 of the Sarbanes-Oxley Act of 2002</w:t>
            </w:r>
          </w:p>
        </w:tc>
        <w:tc>
          <w:tcPr>
            <w:tcW w:w="0" w:type="dxa"/>
            <w:vAlign w:val="bottom"/>
          </w:tcPr>
          <w:p>
            <w:pPr>
              <w:spacing w:after="0"/>
              <w:rPr>
                <w:sz w:val="1"/>
                <w:szCs w:val="1"/>
                <w:color w:val="auto"/>
              </w:rPr>
            </w:pPr>
          </w:p>
        </w:tc>
      </w:tr>
      <w:tr>
        <w:trPr>
          <w:trHeight w:val="237"/>
        </w:trPr>
        <w:tc>
          <w:tcPr>
            <w:tcW w:w="1200" w:type="dxa"/>
            <w:vAlign w:val="bottom"/>
          </w:tcPr>
          <w:p>
            <w:pPr>
              <w:jc w:val="center"/>
              <w:spacing w:after="0"/>
              <w:rPr>
                <w:sz w:val="20"/>
                <w:szCs w:val="20"/>
                <w:color w:val="auto"/>
              </w:rPr>
            </w:pPr>
            <w:r>
              <w:rPr>
                <w:rFonts w:ascii="Arial" w:cs="Arial" w:eastAsia="Arial" w:hAnsi="Arial"/>
                <w:sz w:val="18"/>
                <w:szCs w:val="18"/>
                <w:color w:val="auto"/>
              </w:rPr>
              <w:t>32.2**</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91"/>
              </w:rPr>
              <w:t>Certification of the Chief Financial Officer pursuant to Section 906 of the Sarbanes-Oxley Act of 2002</w:t>
            </w:r>
          </w:p>
        </w:tc>
        <w:tc>
          <w:tcPr>
            <w:tcW w:w="40" w:type="dxa"/>
            <w:vAlign w:val="bottom"/>
            <w:tcBorders>
              <w:top w:val="single" w:sz="8" w:color="0000FF"/>
            </w:tcBorders>
          </w:tcPr>
          <w:p>
            <w:pPr>
              <w:spacing w:after="0"/>
              <w:rPr>
                <w:sz w:val="20"/>
                <w:szCs w:val="20"/>
                <w:color w:val="auto"/>
              </w:rPr>
            </w:pPr>
          </w:p>
        </w:tc>
        <w:tc>
          <w:tcPr>
            <w:tcW w:w="2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280" w:type="dxa"/>
            <w:vAlign w:val="bottom"/>
            <w:gridSpan w:val="2"/>
          </w:tcPr>
          <w:p>
            <w:pPr>
              <w:jc w:val="center"/>
              <w:ind w:right="60"/>
              <w:spacing w:after="0"/>
              <w:rPr>
                <w:sz w:val="20"/>
                <w:szCs w:val="20"/>
                <w:color w:val="auto"/>
              </w:rPr>
            </w:pPr>
            <w:r>
              <w:rPr>
                <w:rFonts w:ascii="Arial" w:cs="Arial" w:eastAsia="Arial" w:hAnsi="Arial"/>
                <w:sz w:val="18"/>
                <w:szCs w:val="18"/>
                <w:color w:val="auto"/>
                <w:w w:val="97"/>
              </w:rPr>
              <w:t>101.INS*</w:t>
            </w:r>
          </w:p>
        </w:tc>
        <w:tc>
          <w:tcPr>
            <w:tcW w:w="60" w:type="dxa"/>
            <w:vAlign w:val="bottom"/>
          </w:tcPr>
          <w:p>
            <w:pPr>
              <w:spacing w:after="0"/>
              <w:rPr>
                <w:sz w:val="22"/>
                <w:szCs w:val="22"/>
                <w:color w:val="auto"/>
              </w:rPr>
            </w:pPr>
          </w:p>
        </w:tc>
        <w:tc>
          <w:tcPr>
            <w:tcW w:w="9900" w:type="dxa"/>
            <w:vAlign w:val="bottom"/>
            <w:gridSpan w:val="4"/>
          </w:tcPr>
          <w:p>
            <w:pPr>
              <w:spacing w:after="0"/>
              <w:rPr>
                <w:sz w:val="20"/>
                <w:szCs w:val="20"/>
                <w:color w:val="auto"/>
              </w:rPr>
            </w:pPr>
            <w:r>
              <w:rPr>
                <w:rFonts w:ascii="Arial" w:cs="Arial" w:eastAsia="Arial" w:hAnsi="Arial"/>
                <w:sz w:val="18"/>
                <w:szCs w:val="18"/>
                <w:color w:val="auto"/>
                <w:w w:val="97"/>
              </w:rPr>
              <w:t>Inline XBRL Instance Document (the instance document does not appear in the Interactive Data File because its XBRL tags are</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900" w:type="dxa"/>
            <w:vAlign w:val="bottom"/>
            <w:gridSpan w:val="4"/>
          </w:tcPr>
          <w:p>
            <w:pPr>
              <w:spacing w:after="0"/>
              <w:rPr>
                <w:sz w:val="20"/>
                <w:szCs w:val="20"/>
                <w:color w:val="auto"/>
              </w:rPr>
            </w:pPr>
            <w:r>
              <w:rPr>
                <w:rFonts w:ascii="Arial" w:cs="Arial" w:eastAsia="Arial" w:hAnsi="Arial"/>
                <w:sz w:val="18"/>
                <w:szCs w:val="18"/>
                <w:color w:val="auto"/>
              </w:rPr>
              <w:t>embedded within the Inline XBRL document)</w:t>
            </w:r>
          </w:p>
        </w:tc>
        <w:tc>
          <w:tcPr>
            <w:tcW w:w="0" w:type="dxa"/>
            <w:vAlign w:val="bottom"/>
          </w:tcPr>
          <w:p>
            <w:pPr>
              <w:spacing w:after="0"/>
              <w:rPr>
                <w:sz w:val="1"/>
                <w:szCs w:val="1"/>
                <w:color w:val="auto"/>
              </w:rPr>
            </w:pPr>
          </w:p>
        </w:tc>
      </w:tr>
      <w:tr>
        <w:trPr>
          <w:trHeight w:val="257"/>
        </w:trPr>
        <w:tc>
          <w:tcPr>
            <w:tcW w:w="128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101.SCH*</w:t>
            </w:r>
          </w:p>
        </w:tc>
        <w:tc>
          <w:tcPr>
            <w:tcW w:w="60" w:type="dxa"/>
            <w:vAlign w:val="bottom"/>
          </w:tcPr>
          <w:p>
            <w:pPr>
              <w:spacing w:after="0"/>
              <w:rPr>
                <w:sz w:val="22"/>
                <w:szCs w:val="22"/>
                <w:color w:val="auto"/>
              </w:rPr>
            </w:pPr>
          </w:p>
        </w:tc>
        <w:tc>
          <w:tcPr>
            <w:tcW w:w="9900" w:type="dxa"/>
            <w:vAlign w:val="bottom"/>
            <w:gridSpan w:val="4"/>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56"/>
        </w:trPr>
        <w:tc>
          <w:tcPr>
            <w:tcW w:w="1280" w:type="dxa"/>
            <w:vAlign w:val="bottom"/>
            <w:gridSpan w:val="2"/>
          </w:tcPr>
          <w:p>
            <w:pPr>
              <w:jc w:val="center"/>
              <w:ind w:right="60"/>
              <w:spacing w:after="0"/>
              <w:rPr>
                <w:sz w:val="20"/>
                <w:szCs w:val="20"/>
                <w:color w:val="auto"/>
              </w:rPr>
            </w:pPr>
            <w:r>
              <w:rPr>
                <w:rFonts w:ascii="Arial" w:cs="Arial" w:eastAsia="Arial" w:hAnsi="Arial"/>
                <w:sz w:val="18"/>
                <w:szCs w:val="18"/>
                <w:color w:val="auto"/>
              </w:rPr>
              <w:t>101.CAL*</w:t>
            </w:r>
          </w:p>
        </w:tc>
        <w:tc>
          <w:tcPr>
            <w:tcW w:w="60" w:type="dxa"/>
            <w:vAlign w:val="bottom"/>
          </w:tcPr>
          <w:p>
            <w:pPr>
              <w:spacing w:after="0"/>
              <w:rPr>
                <w:sz w:val="22"/>
                <w:szCs w:val="22"/>
                <w:color w:val="auto"/>
              </w:rPr>
            </w:pPr>
          </w:p>
        </w:tc>
        <w:tc>
          <w:tcPr>
            <w:tcW w:w="9900" w:type="dxa"/>
            <w:vAlign w:val="bottom"/>
            <w:gridSpan w:val="4"/>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70"/>
        </w:trPr>
        <w:tc>
          <w:tcPr>
            <w:tcW w:w="1280" w:type="dxa"/>
            <w:vAlign w:val="bottom"/>
            <w:gridSpan w:val="2"/>
          </w:tcPr>
          <w:p>
            <w:pPr>
              <w:jc w:val="center"/>
              <w:ind w:right="60"/>
              <w:spacing w:after="0"/>
              <w:rPr>
                <w:sz w:val="20"/>
                <w:szCs w:val="20"/>
                <w:color w:val="auto"/>
              </w:rPr>
            </w:pPr>
            <w:r>
              <w:rPr>
                <w:rFonts w:ascii="Arial" w:cs="Arial" w:eastAsia="Arial" w:hAnsi="Arial"/>
                <w:sz w:val="18"/>
                <w:szCs w:val="18"/>
                <w:color w:val="auto"/>
                <w:w w:val="94"/>
              </w:rPr>
              <w:t>101.DEF*</w:t>
            </w:r>
          </w:p>
        </w:tc>
        <w:tc>
          <w:tcPr>
            <w:tcW w:w="60" w:type="dxa"/>
            <w:vAlign w:val="bottom"/>
          </w:tcPr>
          <w:p>
            <w:pPr>
              <w:spacing w:after="0"/>
              <w:rPr>
                <w:sz w:val="23"/>
                <w:szCs w:val="23"/>
                <w:color w:val="auto"/>
              </w:rPr>
            </w:pPr>
          </w:p>
        </w:tc>
        <w:tc>
          <w:tcPr>
            <w:tcW w:w="9900" w:type="dxa"/>
            <w:vAlign w:val="bottom"/>
            <w:gridSpan w:val="4"/>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57"/>
        </w:trPr>
        <w:tc>
          <w:tcPr>
            <w:tcW w:w="1280" w:type="dxa"/>
            <w:vAlign w:val="bottom"/>
            <w:gridSpan w:val="2"/>
          </w:tcPr>
          <w:p>
            <w:pPr>
              <w:jc w:val="center"/>
              <w:ind w:right="60"/>
              <w:spacing w:after="0"/>
              <w:rPr>
                <w:sz w:val="20"/>
                <w:szCs w:val="20"/>
                <w:color w:val="auto"/>
              </w:rPr>
            </w:pPr>
            <w:r>
              <w:rPr>
                <w:rFonts w:ascii="Arial" w:cs="Arial" w:eastAsia="Arial" w:hAnsi="Arial"/>
                <w:sz w:val="18"/>
                <w:szCs w:val="18"/>
                <w:color w:val="auto"/>
              </w:rPr>
              <w:t>101.LAB*</w:t>
            </w:r>
          </w:p>
        </w:tc>
        <w:tc>
          <w:tcPr>
            <w:tcW w:w="60" w:type="dxa"/>
            <w:vAlign w:val="bottom"/>
          </w:tcPr>
          <w:p>
            <w:pPr>
              <w:spacing w:after="0"/>
              <w:rPr>
                <w:sz w:val="22"/>
                <w:szCs w:val="22"/>
                <w:color w:val="auto"/>
              </w:rPr>
            </w:pPr>
          </w:p>
        </w:tc>
        <w:tc>
          <w:tcPr>
            <w:tcW w:w="9900" w:type="dxa"/>
            <w:vAlign w:val="bottom"/>
            <w:gridSpan w:val="4"/>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57"/>
        </w:trPr>
        <w:tc>
          <w:tcPr>
            <w:tcW w:w="1280" w:type="dxa"/>
            <w:vAlign w:val="bottom"/>
            <w:gridSpan w:val="2"/>
          </w:tcPr>
          <w:p>
            <w:pPr>
              <w:jc w:val="center"/>
              <w:ind w:right="60"/>
              <w:spacing w:after="0"/>
              <w:rPr>
                <w:sz w:val="20"/>
                <w:szCs w:val="20"/>
                <w:color w:val="auto"/>
              </w:rPr>
            </w:pPr>
            <w:r>
              <w:rPr>
                <w:rFonts w:ascii="Arial" w:cs="Arial" w:eastAsia="Arial" w:hAnsi="Arial"/>
                <w:sz w:val="18"/>
                <w:szCs w:val="18"/>
                <w:color w:val="auto"/>
                <w:w w:val="93"/>
              </w:rPr>
              <w:t>101.PRE*</w:t>
            </w:r>
          </w:p>
        </w:tc>
        <w:tc>
          <w:tcPr>
            <w:tcW w:w="60" w:type="dxa"/>
            <w:vAlign w:val="bottom"/>
          </w:tcPr>
          <w:p>
            <w:pPr>
              <w:spacing w:after="0"/>
              <w:rPr>
                <w:sz w:val="22"/>
                <w:szCs w:val="22"/>
                <w:color w:val="auto"/>
              </w:rPr>
            </w:pPr>
          </w:p>
        </w:tc>
        <w:tc>
          <w:tcPr>
            <w:tcW w:w="9900" w:type="dxa"/>
            <w:vAlign w:val="bottom"/>
            <w:gridSpan w:val="4"/>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70"/>
        </w:trPr>
        <w:tc>
          <w:tcPr>
            <w:tcW w:w="1200" w:type="dxa"/>
            <w:vAlign w:val="bottom"/>
          </w:tcPr>
          <w:p>
            <w:pPr>
              <w:jc w:val="center"/>
              <w:spacing w:after="0"/>
              <w:rPr>
                <w:sz w:val="20"/>
                <w:szCs w:val="20"/>
                <w:color w:val="auto"/>
              </w:rPr>
            </w:pPr>
            <w:r>
              <w:rPr>
                <w:rFonts w:ascii="Arial" w:cs="Arial" w:eastAsia="Arial" w:hAnsi="Arial"/>
                <w:sz w:val="18"/>
                <w:szCs w:val="18"/>
                <w:color w:val="auto"/>
                <w:w w:val="97"/>
              </w:rPr>
              <w:t>104*</w:t>
            </w: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900" w:type="dxa"/>
            <w:vAlign w:val="bottom"/>
            <w:gridSpan w:val="4"/>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420" w:hanging="250"/>
        <w:spacing w:after="0"/>
        <w:tabs>
          <w:tab w:leader="none" w:pos="420" w:val="left"/>
        </w:tabs>
        <w:numPr>
          <w:ilvl w:val="0"/>
          <w:numId w:val="20"/>
        </w:numPr>
        <w:rPr>
          <w:rFonts w:ascii="Arial" w:cs="Arial" w:eastAsia="Arial" w:hAnsi="Arial"/>
          <w:sz w:val="16"/>
          <w:szCs w:val="16"/>
          <w:b w:val="1"/>
          <w:bCs w:val="1"/>
          <w:color w:val="auto"/>
        </w:rPr>
      </w:pPr>
      <w:r>
        <w:rPr>
          <w:rFonts w:ascii="Arial" w:cs="Arial" w:eastAsia="Arial" w:hAnsi="Arial"/>
          <w:sz w:val="16"/>
          <w:szCs w:val="16"/>
          <w:color w:val="auto"/>
        </w:rPr>
        <w:t>Filed herewith.</w:t>
      </w:r>
    </w:p>
    <w:p>
      <w:pPr>
        <w:spacing w:after="0" w:line="19" w:lineRule="exact"/>
        <w:rPr>
          <w:sz w:val="20"/>
          <w:szCs w:val="20"/>
          <w:color w:val="auto"/>
        </w:rPr>
      </w:pPr>
    </w:p>
    <w:p>
      <w:pPr>
        <w:ind w:left="500" w:hanging="330"/>
        <w:spacing w:after="0"/>
        <w:tabs>
          <w:tab w:leader="none" w:pos="5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Furnished herewith.</w:t>
      </w:r>
    </w:p>
    <w:p>
      <w:pPr>
        <w:spacing w:after="0" w:line="5" w:lineRule="exact"/>
        <w:rPr>
          <w:sz w:val="20"/>
          <w:szCs w:val="20"/>
          <w:color w:val="auto"/>
        </w:rPr>
      </w:pPr>
    </w:p>
    <w:p>
      <w:pPr>
        <w:ind w:left="420" w:hanging="250"/>
        <w:spacing w:after="0"/>
        <w:tabs>
          <w:tab w:leader="none" w:pos="4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Indicates management contract or compensatory plan.</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72"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RACKSPACE TECHNOLOGY, INC.</w:t>
      </w:r>
    </w:p>
    <w:p>
      <w:pPr>
        <w:spacing w:after="0" w:line="200" w:lineRule="exact"/>
        <w:rPr>
          <w:sz w:val="20"/>
          <w:szCs w:val="20"/>
          <w:color w:val="auto"/>
        </w:rPr>
      </w:pPr>
    </w:p>
    <w:p>
      <w:pPr>
        <w:spacing w:after="0" w:line="363" w:lineRule="exact"/>
        <w:rPr>
          <w:sz w:val="20"/>
          <w:szCs w:val="20"/>
          <w:color w:val="auto"/>
        </w:rPr>
      </w:pPr>
    </w:p>
    <w:p>
      <w:pPr>
        <w:ind w:left="20"/>
        <w:spacing w:after="0"/>
        <w:tabs>
          <w:tab w:leader="none" w:pos="1140" w:val="left"/>
          <w:tab w:leader="none" w:pos="6380" w:val="left"/>
          <w:tab w:leader="none" w:pos="70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9,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Naushaza “Bobby” Molu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23495</wp:posOffset>
            </wp:positionV>
            <wp:extent cx="190309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90309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23495</wp:posOffset>
            </wp:positionV>
            <wp:extent cx="27260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30"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Naushaza “Bobby” Molu</w:t>
      </w:r>
    </w:p>
    <w:p>
      <w:pPr>
        <w:spacing w:after="0" w:line="23" w:lineRule="exact"/>
        <w:rPr>
          <w:sz w:val="20"/>
          <w:szCs w:val="20"/>
          <w:color w:val="auto"/>
        </w:rPr>
      </w:pPr>
    </w:p>
    <w:p>
      <w:pPr>
        <w:ind w:left="7060"/>
        <w:spacing w:after="0"/>
        <w:rPr>
          <w:sz w:val="20"/>
          <w:szCs w:val="20"/>
          <w:color w:val="auto"/>
        </w:rPr>
      </w:pPr>
      <w:r>
        <w:rPr>
          <w:rFonts w:ascii="Arial" w:cs="Arial" w:eastAsia="Arial" w:hAnsi="Arial"/>
          <w:sz w:val="16"/>
          <w:szCs w:val="16"/>
          <w:color w:val="auto"/>
        </w:rPr>
        <w:t>Executive Vice President and Chief Financial Officer</w:t>
      </w:r>
    </w:p>
    <w:p>
      <w:pPr>
        <w:spacing w:after="0" w:line="46" w:lineRule="exact"/>
        <w:rPr>
          <w:sz w:val="20"/>
          <w:szCs w:val="20"/>
          <w:color w:val="auto"/>
        </w:rPr>
      </w:pPr>
    </w:p>
    <w:p>
      <w:pPr>
        <w:ind w:left="706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- 58 -</w:t>
      </w:r>
    </w:p>
    <w:p>
      <w:pPr>
        <w:sectPr>
          <w:pgSz w:w="11900" w:h="16838" w:orient="portrait"/>
          <w:cols w:equalWidth="0" w:num="1">
            <w:col w:w="10900"/>
          </w:cols>
          <w:pgMar w:left="320" w:top="125" w:right="679" w:bottom="1440" w:gutter="0" w:footer="0" w:header="0"/>
        </w:sectPr>
      </w:pPr>
    </w:p>
    <w:bookmarkStart w:id="60" w:name="page61"/>
    <w:bookmarkEnd w:id="60"/>
    <w:p>
      <w:pPr>
        <w:jc w:val="right"/>
        <w:spacing w:after="0"/>
        <w:rPr>
          <w:sz w:val="20"/>
          <w:szCs w:val="20"/>
          <w:color w:val="auto"/>
        </w:rPr>
      </w:pPr>
      <w:r>
        <w:rPr>
          <w:rFonts w:ascii="Arial" w:cs="Arial" w:eastAsia="Arial" w:hAnsi="Arial"/>
          <w:sz w:val="20"/>
          <w:szCs w:val="20"/>
          <w:b w:val="1"/>
          <w:bCs w:val="1"/>
          <w:color w:val="auto"/>
        </w:rPr>
        <w:t>Exhibit 10.1</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RACKSPACE TECHNOLOGY,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2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2020 EQUITY INCENTIVE PLAN</w:t>
      </w:r>
    </w:p>
    <w:p>
      <w:pPr>
        <w:spacing w:after="0" w:line="195" w:lineRule="exact"/>
        <w:rPr>
          <w:sz w:val="20"/>
          <w:szCs w:val="20"/>
          <w:color w:val="auto"/>
        </w:rPr>
      </w:pPr>
    </w:p>
    <w:p>
      <w:pPr>
        <w:jc w:val="both"/>
        <w:ind w:right="220"/>
        <w:spacing w:after="0" w:line="257" w:lineRule="auto"/>
        <w:rPr>
          <w:sz w:val="20"/>
          <w:szCs w:val="20"/>
          <w:color w:val="auto"/>
        </w:rPr>
      </w:pPr>
      <w:r>
        <w:rPr>
          <w:rFonts w:ascii="Arial" w:cs="Arial" w:eastAsia="Arial" w:hAnsi="Arial"/>
          <w:sz w:val="20"/>
          <w:szCs w:val="20"/>
          <w:color w:val="auto"/>
        </w:rPr>
        <w:t>The Rackspace Technology, Inc. 2020 Equity Incentive Plan, as amended by the first amendment, (the “2020 Equity Incentive Plan”) of Rackspace Technology, Inc. (the “Company”) is hereby amended, effective as of April 21, 2023 (the “Effective Date”), as follows:</w:t>
      </w:r>
    </w:p>
    <w:p>
      <w:pPr>
        <w:spacing w:after="0" w:line="193" w:lineRule="exact"/>
        <w:rPr>
          <w:sz w:val="20"/>
          <w:szCs w:val="20"/>
          <w:color w:val="auto"/>
        </w:rPr>
      </w:pPr>
    </w:p>
    <w:p>
      <w:pPr>
        <w:ind w:left="660" w:right="360" w:hanging="328"/>
        <w:spacing w:after="0" w:line="275" w:lineRule="auto"/>
        <w:tabs>
          <w:tab w:leader="none" w:pos="660" w:val="left"/>
        </w:tabs>
        <w:numPr>
          <w:ilvl w:val="0"/>
          <w:numId w:val="23"/>
        </w:numPr>
        <w:rPr>
          <w:rFonts w:ascii="Arial" w:cs="Arial" w:eastAsia="Arial" w:hAnsi="Arial"/>
          <w:sz w:val="20"/>
          <w:szCs w:val="20"/>
          <w:color w:val="auto"/>
        </w:rPr>
      </w:pPr>
      <w:r>
        <w:rPr>
          <w:rFonts w:ascii="Arial" w:cs="Arial" w:eastAsia="Arial" w:hAnsi="Arial"/>
          <w:sz w:val="20"/>
          <w:szCs w:val="20"/>
          <w:u w:val="single" w:color="auto"/>
          <w:color w:val="auto"/>
        </w:rPr>
        <w:t>Amendment to Section 3.1(a)</w:t>
      </w:r>
      <w:r>
        <w:rPr>
          <w:rFonts w:ascii="Arial" w:cs="Arial" w:eastAsia="Arial" w:hAnsi="Arial"/>
          <w:sz w:val="20"/>
          <w:szCs w:val="20"/>
          <w:color w:val="auto"/>
        </w:rPr>
        <w:t>. Section 3.1(a) of the 2020 Equity Incentive Plan is hereby amended and restated in its entirety to read as follows:</w:t>
      </w:r>
    </w:p>
    <w:p>
      <w:pPr>
        <w:spacing w:after="0" w:line="161" w:lineRule="exact"/>
        <w:rPr>
          <w:rFonts w:ascii="Arial" w:cs="Arial" w:eastAsia="Arial" w:hAnsi="Arial"/>
          <w:sz w:val="20"/>
          <w:szCs w:val="20"/>
          <w:color w:val="auto"/>
        </w:rPr>
      </w:pPr>
    </w:p>
    <w:p>
      <w:pPr>
        <w:ind w:left="660" w:right="40"/>
        <w:spacing w:after="0" w:line="250" w:lineRule="auto"/>
        <w:rPr>
          <w:rFonts w:ascii="Arial" w:cs="Arial" w:eastAsia="Arial" w:hAnsi="Arial"/>
          <w:sz w:val="20"/>
          <w:szCs w:val="20"/>
          <w:color w:val="auto"/>
        </w:rPr>
      </w:pPr>
      <w:r>
        <w:rPr>
          <w:rFonts w:ascii="Arial" w:cs="Arial" w:eastAsia="Arial" w:hAnsi="Arial"/>
          <w:sz w:val="20"/>
          <w:szCs w:val="20"/>
          <w:color w:val="auto"/>
        </w:rPr>
        <w:t>(a) Subject to Sections 3.1(b) and 12.2, the aggregate number of Shares which may be issued or transferred pursuant to Awards under the Plan shall be no more than 57,900,000 Shares (the “Share Limit”). All of the Shares reserved under the Plan may be designated as Incentive Stock Options. The Share Limit shall be reduced, on the date of grant of an Award, by the relevant number of shares of Common Stock for each Award granted under the Plan (since its adoption on the Effective Date) that is valued by reference to a share of Common Stock; provided that Awards that are valued by reference to shares of Common Stock but are required to be paid in cash pursuant to their terms shall not reduce the Share Limit. Any Shares distributed pursuant to an Award may consist, in whole or in part, of authorized and unissued Common Stock, treasury Common Stock or Common Stock purchased on the open market.</w:t>
      </w:r>
    </w:p>
    <w:p>
      <w:pPr>
        <w:spacing w:after="0" w:line="230" w:lineRule="exact"/>
        <w:rPr>
          <w:rFonts w:ascii="Arial" w:cs="Arial" w:eastAsia="Arial" w:hAnsi="Arial"/>
          <w:sz w:val="20"/>
          <w:szCs w:val="20"/>
          <w:color w:val="auto"/>
        </w:rPr>
      </w:pPr>
    </w:p>
    <w:p>
      <w:pPr>
        <w:ind w:left="660" w:right="20" w:hanging="328"/>
        <w:spacing w:after="0" w:line="256" w:lineRule="auto"/>
        <w:tabs>
          <w:tab w:leader="none" w:pos="660" w:val="left"/>
        </w:tabs>
        <w:numPr>
          <w:ilvl w:val="0"/>
          <w:numId w:val="23"/>
        </w:numPr>
        <w:rPr>
          <w:rFonts w:ascii="Arial" w:cs="Arial" w:eastAsia="Arial" w:hAnsi="Arial"/>
          <w:sz w:val="20"/>
          <w:szCs w:val="20"/>
          <w:color w:val="auto"/>
        </w:rPr>
      </w:pPr>
      <w:r>
        <w:rPr>
          <w:rFonts w:ascii="Arial" w:cs="Arial" w:eastAsia="Arial" w:hAnsi="Arial"/>
          <w:sz w:val="20"/>
          <w:szCs w:val="20"/>
          <w:u w:val="single" w:color="auto"/>
          <w:color w:val="auto"/>
        </w:rPr>
        <w:t>Effectiveness</w:t>
      </w:r>
      <w:r>
        <w:rPr>
          <w:rFonts w:ascii="Arial" w:cs="Arial" w:eastAsia="Arial" w:hAnsi="Arial"/>
          <w:sz w:val="20"/>
          <w:szCs w:val="20"/>
          <w:color w:val="auto"/>
        </w:rPr>
        <w:t>. In accordance with Section 12.1(b) of the 2020 Equity Incentive Plan, the effectiveness of this Amendment No.2 to the 2020 Equity Incentive Plan (this “Amendment”) is subject to the approval of the Company’s stockholders at the Company’s 2023 annual general meeting of stockholders. For the avoidance of doubt, if stockholder approval is not obtained, this Amendment shall be void ab initio and of no force and effect.</w:t>
      </w:r>
    </w:p>
    <w:p>
      <w:pPr>
        <w:spacing w:after="0" w:line="206" w:lineRule="exact"/>
        <w:rPr>
          <w:rFonts w:ascii="Arial" w:cs="Arial" w:eastAsia="Arial" w:hAnsi="Arial"/>
          <w:sz w:val="20"/>
          <w:szCs w:val="20"/>
          <w:color w:val="auto"/>
        </w:rPr>
      </w:pPr>
    </w:p>
    <w:p>
      <w:pPr>
        <w:ind w:left="660" w:right="20" w:hanging="328"/>
        <w:spacing w:after="0" w:line="257" w:lineRule="auto"/>
        <w:tabs>
          <w:tab w:leader="none" w:pos="660" w:val="left"/>
        </w:tabs>
        <w:numPr>
          <w:ilvl w:val="0"/>
          <w:numId w:val="23"/>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Amendment shall be governed by and construed in accordance with the internal laws of the State of Delaware applicable to contracts made and performed wholly within the State of Delaware, without giving effect to the conflict of laws provisions thereof.</w:t>
      </w:r>
    </w:p>
    <w:p>
      <w:pPr>
        <w:spacing w:after="0" w:line="219" w:lineRule="exact"/>
        <w:rPr>
          <w:rFonts w:ascii="Arial" w:cs="Arial" w:eastAsia="Arial" w:hAnsi="Arial"/>
          <w:sz w:val="20"/>
          <w:szCs w:val="20"/>
          <w:color w:val="auto"/>
        </w:rPr>
      </w:pPr>
    </w:p>
    <w:p>
      <w:pPr>
        <w:ind w:left="660" w:right="280" w:hanging="328"/>
        <w:spacing w:after="0" w:line="267" w:lineRule="auto"/>
        <w:tabs>
          <w:tab w:leader="none" w:pos="660" w:val="left"/>
        </w:tabs>
        <w:numPr>
          <w:ilvl w:val="0"/>
          <w:numId w:val="23"/>
        </w:numPr>
        <w:rPr>
          <w:rFonts w:ascii="Arial" w:cs="Arial" w:eastAsia="Arial" w:hAnsi="Arial"/>
          <w:sz w:val="19"/>
          <w:szCs w:val="19"/>
          <w:color w:val="auto"/>
        </w:rPr>
      </w:pPr>
      <w:r>
        <w:rPr>
          <w:rFonts w:ascii="Arial" w:cs="Arial" w:eastAsia="Arial" w:hAnsi="Arial"/>
          <w:sz w:val="19"/>
          <w:szCs w:val="19"/>
          <w:u w:val="single" w:color="auto"/>
          <w:color w:val="auto"/>
        </w:rPr>
        <w:t>Effect on the Plan</w:t>
      </w:r>
      <w:r>
        <w:rPr>
          <w:rFonts w:ascii="Arial" w:cs="Arial" w:eastAsia="Arial" w:hAnsi="Arial"/>
          <w:sz w:val="19"/>
          <w:szCs w:val="19"/>
          <w:color w:val="auto"/>
        </w:rPr>
        <w:t>. This Amendment shall not constitute a waiver, amendment or modification of any provision of the 2020 Equity Incentive Plan not expressly referred to herein. Except as expressly amended or modified herein, the provisions of the 2020 Equity Incentive Plan are and shall remain in full force and effect and are hereby ratified and confirmed. On and after the Effective Date, each reference in the 2020 Equity Incentive Plan to “the Plan”, “herein”, “hereof”, “hereunder” or words of similar import shall mean and be a reference to the 2020 Equity Incentive Plan as amended hereby. To the extent that a provision of this Amendment conflicts with or differs from a provision of the 2020 Equity Incentive Plan, such provision of this Amendment shall prevail and govern for all purposes and in all respects.</w:t>
      </w:r>
    </w:p>
    <w:p>
      <w:pPr>
        <w:sectPr>
          <w:pgSz w:w="11900" w:h="16838" w:orient="portrait"/>
          <w:cols w:equalWidth="0" w:num="1">
            <w:col w:w="11240"/>
          </w:cols>
          <w:pgMar w:left="320" w:top="1408" w:right="339" w:bottom="1440" w:gutter="0" w:footer="0" w:header="0"/>
        </w:sectPr>
      </w:pPr>
    </w:p>
    <w:bookmarkStart w:id="61" w:name="page62"/>
    <w:bookmarkEnd w:id="61"/>
    <w:p>
      <w:pPr>
        <w:ind w:left="328" w:hanging="328"/>
        <w:spacing w:after="0" w:line="275" w:lineRule="auto"/>
        <w:tabs>
          <w:tab w:leader="none" w:pos="328" w:val="left"/>
        </w:tabs>
        <w:numPr>
          <w:ilvl w:val="0"/>
          <w:numId w:val="24"/>
        </w:numPr>
        <w:rPr>
          <w:rFonts w:ascii="Arial" w:cs="Arial" w:eastAsia="Arial" w:hAnsi="Arial"/>
          <w:sz w:val="20"/>
          <w:szCs w:val="20"/>
          <w:color w:val="auto"/>
        </w:rPr>
      </w:pPr>
      <w:r>
        <w:rPr>
          <w:rFonts w:ascii="Arial" w:cs="Arial" w:eastAsia="Arial" w:hAnsi="Arial"/>
          <w:sz w:val="20"/>
          <w:szCs w:val="20"/>
          <w:u w:val="single" w:color="auto"/>
          <w:color w:val="auto"/>
        </w:rPr>
        <w:t>Capitalized Terms</w:t>
      </w:r>
      <w:r>
        <w:rPr>
          <w:rFonts w:ascii="Arial" w:cs="Arial" w:eastAsia="Arial" w:hAnsi="Arial"/>
          <w:sz w:val="20"/>
          <w:szCs w:val="20"/>
          <w:color w:val="auto"/>
        </w:rPr>
        <w:t>. Capitalized terms used and not defined in this Amendment shall have the meanings ascribed to them in the 2020 Equity Incentive Plan.</w:t>
      </w:r>
    </w:p>
    <w:p>
      <w:pPr>
        <w:sectPr>
          <w:pgSz w:w="11900" w:h="16838" w:orient="portrait"/>
          <w:cols w:equalWidth="0" w:num="1">
            <w:col w:w="10828"/>
          </w:cols>
          <w:pgMar w:left="652" w:top="1418" w:right="419" w:bottom="1440" w:gutter="0" w:footer="0" w:header="0"/>
        </w:sectPr>
      </w:pPr>
    </w:p>
    <w:bookmarkStart w:id="62" w:name="page63"/>
    <w:bookmarkEnd w:id="62"/>
    <w:p>
      <w:pPr>
        <w:ind w:left="10320"/>
        <w:spacing w:after="0"/>
        <w:rPr>
          <w:sz w:val="20"/>
          <w:szCs w:val="20"/>
          <w:color w:val="auto"/>
        </w:rPr>
      </w:pPr>
      <w:r>
        <w:rPr>
          <w:rFonts w:ascii="Arial" w:cs="Arial" w:eastAsia="Arial" w:hAnsi="Arial"/>
          <w:sz w:val="16"/>
          <w:szCs w:val="16"/>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left="340" w:right="2040"/>
        <w:spacing w:after="0" w:line="263" w:lineRule="auto"/>
        <w:rPr>
          <w:sz w:val="20"/>
          <w:szCs w:val="20"/>
          <w:color w:val="auto"/>
        </w:rPr>
      </w:pPr>
      <w:r>
        <w:rPr>
          <w:rFonts w:ascii="Arial" w:cs="Arial" w:eastAsia="Arial" w:hAnsi="Arial"/>
          <w:sz w:val="18"/>
          <w:szCs w:val="18"/>
          <w:b w:val="1"/>
          <w:bCs w:val="1"/>
          <w:color w:val="auto"/>
        </w:rPr>
        <w:t>CERTIFICATION OF CHIEF EXECUTIVE OFFICER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Amar Maletira, certify that:</w:t>
      </w:r>
    </w:p>
    <w:p>
      <w:pPr>
        <w:spacing w:after="0" w:line="252" w:lineRule="exact"/>
        <w:rPr>
          <w:sz w:val="20"/>
          <w:szCs w:val="20"/>
          <w:color w:val="auto"/>
        </w:rPr>
      </w:pPr>
    </w:p>
    <w:p>
      <w:pPr>
        <w:ind w:left="900" w:hanging="40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Rackspace Technology, Inc.;</w:t>
      </w:r>
    </w:p>
    <w:p>
      <w:pPr>
        <w:spacing w:after="0" w:line="117" w:lineRule="exact"/>
        <w:rPr>
          <w:rFonts w:ascii="Arial" w:cs="Arial" w:eastAsia="Arial" w:hAnsi="Arial"/>
          <w:sz w:val="18"/>
          <w:szCs w:val="18"/>
          <w:color w:val="auto"/>
        </w:rPr>
      </w:pPr>
    </w:p>
    <w:p>
      <w:pPr>
        <w:jc w:val="both"/>
        <w:ind w:left="900" w:right="140" w:hanging="406"/>
        <w:spacing w:after="0" w:line="263"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900" w:right="100" w:hanging="406"/>
        <w:spacing w:after="0" w:line="308" w:lineRule="auto"/>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900" w:right="80" w:hanging="406"/>
        <w:spacing w:after="0" w:line="291"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0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02" w:lineRule="exact"/>
        <w:rPr>
          <w:rFonts w:ascii="Arial" w:cs="Arial" w:eastAsia="Arial" w:hAnsi="Arial"/>
          <w:sz w:val="16"/>
          <w:szCs w:val="16"/>
          <w:color w:val="auto"/>
        </w:rPr>
      </w:pPr>
    </w:p>
    <w:p>
      <w:pPr>
        <w:ind w:left="1540" w:right="100" w:hanging="398"/>
        <w:spacing w:after="0" w:line="286" w:lineRule="auto"/>
        <w:tabs>
          <w:tab w:leader="none" w:pos="1540" w:val="left"/>
        </w:tabs>
        <w:numPr>
          <w:ilvl w:val="1"/>
          <w:numId w:val="2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1540" w:right="160" w:hanging="398"/>
        <w:spacing w:after="0" w:line="263" w:lineRule="auto"/>
        <w:tabs>
          <w:tab w:leader="none" w:pos="15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540" w:right="20" w:hanging="398"/>
        <w:spacing w:after="0" w:line="263" w:lineRule="auto"/>
        <w:tabs>
          <w:tab w:leader="none" w:pos="15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540" w:hanging="398"/>
        <w:spacing w:after="0" w:line="263" w:lineRule="auto"/>
        <w:tabs>
          <w:tab w:leader="none" w:pos="15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900" w:right="40" w:hanging="406"/>
        <w:spacing w:after="0" w:line="34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540" w:right="200" w:hanging="398"/>
        <w:spacing w:after="0" w:line="342" w:lineRule="auto"/>
        <w:tabs>
          <w:tab w:leader="none" w:pos="154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40" w:right="520" w:hanging="398"/>
        <w:spacing w:after="0" w:line="277" w:lineRule="auto"/>
        <w:tabs>
          <w:tab w:leader="none" w:pos="15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Date:</w:t>
            </w:r>
          </w:p>
        </w:tc>
        <w:tc>
          <w:tcPr>
            <w:tcW w:w="3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August 9, 2023</w:t>
            </w:r>
          </w:p>
        </w:tc>
        <w:tc>
          <w:tcPr>
            <w:tcW w:w="2160" w:type="dxa"/>
            <w:vAlign w:val="bottom"/>
          </w:tcPr>
          <w:p>
            <w:pPr>
              <w:ind w:left="1580"/>
              <w:spacing w:after="0"/>
              <w:rPr>
                <w:sz w:val="20"/>
                <w:szCs w:val="20"/>
                <w:color w:val="auto"/>
              </w:rPr>
            </w:pPr>
            <w:r>
              <w:rPr>
                <w:rFonts w:ascii="Arial" w:cs="Arial" w:eastAsia="Arial" w:hAnsi="Arial"/>
                <w:sz w:val="18"/>
                <w:szCs w:val="18"/>
                <w:color w:val="auto"/>
              </w:rPr>
              <w:t>By:</w:t>
            </w:r>
          </w:p>
        </w:tc>
        <w:tc>
          <w:tcPr>
            <w:tcW w:w="46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 Amar Maletira</w:t>
            </w:r>
          </w:p>
        </w:tc>
      </w:tr>
      <w:tr>
        <w:trPr>
          <w:trHeight w:val="224"/>
        </w:trPr>
        <w:tc>
          <w:tcPr>
            <w:tcW w:w="120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640" w:type="dxa"/>
            <w:vAlign w:val="bottom"/>
          </w:tcPr>
          <w:p>
            <w:pPr>
              <w:ind w:left="140"/>
              <w:spacing w:after="0"/>
              <w:rPr>
                <w:sz w:val="20"/>
                <w:szCs w:val="20"/>
                <w:color w:val="auto"/>
              </w:rPr>
            </w:pPr>
            <w:r>
              <w:rPr>
                <w:rFonts w:ascii="Arial" w:cs="Arial" w:eastAsia="Arial" w:hAnsi="Arial"/>
                <w:sz w:val="18"/>
                <w:szCs w:val="18"/>
                <w:color w:val="auto"/>
              </w:rPr>
              <w:t>Amar Maletira</w:t>
            </w:r>
          </w:p>
        </w:tc>
      </w:tr>
      <w:tr>
        <w:trPr>
          <w:trHeight w:val="241"/>
        </w:trPr>
        <w:tc>
          <w:tcPr>
            <w:tcW w:w="12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640" w:type="dxa"/>
            <w:vAlign w:val="bottom"/>
          </w:tcPr>
          <w:p>
            <w:pPr>
              <w:ind w:left="140"/>
              <w:spacing w:after="0"/>
              <w:rPr>
                <w:sz w:val="20"/>
                <w:szCs w:val="20"/>
                <w:color w:val="auto"/>
              </w:rPr>
            </w:pPr>
            <w:r>
              <w:rPr>
                <w:rFonts w:ascii="Arial" w:cs="Arial" w:eastAsia="Arial" w:hAnsi="Arial"/>
                <w:sz w:val="18"/>
                <w:szCs w:val="18"/>
                <w:color w:val="auto"/>
              </w:rPr>
              <w:t>Chief Executive Officer; Director</w:t>
            </w:r>
          </w:p>
        </w:tc>
      </w:tr>
      <w:tr>
        <w:trPr>
          <w:trHeight w:val="230"/>
        </w:trPr>
        <w:tc>
          <w:tcPr>
            <w:tcW w:w="12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640" w:type="dxa"/>
            <w:vAlign w:val="bottom"/>
          </w:tcPr>
          <w:p>
            <w:pPr>
              <w:ind w:left="140"/>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240"/>
          </w:cols>
          <w:pgMar w:left="320" w:top="364" w:right="339" w:bottom="1440" w:gutter="0" w:footer="0" w:header="0"/>
        </w:sectPr>
      </w:pPr>
    </w:p>
    <w:bookmarkStart w:id="63" w:name="page64"/>
    <w:bookmarkEnd w:id="63"/>
    <w:p>
      <w:pPr>
        <w:ind w:left="10320"/>
        <w:spacing w:after="0"/>
        <w:rPr>
          <w:sz w:val="20"/>
          <w:szCs w:val="20"/>
          <w:color w:val="auto"/>
        </w:rPr>
      </w:pPr>
      <w:r>
        <w:rPr>
          <w:rFonts w:ascii="Arial" w:cs="Arial" w:eastAsia="Arial" w:hAnsi="Arial"/>
          <w:sz w:val="16"/>
          <w:szCs w:val="16"/>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left="340" w:right="2040"/>
        <w:spacing w:after="0" w:line="263" w:lineRule="auto"/>
        <w:rPr>
          <w:sz w:val="20"/>
          <w:szCs w:val="20"/>
          <w:color w:val="auto"/>
        </w:rPr>
      </w:pPr>
      <w:r>
        <w:rPr>
          <w:rFonts w:ascii="Arial" w:cs="Arial" w:eastAsia="Arial" w:hAnsi="Arial"/>
          <w:sz w:val="18"/>
          <w:szCs w:val="18"/>
          <w:b w:val="1"/>
          <w:bCs w:val="1"/>
          <w:color w:val="auto"/>
        </w:rPr>
        <w:t>CERTIFICATION OF CHIEF FINANCIAL OFFICER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Bobby Molu, certify that:</w:t>
      </w:r>
    </w:p>
    <w:p>
      <w:pPr>
        <w:spacing w:after="0" w:line="252" w:lineRule="exact"/>
        <w:rPr>
          <w:sz w:val="20"/>
          <w:szCs w:val="20"/>
          <w:color w:val="auto"/>
        </w:rPr>
      </w:pPr>
    </w:p>
    <w:p>
      <w:pPr>
        <w:ind w:left="900" w:hanging="40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Rackspace Technology, Inc.;</w:t>
      </w:r>
    </w:p>
    <w:p>
      <w:pPr>
        <w:spacing w:after="0" w:line="117" w:lineRule="exact"/>
        <w:rPr>
          <w:rFonts w:ascii="Arial" w:cs="Arial" w:eastAsia="Arial" w:hAnsi="Arial"/>
          <w:sz w:val="18"/>
          <w:szCs w:val="18"/>
          <w:color w:val="auto"/>
        </w:rPr>
      </w:pPr>
    </w:p>
    <w:p>
      <w:pPr>
        <w:jc w:val="both"/>
        <w:ind w:left="900" w:right="140" w:hanging="406"/>
        <w:spacing w:after="0" w:line="263"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900" w:right="100" w:hanging="406"/>
        <w:spacing w:after="0" w:line="308" w:lineRule="auto"/>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900" w:right="80" w:hanging="406"/>
        <w:spacing w:after="0" w:line="291"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0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02" w:lineRule="exact"/>
        <w:rPr>
          <w:rFonts w:ascii="Arial" w:cs="Arial" w:eastAsia="Arial" w:hAnsi="Arial"/>
          <w:sz w:val="16"/>
          <w:szCs w:val="16"/>
          <w:color w:val="auto"/>
        </w:rPr>
      </w:pPr>
    </w:p>
    <w:p>
      <w:pPr>
        <w:ind w:left="1540" w:right="100" w:hanging="398"/>
        <w:spacing w:after="0" w:line="286" w:lineRule="auto"/>
        <w:tabs>
          <w:tab w:leader="none" w:pos="1540" w:val="left"/>
        </w:tabs>
        <w:numPr>
          <w:ilvl w:val="1"/>
          <w:numId w:val="2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1540" w:right="160" w:hanging="398"/>
        <w:spacing w:after="0" w:line="263" w:lineRule="auto"/>
        <w:tabs>
          <w:tab w:leader="none" w:pos="15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540" w:right="20" w:hanging="398"/>
        <w:spacing w:after="0" w:line="263" w:lineRule="auto"/>
        <w:tabs>
          <w:tab w:leader="none" w:pos="15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540" w:hanging="398"/>
        <w:spacing w:after="0" w:line="263" w:lineRule="auto"/>
        <w:tabs>
          <w:tab w:leader="none" w:pos="15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900" w:right="40" w:hanging="406"/>
        <w:spacing w:after="0" w:line="342"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540" w:right="200" w:hanging="398"/>
        <w:spacing w:after="0" w:line="342" w:lineRule="auto"/>
        <w:tabs>
          <w:tab w:leader="none" w:pos="154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40" w:right="520" w:hanging="398"/>
        <w:spacing w:after="0" w:line="277" w:lineRule="auto"/>
        <w:tabs>
          <w:tab w:leader="none" w:pos="15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4"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Date:</w:t>
            </w:r>
          </w:p>
        </w:tc>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August 9, 2023</w:t>
            </w:r>
          </w:p>
        </w:tc>
        <w:tc>
          <w:tcPr>
            <w:tcW w:w="2120" w:type="dxa"/>
            <w:vAlign w:val="bottom"/>
          </w:tcPr>
          <w:p>
            <w:pPr>
              <w:ind w:left="1540"/>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Naushaza “Bobby” Molu</w:t>
            </w:r>
          </w:p>
        </w:tc>
      </w:tr>
      <w:tr>
        <w:trPr>
          <w:trHeight w:val="224"/>
        </w:trPr>
        <w:tc>
          <w:tcPr>
            <w:tcW w:w="118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4520" w:type="dxa"/>
            <w:vAlign w:val="bottom"/>
          </w:tcPr>
          <w:p>
            <w:pPr>
              <w:ind w:left="120"/>
              <w:spacing w:after="0"/>
              <w:rPr>
                <w:sz w:val="20"/>
                <w:szCs w:val="20"/>
                <w:color w:val="auto"/>
              </w:rPr>
            </w:pPr>
            <w:r>
              <w:rPr>
                <w:rFonts w:ascii="Arial" w:cs="Arial" w:eastAsia="Arial" w:hAnsi="Arial"/>
                <w:sz w:val="18"/>
                <w:szCs w:val="18"/>
                <w:color w:val="auto"/>
              </w:rPr>
              <w:t>Naushaza “Bobby” Molu</w:t>
            </w:r>
          </w:p>
        </w:tc>
      </w:tr>
      <w:tr>
        <w:trPr>
          <w:trHeight w:val="241"/>
        </w:trPr>
        <w:tc>
          <w:tcPr>
            <w:tcW w:w="11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520" w:type="dxa"/>
            <w:vAlign w:val="bottom"/>
          </w:tcPr>
          <w:p>
            <w:pPr>
              <w:ind w:left="1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11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520" w:type="dxa"/>
            <w:vAlign w:val="bottom"/>
          </w:tcPr>
          <w:p>
            <w:pPr>
              <w:ind w:left="120"/>
              <w:spacing w:after="0"/>
              <w:rPr>
                <w:sz w:val="20"/>
                <w:szCs w:val="20"/>
                <w:color w:val="auto"/>
              </w:rPr>
            </w:pPr>
            <w:r>
              <w:rPr>
                <w:rFonts w:ascii="Arial" w:cs="Arial" w:eastAsia="Arial" w:hAnsi="Arial"/>
                <w:sz w:val="18"/>
                <w:szCs w:val="18"/>
                <w:i w:val="1"/>
                <w:iCs w:val="1"/>
                <w:color w:val="auto"/>
              </w:rPr>
              <w:t>(Principal Financial Officer)</w:t>
            </w:r>
          </w:p>
        </w:tc>
      </w:tr>
    </w:tbl>
    <w:p>
      <w:pPr>
        <w:sectPr>
          <w:pgSz w:w="11900" w:h="16838" w:orient="portrait"/>
          <w:cols w:equalWidth="0" w:num="1">
            <w:col w:w="11240"/>
          </w:cols>
          <w:pgMar w:left="320" w:top="364"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 Amar Maletira, Chief Executive Officer of Rackspace Technology, Inc. (the “Company”), certify pursuant to Section 906 of the Sarbanes-Oxley Act of 2002, 18 U.S.C. Section 1350, that:</w:t>
      </w:r>
    </w:p>
    <w:p>
      <w:pPr>
        <w:spacing w:after="0" w:line="197" w:lineRule="exact"/>
        <w:rPr>
          <w:sz w:val="20"/>
          <w:szCs w:val="20"/>
          <w:color w:val="auto"/>
        </w:rPr>
      </w:pPr>
    </w:p>
    <w:p>
      <w:pPr>
        <w:ind w:left="660" w:right="20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June 30, 2023 (the “Report”)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Rackspace Technology, Inc.</w:t>
      </w:r>
    </w:p>
    <w:p>
      <w:pPr>
        <w:spacing w:after="0" w:line="200" w:lineRule="exact"/>
        <w:rPr>
          <w:sz w:val="20"/>
          <w:szCs w:val="20"/>
          <w:color w:val="auto"/>
        </w:rPr>
      </w:pP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Date:</w:t>
            </w:r>
          </w:p>
        </w:tc>
        <w:tc>
          <w:tcPr>
            <w:tcW w:w="3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August 9, 2023</w:t>
            </w:r>
          </w:p>
        </w:tc>
        <w:tc>
          <w:tcPr>
            <w:tcW w:w="2160" w:type="dxa"/>
            <w:vAlign w:val="bottom"/>
          </w:tcPr>
          <w:p>
            <w:pPr>
              <w:ind w:left="1580"/>
              <w:spacing w:after="0"/>
              <w:rPr>
                <w:sz w:val="20"/>
                <w:szCs w:val="20"/>
                <w:color w:val="auto"/>
              </w:rPr>
            </w:pPr>
            <w:r>
              <w:rPr>
                <w:rFonts w:ascii="Arial" w:cs="Arial" w:eastAsia="Arial" w:hAnsi="Arial"/>
                <w:sz w:val="18"/>
                <w:szCs w:val="18"/>
                <w:color w:val="auto"/>
              </w:rPr>
              <w:t>By:</w:t>
            </w:r>
          </w:p>
        </w:tc>
        <w:tc>
          <w:tcPr>
            <w:tcW w:w="46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 Amar Maletira</w:t>
            </w:r>
          </w:p>
        </w:tc>
      </w:tr>
      <w:tr>
        <w:trPr>
          <w:trHeight w:val="224"/>
        </w:trPr>
        <w:tc>
          <w:tcPr>
            <w:tcW w:w="120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640" w:type="dxa"/>
            <w:vAlign w:val="bottom"/>
          </w:tcPr>
          <w:p>
            <w:pPr>
              <w:ind w:left="140"/>
              <w:spacing w:after="0"/>
              <w:rPr>
                <w:sz w:val="20"/>
                <w:szCs w:val="20"/>
                <w:color w:val="auto"/>
              </w:rPr>
            </w:pPr>
            <w:r>
              <w:rPr>
                <w:rFonts w:ascii="Arial" w:cs="Arial" w:eastAsia="Arial" w:hAnsi="Arial"/>
                <w:sz w:val="18"/>
                <w:szCs w:val="18"/>
                <w:color w:val="auto"/>
              </w:rPr>
              <w:t>Amar Maletira</w:t>
            </w:r>
          </w:p>
        </w:tc>
      </w:tr>
      <w:tr>
        <w:trPr>
          <w:trHeight w:val="241"/>
        </w:trPr>
        <w:tc>
          <w:tcPr>
            <w:tcW w:w="12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640" w:type="dxa"/>
            <w:vAlign w:val="bottom"/>
          </w:tcPr>
          <w:p>
            <w:pPr>
              <w:ind w:left="140"/>
              <w:spacing w:after="0"/>
              <w:rPr>
                <w:sz w:val="20"/>
                <w:szCs w:val="20"/>
                <w:color w:val="auto"/>
              </w:rPr>
            </w:pPr>
            <w:r>
              <w:rPr>
                <w:rFonts w:ascii="Arial" w:cs="Arial" w:eastAsia="Arial" w:hAnsi="Arial"/>
                <w:sz w:val="18"/>
                <w:szCs w:val="18"/>
                <w:color w:val="auto"/>
              </w:rPr>
              <w:t>Chief Executive Officer; Director</w:t>
            </w:r>
          </w:p>
        </w:tc>
      </w:tr>
      <w:tr>
        <w:trPr>
          <w:trHeight w:val="230"/>
        </w:trPr>
        <w:tc>
          <w:tcPr>
            <w:tcW w:w="12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640" w:type="dxa"/>
            <w:vAlign w:val="bottom"/>
          </w:tcPr>
          <w:p>
            <w:pPr>
              <w:ind w:left="140"/>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240"/>
          </w:cols>
          <w:pgMar w:left="320" w:top="364"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 Bobby Molu, Executive Vice President and Chief Financial Officer of Rackspace Technology, Inc. (the “Company”), certify pursuant to Section 906 of the Sarbanes-Oxley Act of 2002, 18 U.S.C. Section 1350, that:</w:t>
      </w:r>
    </w:p>
    <w:p>
      <w:pPr>
        <w:spacing w:after="0" w:line="197" w:lineRule="exact"/>
        <w:rPr>
          <w:sz w:val="20"/>
          <w:szCs w:val="20"/>
          <w:color w:val="auto"/>
        </w:rPr>
      </w:pPr>
    </w:p>
    <w:p>
      <w:pPr>
        <w:ind w:left="660" w:right="20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June 30, 2023 (the “Report”)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Rackspace Technology, Inc.</w:t>
      </w:r>
    </w:p>
    <w:p>
      <w:pPr>
        <w:spacing w:after="0" w:line="200" w:lineRule="exact"/>
        <w:rPr>
          <w:sz w:val="20"/>
          <w:szCs w:val="20"/>
          <w:color w:val="auto"/>
        </w:rPr>
      </w:pP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Date:</w:t>
            </w:r>
          </w:p>
        </w:tc>
        <w:tc>
          <w:tcPr>
            <w:tcW w:w="3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August 9, 2023</w:t>
            </w:r>
          </w:p>
        </w:tc>
        <w:tc>
          <w:tcPr>
            <w:tcW w:w="2160" w:type="dxa"/>
            <w:vAlign w:val="bottom"/>
          </w:tcPr>
          <w:p>
            <w:pPr>
              <w:ind w:left="1580"/>
              <w:spacing w:after="0"/>
              <w:rPr>
                <w:sz w:val="20"/>
                <w:szCs w:val="20"/>
                <w:color w:val="auto"/>
              </w:rPr>
            </w:pPr>
            <w:r>
              <w:rPr>
                <w:rFonts w:ascii="Arial" w:cs="Arial" w:eastAsia="Arial" w:hAnsi="Arial"/>
                <w:sz w:val="18"/>
                <w:szCs w:val="18"/>
                <w:color w:val="auto"/>
              </w:rPr>
              <w:t>By:</w:t>
            </w:r>
          </w:p>
        </w:tc>
        <w:tc>
          <w:tcPr>
            <w:tcW w:w="46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 Naushaza “Bobby” Molu</w:t>
            </w:r>
          </w:p>
        </w:tc>
      </w:tr>
      <w:tr>
        <w:trPr>
          <w:trHeight w:val="224"/>
        </w:trPr>
        <w:tc>
          <w:tcPr>
            <w:tcW w:w="120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640" w:type="dxa"/>
            <w:vAlign w:val="bottom"/>
          </w:tcPr>
          <w:p>
            <w:pPr>
              <w:ind w:left="140"/>
              <w:spacing w:after="0"/>
              <w:rPr>
                <w:sz w:val="20"/>
                <w:szCs w:val="20"/>
                <w:color w:val="auto"/>
              </w:rPr>
            </w:pPr>
            <w:r>
              <w:rPr>
                <w:rFonts w:ascii="Arial" w:cs="Arial" w:eastAsia="Arial" w:hAnsi="Arial"/>
                <w:sz w:val="18"/>
                <w:szCs w:val="18"/>
                <w:color w:val="auto"/>
              </w:rPr>
              <w:t>Naushaza “Bobby” Molu</w:t>
            </w:r>
          </w:p>
        </w:tc>
      </w:tr>
      <w:tr>
        <w:trPr>
          <w:trHeight w:val="241"/>
        </w:trPr>
        <w:tc>
          <w:tcPr>
            <w:tcW w:w="12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640" w:type="dxa"/>
            <w:vAlign w:val="bottom"/>
          </w:tcPr>
          <w:p>
            <w:pPr>
              <w:ind w:left="140"/>
              <w:spacing w:after="0"/>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12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640" w:type="dxa"/>
            <w:vAlign w:val="bottom"/>
          </w:tcPr>
          <w:p>
            <w:pPr>
              <w:ind w:left="140"/>
              <w:spacing w:after="0"/>
              <w:rPr>
                <w:sz w:val="20"/>
                <w:szCs w:val="20"/>
                <w:color w:val="auto"/>
              </w:rPr>
            </w:pPr>
            <w:r>
              <w:rPr>
                <w:rFonts w:ascii="Arial" w:cs="Arial" w:eastAsia="Arial" w:hAnsi="Arial"/>
                <w:sz w:val="18"/>
                <w:szCs w:val="18"/>
                <w:i w:val="1"/>
                <w:iCs w:val="1"/>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848"/>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1)"/>
      <w:numFmt w:val="decimal"/>
      <w:start w:val="1"/>
    </w:lvl>
  </w:abstractNum>
  <w:abstractNum w:abstractNumId="7">
    <w:nsid w:val="431BD7B7"/>
    <w:multiLevelType w:val="hybridMultilevel"/>
    <w:lvl w:ilvl="0">
      <w:lvlJc w:val="left"/>
      <w:lvlText w:val="(%1)"/>
      <w:numFmt w:val="decimal"/>
      <w:start w:val="1"/>
    </w:lvl>
  </w:abstractNum>
  <w:abstractNum w:abstractNumId="8">
    <w:nsid w:val="3F2DBA31"/>
    <w:multiLevelType w:val="hybridMultilevel"/>
    <w:lvl w:ilvl="0">
      <w:lvlJc w:val="left"/>
      <w:lvlText w:val="(%1)"/>
      <w:numFmt w:val="decimal"/>
      <w:start w:val="1"/>
    </w:lvl>
    <w:lvl w:ilvl="1">
      <w:lvlJc w:val="left"/>
      <w:lvlText w:val="-"/>
      <w:numFmt w:val="bullet"/>
      <w:start w:val="1"/>
    </w:lvl>
  </w:abstractNum>
  <w:abstractNum w:abstractNumId="9">
    <w:nsid w:val="7C83E458"/>
    <w:multiLevelType w:val="hybridMultilevel"/>
    <w:lvl w:ilvl="0">
      <w:lvlJc w:val="left"/>
      <w:lvlText w:val="(%1)"/>
      <w:numFmt w:val="lowerLetter"/>
      <w:start w:val="1"/>
    </w:lvl>
    <w:lvl w:ilvl="1">
      <w:lvlJc w:val="left"/>
      <w:lvlText w:val="-"/>
      <w:numFmt w:val="bullet"/>
      <w:start w:val="1"/>
    </w:lvl>
  </w:abstractNum>
  <w:abstractNum w:abstractNumId="10">
    <w:nsid w:val="257130A3"/>
    <w:multiLevelType w:val="hybridMultilevel"/>
    <w:lvl w:ilvl="0">
      <w:lvlJc w:val="left"/>
      <w:lvlText w:val="(%1)"/>
      <w:numFmt w:val="lowerLetter"/>
      <w:start w:val="1"/>
    </w:lvl>
  </w:abstractNum>
  <w:abstractNum w:abstractNumId="11">
    <w:nsid w:val="62BBD95A"/>
    <w:multiLevelType w:val="hybridMultilevel"/>
    <w:lvl w:ilvl="0">
      <w:lvlJc w:val="left"/>
      <w:lvlText w:val="(%1)"/>
      <w:numFmt w:val="lowerLetter"/>
      <w:start w:val="1"/>
    </w:lvl>
  </w:abstractNum>
  <w:abstractNum w:abstractNumId="12">
    <w:nsid w:val="436C6125"/>
    <w:multiLevelType w:val="hybridMultilevel"/>
    <w:lvl w:ilvl="0">
      <w:lvlJc w:val="left"/>
      <w:lvlText w:val="(%1)"/>
      <w:numFmt w:val="lowerLetter"/>
      <w:start w:val="1"/>
    </w:lvl>
  </w:abstractNum>
  <w:abstractNum w:abstractNumId="13">
    <w:nsid w:val="628C895D"/>
    <w:multiLevelType w:val="hybridMultilevel"/>
    <w:lvl w:ilvl="0">
      <w:lvlJc w:val="left"/>
      <w:lvlText w:val="(%1)"/>
      <w:numFmt w:val="lowerLetter"/>
      <w:start w:val="1"/>
    </w:lvl>
    <w:lvl w:ilvl="1">
      <w:lvlJc w:val="left"/>
      <w:lvlText w:val="-"/>
      <w:numFmt w:val="bullet"/>
      <w:start w:val="1"/>
    </w:lvl>
  </w:abstractNum>
  <w:abstractNum w:abstractNumId="14">
    <w:nsid w:val="333AB105"/>
    <w:multiLevelType w:val="hybridMultilevel"/>
    <w:lvl w:ilvl="0">
      <w:lvlJc w:val="left"/>
      <w:lvlText w:val="(%1)"/>
      <w:numFmt w:val="lowerLetter"/>
      <w:start w:val="1"/>
    </w:lvl>
  </w:abstractNum>
  <w:abstractNum w:abstractNumId="15">
    <w:nsid w:val="721DA317"/>
    <w:multiLevelType w:val="hybridMultilevel"/>
    <w:lvl w:ilvl="0">
      <w:lvlJc w:val="left"/>
      <w:lvlText w:val="(%1)"/>
      <w:numFmt w:val="lowerLetter"/>
      <w:start w:val="1"/>
    </w:lvl>
  </w:abstractNum>
  <w:abstractNum w:abstractNumId="16">
    <w:nsid w:val="2443A858"/>
    <w:multiLevelType w:val="hybridMultilevel"/>
    <w:lvl w:ilvl="0">
      <w:lvlJc w:val="left"/>
      <w:lvlText w:val="(%1)"/>
      <w:numFmt w:val="lowerLetter"/>
      <w:start w:val="9"/>
    </w:lvl>
    <w:lvl w:ilvl="1">
      <w:lvlJc w:val="left"/>
      <w:lvlText w:val="-"/>
      <w:numFmt w:val="bullet"/>
      <w:start w:val="1"/>
    </w:lvl>
  </w:abstractNum>
  <w:abstractNum w:abstractNumId="17">
    <w:nsid w:val="2D1D5AE9"/>
    <w:multiLevelType w:val="hybridMultilevel"/>
    <w:lvl w:ilvl="0">
      <w:lvlJc w:val="left"/>
      <w:lvlText w:val="(%1)"/>
      <w:numFmt w:val="lowerLetter"/>
      <w:start w:val="1"/>
    </w:lvl>
    <w:lvl w:ilvl="1">
      <w:lvlJc w:val="left"/>
      <w:lvlText w:val="-"/>
      <w:numFmt w:val="bullet"/>
      <w:start w:val="1"/>
    </w:lvl>
  </w:abstractNum>
  <w:abstractNum w:abstractNumId="18">
    <w:nsid w:val="6763845E"/>
    <w:multiLevelType w:val="hybridMultilevel"/>
    <w:lvl w:ilvl="0">
      <w:lvlJc w:val="left"/>
      <w:lvlText w:val="(%1)"/>
      <w:numFmt w:val="lowerRoman"/>
      <w:start w:val="4"/>
    </w:lvl>
    <w:lvl w:ilvl="1">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1."/>
      <w:numFmt w:val="decimal"/>
      <w:start w:val="1"/>
    </w:lvl>
  </w:abstractNum>
  <w:abstractNum w:abstractNumId="23">
    <w:nsid w:val="B03E0C6"/>
    <w:multiLevelType w:val="hybridMultilevel"/>
    <w:lvl w:ilvl="0">
      <w:lvlJc w:val="left"/>
      <w:lvlText w:val="%1."/>
      <w:numFmt w:val="decimal"/>
      <w:start w:val="5"/>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2023-08-09T16:07:33Z</dcterms:created>
  <dcterms:modified xsi:type="dcterms:W3CDTF">2023-08-09T16:07:33Z</dcterms:modified>
</cp:coreProperties>
</file>