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20"/>
        <w:spacing w:after="0"/>
        <w:rPr>
          <w:sz w:val="20"/>
          <w:szCs w:val="20"/>
          <w:color w:val="auto"/>
        </w:rPr>
      </w:pPr>
      <w:r>
        <w:rPr>
          <w:rFonts w:ascii="Times New Roman" w:cs="Times New Roman" w:eastAsia="Times New Roman" w:hAnsi="Times New Roman"/>
          <w:sz w:val="20"/>
          <w:szCs w:val="20"/>
          <w:b w:val="1"/>
          <w:bCs w:val="1"/>
          <w:color w:val="auto"/>
        </w:rPr>
        <w:t>RACKSPACE TECHNOLOGY, INC.</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19122 US Highway 281N, Suite 128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San Antonio, Texas 78258-7667</w:t>
      </w:r>
    </w:p>
    <w:p>
      <w:pPr>
        <w:spacing w:after="0" w:line="200" w:lineRule="exact"/>
        <w:rPr>
          <w:sz w:val="24"/>
          <w:szCs w:val="24"/>
          <w:color w:val="auto"/>
        </w:rPr>
      </w:pPr>
    </w:p>
    <w:p>
      <w:pPr>
        <w:spacing w:after="0" w:line="37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color w:val="auto"/>
        </w:rPr>
        <w:t>November 21, 2024</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VIA EDGAR</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United States 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95" w:lineRule="exact"/>
        <w:rPr>
          <w:sz w:val="24"/>
          <w:szCs w:val="24"/>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Dave Edgar</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0"/>
          <w:szCs w:val="20"/>
          <w:color w:val="auto"/>
        </w:rPr>
        <w:t>Christine Dietz</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0"/>
          <w:szCs w:val="20"/>
          <w:color w:val="auto"/>
        </w:rPr>
        <w:t>Office of Technology</w:t>
      </w:r>
    </w:p>
    <w:p>
      <w:pPr>
        <w:spacing w:after="0" w:line="387" w:lineRule="exact"/>
        <w:rPr>
          <w:sz w:val="24"/>
          <w:szCs w:val="24"/>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20"/>
          <w:szCs w:val="20"/>
          <w:b w:val="1"/>
          <w:bCs w:val="1"/>
          <w:color w:val="auto"/>
        </w:rPr>
        <w:t>Rackspace Technology, Inc.</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Form 10-K for the Fiscal Year Ended December 31, 2023</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Filed March 15, 2024</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File No. 001-39420</w:t>
      </w: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Dear Mr. Edgar and Ms. Dietz:</w:t>
      </w:r>
    </w:p>
    <w:p>
      <w:pPr>
        <w:spacing w:after="0" w:line="243" w:lineRule="exact"/>
        <w:rPr>
          <w:sz w:val="24"/>
          <w:szCs w:val="24"/>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This letter responds to comments received in a letter from the Staff (the "</w:t>
      </w:r>
      <w:r>
        <w:rPr>
          <w:rFonts w:ascii="Times New Roman" w:cs="Times New Roman" w:eastAsia="Times New Roman" w:hAnsi="Times New Roman"/>
          <w:sz w:val="20"/>
          <w:szCs w:val="20"/>
          <w:u w:val="single" w:color="auto"/>
          <w:color w:val="auto"/>
        </w:rPr>
        <w:t>Staff</w:t>
      </w:r>
      <w:r>
        <w:rPr>
          <w:rFonts w:ascii="Times New Roman" w:cs="Times New Roman" w:eastAsia="Times New Roman" w:hAnsi="Times New Roman"/>
          <w:sz w:val="20"/>
          <w:szCs w:val="20"/>
          <w:color w:val="auto"/>
        </w:rPr>
        <w:t>") of the Securities and Exchange Commission (the “</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dated November 12, 2024 (the “</w:t>
      </w:r>
      <w:r>
        <w:rPr>
          <w:rFonts w:ascii="Times New Roman" w:cs="Times New Roman" w:eastAsia="Times New Roman" w:hAnsi="Times New Roman"/>
          <w:sz w:val="20"/>
          <w:szCs w:val="20"/>
          <w:u w:val="single" w:color="auto"/>
          <w:color w:val="auto"/>
        </w:rPr>
        <w:t>Comment Letter</w:t>
      </w:r>
      <w:r>
        <w:rPr>
          <w:rFonts w:ascii="Times New Roman" w:cs="Times New Roman" w:eastAsia="Times New Roman" w:hAnsi="Times New Roman"/>
          <w:sz w:val="20"/>
          <w:szCs w:val="20"/>
          <w:color w:val="auto"/>
        </w:rPr>
        <w:t>”), to Rackspace Technology,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related to the Form 10-K for the fiscal year ended December 31, 2023 (the “</w:t>
      </w:r>
      <w:r>
        <w:rPr>
          <w:rFonts w:ascii="Times New Roman" w:cs="Times New Roman" w:eastAsia="Times New Roman" w:hAnsi="Times New Roman"/>
          <w:sz w:val="20"/>
          <w:szCs w:val="20"/>
          <w:u w:val="single" w:color="auto"/>
          <w:color w:val="auto"/>
        </w:rPr>
        <w:t>Form 10-K</w:t>
      </w:r>
      <w:r>
        <w:rPr>
          <w:rFonts w:ascii="Times New Roman" w:cs="Times New Roman" w:eastAsia="Times New Roman" w:hAnsi="Times New Roman"/>
          <w:sz w:val="20"/>
          <w:szCs w:val="20"/>
          <w:color w:val="auto"/>
        </w:rPr>
        <w:t>”).</w:t>
      </w:r>
    </w:p>
    <w:p>
      <w:pPr>
        <w:spacing w:after="0" w:line="18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For your convenience, we have set forth below the Staff’s comments followed by the Company’s responses thereto.</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Form 10-K for the Fiscal Year Ended December 31, 2023</w:t>
      </w:r>
    </w:p>
    <w:p>
      <w:pPr>
        <w:spacing w:after="0" w:line="243" w:lineRule="exact"/>
        <w:rPr>
          <w:sz w:val="24"/>
          <w:szCs w:val="24"/>
          <w:color w:val="auto"/>
        </w:rPr>
      </w:pPr>
    </w:p>
    <w:p>
      <w:pPr>
        <w:ind w:right="372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Management's Discussion and Analysis of Financial Condition and Results of Operations Non-GAAP Measures, page 66</w:t>
      </w:r>
    </w:p>
    <w:p>
      <w:pPr>
        <w:spacing w:after="0" w:line="179" w:lineRule="exact"/>
        <w:rPr>
          <w:sz w:val="24"/>
          <w:szCs w:val="24"/>
          <w:color w:val="auto"/>
        </w:rPr>
      </w:pPr>
    </w:p>
    <w:p>
      <w:pPr>
        <w:jc w:val="both"/>
        <w:ind w:left="660" w:hanging="328"/>
        <w:spacing w:after="0" w:line="252" w:lineRule="auto"/>
        <w:tabs>
          <w:tab w:leader="none" w:pos="660" w:val="left"/>
        </w:tabs>
        <w:numPr>
          <w:ilvl w:val="0"/>
          <w:numId w:val="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We note the cost breakdowns you provided in response to prior comments 2 and 3. The components of the adjustment “special bonuses and other compensation expense” for cash compensation paid to employees who remain employed, that are included within acquisition-related payments, transformation project related bonuses and long-term incentive related amounts and the components of the adjustment for “restructuring and transformation” related to cash compensation paid to employees who remain employed, that are included within labor dedicated to transformation projects appear to be normal, recurring cash operating expenses. In this regard, considering that continued employment is required and the amounts will be paid in cash, it remains unclear how these charges are not a normal, recurring cash operating expense. Accordingly, please remove these adjustments from your non-GAAP measures. Refer to Question 100.01 of the non-GAAP C&amp;DIs.</w:t>
      </w:r>
    </w:p>
    <w:p>
      <w:pPr>
        <w:spacing w:after="0" w:line="201" w:lineRule="exact"/>
        <w:rPr>
          <w:rFonts w:ascii="Times New Roman" w:cs="Times New Roman" w:eastAsia="Times New Roman" w:hAnsi="Times New Roman"/>
          <w:sz w:val="20"/>
          <w:szCs w:val="20"/>
          <w:b w:val="1"/>
          <w:bCs w:val="1"/>
          <w:i w:val="1"/>
          <w:iCs w:val="1"/>
          <w:color w:val="auto"/>
        </w:rPr>
      </w:pPr>
    </w:p>
    <w:p>
      <w:pPr>
        <w:ind w:left="660"/>
        <w:spacing w:after="0" w:line="287"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color w:val="auto"/>
        </w:rPr>
        <w:t xml:space="preserve">Response: </w:t>
      </w:r>
      <w:r>
        <w:rPr>
          <w:rFonts w:ascii="Times New Roman" w:cs="Times New Roman" w:eastAsia="Times New Roman" w:hAnsi="Times New Roman"/>
          <w:sz w:val="20"/>
          <w:szCs w:val="20"/>
          <w:color w:val="auto"/>
        </w:rPr>
        <w:t>The Company respectfully acknowledges the Staff’s comment and will remove those adjustments from its non-GAAP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measures.</w:t>
      </w:r>
    </w:p>
    <w:p>
      <w:pPr>
        <w:spacing w:after="0" w:line="182" w:lineRule="exact"/>
        <w:rPr>
          <w:rFonts w:ascii="Times New Roman" w:cs="Times New Roman" w:eastAsia="Times New Roman" w:hAnsi="Times New Roman"/>
          <w:sz w:val="20"/>
          <w:szCs w:val="20"/>
          <w:b w:val="1"/>
          <w:bCs w:val="1"/>
          <w:i w:val="1"/>
          <w:iCs w:val="1"/>
          <w:color w:val="auto"/>
        </w:rPr>
      </w:pPr>
    </w:p>
    <w:p>
      <w:pPr>
        <w:ind w:left="528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 * * * *</w:t>
      </w:r>
    </w:p>
    <w:p>
      <w:pPr>
        <w:sectPr>
          <w:pgSz w:w="11900" w:h="16838" w:orient="portrait"/>
          <w:cols w:equalWidth="0" w:num="1">
            <w:col w:w="11240"/>
          </w:cols>
          <w:pgMar w:left="320" w:top="2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Dave Edgar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Dietz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If you have any questions regarding the responses contained in this letter, please do not hesitate to contact the undersigned at 1-800-961-4454.</w:t>
      </w:r>
    </w:p>
    <w:p>
      <w:pPr>
        <w:spacing w:after="0" w:line="200" w:lineRule="exact"/>
        <w:rPr>
          <w:sz w:val="20"/>
          <w:szCs w:val="20"/>
          <w:color w:val="auto"/>
        </w:rPr>
      </w:pPr>
    </w:p>
    <w:p>
      <w:pPr>
        <w:spacing w:after="0" w:line="2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38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auto"/>
        </w:rPr>
        <w:t>/s/ Mark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22860</wp:posOffset>
            </wp:positionV>
            <wp:extent cx="2983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auto"/>
        </w:rPr>
        <w:t>Mark Marino, Chief Financial Officer</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cc: Brian M. Janson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Paul, Weiss, Rifkind, Wharton &amp; Garrison LLP</w:t>
      </w:r>
    </w:p>
    <w:sectPr>
      <w:pgSz w:w="11900" w:h="16838" w:orient="portrait"/>
      <w:cols w:equalWidth="0" w:num="1">
        <w:col w:w="11100"/>
      </w:cols>
      <w:pgMar w:left="32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2024-12-23T23:10:42Z</dcterms:created>
  <dcterms:modified xsi:type="dcterms:W3CDTF">2024-12-23T23:10:42Z</dcterms:modified>
</cp:coreProperties>
</file>