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RACKSPACE TECHNOLOGY, INC.</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ectPr>
          <w:pgSz w:w="11900" w:h="16838" w:orient="portrait"/>
          <w:cols w:equalWidth="0" w:num="1">
            <w:col w:w="11240"/>
          </w:cols>
          <w:pgMar w:left="320" w:top="1213" w:right="339" w:bottom="1440" w:gutter="0" w:footer="0" w:header="0"/>
        </w:sectPr>
      </w:pPr>
    </w:p>
    <w:p>
      <w:pPr>
        <w:spacing w:after="0" w:line="20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001-39420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50" w:lineRule="exact"/>
        <w:rPr>
          <w:sz w:val="24"/>
          <w:szCs w:val="24"/>
          <w:color w:val="auto"/>
        </w:rPr>
      </w:pPr>
    </w:p>
    <w:p>
      <w:pPr>
        <w:sectPr>
          <w:pgSz w:w="11900" w:h="16838" w:orient="portrait"/>
          <w:cols w:equalWidth="0" w:num="3">
            <w:col w:w="4520" w:space="720"/>
            <w:col w:w="2400" w:space="720"/>
            <w:col w:w="2880"/>
          </w:cols>
          <w:pgMar w:left="320" w:top="1213" w:right="33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(Commission File</w:t>
      </w:r>
    </w:p>
    <w:p>
      <w:pPr>
        <w:spacing w:after="0" w:line="1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306" w:lineRule="exact"/>
        <w:rPr>
          <w:sz w:val="24"/>
          <w:szCs w:val="24"/>
          <w:color w:val="auto"/>
        </w:rPr>
      </w:pPr>
    </w:p>
    <w:p>
      <w:pPr>
        <w:sectPr>
          <w:pgSz w:w="11900" w:h="16838" w:orient="portrait"/>
          <w:cols w:equalWidth="0" w:num="3">
            <w:col w:w="4240" w:space="720"/>
            <w:col w:w="1740" w:space="720"/>
            <w:col w:w="3820"/>
          </w:cols>
          <w:pgMar w:left="320" w:top="12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19122 US Highway 281N, Suite 127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1-800-961-4454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5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304"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May 7, 2026, Rackspace Technology, Inc. issued a press release announcing its financial results for the fiscal quarter ended March 31, 2026. A copy of the press release is attached hereto as Exhibit 99.1 and incorporated by reference herein.</w:t>
      </w:r>
    </w:p>
    <w:p>
      <w:pPr>
        <w:spacing w:after="0" w:line="18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5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40" w:type="dxa"/>
            <w:vAlign w:val="bottom"/>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w w:val="98"/>
              </w:rPr>
              <w:t>Exhibit Description</w:t>
            </w:r>
          </w:p>
        </w:tc>
        <w:tc>
          <w:tcPr>
            <w:tcW w:w="0" w:type="dxa"/>
            <w:vAlign w:val="bottom"/>
          </w:tcPr>
          <w:p>
            <w:pPr>
              <w:spacing w:after="0"/>
              <w:rPr>
                <w:sz w:val="1"/>
                <w:szCs w:val="1"/>
                <w:color w:val="auto"/>
              </w:rPr>
            </w:pPr>
          </w:p>
        </w:tc>
      </w:tr>
      <w:tr>
        <w:trPr>
          <w:trHeight w:val="243"/>
        </w:trPr>
        <w:tc>
          <w:tcPr>
            <w:tcW w:w="45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4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7, 2026.</w:t>
      </w:r>
    </w:p>
    <w:p>
      <w:pPr>
        <w:spacing w:after="0" w:line="36" w:lineRule="exact"/>
        <w:rPr>
          <w:sz w:val="20"/>
          <w:szCs w:val="20"/>
          <w:color w:val="auto"/>
        </w:rPr>
      </w:pPr>
    </w:p>
    <w:p>
      <w:pPr>
        <w:ind w:left="1300" w:hanging="84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7, 2026</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-3-</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Rackspace Technology Reports First Quarter 2026 Results</w:t>
      </w:r>
    </w:p>
    <w:p>
      <w:pPr>
        <w:spacing w:after="0" w:line="26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of $678 million in the First Quarter, up 2% Year-over-Year</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Private Cloud Revenue was $235 million, down 6% Year-over-Year</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Cloud Revenue was $443 million, up 7% Year-over-Year</w:t>
      </w:r>
    </w:p>
    <w:p>
      <w:pPr>
        <w:spacing w:after="0" w:line="3" w:lineRule="exact"/>
        <w:rPr>
          <w:rFonts w:ascii="Times New Roman" w:cs="Times New Roman" w:eastAsia="Times New Roman" w:hAnsi="Times New Roman"/>
          <w:sz w:val="22"/>
          <w:szCs w:val="22"/>
          <w:color w:val="auto"/>
        </w:rPr>
      </w:pPr>
    </w:p>
    <w:p>
      <w:pPr>
        <w:ind w:left="660" w:right="8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Quarter 2026 Cash Flow From Operating Activities was $5 million; Cash Flow From Operating Activities was $144 million on a Trailing-Twelve-Month Basis</w:t>
      </w:r>
    </w:p>
    <w:p>
      <w:pPr>
        <w:ind w:left="660" w:right="940" w:hanging="328"/>
        <w:spacing w:after="0" w:line="261"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Rackspace Technology and AMD sign Memorandum of Understanding to establish a new category of governed Enterprise AI Infrastructure</w:t>
      </w:r>
    </w:p>
    <w:p>
      <w:pPr>
        <w:spacing w:after="0" w:line="191"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SAN ANTONIO, May 7, 2026 </w:t>
      </w:r>
      <w:r>
        <w:rPr>
          <w:rFonts w:ascii="Times New Roman" w:cs="Times New Roman" w:eastAsia="Times New Roman" w:hAnsi="Times New Roman"/>
          <w:sz w:val="22"/>
          <w:szCs w:val="22"/>
          <w:color w:val="auto"/>
        </w:rPr>
        <w:t>– Rackspace Technology, Inc. (Nasdaq: RXT), a leading end-to-end hybrid cloud and AI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solutions company, today announced results for its first quarter ended March 31, 2026.</w:t>
      </w:r>
    </w:p>
    <w:p>
      <w:pPr>
        <w:spacing w:after="0" w:line="18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Gajen Kandiah, Chief Executive Officer, stated, “The market is moving in the direction we anticipated, with regulated enterprises making deliberate choices about where their AI runs, who operates it, and who is accountable for outcomes.”</w:t>
      </w:r>
    </w:p>
    <w:p>
      <w:pPr>
        <w:spacing w:after="0" w:line="185"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22"/>
          <w:szCs w:val="22"/>
          <w:color w:val="auto"/>
        </w:rPr>
        <w:t>Mr. Kandiah added, “Our first quarter results reflect a strategy that is delivering, and today I am pleased to announce a Memorandum of Understanding with AMD to establish governed enterprise AI infrastructure as a new market category. It is a category Rackspace is built to lead.”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Results</w:t>
      </w:r>
    </w:p>
    <w:p>
      <w:pPr>
        <w:spacing w:after="0" w:line="251" w:lineRule="exact"/>
        <w:rPr>
          <w:sz w:val="20"/>
          <w:szCs w:val="20"/>
          <w:color w:val="auto"/>
        </w:rPr>
      </w:pPr>
    </w:p>
    <w:p>
      <w:pPr>
        <w:ind w:right="340"/>
        <w:spacing w:after="0" w:line="224" w:lineRule="auto"/>
        <w:rPr>
          <w:sz w:val="20"/>
          <w:szCs w:val="20"/>
          <w:color w:val="auto"/>
        </w:rPr>
      </w:pPr>
      <w:r>
        <w:rPr>
          <w:rFonts w:ascii="Times New Roman" w:cs="Times New Roman" w:eastAsia="Times New Roman" w:hAnsi="Times New Roman"/>
          <w:sz w:val="22"/>
          <w:szCs w:val="22"/>
          <w:color w:val="auto"/>
        </w:rPr>
        <w:t xml:space="preserve">Revenue was $678 million in the first quarter of 2026, an increase of 2% on a reported basis and 1% on a constant currency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basis compared to revenue of $665 million in the first quarter of 2025.</w:t>
      </w:r>
    </w:p>
    <w:p>
      <w:pPr>
        <w:spacing w:after="0" w:line="23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Private Cloud revenue was $235 million in the first quarter of 2026, a decrease of 6% on a reported basis and 8% on a constant currency basis compared to revenue of $250 million in the first quarter of 2025.</w:t>
      </w:r>
    </w:p>
    <w:p>
      <w:pPr>
        <w:spacing w:after="0" w:line="18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Public Cloud revenue was $443 million in the first quarter of 2026, an increase of 7% on a reported basis and 6% on a constant currency basis compared to revenue of $416 million in the first quarter of 2025.</w:t>
      </w:r>
    </w:p>
    <w:p>
      <w:pPr>
        <w:spacing w:after="0" w:line="18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2"/>
          <w:szCs w:val="22"/>
          <w:color w:val="auto"/>
        </w:rPr>
        <w:t>Loss from operations was $(18) million in the first quarter of 2026, compared to loss from operations of $(38) million in the first quarter of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income was $8 million in the first quarter of 2026, compared to net loss of $(72) million in the first quarter of 2025.</w:t>
      </w:r>
    </w:p>
    <w:p>
      <w:pPr>
        <w:spacing w:after="0" w:line="24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Net earnings per diluted share was $0.03 in the first quarter of 2026, compared to net loss per diluted share of $(0.31) in the first quarter of 2025.</w:t>
      </w:r>
    </w:p>
    <w:p>
      <w:pPr>
        <w:spacing w:after="0" w:line="1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Non-GAAP Operating Profit was $31 million in the first quarter of 2026, an increase of 20% compared to $26 million in the first quarter of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Non-GAAP Loss Per Share was $(0.06) in both the first quarter of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Capital expenditures were $35 million in the first quarter of 2026, compared to $27 million in the first quarter of 2025.</w:t>
      </w:r>
    </w:p>
    <w:p>
      <w:pPr>
        <w:spacing w:after="0" w:line="247"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22"/>
          <w:szCs w:val="22"/>
          <w:color w:val="auto"/>
        </w:rPr>
        <w:t>As of March 31, 2026, we had cash and cash equivalents of $94 million and total liquidity of $295 million, including our Revolving Credit Facility.</w:t>
      </w:r>
    </w:p>
    <w:p>
      <w:pPr>
        <w:spacing w:after="0" w:line="239" w:lineRule="exact"/>
        <w:rPr>
          <w:sz w:val="20"/>
          <w:szCs w:val="20"/>
          <w:color w:val="auto"/>
        </w:rPr>
      </w:pPr>
    </w:p>
    <w:p>
      <w:pPr>
        <w:ind w:left="480" w:right="280" w:hanging="454"/>
        <w:spacing w:after="0" w:line="245" w:lineRule="auto"/>
        <w:tabs>
          <w:tab w:leader="none" w:pos="4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revenue and certain other measures in this release are non-GAAP financial measures. See “Non-GAAP Financial Measures” and the tables that accompany this release for definitions and reconciliations of these non-GAAP measures to the most comparable GAAP measures.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Outlook</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Rackspace Technology is providing guidance as follows: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3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900" w:type="dxa"/>
            <w:vAlign w:val="bottom"/>
            <w:tcBorders>
              <w:top w:val="single" w:sz="8" w:color="auto"/>
              <w:bottom w:val="single" w:sz="8" w:color="auto"/>
              <w:right w:val="single" w:sz="8" w:color="auto"/>
            </w:tcBorders>
          </w:tcPr>
          <w:p>
            <w:pPr>
              <w:jc w:val="right"/>
              <w:ind w:right="494"/>
              <w:spacing w:after="0"/>
              <w:rPr>
                <w:sz w:val="20"/>
                <w:szCs w:val="20"/>
                <w:color w:val="auto"/>
              </w:rPr>
            </w:pPr>
            <w:r>
              <w:rPr>
                <w:rFonts w:ascii="Times New Roman" w:cs="Times New Roman" w:eastAsia="Times New Roman" w:hAnsi="Times New Roman"/>
                <w:sz w:val="22"/>
                <w:szCs w:val="22"/>
                <w:b w:val="1"/>
                <w:bCs w:val="1"/>
                <w:color w:val="auto"/>
              </w:rPr>
              <w:t>FY 2026 Guidance</w:t>
            </w:r>
          </w:p>
        </w:tc>
      </w:tr>
      <w:tr>
        <w:trPr>
          <w:trHeight w:val="263"/>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Revenue</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$2,600 - $2,700 million</w:t>
            </w:r>
          </w:p>
        </w:tc>
      </w:tr>
      <w:tr>
        <w:trPr>
          <w:trHeight w:val="250"/>
        </w:trPr>
        <w:tc>
          <w:tcPr>
            <w:tcW w:w="836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Private Cloud Revenue</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$1,025 - $1,075 million</w:t>
            </w:r>
          </w:p>
        </w:tc>
      </w:tr>
      <w:tr>
        <w:trPr>
          <w:trHeight w:val="250"/>
        </w:trPr>
        <w:tc>
          <w:tcPr>
            <w:tcW w:w="836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Public Cloud Revenue</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$1,575 - $1,625 million</w:t>
            </w:r>
          </w:p>
        </w:tc>
      </w:tr>
      <w:tr>
        <w:trPr>
          <w:trHeight w:val="26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Non-GAAP Operating Profit</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$160 - $170 million</w:t>
            </w:r>
          </w:p>
        </w:tc>
      </w:tr>
      <w:tr>
        <w:trPr>
          <w:trHeight w:val="263"/>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$305 - $315 million</w:t>
            </w:r>
          </w:p>
        </w:tc>
      </w:tr>
      <w:tr>
        <w:trPr>
          <w:trHeight w:val="263"/>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Non-GAAP Loss Per Share</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($0.15) - ($0.20)</w:t>
            </w:r>
          </w:p>
        </w:tc>
      </w:tr>
      <w:tr>
        <w:trPr>
          <w:trHeight w:val="263"/>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Non-GAAP Other Income (Expense)</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 – ($230) million</w:t>
            </w:r>
          </w:p>
        </w:tc>
      </w:tr>
      <w:tr>
        <w:trPr>
          <w:trHeight w:val="263"/>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Non-GAAP Tax Expense Rate</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64"/>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Non-GAAP Weighted Average Shares</w:t>
            </w:r>
          </w:p>
        </w:tc>
        <w:tc>
          <w:tcPr>
            <w:tcW w:w="2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250 - 260 million</w:t>
            </w:r>
          </w:p>
        </w:tc>
      </w:tr>
    </w:tbl>
    <w:p>
      <w:pPr>
        <w:spacing w:after="0" w:line="3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Information about Rackspace Technology’s use of non-GAAP financial measures is provided below under “Non-GAAP Financial Measures”.</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Definitions of non-GAAP financial measures and the reconciliations to the most directly comparable measures in accordance with generally accepted accounting principles in the United States (“GAAP”) are provided in subsequent sections of this press release narrative and supplemental schedules. Rackspace Technology has not reconciled Non-GAAP Operating Profit, Adjusted EBITDA, Non-GAAP Loss Per Share, Non-GAAP Other Income (Expense) or Non-GAAP Tax Expense Rate guidance to the most directly comparable GAAP measure because it does not provide guidance on GAAP net income (loss) or the reconciling items between these Non-GAAP measures and GAAP net income (loss) as a result of the uncertainty regarding, and the potential variability of, certain of these items, such as share-based compensation expense. Accordingly, a reconciliation of the non-GAAP financial measure guidance to the corresponding GAAP measure is not available without unreasonable effort. With respect to Non-GAAP Operating Profit, Adjusted EBITDA, Non-GAAP Loss Per Share, Non-GAAP Other Income (Expense) and Non-GAAP Tax Expense Rate guidance, adjustments in future periods are generally expected to be similar to the kinds of charges and costs excluded from these Non-GAAP measures in prior periods, but the impact of such adjustments could be significant.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93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Rackspace Technology will hold a conference call today, May 7, 2026, at 7:30am CT / 8:30am ET to discuss its first quarter 2026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listen to the live webcast or access the replay following the webcast, please visit our IR website at the following link: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https://ir.rackspace.com/news-and-events/events-and-presentations</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obtain a dial-in number, please pre-register at the following link: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https://register-conf.media-server.com/register/BI0dd982209e5e4e0c8ecd0399b3f24aee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Registrants will receive dial-in information and a PIN allowing them to access the live call.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Rackspace Technology</w:t>
      </w:r>
    </w:p>
    <w:p>
      <w:pPr>
        <w:spacing w:after="0" w:line="2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Rackspace Technology is a leading end-to-end hybrid cloud and AI solutions company. We can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32"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Rackspace Technology has made statements in this press release and other reports, filings, and other public written and verbal announcements that are forward-looking and therefore subject to risks and uncertainties. All statements, other than statements of historical fact, included in this press release are, or could be, “forward-looking statements” within the meaning of the Private Securities Litigation Reform Act of 1995 and are made in reliance on the safe harbor protections provided thereunder. These forward-looking statements relate to anticipated financial performance, management’s plans and objectives for future operations, business prospects, outcome of regulatory proceedings, market conditions, and other matters. In addition, the anticipated collaboration with AMD is forward-looking and has been memorialized in a non-binding memorandum of understanding, which is a framework for potential collaboration and does not constitute a binding commitment by either party to complete any specific transaction, financing or other commercial arrangement or transaction. No definitive agreements have been reached, discussions remain preliminary, and there can be no assurance that any such arrangements will be entered into or that the parties will reach definitive agreement on terms, or that the anticipated benefits of the collaboration will ultimately be realized. Any third-party financing required to implement the transactions contemplated by the MOU is subject to the availability of financing on acceptable terms. Any forward-looking statement made in this press release speaks only as of the date on which it is made. We undertake no obligation to publicly update or revise any forward-looking statement, whether as a result of new information, future developments or otherwise. Forward-looking statements can be identified by various words such as “expects,” “intends,” “to establish,”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Rackspace Technology cautions that these statements are subject to risks and uncertainties, many of which are outside of our control, and could cause future events or results to be materially different from those stated or implied in this press release, including among others, risk factors that are described in Rackspace Technology, Inc.’s Annual Reports on Form 10-K, Quarterly Reports on Form 10-Q, Current Reports on Form 8-K, and other filings with the Securities and Exchange Commission, including the sections entitled “Risk Factors” and “Management’s Discussion and Analysis of Financial Condition and Results of Operations”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93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This press release includes several non-GAAP financial measures such as constant currency revenue, Non-GAAP Gross Profit, Non-GAAP Net Income (Loss), Non-GAAP Operating Profit, Adjusted EBITDA and Non-GAAP Earnings (Loss) Per Share. These non-GAAP financial measures exclude the impact of certain costs, losses and gains that are required to be included in our profit and loss measures under GAAP. Although we believe these measures are useful to investors and analysts for the same reasons they are useful to management, as described in the accompanying pages, these measures are not a substitute for, or superior to, GAAP financial measures or disclosures. Other companies may calculate similarly-titled non-GAAP measures differently, limiting their usefulness as comparative measures. We have reconciled each of these non-GAAP measures to the applicable most comparable GAAP measure in the accompanying pages.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Sagar Hebbar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Rackspace Technology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ir@rackspace.com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Cheryl Amerine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Rackspace Technology Media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publicrelations@rackspace.com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932"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 and per share data)</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0"/>
        </w:trPr>
        <w:tc>
          <w:tcPr>
            <w:tcW w:w="3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0"/>
        </w:trPr>
        <w:tc>
          <w:tcPr>
            <w:tcW w:w="3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35.1 %</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3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0"/>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3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3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2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07"/>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accrued customer credits of $12.2 and $10.7, respectively</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0"/>
        </w:trPr>
        <w:tc>
          <w:tcPr>
            <w:tcW w:w="8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w:t>
            </w:r>
          </w:p>
        </w:tc>
        <w:tc>
          <w:tcPr>
            <w:tcW w:w="0" w:type="dxa"/>
            <w:vAlign w:val="bottom"/>
          </w:tcPr>
          <w:p>
            <w:pPr>
              <w:spacing w:after="0"/>
              <w:rPr>
                <w:sz w:val="1"/>
                <w:szCs w:val="1"/>
                <w:color w:val="auto"/>
              </w:rPr>
            </w:pPr>
          </w:p>
        </w:tc>
      </w:tr>
      <w:tr>
        <w:trPr>
          <w:trHeight w:val="432"/>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667.1</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19"/>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213"/>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8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0"/>
        </w:trPr>
        <w:tc>
          <w:tcPr>
            <w:tcW w:w="8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0" w:type="dxa"/>
            <w:vAlign w:val="bottom"/>
          </w:tcPr>
          <w:p>
            <w:pPr>
              <w:spacing w:after="0"/>
              <w:rPr>
                <w:sz w:val="1"/>
                <w:szCs w:val="1"/>
                <w:color w:val="auto"/>
              </w:rPr>
            </w:pPr>
          </w:p>
        </w:tc>
      </w:tr>
      <w:tr>
        <w:trPr>
          <w:trHeight w:val="432"/>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liabilities: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2,681.9</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0"/>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3,982.1</w:t>
            </w:r>
          </w:p>
        </w:tc>
        <w:tc>
          <w:tcPr>
            <w:tcW w:w="0" w:type="dxa"/>
            <w:vAlign w:val="bottom"/>
          </w:tcPr>
          <w:p>
            <w:pPr>
              <w:spacing w:after="0"/>
              <w:rPr>
                <w:sz w:val="1"/>
                <w:szCs w:val="1"/>
                <w:color w:val="auto"/>
              </w:rPr>
            </w:pPr>
          </w:p>
        </w:tc>
      </w:tr>
      <w:tr>
        <w:trPr>
          <w:trHeight w:val="432"/>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Stockholders' deficit:</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per share: 5.0 shares authorized; no shares issued or outstanding</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8360" w:type="dxa"/>
            <w:vAlign w:val="bottom"/>
          </w:tcPr>
          <w:p>
            <w:pPr>
              <w:ind w:left="220"/>
              <w:spacing w:after="0" w:line="168" w:lineRule="exact"/>
              <w:rPr>
                <w:sz w:val="20"/>
                <w:szCs w:val="20"/>
                <w:color w:val="auto"/>
              </w:rPr>
            </w:pPr>
            <w:r>
              <w:rPr>
                <w:rFonts w:ascii="Times New Roman" w:cs="Times New Roman" w:eastAsia="Times New Roman" w:hAnsi="Times New Roman"/>
                <w:sz w:val="16"/>
                <w:szCs w:val="16"/>
                <w:color w:val="auto"/>
              </w:rPr>
              <w:t>Common stock, $0.01 par value per share: 1,495.0 shares authorized; 248.4 and 252.2 shares issued; 245.3 and 249.1 shares</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outstanding, respectively</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2,713.5</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(3,899.9)</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3.1 shares held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3"/>
        </w:trPr>
        <w:tc>
          <w:tcPr>
            <w:tcW w:w="8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(1,216.7)</w:t>
            </w:r>
          </w:p>
        </w:tc>
        <w:tc>
          <w:tcPr>
            <w:tcW w:w="0" w:type="dxa"/>
            <w:vAlign w:val="bottom"/>
          </w:tcPr>
          <w:p>
            <w:pPr>
              <w:spacing w:after="0"/>
              <w:rPr>
                <w:sz w:val="1"/>
                <w:szCs w:val="1"/>
                <w:color w:val="auto"/>
              </w:rPr>
            </w:pPr>
          </w:p>
        </w:tc>
      </w:tr>
      <w:tr>
        <w:trPr>
          <w:trHeight w:val="212"/>
        </w:trPr>
        <w:tc>
          <w:tcPr>
            <w:tcW w:w="8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80"/>
          </w:cols>
          <w:pgMar w:left="360" w:top="927" w:right="35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193"/>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Reduction in carrying amount of operating right-of-use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investments,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bad debts and accrued customer credits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 and debt discount and premium</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borrowings under long-term debt arrangements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financing component of interest rate swap</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of finance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of financing obligations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7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9"/>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1"/>
        </w:trPr>
        <w:tc>
          <w:tcPr>
            <w:tcW w:w="7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79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payments for interest, net of amount capitalized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payments for income taxes, net of refunds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70"/>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finance leases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financing obligations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property, equipment and software accrued in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0"/>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purchases of property, equipment and software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40" w:top="117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300" w:type="dxa"/>
            <w:vAlign w:val="bottom"/>
            <w:gridSpan w:val="4"/>
          </w:tcPr>
          <w:p>
            <w:pPr>
              <w:ind w:left="1480"/>
              <w:spacing w:after="0"/>
              <w:rPr>
                <w:sz w:val="20"/>
                <w:szCs w:val="20"/>
                <w:color w:val="auto"/>
              </w:rPr>
            </w:pPr>
            <w:r>
              <w:rPr>
                <w:rFonts w:ascii="Times New Roman" w:cs="Times New Roman" w:eastAsia="Times New Roman" w:hAnsi="Times New Roman"/>
                <w:sz w:val="18"/>
                <w:szCs w:val="18"/>
                <w:b w:val="1"/>
                <w:bCs w:val="1"/>
                <w:color w:val="auto"/>
              </w:rPr>
              <w:t>SEGMENT DATA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71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w:t>
            </w:r>
          </w:p>
        </w:tc>
        <w:tc>
          <w:tcPr>
            <w:tcW w:w="1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15"/>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by segment:</w:t>
            </w:r>
          </w:p>
        </w:tc>
        <w:tc>
          <w:tcPr>
            <w:tcW w:w="1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Public Cloud</w:t>
            </w:r>
          </w:p>
        </w:tc>
        <w:tc>
          <w:tcPr>
            <w:tcW w:w="18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w:t>
            </w:r>
          </w:p>
        </w:tc>
      </w:tr>
      <w:tr>
        <w:trPr>
          <w:trHeight w:val="21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Private Cloud</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w:t>
            </w:r>
          </w:p>
        </w:tc>
      </w:tr>
      <w:tr>
        <w:trPr>
          <w:trHeight w:val="213"/>
        </w:trPr>
        <w:tc>
          <w:tcPr>
            <w:tcW w:w="3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consolidated revenue</w:t>
            </w:r>
          </w:p>
        </w:tc>
        <w:tc>
          <w:tcPr>
            <w:tcW w:w="18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w:t>
            </w:r>
          </w:p>
        </w:tc>
      </w:tr>
      <w:tr>
        <w:trPr>
          <w:trHeight w:val="21"/>
        </w:trPr>
        <w:tc>
          <w:tcPr>
            <w:tcW w:w="3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60" w:hanging="454"/>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"Non-GAAP Financial Measures" in this section for further explanation and reconciliation.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Borders>
              <w:top w:val="single" w:sz="8" w:color="auto"/>
            </w:tcBorders>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48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0" w:type="dxa"/>
            <w:vAlign w:val="bottom"/>
          </w:tcPr>
          <w:p>
            <w:pPr>
              <w:spacing w:after="0"/>
              <w:rPr>
                <w:sz w:val="1"/>
                <w:szCs w:val="1"/>
                <w:color w:val="auto"/>
              </w:rPr>
            </w:pPr>
          </w:p>
        </w:tc>
      </w:tr>
      <w:tr>
        <w:trPr>
          <w:trHeight w:val="108"/>
        </w:trPr>
        <w:tc>
          <w:tcPr>
            <w:tcW w:w="1560" w:type="dxa"/>
            <w:vAlign w:val="bottom"/>
            <w:gridSpan w:val="2"/>
            <w:vMerge w:val="continue"/>
          </w:tcPr>
          <w:p>
            <w:pPr>
              <w:spacing w:after="0"/>
              <w:rPr>
                <w:sz w:val="9"/>
                <w:szCs w:val="9"/>
                <w:color w:val="auto"/>
              </w:rPr>
            </w:pPr>
          </w:p>
        </w:tc>
        <w:tc>
          <w:tcPr>
            <w:tcW w:w="1480" w:type="dxa"/>
            <w:vAlign w:val="bottom"/>
          </w:tcPr>
          <w:p>
            <w:pPr>
              <w:jc w:val="right"/>
              <w:ind w:right="605"/>
              <w:spacing w:after="0" w:line="108" w:lineRule="exact"/>
              <w:rPr>
                <w:sz w:val="20"/>
                <w:szCs w:val="20"/>
                <w:color w:val="auto"/>
              </w:rPr>
            </w:pPr>
            <w:r>
              <w:rPr>
                <w:rFonts w:ascii="Times New Roman" w:cs="Times New Roman" w:eastAsia="Times New Roman" w:hAnsi="Times New Roman"/>
                <w:sz w:val="11"/>
                <w:szCs w:val="11"/>
                <w:b w:val="1"/>
                <w:bCs w:val="1"/>
                <w:color w:val="auto"/>
              </w:rPr>
              <w:t>(a)</w:t>
            </w:r>
          </w:p>
        </w:tc>
        <w:tc>
          <w:tcPr>
            <w:tcW w:w="0" w:type="dxa"/>
            <w:vAlign w:val="bottom"/>
          </w:tcPr>
          <w:p>
            <w:pPr>
              <w:spacing w:after="0"/>
              <w:rPr>
                <w:sz w:val="1"/>
                <w:szCs w:val="1"/>
                <w:color w:val="auto"/>
              </w:rPr>
            </w:pPr>
          </w:p>
        </w:tc>
      </w:tr>
      <w:tr>
        <w:trPr>
          <w:trHeight w:val="51"/>
        </w:trPr>
        <w:tc>
          <w:tcPr>
            <w:tcW w:w="156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6"/>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57"/>
        </w:trPr>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bl>
    <w:p>
      <w:pPr>
        <w:spacing w:after="0" w:line="713" w:lineRule="exact"/>
        <w:rPr>
          <w:sz w:val="20"/>
          <w:szCs w:val="20"/>
          <w:color w:val="auto"/>
        </w:rPr>
      </w:pPr>
    </w:p>
    <w:p>
      <w:pPr>
        <w:sectPr>
          <w:pgSz w:w="11900" w:h="16838" w:orient="portrait"/>
          <w:cols w:equalWidth="0" w:num="2">
            <w:col w:w="8080" w:space="100"/>
            <w:col w:w="3040"/>
          </w:cols>
          <w:pgMar w:left="340" w:top="927" w:right="33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Segment operating profit </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3"/>
                <w:szCs w:val="13"/>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4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17.3</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w w:val="99"/>
              </w:rPr>
              <w:t>20.7</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61.0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57.9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22"/>
        </w:trPr>
        <w:tc>
          <w:tcPr>
            <w:tcW w:w="402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 xml:space="preserve">Corporate functions </w:t>
            </w:r>
            <w:r>
              <w:rPr>
                <w:rFonts w:ascii="Times New Roman" w:cs="Times New Roman" w:eastAsia="Times New Roman" w:hAnsi="Times New Roman"/>
                <w:sz w:val="21"/>
                <w:szCs w:val="21"/>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w w:val="98"/>
              </w:rPr>
              <w:t>(47.9)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9"/>
        </w:trPr>
        <w:tc>
          <w:tcPr>
            <w:tcW w:w="4020" w:type="dxa"/>
            <w:vAlign w:val="bottom"/>
          </w:tcPr>
          <w:p>
            <w:pPr>
              <w:ind w:left="340"/>
              <w:spacing w:after="0" w:line="210" w:lineRule="exact"/>
              <w:rPr>
                <w:sz w:val="20"/>
                <w:szCs w:val="20"/>
                <w:color w:val="auto"/>
              </w:rPr>
            </w:pPr>
            <w:r>
              <w:rPr>
                <w:rFonts w:ascii="Times New Roman" w:cs="Times New Roman" w:eastAsia="Times New Roman" w:hAnsi="Times New Roman"/>
                <w:sz w:val="16"/>
                <w:szCs w:val="16"/>
                <w:color w:val="auto"/>
              </w:rPr>
              <w:t xml:space="preserve">Non-GAAP Operating Profit </w:t>
            </w:r>
            <w:r>
              <w:rPr>
                <w:rFonts w:ascii="Times New Roman" w:cs="Times New Roman" w:eastAsia="Times New Roman" w:hAnsi="Times New Roman"/>
                <w:sz w:val="21"/>
                <w:szCs w:val="21"/>
                <w:color w:val="auto"/>
                <w:vertAlign w:val="superscript"/>
              </w:rPr>
              <w:t>(c)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25.6</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w w:val="99"/>
              </w:rPr>
              <w:t>30.7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5.1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460" w:hanging="454"/>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revenue less expenses directly attributable to running the respective segments’ business. These expenses exclude centralized corporate function costs.</w:t>
      </w:r>
    </w:p>
    <w:p>
      <w:pPr>
        <w:spacing w:after="0" w:line="32" w:lineRule="exact"/>
        <w:rPr>
          <w:rFonts w:ascii="Times New Roman" w:cs="Times New Roman" w:eastAsia="Times New Roman" w:hAnsi="Times New Roman"/>
          <w:sz w:val="16"/>
          <w:szCs w:val="16"/>
          <w:color w:val="auto"/>
        </w:rPr>
      </w:pPr>
    </w:p>
    <w:p>
      <w:pPr>
        <w:ind w:left="460" w:right="160" w:hanging="454"/>
        <w:spacing w:after="0" w:line="245"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that are not allocated to segments. These costs are related to centralized corporate functions that provide services to the segments in areas such as accounting, information technology, marketing, legal and human resources.</w:t>
      </w:r>
    </w:p>
    <w:p>
      <w:pPr>
        <w:spacing w:after="0" w:line="2" w:lineRule="exact"/>
        <w:rPr>
          <w:rFonts w:ascii="Times New Roman" w:cs="Times New Roman" w:eastAsia="Times New Roman" w:hAnsi="Times New Roman"/>
          <w:sz w:val="16"/>
          <w:szCs w:val="16"/>
          <w:color w:val="auto"/>
        </w:rPr>
      </w:pPr>
    </w:p>
    <w:p>
      <w:pPr>
        <w:ind w:left="460" w:hanging="454"/>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"Non-GAAP Financial Measures" in this section for further explanation and reconciliation.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92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Revenue</w:t>
      </w:r>
    </w:p>
    <w:p>
      <w:pPr>
        <w:spacing w:after="0" w:line="2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0" w:type="dxa"/>
            <w:vAlign w:val="bottom"/>
          </w:tcPr>
          <w:p>
            <w:pPr>
              <w:spacing w:after="0"/>
              <w:rPr>
                <w:sz w:val="16"/>
                <w:szCs w:val="16"/>
                <w:color w:val="auto"/>
              </w:rPr>
            </w:pPr>
          </w:p>
        </w:tc>
        <w:tc>
          <w:tcPr>
            <w:tcW w:w="178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18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00" w:type="dxa"/>
            <w:vAlign w:val="bottom"/>
          </w:tcPr>
          <w:p>
            <w:pPr>
              <w:spacing w:after="0"/>
              <w:rPr>
                <w:sz w:val="13"/>
                <w:szCs w:val="13"/>
                <w:color w:val="auto"/>
              </w:rPr>
            </w:pPr>
          </w:p>
        </w:tc>
        <w:tc>
          <w:tcPr>
            <w:tcW w:w="17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w:t>
            </w: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Translation </w:t>
            </w:r>
            <w:r>
              <w:rPr>
                <w:rFonts w:ascii="Times New Roman" w:cs="Times New Roman" w:eastAsia="Times New Roman" w:hAnsi="Times New Roman"/>
                <w:sz w:val="21"/>
                <w:szCs w:val="21"/>
                <w:b w:val="1"/>
                <w:bCs w:val="1"/>
                <w:color w:val="auto"/>
                <w:w w:val="97"/>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0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0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Public Cloud</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Private Cloud</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480" w:hanging="454"/>
        <w:spacing w:after="0"/>
        <w:tabs>
          <w:tab w:leader="none" w:pos="4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is calculated by translating current period results using the average exchange rate from the prior comparative period.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w:t>
      </w:r>
    </w:p>
    <w:p>
      <w:pPr>
        <w:spacing w:after="0" w:line="25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present Non-GAAP Gross Profit because we believe the measure is useful in analyzing trends in our underlying, recurring gross margins. We define Non-GAAP Gross Profit as gross profit, adjusted to exclude the impact of share-based compensation expense, purchase accounting-related effects, and certain business transformation-related costs.</w:t>
      </w:r>
    </w:p>
    <w:p>
      <w:pPr>
        <w:spacing w:after="0" w:line="24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07"/>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7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(a)</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7"/>
        </w:trPr>
        <w:tc>
          <w:tcPr>
            <w:tcW w:w="792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Non-GAAP Gross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hanging="454"/>
        <w:spacing w:after="0"/>
        <w:tabs>
          <w:tab w:leader="none" w:pos="4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November 2016 merger on expenses.</w:t>
      </w:r>
    </w:p>
    <w:p>
      <w:pPr>
        <w:spacing w:after="0" w:line="59" w:lineRule="exact"/>
        <w:rPr>
          <w:rFonts w:ascii="Times New Roman" w:cs="Times New Roman" w:eastAsia="Times New Roman" w:hAnsi="Times New Roman"/>
          <w:sz w:val="16"/>
          <w:szCs w:val="16"/>
          <w:color w:val="auto"/>
        </w:rPr>
      </w:pPr>
    </w:p>
    <w:p>
      <w:pPr>
        <w:ind w:left="480" w:right="120" w:hanging="454"/>
        <w:spacing w:after="0" w:line="245" w:lineRule="auto"/>
        <w:tabs>
          <w:tab w:leader="none" w:pos="4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 Non-GAAP Operating Profit and Adjusted EBITDA</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define Non-GAAP Net Income (Loss) as net income (loss) adjusted to exclude the impact of non-cash charges for share-based compensation, transaction-related costs and adjustments, restructuring and transformation charges, the amortization of acquired intangible assets, goodwill and asset impairment charges, the interest expense impact from the refinancing transactions announced in March 2024 (the “March 2024 Refinancing Transactions”), and certain other non-operating, non-recurring or non-core gains and losses, as well as the tax effects of these non-GAAP adjustments.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define Non-GAAP Operating Profit as income (loss) from operations adjusted to exclude the impact of non-cash charges for share-based compensation, transaction-related costs and adjustments, restructuring and transformation charges, the amortization of acquired intangible assets, goodwill and asset impairment charges, and certain other non-operating, non-recurring or non-core gains and losses.</w:t>
      </w:r>
    </w:p>
    <w:p>
      <w:pPr>
        <w:spacing w:after="0" w:line="20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define Adjusted EBITDA as net income (loss) adjusted to exclude the impact of non-cash charges for share-based compensation, transaction-related costs and adjustments, restructuring and transformation charges, certain other non-operating, non-recurring or non-core gains and losses, interest expense, expenses for our accounts receivable purchase agreement, income taxes, depreciation and amortization, and goodwill and asset impairment charges.</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intended to imply that we would have generated higher income or avoided net losses if the November 2016 merger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Net income (loss) reconciliation to Non-GAAP Net Loss</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p>
      <w:pPr>
        <w:ind w:left="20"/>
        <w:spacing w:after="0" w:line="214" w:lineRule="auto"/>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p>
      <w:pPr>
        <w:ind w:left="20"/>
        <w:spacing w:after="0" w:line="215" w:lineRule="auto"/>
        <w:rPr>
          <w:sz w:val="20"/>
          <w:szCs w:val="20"/>
          <w:color w:val="auto"/>
        </w:rPr>
      </w:pPr>
      <w:r>
        <w:rPr>
          <w:rFonts w:ascii="Times New Roman" w:cs="Times New Roman" w:eastAsia="Times New Roman" w:hAnsi="Times New Roman"/>
          <w:sz w:val="16"/>
          <w:szCs w:val="16"/>
          <w:color w:val="auto"/>
        </w:rPr>
        <w:t xml:space="preserve">Net loss on divestiture and investments </w:t>
      </w:r>
      <w:r>
        <w:rPr>
          <w:rFonts w:ascii="Times New Roman" w:cs="Times New Roman" w:eastAsia="Times New Roman" w:hAnsi="Times New Roman"/>
          <w:sz w:val="21"/>
          <w:szCs w:val="21"/>
          <w:color w:val="auto"/>
          <w:vertAlign w:val="superscript"/>
        </w:rPr>
        <w:t>(c)</w:t>
      </w:r>
    </w:p>
    <w:p>
      <w:pPr>
        <w:ind w:left="20"/>
        <w:spacing w:after="0"/>
        <w:rPr>
          <w:sz w:val="20"/>
          <w:szCs w:val="20"/>
          <w:color w:val="auto"/>
        </w:rPr>
      </w:pPr>
      <w:r>
        <w:rPr>
          <w:rFonts w:ascii="Times New Roman" w:cs="Times New Roman" w:eastAsia="Times New Roman" w:hAnsi="Times New Roman"/>
          <w:sz w:val="16"/>
          <w:szCs w:val="16"/>
          <w:color w:val="auto"/>
        </w:rPr>
        <w:t>Gain on debt extinguishment</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Interest expense impact from the March 2024 Refinancing Transactions </w:t>
      </w:r>
      <w:r>
        <w:rPr>
          <w:rFonts w:ascii="Times New Roman" w:cs="Times New Roman" w:eastAsia="Times New Roman" w:hAnsi="Times New Roman"/>
          <w:sz w:val="21"/>
          <w:szCs w:val="21"/>
          <w:color w:val="auto"/>
          <w:vertAlign w:val="superscript"/>
        </w:rPr>
        <w:t>(d)</w:t>
      </w:r>
    </w:p>
    <w:p>
      <w:pPr>
        <w:ind w:left="20"/>
        <w:spacing w:after="0" w:line="197" w:lineRule="auto"/>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(e)</w:t>
      </w:r>
    </w:p>
    <w:p>
      <w:pPr>
        <w:ind w:left="20"/>
        <w:spacing w:after="0" w:line="232" w:lineRule="auto"/>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(f)</w:t>
      </w:r>
    </w:p>
    <w:p>
      <w:pPr>
        <w:ind w:left="20"/>
        <w:spacing w:after="0" w:line="223" w:lineRule="auto"/>
        <w:rPr>
          <w:sz w:val="20"/>
          <w:szCs w:val="20"/>
          <w:color w:val="auto"/>
        </w:rPr>
      </w:pPr>
      <w:r>
        <w:rPr>
          <w:rFonts w:ascii="Times New Roman" w:cs="Times New Roman" w:eastAsia="Times New Roman" w:hAnsi="Times New Roman"/>
          <w:sz w:val="16"/>
          <w:szCs w:val="16"/>
          <w:color w:val="auto"/>
        </w:rPr>
        <w:t xml:space="preserve">Tax effect of non-GAAP adjustments </w:t>
      </w:r>
      <w:r>
        <w:rPr>
          <w:rFonts w:ascii="Times New Roman" w:cs="Times New Roman" w:eastAsia="Times New Roman" w:hAnsi="Times New Roman"/>
          <w:sz w:val="21"/>
          <w:szCs w:val="21"/>
          <w:color w:val="auto"/>
          <w:vertAlign w:val="superscript"/>
        </w:rPr>
        <w:t>(g)</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Non-GAAP Net Loss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 reconciliation to Non-GAAP Operating Profit</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Loss from operations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p>
      <w:pPr>
        <w:ind w:left="20"/>
        <w:spacing w:after="0" w:line="214" w:lineRule="auto"/>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(f)</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05"/>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9"/>
        </w:trPr>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3"/>
        </w:trPr>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05"/>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0"/>
        </w:trPr>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3"/>
        </w:trPr>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ectPr>
          <w:pgSz w:w="11900" w:h="16838" w:orient="portrait"/>
          <w:cols w:equalWidth="0" w:num="2">
            <w:col w:w="7220" w:space="720"/>
            <w:col w:w="3300"/>
          </w:cols>
          <w:pgMar w:left="320" w:top="9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Net income (loss) reconciliation to Adjusted EBITDA</w:t>
      </w:r>
    </w:p>
    <w:p>
      <w:pPr>
        <w:spacing w:after="0" w:line="15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07"/>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7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7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27"/>
        </w:trPr>
        <w:tc>
          <w:tcPr>
            <w:tcW w:w="792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 xml:space="preserve">Net loss on divestiture and investments </w:t>
            </w:r>
            <w:r>
              <w:rPr>
                <w:rFonts w:ascii="Times New Roman" w:cs="Times New Roman" w:eastAsia="Times New Roman" w:hAnsi="Times New Roman"/>
                <w:sz w:val="21"/>
                <w:szCs w:val="21"/>
                <w:color w:val="auto"/>
                <w:vertAlign w:val="superscript"/>
              </w:rPr>
              <w:t>(c)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5"/>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3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27"/>
        </w:trPr>
        <w:tc>
          <w:tcPr>
            <w:tcW w:w="792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 xml:space="preserve">Other expense, net </w:t>
            </w:r>
            <w:r>
              <w:rPr>
                <w:rFonts w:ascii="Times New Roman" w:cs="Times New Roman" w:eastAsia="Times New Roman" w:hAnsi="Times New Roman"/>
                <w:sz w:val="21"/>
                <w:szCs w:val="21"/>
                <w:color w:val="auto"/>
                <w:vertAlign w:val="superscript"/>
              </w:rPr>
              <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1"/>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27"/>
        </w:trPr>
        <w:tc>
          <w:tcPr>
            <w:tcW w:w="792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(i)</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09"/>
        </w:trPr>
        <w:tc>
          <w:tcPr>
            <w:tcW w:w="7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1"/>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hanging="45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 accounting adjustments, exploratory acquisition and divestiture costs, and expenses related to financing activities.</w:t>
      </w:r>
    </w:p>
    <w:p>
      <w:pPr>
        <w:spacing w:after="0" w:line="59" w:lineRule="exact"/>
        <w:rPr>
          <w:rFonts w:ascii="Times New Roman" w:cs="Times New Roman" w:eastAsia="Times New Roman" w:hAnsi="Times New Roman"/>
          <w:sz w:val="16"/>
          <w:szCs w:val="16"/>
          <w:color w:val="auto"/>
        </w:rPr>
      </w:pPr>
    </w:p>
    <w:p>
      <w:pPr>
        <w:ind w:left="480" w:right="40" w:hanging="454"/>
        <w:spacing w:after="0" w:line="280"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w:t>
      </w:r>
    </w:p>
    <w:p>
      <w:pPr>
        <w:spacing w:after="0" w:line="2"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gains and losses on investment and from dispositions.</w:t>
      </w:r>
    </w:p>
    <w:p>
      <w:pPr>
        <w:spacing w:after="0" w:line="59" w:lineRule="exact"/>
        <w:rPr>
          <w:rFonts w:ascii="Times New Roman" w:cs="Times New Roman" w:eastAsia="Times New Roman" w:hAnsi="Times New Roman"/>
          <w:sz w:val="16"/>
          <w:szCs w:val="16"/>
          <w:color w:val="auto"/>
        </w:rPr>
      </w:pPr>
    </w:p>
    <w:p>
      <w:pPr>
        <w:ind w:left="480" w:right="60" w:hanging="454"/>
        <w:spacing w:after="0" w:line="280"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impact due to the accounting for contractual interest payments on debt instruments entered into as part of the March 2024 Refinancing Transactions, which reduced interest expense relative to contractual interest cost.</w:t>
      </w:r>
    </w:p>
    <w:p>
      <w:pPr>
        <w:spacing w:after="0" w:line="2"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w:t>
      </w:r>
    </w:p>
    <w:p>
      <w:pPr>
        <w:spacing w:after="0" w:line="59"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November 2016 merger.</w:t>
      </w:r>
    </w:p>
    <w:p>
      <w:pPr>
        <w:spacing w:after="0" w:line="59" w:lineRule="exact"/>
        <w:rPr>
          <w:rFonts w:ascii="Times New Roman" w:cs="Times New Roman" w:eastAsia="Times New Roman" w:hAnsi="Times New Roman"/>
          <w:sz w:val="16"/>
          <w:szCs w:val="16"/>
          <w:color w:val="auto"/>
        </w:rPr>
      </w:pPr>
    </w:p>
    <w:p>
      <w:pPr>
        <w:ind w:left="480" w:right="60" w:hanging="454"/>
        <w:spacing w:after="0" w:line="248"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2025 and 2026 interim periods, we based it on an average of the 2024 and estimated 2025 tax rates and 2025 and estimated 2026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18"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 and expense related to our accounts receivable purchase agreement.</w:t>
      </w:r>
    </w:p>
    <w:p>
      <w:pPr>
        <w:spacing w:after="0" w:line="59"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accelerated depreciation expense related to facility closures.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(Loss) Per Share</w:t>
      </w:r>
    </w:p>
    <w:p>
      <w:pPr>
        <w:spacing w:after="0" w:line="24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w:t>
      </w:r>
    </w:p>
    <w:p>
      <w:pPr>
        <w:spacing w:after="0" w:line="250"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07"/>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Non-GAAP 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48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r>
      <w:tr>
        <w:trPr>
          <w:trHeight w:val="222"/>
        </w:trPr>
        <w:tc>
          <w:tcPr>
            <w:tcW w:w="792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 xml:space="preserve">Effect of dilutive securities </w:t>
            </w:r>
            <w:r>
              <w:rPr>
                <w:rFonts w:ascii="Times New Roman" w:cs="Times New Roman" w:eastAsia="Times New Roman" w:hAnsi="Times New Roman"/>
                <w:sz w:val="21"/>
                <w:szCs w:val="21"/>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Non-GAAP weighted average number of shares -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7"/>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(loss) per share -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22"/>
        </w:trPr>
        <w:tc>
          <w:tcPr>
            <w:tcW w:w="792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 xml:space="preserve">Per share impacts of adjustments to net income (loss)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16"/>
        </w:trPr>
        <w:tc>
          <w:tcPr>
            <w:tcW w:w="792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 xml:space="preserve">Per share impacts of shares after adjustments to net income (loss) </w:t>
            </w:r>
            <w:r>
              <w:rPr>
                <w:rFonts w:ascii="Times New Roman" w:cs="Times New Roman" w:eastAsia="Times New Roman" w:hAnsi="Times New Roman"/>
                <w:sz w:val="21"/>
                <w:szCs w:val="21"/>
                <w:color w:val="auto"/>
                <w:vertAlign w:val="superscript"/>
              </w:rPr>
              <w: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10"/>
        </w:trPr>
        <w:tc>
          <w:tcPr>
            <w:tcW w:w="7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Non-GAAP Loss Per Share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right="120" w:hanging="454"/>
        <w:spacing w:after="0" w:line="250" w:lineRule="auto"/>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common share equivalents consist of shares issuable upon the exercise of stock options, vesting of restricted stock units (including performance-based restricted stock units) or purchases under the Employee Stock Purchase Plan as well as contingent shares associated with our acquisition of Datapipe Parent, Inc. Certain of our potential common share equivalents are contingent on certain investment funds managed by affiliates of Apollo Global Management, Inc. achieving pre-established performance targets based on a multiple of their invested capital, which are included in the denominator for the entire period if such shares would be issuable as of the end of the reporting period assuming the end of the reporting period was the end of the contingency period.</w:t>
      </w:r>
    </w:p>
    <w:p>
      <w:pPr>
        <w:spacing w:after="0" w:line="27" w:lineRule="exact"/>
        <w:rPr>
          <w:rFonts w:ascii="Times New Roman" w:cs="Times New Roman" w:eastAsia="Times New Roman" w:hAnsi="Times New Roman"/>
          <w:sz w:val="16"/>
          <w:szCs w:val="16"/>
          <w:color w:val="auto"/>
        </w:rPr>
      </w:pPr>
    </w:p>
    <w:p>
      <w:pPr>
        <w:ind w:left="480" w:right="520" w:hanging="454"/>
        <w:spacing w:after="0" w:line="280" w:lineRule="auto"/>
        <w:tabs>
          <w:tab w:leader="none" w:pos="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adjustments made to reconcile Non-GAAP Net Loss to our net income (loss), as noted in the above table, divided by the GAAP diluted number of shares outstanding for the relevant period.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2026-05-07T07:11:50Z</dcterms:created>
  <dcterms:modified xsi:type="dcterms:W3CDTF">2026-05-07T07:11:50Z</dcterms:modified>
</cp:coreProperties>
</file>