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63298.xml.htm"/>
      <w:bookmarkStart w:id="1" w:name="kswkform4_17821632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Anthony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35,472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177,513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37,950</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215,463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withholding tax liability incident to the vesting of restricted stock units in a transaction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restricted stock units ("RSUs") under the Non-Employee Director Compensation Policy of the Issuer in a transaction exempt under Section 16b-3. Each RSU represents the right to receive one share of common stock of Rackspace Technology, Inc. upon vesting. The shares underlying the RSUs will vest on the earlier of (a) the next subsequent annual meeting of stockholders following the grant date or (b) the one year anniversary of the grant date, subject to the reporting person remaining a member of the Issuer's board of directors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Anthony Roberts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3622"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3780</Characters>
  <CharactersWithSpaces>4415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