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No.)</w:t>
      </w:r>
    </w:p>
    <w:p>
      <w:pPr>
        <w:spacing w:after="0" w:line="139" w:lineRule="exact"/>
        <w:rPr>
          <w:sz w:val="24"/>
          <w:szCs w:val="24"/>
          <w:color w:val="auto"/>
        </w:rPr>
      </w:pPr>
    </w:p>
    <w:p>
      <w:pPr>
        <w:sectPr>
          <w:pgSz w:w="11900" w:h="16838" w:orient="portrait"/>
          <w:cols w:equalWidth="0" w:num="2">
            <w:col w:w="6740" w:space="720"/>
            <w:col w:w="3780"/>
          </w:cols>
          <w:pgMar w:left="320" w:top="103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6"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7"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November 6, 2020, 200,293,675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440" w:type="dxa"/>
            <w:vAlign w:val="bottom"/>
            <w:gridSpan w:val="5"/>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20"/>
                <w:szCs w:val="20"/>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4"/>
          </w:tcPr>
          <w:p>
            <w:pPr>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9300" w:type="dxa"/>
            <w:vAlign w:val="bottom"/>
            <w:gridSpan w:val="4"/>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Consolidated Balance Sheets as of December 31, 2019 and September 30, 2020</w:t>
              </w:r>
            </w:hyperlink>
          </w:p>
        </w:tc>
        <w:tc>
          <w:tcPr>
            <w:tcW w:w="80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3</w:t>
              </w:r>
            </w:hyperlink>
          </w:p>
        </w:tc>
      </w:tr>
      <w:tr>
        <w:trPr>
          <w:trHeight w:val="190"/>
        </w:trPr>
        <w:tc>
          <w:tcPr>
            <w:tcW w:w="1140" w:type="dxa"/>
            <w:vAlign w:val="bottom"/>
          </w:tcPr>
          <w:p>
            <w:pPr>
              <w:spacing w:after="0"/>
              <w:rPr>
                <w:sz w:val="16"/>
                <w:szCs w:val="16"/>
                <w:color w:val="auto"/>
              </w:rPr>
            </w:pPr>
          </w:p>
        </w:tc>
        <w:tc>
          <w:tcPr>
            <w:tcW w:w="9300" w:type="dxa"/>
            <w:vAlign w:val="bottom"/>
            <w:gridSpan w:val="4"/>
          </w:tcPr>
          <w:p>
            <w:pPr>
              <w:spacing w:after="0" w:line="190" w:lineRule="exact"/>
              <w:rPr>
                <w:rFonts w:ascii="Arial" w:cs="Arial" w:eastAsia="Arial" w:hAnsi="Arial"/>
                <w:sz w:val="18"/>
                <w:szCs w:val="18"/>
                <w:color w:val="0000FF"/>
                <w:w w:val="93"/>
              </w:rPr>
            </w:pPr>
            <w:hyperlink w:anchor="page5">
              <w:r>
                <w:rPr>
                  <w:rFonts w:ascii="Arial" w:cs="Arial" w:eastAsia="Arial" w:hAnsi="Arial"/>
                  <w:sz w:val="18"/>
                  <w:szCs w:val="18"/>
                  <w:color w:val="0000FF"/>
                  <w:w w:val="93"/>
                </w:rPr>
                <w:t>Unaudited Consolidated Statements of Comprehensive Loss for the Three and Nine Months Ended September 30, 2019 and</w:t>
              </w:r>
            </w:hyperlink>
          </w:p>
        </w:tc>
        <w:tc>
          <w:tcPr>
            <w:tcW w:w="800" w:type="dxa"/>
            <w:vAlign w:val="bottom"/>
          </w:tcPr>
          <w:p>
            <w:pPr>
              <w:jc w:val="center"/>
              <w:spacing w:after="0" w:line="190"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r>
      <w:tr>
        <w:trPr>
          <w:trHeight w:val="156"/>
        </w:trPr>
        <w:tc>
          <w:tcPr>
            <w:tcW w:w="114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September 30, 2020</w:t>
              </w:r>
            </w:hyperlink>
          </w:p>
        </w:tc>
        <w:tc>
          <w:tcPr>
            <w:tcW w:w="7460" w:type="dxa"/>
            <w:vAlign w:val="bottom"/>
            <w:tcBorders>
              <w:top w:val="single" w:sz="8" w:color="0000FF"/>
            </w:tcBorders>
            <w:gridSpan w:val="2"/>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49"/>
        </w:trPr>
        <w:tc>
          <w:tcPr>
            <w:tcW w:w="1140" w:type="dxa"/>
            <w:vAlign w:val="bottom"/>
          </w:tcPr>
          <w:p>
            <w:pPr>
              <w:spacing w:after="0"/>
              <w:rPr>
                <w:sz w:val="21"/>
                <w:szCs w:val="21"/>
                <w:color w:val="auto"/>
              </w:rPr>
            </w:pPr>
          </w:p>
        </w:tc>
        <w:tc>
          <w:tcPr>
            <w:tcW w:w="9300" w:type="dxa"/>
            <w:vAlign w:val="bottom"/>
            <w:gridSpan w:val="4"/>
          </w:tcPr>
          <w:p>
            <w:pPr>
              <w:spacing w:after="0"/>
              <w:rPr>
                <w:rFonts w:ascii="Arial" w:cs="Arial" w:eastAsia="Arial" w:hAnsi="Arial"/>
                <w:sz w:val="18"/>
                <w:szCs w:val="18"/>
                <w:u w:val="single" w:color="auto"/>
                <w:color w:val="0000FF"/>
                <w:w w:val="93"/>
              </w:rPr>
            </w:pPr>
            <w:hyperlink w:anchor="page6">
              <w:r>
                <w:rPr>
                  <w:rFonts w:ascii="Arial" w:cs="Arial" w:eastAsia="Arial" w:hAnsi="Arial"/>
                  <w:sz w:val="18"/>
                  <w:szCs w:val="18"/>
                  <w:u w:val="single" w:color="auto"/>
                  <w:color w:val="0000FF"/>
                  <w:w w:val="93"/>
                </w:rPr>
                <w:t>Unaudited Consolidated Statements of Cash Flows for the Nine Months Ended September 30, 2019 and September 30, 2020</w:t>
              </w:r>
            </w:hyperlink>
          </w:p>
        </w:tc>
        <w:tc>
          <w:tcPr>
            <w:tcW w:w="80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r>
      <w:tr>
        <w:trPr>
          <w:trHeight w:val="190"/>
        </w:trPr>
        <w:tc>
          <w:tcPr>
            <w:tcW w:w="1140" w:type="dxa"/>
            <w:vAlign w:val="bottom"/>
          </w:tcPr>
          <w:p>
            <w:pPr>
              <w:spacing w:after="0"/>
              <w:rPr>
                <w:sz w:val="16"/>
                <w:szCs w:val="16"/>
                <w:color w:val="auto"/>
              </w:rPr>
            </w:pPr>
          </w:p>
        </w:tc>
        <w:tc>
          <w:tcPr>
            <w:tcW w:w="9300" w:type="dxa"/>
            <w:vAlign w:val="bottom"/>
            <w:gridSpan w:val="4"/>
          </w:tcPr>
          <w:p>
            <w:pPr>
              <w:spacing w:after="0" w:line="190" w:lineRule="exact"/>
              <w:rPr>
                <w:rFonts w:ascii="Arial" w:cs="Arial" w:eastAsia="Arial" w:hAnsi="Arial"/>
                <w:sz w:val="18"/>
                <w:szCs w:val="18"/>
                <w:color w:val="0000FF"/>
                <w:w w:val="94"/>
              </w:rPr>
            </w:pPr>
            <w:hyperlink w:anchor="page8">
              <w:r>
                <w:rPr>
                  <w:rFonts w:ascii="Arial" w:cs="Arial" w:eastAsia="Arial" w:hAnsi="Arial"/>
                  <w:sz w:val="18"/>
                  <w:szCs w:val="18"/>
                  <w:color w:val="0000FF"/>
                  <w:w w:val="94"/>
                </w:rPr>
                <w:t>Unaudited Consolidated Statements of Stockholders' Equity for the Three and Nine Months Ended September 30, 2019 and</w:t>
              </w:r>
            </w:hyperlink>
          </w:p>
        </w:tc>
        <w:tc>
          <w:tcPr>
            <w:tcW w:w="800" w:type="dxa"/>
            <w:vAlign w:val="bottom"/>
          </w:tcPr>
          <w:p>
            <w:pPr>
              <w:jc w:val="center"/>
              <w:spacing w:after="0" w:line="190" w:lineRule="exact"/>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7</w:t>
              </w:r>
            </w:hyperlink>
          </w:p>
        </w:tc>
      </w:tr>
      <w:tr>
        <w:trPr>
          <w:trHeight w:val="156"/>
        </w:trPr>
        <w:tc>
          <w:tcPr>
            <w:tcW w:w="114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September 30, 2020</w:t>
              </w:r>
            </w:hyperlink>
          </w:p>
        </w:tc>
        <w:tc>
          <w:tcPr>
            <w:tcW w:w="7440" w:type="dxa"/>
            <w:vAlign w:val="bottom"/>
            <w:tcBorders>
              <w:top w:val="single" w:sz="8" w:color="0000FF"/>
            </w:tcBorders>
          </w:tcPr>
          <w:p>
            <w:pPr>
              <w:spacing w:after="0"/>
              <w:rPr>
                <w:sz w:val="13"/>
                <w:szCs w:val="13"/>
                <w:color w:val="auto"/>
              </w:rPr>
            </w:pPr>
          </w:p>
        </w:tc>
        <w:tc>
          <w:tcPr>
            <w:tcW w:w="4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r>
      <w:tr>
        <w:trPr>
          <w:trHeight w:val="249"/>
        </w:trPr>
        <w:tc>
          <w:tcPr>
            <w:tcW w:w="1140" w:type="dxa"/>
            <w:vAlign w:val="bottom"/>
          </w:tcPr>
          <w:p>
            <w:pPr>
              <w:spacing w:after="0"/>
              <w:rPr>
                <w:sz w:val="21"/>
                <w:szCs w:val="21"/>
                <w:color w:val="auto"/>
              </w:rPr>
            </w:pPr>
          </w:p>
        </w:tc>
        <w:tc>
          <w:tcPr>
            <w:tcW w:w="9300" w:type="dxa"/>
            <w:vAlign w:val="bottom"/>
            <w:gridSpan w:val="4"/>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the Unaudited Consolidated Financial Statements</w:t>
              </w:r>
            </w:hyperlink>
          </w:p>
        </w:tc>
        <w:tc>
          <w:tcPr>
            <w:tcW w:w="80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9</w:t>
              </w:r>
            </w:hyperlink>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4"/>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29</w:t>
              </w:r>
            </w:hyperlink>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4"/>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Quantitative and Qualitative Disclosures About Market Risk</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55</w:t>
              </w:r>
            </w:hyperlink>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4"/>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Controls and Procedures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56</w:t>
              </w:r>
            </w:hyperlink>
          </w:p>
        </w:tc>
      </w:tr>
      <w:tr>
        <w:trPr>
          <w:trHeight w:val="458"/>
        </w:trPr>
        <w:tc>
          <w:tcPr>
            <w:tcW w:w="10440" w:type="dxa"/>
            <w:vAlign w:val="bottom"/>
            <w:gridSpan w:val="5"/>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930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Risk Factors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Unregistered Sales of Equity Securities and Use of Proceeds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57</w:t>
              </w:r>
            </w:hyperlink>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Defaults Upon Senior Securities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58</w:t>
              </w:r>
            </w:hyperlink>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Mine Safety Disclosures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58</w:t>
              </w:r>
            </w:hyperlink>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Other Information</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58</w:t>
              </w:r>
            </w:hyperlink>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Exhibits</w:t>
              </w:r>
            </w:hyperlink>
          </w:p>
        </w:tc>
        <w:tc>
          <w:tcPr>
            <w:tcW w:w="8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59</w:t>
              </w:r>
            </w:hyperlink>
          </w:p>
        </w:tc>
      </w:tr>
      <w:tr>
        <w:trPr>
          <w:trHeight w:val="500"/>
        </w:trPr>
        <w:tc>
          <w:tcPr>
            <w:tcW w:w="1140" w:type="dxa"/>
            <w:vAlign w:val="bottom"/>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Signatures</w:t>
              </w:r>
            </w:hyperlink>
          </w:p>
        </w:tc>
        <w:tc>
          <w:tcPr>
            <w:tcW w:w="14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60</w:t>
              </w:r>
            </w:hyperlink>
          </w:p>
        </w:tc>
      </w:tr>
      <w:tr>
        <w:trPr>
          <w:trHeight w:val="1006"/>
        </w:trPr>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September 30, 2020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“Rackspace,” “Rackspace Technology,” “Fanatical Experience,” “RackConnect,” “Rackspace Service Blocks,” “Rackspace Fabric” and</w:t>
      </w:r>
    </w:p>
    <w:p>
      <w:pPr>
        <w:spacing w:after="0" w:line="1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i w:val="1"/>
          <w:iCs w:val="1"/>
          <w:color w:val="auto"/>
        </w:rPr>
        <w:t>“MyRackspace” are registered or unregistered trademarks of Rackspace US, Inc. in the United States and/or other countries. OpenStack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OpenStack, LLC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875030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$17.0 and $16.5,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7"/>
        </w:trPr>
        <w:tc>
          <w:tcPr>
            <w:tcW w:w="82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805.9</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892.8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2,741.0</w:t>
            </w:r>
          </w:p>
        </w:tc>
        <w:tc>
          <w:tcPr>
            <w:tcW w:w="0" w:type="dxa"/>
            <w:vAlign w:val="bottom"/>
          </w:tcPr>
          <w:p>
            <w:pPr>
              <w:spacing w:after="0"/>
              <w:rPr>
                <w:sz w:val="1"/>
                <w:szCs w:val="1"/>
                <w:color w:val="auto"/>
              </w:rPr>
            </w:pP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1,684.0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3,392.2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351.9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07"/>
        </w:trPr>
        <w:tc>
          <w:tcPr>
            <w:tcW w:w="822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5,373.6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5,031.5</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Commitments and Contingencies (Note 8)</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2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$0.01 par value per share: 1,495.0 shares authorized; 165.4 and 200.2 shares issued and outstanding,</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822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(899.5)</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1,391.6</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8"/>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tcPr>
          <w:p>
            <w:pPr>
              <w:ind w:left="340"/>
              <w:spacing w:after="0"/>
              <w:rPr>
                <w:sz w:val="20"/>
                <w:szCs w:val="20"/>
                <w:color w:val="auto"/>
              </w:rPr>
            </w:pPr>
            <w:r>
              <w:rPr>
                <w:rFonts w:ascii="Arial" w:cs="Arial" w:eastAsia="Arial" w:hAnsi="Arial"/>
                <w:sz w:val="16"/>
                <w:szCs w:val="16"/>
                <w:color w:val="auto"/>
              </w:rPr>
              <w:t>Income (loss) from operations</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(loss) on investments,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4580" w:type="dxa"/>
            <w:vAlign w:val="bottom"/>
          </w:tcPr>
          <w:p>
            <w:pPr>
              <w:ind w:left="120"/>
              <w:spacing w:after="0"/>
              <w:rPr>
                <w:sz w:val="20"/>
                <w:szCs w:val="20"/>
                <w:color w:val="auto"/>
              </w:rPr>
            </w:pPr>
            <w:r>
              <w:rPr>
                <w:rFonts w:ascii="Arial" w:cs="Arial" w:eastAsia="Arial" w:hAnsi="Arial"/>
                <w:sz w:val="16"/>
                <w:szCs w:val="16"/>
                <w:color w:val="auto"/>
              </w:rPr>
              <w:t>Gain (loss) on extinguishment of debt</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gains (losses) on derivative contracts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66"/>
        </w:trPr>
        <w:tc>
          <w:tcPr>
            <w:tcW w:w="4580" w:type="dxa"/>
            <w:vAlign w:val="bottom"/>
          </w:tcPr>
          <w:p>
            <w:pPr>
              <w:ind w:left="120"/>
              <w:spacing w:after="0" w:line="166" w:lineRule="exact"/>
              <w:rPr>
                <w:sz w:val="20"/>
                <w:szCs w:val="20"/>
                <w:color w:val="auto"/>
              </w:rPr>
            </w:pPr>
            <w:r>
              <w:rPr>
                <w:rFonts w:ascii="Arial" w:cs="Arial" w:eastAsia="Arial" w:hAnsi="Arial"/>
                <w:sz w:val="16"/>
                <w:szCs w:val="16"/>
                <w:color w:val="auto"/>
                <w:w w:val="92"/>
              </w:rPr>
              <w:t>Amount reclassified from accumulated other comprehensive income</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9"/>
        </w:trPr>
        <w:tc>
          <w:tcPr>
            <w:tcW w:w="4580" w:type="dxa"/>
            <w:vAlign w:val="bottom"/>
          </w:tcPr>
          <w:p>
            <w:pPr>
              <w:ind w:left="120"/>
              <w:spacing w:after="0"/>
              <w:rPr>
                <w:sz w:val="20"/>
                <w:szCs w:val="20"/>
                <w:color w:val="auto"/>
              </w:rPr>
            </w:pPr>
            <w:r>
              <w:rPr>
                <w:rFonts w:ascii="Arial" w:cs="Arial" w:eastAsia="Arial" w:hAnsi="Arial"/>
                <w:sz w:val="16"/>
                <w:szCs w:val="16"/>
                <w:color w:val="auto"/>
              </w:rPr>
              <w:t>(loss) to earnings</w:t>
            </w: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3"/>
        </w:trPr>
        <w:tc>
          <w:tcPr>
            <w:tcW w:w="4580" w:type="dxa"/>
            <w:vAlign w:val="bottom"/>
          </w:tcPr>
          <w:p>
            <w:pPr>
              <w:ind w:left="46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(182.0)</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Gain on sale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extinguishment of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794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6"/>
        </w:trPr>
        <w:tc>
          <w:tcPr>
            <w:tcW w:w="7940" w:type="dxa"/>
            <w:vAlign w:val="bottom"/>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132.7</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12"/>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 upon initial public offering, net of offering costs</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w:t>
            </w: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Proceeds from employee stock plans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of common stock withheld for employee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settlement of share-based awards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Proceeds from borrowings under long-term debt arrangements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310.0</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(811.3)</w:t>
            </w: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Payments for debt issuance costs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finance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Proceeds from financing obligations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financing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07"/>
        </w:trPr>
        <w:tc>
          <w:tcPr>
            <w:tcW w:w="7940" w:type="dxa"/>
            <w:vAlign w:val="bottom"/>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128.5</w:t>
            </w:r>
          </w:p>
        </w:tc>
      </w:tr>
      <w:tr>
        <w:trPr>
          <w:trHeight w:val="219"/>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6"/>
        </w:trPr>
        <w:tc>
          <w:tcPr>
            <w:tcW w:w="7940" w:type="dxa"/>
            <w:vAlign w:val="bottom"/>
          </w:tcPr>
          <w:p>
            <w:pPr>
              <w:ind w:left="540"/>
              <w:spacing w:after="0"/>
              <w:rPr>
                <w:sz w:val="20"/>
                <w:szCs w:val="20"/>
                <w:color w:val="auto"/>
              </w:rPr>
            </w:pPr>
            <w:r>
              <w:rPr>
                <w:rFonts w:ascii="Arial" w:cs="Arial" w:eastAsia="Arial" w:hAnsi="Arial"/>
                <w:sz w:val="16"/>
                <w:szCs w:val="16"/>
                <w:color w:val="auto"/>
              </w:rPr>
              <w:t>Increase (decrease) in cash, cash equivalents, and restricted 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13"/>
        </w:trPr>
        <w:tc>
          <w:tcPr>
            <w:tcW w:w="7940" w:type="dxa"/>
            <w:vAlign w:val="bottom"/>
          </w:tcPr>
          <w:p>
            <w:pPr>
              <w:ind w:left="54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Cash payments for interest, net of amount capitalized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 for income taxes, net of refunds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940" w:type="dxa"/>
            <w:vAlign w:val="bottom"/>
          </w:tcPr>
          <w:p>
            <w:pPr>
              <w:ind w:left="12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219"/>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Decrease in property, equipment and software accrued in liabilities</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12"/>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6"/>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increase in buildings within property, equipment and software, net due to lease modification</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r>
      <w:tr>
        <w:trPr>
          <w:trHeight w:val="213"/>
        </w:trPr>
        <w:tc>
          <w:tcPr>
            <w:tcW w:w="7940" w:type="dxa"/>
            <w:vAlign w:val="bottom"/>
          </w:tcPr>
          <w:p>
            <w:pPr>
              <w:ind w:left="100"/>
              <w:spacing w:after="0"/>
              <w:rPr>
                <w:sz w:val="20"/>
                <w:szCs w:val="20"/>
                <w:color w:val="auto"/>
              </w:rPr>
            </w:pPr>
            <w:r>
              <w:rPr>
                <w:rFonts w:ascii="Arial" w:cs="Arial" w:eastAsia="Arial" w:hAnsi="Arial"/>
                <w:sz w:val="16"/>
                <w:szCs w:val="16"/>
                <w:color w:val="auto"/>
              </w:rPr>
              <w:t>Offering costs included in accrued liabilities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non-cash investing and financing activities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bl>
    <w:p>
      <w:pPr>
        <w:spacing w:after="0" w:line="31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333"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r>
      <w:tr>
        <w:trPr>
          <w:trHeight w:val="213"/>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8"/>
        </w:trPr>
        <w:tc>
          <w:tcPr>
            <w:tcW w:w="7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0" w:type="dxa"/>
            <w:vAlign w:val="bottom"/>
          </w:tcPr>
          <w:p>
            <w:pPr>
              <w:spacing w:after="0"/>
              <w:rPr>
                <w:sz w:val="1"/>
                <w:szCs w:val="1"/>
                <w:color w:val="auto"/>
              </w:rPr>
            </w:pPr>
          </w:p>
        </w:tc>
      </w:tr>
      <w:tr>
        <w:trPr>
          <w:trHeight w:val="166"/>
        </w:trPr>
        <w:tc>
          <w:tcPr>
            <w:tcW w:w="3940" w:type="dxa"/>
            <w:vAlign w:val="bottom"/>
          </w:tcPr>
          <w:p>
            <w:pPr>
              <w:ind w:left="120"/>
              <w:spacing w:after="0" w:line="166" w:lineRule="exact"/>
              <w:rPr>
                <w:sz w:val="20"/>
                <w:szCs w:val="20"/>
                <w:color w:val="auto"/>
              </w:rPr>
            </w:pPr>
            <w:r>
              <w:rPr>
                <w:rFonts w:ascii="Arial" w:cs="Arial" w:eastAsia="Arial" w:hAnsi="Arial"/>
                <w:sz w:val="16"/>
                <w:szCs w:val="16"/>
                <w:color w:val="auto"/>
                <w:w w:val="92"/>
              </w:rPr>
              <w:t>Exercise of stock options and release of stock awards, net</w:t>
            </w: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tcPr>
          <w:p>
            <w:pPr>
              <w:ind w:left="900"/>
              <w:spacing w:after="0" w:line="16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940" w:type="dxa"/>
            <w:vAlign w:val="bottom"/>
          </w:tcPr>
          <w:p>
            <w:pPr>
              <w:ind w:left="120"/>
              <w:spacing w:after="0"/>
              <w:rPr>
                <w:sz w:val="20"/>
                <w:szCs w:val="20"/>
                <w:color w:val="auto"/>
              </w:rPr>
            </w:pPr>
            <w:r>
              <w:rPr>
                <w:rFonts w:ascii="Arial" w:cs="Arial" w:eastAsia="Arial" w:hAnsi="Arial"/>
                <w:sz w:val="16"/>
                <w:szCs w:val="16"/>
                <w:color w:val="auto"/>
              </w:rPr>
              <w:t>of shares withheld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580" w:type="dxa"/>
            <w:vAlign w:val="bottom"/>
            <w:gridSpan w:val="3"/>
          </w:tcPr>
          <w:p>
            <w:pPr>
              <w:ind w:left="60"/>
              <w:spacing w:after="0" w:line="142"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Comprehensive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Cumulative effect of adopting ASC 842</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2"/>
              </w:rPr>
              <w:t>Exercise of stock options and release of stock awards, net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shares withheld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settlement of share-based awards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w w:val="97"/>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7"/>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580" w:type="dxa"/>
            <w:vAlign w:val="bottom"/>
            <w:gridSpan w:val="3"/>
          </w:tcPr>
          <w:p>
            <w:pPr>
              <w:ind w:left="60"/>
              <w:spacing w:after="0" w:line="142"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Comprehensive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4"/>
              </w:rPr>
              <w:t>(798.3)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166"/>
        </w:trPr>
        <w:tc>
          <w:tcPr>
            <w:tcW w:w="3940" w:type="dxa"/>
            <w:vAlign w:val="bottom"/>
          </w:tcPr>
          <w:p>
            <w:pPr>
              <w:ind w:left="120"/>
              <w:spacing w:after="0" w:line="166" w:lineRule="exact"/>
              <w:rPr>
                <w:sz w:val="20"/>
                <w:szCs w:val="20"/>
                <w:color w:val="auto"/>
              </w:rPr>
            </w:pPr>
            <w:r>
              <w:rPr>
                <w:rFonts w:ascii="Arial" w:cs="Arial" w:eastAsia="Arial" w:hAnsi="Arial"/>
                <w:sz w:val="16"/>
                <w:szCs w:val="16"/>
                <w:color w:val="auto"/>
              </w:rPr>
              <w:t>Issuance of common stock upon initial public offering,</w:t>
            </w: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33.5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6"/>
                <w:szCs w:val="16"/>
                <w:color w:val="auto"/>
              </w:rPr>
              <w:t>657.4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tcPr>
          <w:p>
            <w:pPr>
              <w:ind w:left="900"/>
              <w:spacing w:after="0" w:line="16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209"/>
        </w:trPr>
        <w:tc>
          <w:tcPr>
            <w:tcW w:w="3940" w:type="dxa"/>
            <w:vAlign w:val="bottom"/>
          </w:tcPr>
          <w:p>
            <w:pPr>
              <w:ind w:left="120"/>
              <w:spacing w:after="0"/>
              <w:rPr>
                <w:sz w:val="20"/>
                <w:szCs w:val="20"/>
                <w:color w:val="auto"/>
              </w:rPr>
            </w:pPr>
            <w:r>
              <w:rPr>
                <w:rFonts w:ascii="Arial" w:cs="Arial" w:eastAsia="Arial" w:hAnsi="Arial"/>
                <w:sz w:val="16"/>
                <w:szCs w:val="16"/>
                <w:color w:val="auto"/>
              </w:rPr>
              <w:t>net of offering costs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2"/>
              </w:rPr>
              <w:t>Exercise of stock options and release of stock awards, net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00"/>
              <w:spacing w:after="0" w:line="169"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shares withheld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4"/>
              </w:rPr>
              <w:t>(101.2)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4"/>
              </w:rPr>
              <w:t>(899.5)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2019</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Issuance of common stock upon initial public offering, net of offering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4"/>
        </w:trPr>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Income (Loss)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6"/>
        </w:trPr>
        <w:tc>
          <w:tcPr>
            <w:tcW w:w="74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-278765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900" w:space="40"/>
            <w:col w:w="730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172"/>
        </w:trPr>
        <w:tc>
          <w:tcPr>
            <w:tcW w:w="3940" w:type="dxa"/>
            <w:vAlign w:val="bottom"/>
            <w:shd w:val="clear" w:color="auto" w:fill="CCEEFF"/>
          </w:tcPr>
          <w:p>
            <w:pPr>
              <w:ind w:left="120"/>
              <w:spacing w:after="0" w:line="172" w:lineRule="exact"/>
              <w:rPr>
                <w:sz w:val="20"/>
                <w:szCs w:val="20"/>
                <w:color w:val="auto"/>
              </w:rPr>
            </w:pPr>
            <w:r>
              <w:rPr>
                <w:rFonts w:ascii="Arial" w:cs="Arial" w:eastAsia="Arial" w:hAnsi="Arial"/>
                <w:sz w:val="16"/>
                <w:szCs w:val="16"/>
                <w:color w:val="auto"/>
                <w:w w:val="92"/>
              </w:rPr>
              <w:t>Exercise of stock options and release of stock awards, net</w:t>
            </w: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60"/>
              <w:spacing w:after="0" w:line="17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line="172"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9.7</w:t>
            </w:r>
          </w:p>
        </w:tc>
      </w:tr>
      <w:tr>
        <w:trPr>
          <w:trHeight w:val="212"/>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shares withheld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9"/>
        </w:trPr>
        <w:tc>
          <w:tcPr>
            <w:tcW w:w="3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r>
      <w:tr>
        <w:trPr>
          <w:trHeight w:val="213"/>
        </w:trPr>
        <w:tc>
          <w:tcPr>
            <w:tcW w:w="394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(formerly known as Rackspace Corp.)</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Rackspace Technology, Inc. ("Rackspace Technology") (formerly known as Rackspace Corp. until its legal name change on June 11, 2020 and formerly known as Inception Topco, Inc. until its legal name change on March 31, 2020), is a Delaware corporation controlled by investment funds affiliated with Apollo Global Management, Inc. and its subsidiaries (“Apollo”). Rackspace Technology was formed on July 21, 2016 but had no assets, liabilities or operating results until November 3, 2016 (the “Closing Date”)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0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right="700" w:firstLine="486"/>
        <w:spacing w:after="0" w:line="286" w:lineRule="auto"/>
        <w:rPr>
          <w:sz w:val="20"/>
          <w:szCs w:val="20"/>
          <w:color w:val="auto"/>
        </w:rPr>
      </w:pPr>
      <w:r>
        <w:rPr>
          <w:rFonts w:ascii="Arial" w:cs="Arial" w:eastAsia="Arial" w:hAnsi="Arial"/>
          <w:sz w:val="17"/>
          <w:szCs w:val="17"/>
          <w:color w:val="auto"/>
        </w:rPr>
        <w:t>On November 15, 2019, we acquired 100% of Onica Holdings LLC ("Onica") as described in more detail in Note 13, "Acquisitions." The preliminary estimate of fair values of Onica’s assets acquired and liabilities assumed, together with Onica’s results of operations subsequent to the November 15, 2019 acquisition date, are included in the unaudited consolidated financial statements.</w:t>
      </w:r>
    </w:p>
    <w:p>
      <w:pPr>
        <w:spacing w:after="0" w:line="192"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On July 20, 2020, the board of directors of the company approved and effected a twelve-for-one stock split of the company’s common stock (the "Stock Split"). All common stock share and per-share data, excluding par value per share, included in these unaudited consolidated financial statements give effect to the Stock Split and have been adjusted retroactively for all periods presented.</w:t>
      </w:r>
    </w:p>
    <w:p>
      <w:pPr>
        <w:spacing w:after="0" w:line="21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On August 7, 2020, we completed our initial public offering (the “IPO”), in which we issued and sold 33,500,000 shares of our common stock at a public offering price of $21.00 per share. We received net proceeds of $666.6 million from sales of shares in the IPO, after deducting underwriters' discounts and commissions of $36.9 million, but before deducting offering expenses of $8.8 million.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jc w:val="both"/>
        <w:ind w:right="160" w:firstLine="486"/>
        <w:spacing w:after="0" w:line="287" w:lineRule="auto"/>
        <w:rPr>
          <w:sz w:val="20"/>
          <w:szCs w:val="20"/>
          <w:color w:val="auto"/>
        </w:rPr>
      </w:pPr>
      <w:r>
        <w:rPr>
          <w:rFonts w:ascii="Arial" w:cs="Arial" w:eastAsia="Arial" w:hAnsi="Arial"/>
          <w:sz w:val="16"/>
          <w:szCs w:val="16"/>
          <w:color w:val="auto"/>
        </w:rPr>
        <w:t>The unaudited consolidated financial statements as of September 30, 2020, and for the three and nine months ended September 30, 2019 and 2020, are unaudited and have been prepared in accordance with accounting principles generally accepted in the United States of America (“GAAP”) for interim financial information. Accordingly, they do not include all financial information and disclosures required by GAAP for complete financial</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These unaudited interim consolidated financial statements should be read in conjunction with the audited consolidated financial statements and the related notes thereto as of December 31, 2019, included in our Registration Statement on Form S-1 (File No. 333-239794), as amended, including the final prospectus, dated August 4, 2020, included therein (the "Prospectus"). The unaudited interim consolidated financial statements have been prepared on the same basis as the audited consolidated financial statements included in the Prospectus and, in the opinion of management, reflect all adjustments, which include normal recurring adjustments, necessary for a fair statement of our financial position as of September 30, 2020, our results of operations for the three and nine months ended September 30, 2019 and 2020, our cash flows for the nine months ended September 30, 2019 and 2020, and our stockholders' equity for the three and nine months ended September 30,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2020 are not necessarily indicative of the results of operations to be expected for the year ending December 31, 2020, or for any other interim period, or for any other future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March 2020, the World Health Organization declared COVID-19 a global pandemic. The effects of COVID-19 are rapidly evolving,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In addition, we face a greater degree of uncertainty in making estimates and assumptions needed to prepare our consolidated financial statements and footnotes.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On October 15, 2020, Rackspace Technology Global issued a Notice of Partial Redemption to holders of the 8.625% Senior Notes due 2024 (the "8.625% Senior Notes"). Pursuant to the terms of the indenture governing the 8.625% Senior Notes (the "Indenture"), on November 16, 2020, Rackspace Technology Global will redeem $86.0 million principal amount of the outstanding 8.625% Senior Notes at a price of 104.313%, plus accrued and unpaid interest,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Prospectus includes an additional discussion of the significant accounting policies and estimates used in the preparation of our consolidated financial statements, which we are incorporating by reference herein. There were no material changes to our significant accounting policies and estimates during the nine months ended September 30, 2020, except for the adoptions of the Accounting Standards Updates ("ASU") discussed in "Recently Adopted Accounting Pronouncements"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440" w:firstLine="486"/>
        <w:spacing w:after="0" w:line="279" w:lineRule="auto"/>
        <w:rPr>
          <w:sz w:val="20"/>
          <w:szCs w:val="20"/>
          <w:color w:val="auto"/>
        </w:rPr>
      </w:pPr>
      <w:r>
        <w:rPr>
          <w:rFonts w:ascii="Arial" w:cs="Arial" w:eastAsia="Arial" w:hAnsi="Arial"/>
          <w:sz w:val="17"/>
          <w:szCs w:val="17"/>
          <w:color w:val="auto"/>
        </w:rPr>
        <w:t>Certain reclassifications have been made to the prior period consolidated financial statements to conform to the current period presentation. Specifically, the non-current portion of "Finance lease liabilities" is now presented separately from "Other non-current liabilities" in the Consolidated Balance Sheets. This presentation change is due to the modification of certain leases in June 2020 which resulted in a change of classification from operating leases to finance leases, increasing the balance of the non-current portion of "Finance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Financial Instruments-Credit Losses</w:t>
      </w:r>
    </w:p>
    <w:p>
      <w:pPr>
        <w:spacing w:after="0" w:line="252"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 (Topic 326) -</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financial assets measured at amortized cost to be presented at the net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using an allowance for expected credit losses, to be estimated by management based on historical experience, current conditions, and reasonable and supportable forecasts. We adopted this guidance on January 1, 2020, using the modified retrospective approach. The adoption of this guidance did not have a material impact on our consolidated financial statements.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Derivatives and Hedging-Targeted Improvements to Accounting for Hedging Activities</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which improves the financial reporting of hedging relationships to better portray the economic results of an entity’s risk management activities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its financial statements and to simplify the application of the hedge accounting guidance. The guidance expands and refines hedge accounting for both nonfinancial and financial risk components and aligns the recognition and presentation of the effects of hedging instruments and hedged items in the financial statements. The guidance also amends the presentation and disclosure requirements and changes how entities assess hedge effectiveness.</w:t>
      </w:r>
    </w:p>
    <w:p>
      <w:pPr>
        <w:spacing w:after="0" w:line="188" w:lineRule="exact"/>
        <w:rPr>
          <w:sz w:val="20"/>
          <w:szCs w:val="20"/>
          <w:color w:val="auto"/>
        </w:rPr>
      </w:pPr>
    </w:p>
    <w:p>
      <w:pPr>
        <w:jc w:val="both"/>
        <w:ind w:right="160" w:firstLine="486"/>
        <w:spacing w:after="0" w:line="279" w:lineRule="auto"/>
        <w:rPr>
          <w:sz w:val="20"/>
          <w:szCs w:val="20"/>
          <w:color w:val="auto"/>
        </w:rPr>
      </w:pPr>
      <w:r>
        <w:rPr>
          <w:rFonts w:ascii="Arial" w:cs="Arial" w:eastAsia="Arial" w:hAnsi="Arial"/>
          <w:sz w:val="17"/>
          <w:szCs w:val="17"/>
          <w:color w:val="auto"/>
        </w:rPr>
        <w:t>We adopted this ASU on January 1, 2020. The guidance applies to any existing hedges or new derivative instruments that are designated as hedges for derivative accounting purposes in future periods. We have historically not designated our interest rate swaps or foreign currency hedging contracts as hedges for derivative accounting purposes, However, on January 9, 2020, we designated certain of our interest rate swap agreements as cash flow hedges. Refer to Note 11, "Derivatives," for the cash flow hedge disclosures required by the provisions of this guidance.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Fair Value Measurement Disclosures</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removes, modifies or adds certain disclosure requirements for fair value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We adopted this guidance on January 1, 2020 on a prospective basis. The adoption did not have a material impact on our consolidated financial statements.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Customer’s Accounting for Fees Paid in a Cloud Computing Arrangement</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We adopted this guidance on January 1, 2020 on a prospective basis. The adoption of this guidance primarily resulted in changes to the presentation of certain implementation costs within our consolidated financial statements. Historically, these costs were capitalized as part of "Property, equipment, and software, net" and amortized over the useful life of the related software or hosting arrangement. Upon adoption, eligible costs incurred are now recorded within "Prepaid expenses" and "Other non-current assets" and amortized to either "Cost of revenue" or "Selling, general and administrative expenses" over the useful life of the related software or hosting arrangement. In addition, the cash flow presentation of these costs changed from investing cash flows under previous guidance to operating cash flows under the new guidance.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contains practical expedients for reference rate reform related activities that impact debt, leases, derivatives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The guidance in ASU 2020-04 is optional and may be elected over time as reference rate reform activities occur. In July 2020,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 as of December 31, 2019 and September 30,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200" w:type="dxa"/>
            <w:vAlign w:val="bottom"/>
            <w:gridSpan w:val="2"/>
          </w:tcPr>
          <w:p>
            <w:pPr>
              <w:ind w:left="740"/>
              <w:spacing w:after="0"/>
              <w:rPr>
                <w:sz w:val="20"/>
                <w:szCs w:val="20"/>
                <w:color w:val="auto"/>
              </w:rPr>
            </w:pPr>
            <w:r>
              <w:rPr>
                <w:rFonts w:ascii="Arial" w:cs="Arial" w:eastAsia="Arial" w:hAnsi="Arial"/>
                <w:sz w:val="16"/>
                <w:szCs w:val="16"/>
                <w:b w:val="1"/>
                <w:bCs w:val="1"/>
                <w:color w:val="auto"/>
              </w:rPr>
              <w:t>Consolidated Balance Sheets Account</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2020</w:t>
            </w:r>
          </w:p>
        </w:tc>
      </w:tr>
      <w:tr>
        <w:trPr>
          <w:trHeight w:val="21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08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bl>
    <w:p>
      <w:pPr>
        <w:spacing w:after="0" w:line="31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doubtful accounts and accrued customer credits was $17.0 million and $16.5 million as of December 31, 2019 and September 30, 2020, respectively.</w:t>
      </w:r>
    </w:p>
    <w:p>
      <w:pPr>
        <w:spacing w:after="0" w:line="24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Amounts recognized in revenue for the three months ended September 30, 2019 and September 30, 2020, which were included in deferred revenue as of the beginning of each period, totaled $27.1 million and $28.0 million, respectively. Amounts recognized in revenue for the nine months ended September 30, 2019 and September 30, 2020, which were included in deferred revenue as of the beginning of each period totaled $44.1 million and $55.6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239"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As of December 31, 2019 and September 30, 2020, the balances of capitalized costs to obtain a contract were $55.1 million and $57.2 million, respectively, and the balances of capitalized costs to fulfill a contract were $21.7 million and $24.3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for the three and nine months ended September 30, 2019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September 30, 2020, the aggregate amount of transaction price allocated to remaining performance obligations was $876.6 million, of which 19% is expected to be recognized as revenue during 2020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Basic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6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(182.0)</w:t>
            </w:r>
          </w:p>
        </w:tc>
      </w:tr>
      <w:tr>
        <w:trPr>
          <w:trHeight w:val="219"/>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w:t>
            </w:r>
          </w:p>
        </w:tc>
      </w:tr>
      <w:tr>
        <w:trPr>
          <w:trHeight w:val="209"/>
        </w:trPr>
        <w:tc>
          <w:tcPr>
            <w:tcW w:w="4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Number of shares used in per share computations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r>
      <w:tr>
        <w:trPr>
          <w:trHeight w:val="212"/>
        </w:trPr>
        <w:tc>
          <w:tcPr>
            <w:tcW w:w="4580" w:type="dxa"/>
            <w:vAlign w:val="bottom"/>
          </w:tcPr>
          <w:p>
            <w:pPr>
              <w:ind w:left="660"/>
              <w:spacing w:after="0"/>
              <w:rPr>
                <w:sz w:val="20"/>
                <w:szCs w:val="20"/>
                <w:color w:val="auto"/>
              </w:rPr>
            </w:pPr>
            <w:r>
              <w:rPr>
                <w:rFonts w:ascii="Arial" w:cs="Arial" w:eastAsia="Arial" w:hAnsi="Arial"/>
                <w:sz w:val="16"/>
                <w:szCs w:val="16"/>
                <w:color w:val="auto"/>
              </w:rPr>
              <w:t>Net loss per share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Potential common share equivalents consist of shares issuable upon the exercise of stock options or vesting of restricted stock,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21.4 million and 26.5 million potential common shares from the computation of dilutive loss per share for the three months ended September 30, 2019 and 2020, respectively, and 21.4 million and 26.5 million potential shares for the nine months ended September 30, 2019 and 2020, respectively, because the effect would have been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at December 31, 2019 and September 30, 2020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475.5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6"/>
        </w:trPr>
        <w:tc>
          <w:tcPr>
            <w:tcW w:w="8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Buildings and leasehold improvements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512.6</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07"/>
        </w:trPr>
        <w:tc>
          <w:tcPr>
            <w:tcW w:w="8220" w:type="dxa"/>
            <w:vAlign w:val="bottom"/>
          </w:tcPr>
          <w:p>
            <w:pPr>
              <w:ind w:left="12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2,225.1</w:t>
            </w: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(1,352.1)</w:t>
            </w:r>
          </w:p>
        </w:tc>
      </w:tr>
      <w:tr>
        <w:trPr>
          <w:trHeight w:val="213"/>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3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500" w:right="180" w:hanging="492"/>
        <w:spacing w:after="0" w:line="275" w:lineRule="auto"/>
        <w:tabs>
          <w:tab w:leader="none" w:pos="365"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nine months ended September 30, 2020, we recorded $220.3 million to buildings and leasehold improvements related to lease modifications in June 2020 which resulted in a change of classification from operating leases to finance leases.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540" w:hanging="111"/>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changes in the carrying amounts of goodwill by reportable segment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Multicloud Services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OpenStack Public</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Platform</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Cloud</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3"/>
        </w:trPr>
        <w:tc>
          <w:tcPr>
            <w:tcW w:w="5080" w:type="dxa"/>
            <w:vAlign w:val="bottom"/>
          </w:tcPr>
          <w:p>
            <w:pPr>
              <w:ind w:left="220"/>
              <w:spacing w:after="0"/>
              <w:rPr>
                <w:sz w:val="20"/>
                <w:szCs w:val="20"/>
                <w:color w:val="auto"/>
              </w:rPr>
            </w:pPr>
            <w:r>
              <w:rPr>
                <w:rFonts w:ascii="Arial" w:cs="Arial" w:eastAsia="Arial" w:hAnsi="Arial"/>
                <w:sz w:val="16"/>
                <w:szCs w:val="16"/>
                <w:color w:val="auto"/>
              </w:rPr>
              <w:t>Measurement period adjustments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September 30, 2020</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Gross goodwill</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2,662.3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3,036.0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September 30, 2020</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2,367.3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2,741.0</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2019</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8"/>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3"/>
                <w:szCs w:val="13"/>
                <w:color w:val="auto"/>
              </w:rPr>
            </w:pPr>
          </w:p>
        </w:tc>
        <w:tc>
          <w:tcPr>
            <w:tcW w:w="126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Net carrying</w:t>
            </w:r>
          </w:p>
        </w:tc>
      </w:tr>
      <w:tr>
        <w:trPr>
          <w:trHeight w:val="213"/>
        </w:trPr>
        <w:tc>
          <w:tcPr>
            <w:tcW w:w="6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212"/>
        </w:trPr>
        <w:tc>
          <w:tcPr>
            <w:tcW w:w="6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1,523.8</w:t>
            </w:r>
          </w:p>
        </w:tc>
      </w:tr>
      <w:tr>
        <w:trPr>
          <w:trHeight w:val="213"/>
        </w:trPr>
        <w:tc>
          <w:tcPr>
            <w:tcW w:w="6640" w:type="dxa"/>
            <w:vAlign w:val="bottom"/>
          </w:tcPr>
          <w:p>
            <w:pPr>
              <w:ind w:left="120"/>
              <w:spacing w:after="0"/>
              <w:rPr>
                <w:sz w:val="20"/>
                <w:szCs w:val="20"/>
                <w:color w:val="auto"/>
              </w:rPr>
            </w:pPr>
            <w:r>
              <w:rPr>
                <w:rFonts w:ascii="Arial" w:cs="Arial" w:eastAsia="Arial" w:hAnsi="Arial"/>
                <w:sz w:val="16"/>
                <w:szCs w:val="16"/>
                <w:color w:val="auto"/>
              </w:rPr>
              <w:t>Property tax abatement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6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7"/>
        </w:trPr>
        <w:tc>
          <w:tcPr>
            <w:tcW w:w="6640" w:type="dxa"/>
            <w:vAlign w:val="bottom"/>
          </w:tcPr>
          <w:p>
            <w:pPr>
              <w:ind w:left="240"/>
              <w:spacing w:after="0"/>
              <w:rPr>
                <w:sz w:val="20"/>
                <w:szCs w:val="20"/>
                <w:color w:val="auto"/>
              </w:rPr>
            </w:pPr>
            <w:r>
              <w:rPr>
                <w:rFonts w:ascii="Arial" w:cs="Arial" w:eastAsia="Arial" w:hAnsi="Arial"/>
                <w:sz w:val="16"/>
                <w:szCs w:val="16"/>
                <w:color w:val="auto"/>
              </w:rPr>
              <w:t>Total definite-lived intangible assets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1,567.4</w:t>
            </w:r>
          </w:p>
        </w:tc>
      </w:tr>
      <w:tr>
        <w:trPr>
          <w:trHeight w:val="216"/>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name (indefinite-lived)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6640" w:type="dxa"/>
            <w:vAlign w:val="bottom"/>
          </w:tcPr>
          <w:p>
            <w:pPr>
              <w:ind w:left="320"/>
              <w:spacing w:after="0"/>
              <w:rPr>
                <w:sz w:val="20"/>
                <w:szCs w:val="20"/>
                <w:color w:val="auto"/>
              </w:rPr>
            </w:pPr>
            <w:r>
              <w:rPr>
                <w:rFonts w:ascii="Arial" w:cs="Arial" w:eastAsia="Arial" w:hAnsi="Arial"/>
                <w:sz w:val="16"/>
                <w:szCs w:val="16"/>
                <w:color w:val="auto"/>
              </w:rPr>
              <w:t>Total intangible assets other than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2,293.5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1,817.4</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September 30, 2020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9"/>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126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Net carrying</w:t>
            </w:r>
          </w:p>
        </w:tc>
      </w:tr>
      <w:tr>
        <w:trPr>
          <w:trHeight w:val="213"/>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212"/>
        </w:trPr>
        <w:tc>
          <w:tcPr>
            <w:tcW w:w="6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1,400.5</w:t>
            </w:r>
          </w:p>
        </w:tc>
      </w:tr>
      <w:tr>
        <w:trPr>
          <w:trHeight w:val="213"/>
        </w:trPr>
        <w:tc>
          <w:tcPr>
            <w:tcW w:w="6700" w:type="dxa"/>
            <w:vAlign w:val="bottom"/>
          </w:tcPr>
          <w:p>
            <w:pPr>
              <w:ind w:left="120"/>
              <w:spacing w:after="0"/>
              <w:rPr>
                <w:sz w:val="20"/>
                <w:szCs w:val="20"/>
                <w:color w:val="auto"/>
              </w:rPr>
            </w:pPr>
            <w:r>
              <w:rPr>
                <w:rFonts w:ascii="Arial" w:cs="Arial" w:eastAsia="Arial" w:hAnsi="Arial"/>
                <w:sz w:val="16"/>
                <w:szCs w:val="16"/>
                <w:color w:val="auto"/>
              </w:rPr>
              <w:t>Property tax abatement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6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6"/>
        </w:trPr>
        <w:tc>
          <w:tcPr>
            <w:tcW w:w="6700" w:type="dxa"/>
            <w:vAlign w:val="bottom"/>
          </w:tcPr>
          <w:p>
            <w:pPr>
              <w:ind w:left="24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1,434.0</w:t>
            </w:r>
          </w:p>
        </w:tc>
      </w:tr>
      <w:tr>
        <w:trPr>
          <w:trHeight w:val="216"/>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name (indefinite-lived)</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6700" w:type="dxa"/>
            <w:vAlign w:val="bottom"/>
          </w:tcPr>
          <w:p>
            <w:pPr>
              <w:ind w:left="320"/>
              <w:spacing w:after="0"/>
              <w:rPr>
                <w:sz w:val="20"/>
                <w:szCs w:val="20"/>
                <w:color w:val="auto"/>
              </w:rPr>
            </w:pPr>
            <w:r>
              <w:rPr>
                <w:rFonts w:ascii="Arial" w:cs="Arial" w:eastAsia="Arial" w:hAnsi="Arial"/>
                <w:sz w:val="16"/>
                <w:szCs w:val="16"/>
                <w:color w:val="auto"/>
              </w:rPr>
              <w:t>Total intangible assets other than 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(608.1)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1,684.0</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June 2019, CrowdStrike Holdings, Inc. ("CrowdStrike"), an entity in which Rackspace US, Inc. held an equity investment, completed an initial public offering and became a publicly-traded company. Prior to the date of CrowdStrike's initial public offering, our investment in CrowdStrike had a carrying value of $10.0 million and was accounted for as an equity investment without a readily determinable fair value. With the availability of observable price changes following the completion of CrowdStrike's initial public offering, our investment in CrowdStrike was measured at fair value on a prospective basis using the end of period quoted stock price, which is classified as a Level 1 input within the fair value hierarchy. In December 2019, Rackspace US, Inc. sold the investment in CrowdStrike for $106.9 million in cash proceeds.</w:t>
      </w:r>
    </w:p>
    <w:p>
      <w:pPr>
        <w:spacing w:after="0" w:line="20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hold other equity investments that do not have readily determinable fair values. The aggregate carrying value of these other equity investments is immaterial.</w:t>
      </w:r>
    </w:p>
    <w:p>
      <w:pPr>
        <w:spacing w:after="0" w:line="19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For the three months ended September 30, 2019, we recognized a loss on investment activity of $22.0 million, which was entirely due to the decrease in the fair value of the CrowdStrike investment. For the nine months ended September 30, 2019, we recognized a net gain on investment activity of $121.4 million which was primarily comprised of a $118.8 million unrealized gain related to the increase in the fair value of the CrowdStrike investment and a $2.6 million realized gain recognized upon the receipt of proceeds related to the 2017 sale of an equity investment. For the nine months ended September 30, 2020, we recognized a net gain on investment activity of $0.9 million, primarily comprised of a realized gain upon the receipt of proceeds related to the 2017 sale of an equity investment. There was minimal activity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w w:val="91"/>
              </w:rPr>
              <w:t>December 31, 2019</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rPr>
              <w:t>Term Loan Facility</w:t>
            </w:r>
          </w:p>
        </w:tc>
        <w:tc>
          <w:tcPr>
            <w:tcW w:w="2060" w:type="dxa"/>
            <w:vAlign w:val="bottom"/>
            <w:gridSpan w:val="5"/>
          </w:tcPr>
          <w:p>
            <w:pPr>
              <w:jc w:val="center"/>
              <w:ind w:right="120"/>
              <w:spacing w:after="0" w:line="158" w:lineRule="exact"/>
              <w:rPr>
                <w:sz w:val="20"/>
                <w:szCs w:val="20"/>
                <w:color w:val="auto"/>
              </w:rPr>
            </w:pPr>
            <w:r>
              <w:rPr>
                <w:rFonts w:ascii="Arial" w:cs="Arial" w:eastAsia="Arial" w:hAnsi="Arial"/>
                <w:sz w:val="16"/>
                <w:szCs w:val="16"/>
                <w:b w:val="1"/>
                <w:bCs w:val="1"/>
                <w:color w:val="auto"/>
                <w:w w:val="91"/>
              </w:rPr>
              <w:t>8.625% Senior Notes due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124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89"/>
              </w:rPr>
              <w:t>2024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balance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2,824.6</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center"/>
              <w:ind w:left="179"/>
              <w:spacing w:after="0"/>
              <w:rPr>
                <w:sz w:val="20"/>
                <w:szCs w:val="20"/>
                <w:color w:val="auto"/>
              </w:rPr>
            </w:pPr>
            <w:r>
              <w:rPr>
                <w:rFonts w:ascii="Arial" w:cs="Arial" w:eastAsia="Arial" w:hAnsi="Arial"/>
                <w:sz w:val="16"/>
                <w:szCs w:val="16"/>
                <w:color w:val="auto"/>
                <w:w w:val="90"/>
              </w:rPr>
              <w:t>(18.0)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7"/>
        </w:trPr>
        <w:tc>
          <w:tcPr>
            <w:tcW w:w="516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89"/>
              </w:rPr>
              <w:t>2,771.1</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1,102.2</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3,873.3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current portion of debt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5160" w:type="dxa"/>
            <w:vAlign w:val="bottom"/>
          </w:tcPr>
          <w:p>
            <w:pPr>
              <w:ind w:left="120"/>
              <w:spacing w:after="0"/>
              <w:rPr>
                <w:sz w:val="20"/>
                <w:szCs w:val="20"/>
                <w:color w:val="auto"/>
              </w:rPr>
            </w:pPr>
            <w:r>
              <w:rPr>
                <w:rFonts w:ascii="Arial" w:cs="Arial" w:eastAsia="Arial" w:hAnsi="Arial"/>
                <w:sz w:val="16"/>
                <w:szCs w:val="16"/>
                <w:color w:val="auto"/>
              </w:rPr>
              <w:t>Debt, excluding current portion</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2,742.1</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1,102.2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3,844.3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w w:val="90"/>
              </w:rPr>
              <w:t>September 30, 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left="99"/>
              <w:spacing w:after="0" w:line="158" w:lineRule="exact"/>
              <w:rPr>
                <w:sz w:val="20"/>
                <w:szCs w:val="20"/>
                <w:color w:val="auto"/>
              </w:rPr>
            </w:pPr>
            <w:r>
              <w:rPr>
                <w:rFonts w:ascii="Arial" w:cs="Arial" w:eastAsia="Arial" w:hAnsi="Arial"/>
                <w:sz w:val="16"/>
                <w:szCs w:val="16"/>
                <w:b w:val="1"/>
                <w:bCs w:val="1"/>
                <w:color w:val="auto"/>
                <w:w w:val="87"/>
              </w:rPr>
              <w:t>Accounts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8.625% Senior</w:t>
            </w:r>
          </w:p>
        </w:tc>
        <w:tc>
          <w:tcPr>
            <w:tcW w:w="240" w:type="dxa"/>
            <w:vAlign w:val="bottom"/>
          </w:tcPr>
          <w:p>
            <w:pPr>
              <w:spacing w:after="0"/>
              <w:rPr>
                <w:sz w:val="14"/>
                <w:szCs w:val="14"/>
                <w:color w:val="auto"/>
              </w:rPr>
            </w:pPr>
          </w:p>
        </w:tc>
        <w:tc>
          <w:tcPr>
            <w:tcW w:w="132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Receivable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Term Loan Facility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Financing</w:t>
            </w:r>
          </w:p>
        </w:tc>
        <w:tc>
          <w:tcPr>
            <w:tcW w:w="200" w:type="dxa"/>
            <w:vAlign w:val="bottom"/>
          </w:tcPr>
          <w:p>
            <w:pPr>
              <w:spacing w:after="0"/>
              <w:rPr>
                <w:sz w:val="14"/>
                <w:szCs w:val="14"/>
                <w:color w:val="auto"/>
              </w:rPr>
            </w:pPr>
          </w:p>
        </w:tc>
        <w:tc>
          <w:tcPr>
            <w:tcW w:w="12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Notes due 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w w:val="90"/>
              </w:rPr>
              <w:t>Agreement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balance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2,802.9</w:t>
            </w:r>
          </w:p>
        </w:tc>
        <w:tc>
          <w:tcPr>
            <w:tcW w:w="56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7"/>
        </w:trPr>
        <w:tc>
          <w:tcPr>
            <w:tcW w:w="516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2,759.2</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current portion of debt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5160" w:type="dxa"/>
            <w:vAlign w:val="bottom"/>
          </w:tcPr>
          <w:p>
            <w:pPr>
              <w:ind w:left="120"/>
              <w:spacing w:after="0"/>
              <w:rPr>
                <w:sz w:val="20"/>
                <w:szCs w:val="20"/>
                <w:color w:val="auto"/>
              </w:rPr>
            </w:pPr>
            <w:r>
              <w:rPr>
                <w:rFonts w:ascii="Arial" w:cs="Arial" w:eastAsia="Arial" w:hAnsi="Arial"/>
                <w:sz w:val="16"/>
                <w:szCs w:val="16"/>
                <w:color w:val="auto"/>
              </w:rPr>
              <w:t>Debt, excluding current portion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2,730.2</w:t>
            </w:r>
          </w:p>
        </w:tc>
        <w:tc>
          <w:tcPr>
            <w:tcW w:w="56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First Lien Credit Agreement includes a first lien term loan facility ("Term Loan Facility") and a revolving credit facility ("Revolving Credit Facility" and, together with the Term Loan Facility, the "Senior Facilities").</w:t>
      </w:r>
    </w:p>
    <w:p>
      <w:pPr>
        <w:spacing w:after="0" w:line="19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July 20, 2020, we entered into an amendment to the First Lien Credit Agreement that modified the terms of the Revolving Credit Facility effective upon the closing of the IPO on August 7, 2020. The amendment (i) increased the amount of the commitments available under the Revolving Credit Facility from $225.0 million to $375.0 million, (ii) reduced the applicable margin with respect to the Revolving Credit Facility to 3.00% for LIBOR loans and 2.00% for base rate loans, but includes a 1.00% LIBOR “floor” applicable to LIBOR loans, and (iii) extended the maturity date with respect to the Revolving Credit Facility from November 3, 2021 to August 7, 2025; however, if 91 days prior to the scheduled maturity date of (A) the Term Loan Facility, more than $50.0 million aggregate principal amount of loans remains outstanding under the Term Loan Facility, or (B) the 8.625% Senior Notes, more than $50.0 million aggregate principal amount of the 8.625% Senior Notes remains outstanding, in either such case, the Revolving Credit Facility will mature on such earlier date.</w:t>
      </w:r>
    </w:p>
    <w:p>
      <w:pPr>
        <w:spacing w:after="0" w:line="21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amendment to the Revolving Credit Facility also modified the financial maintenance covenant applicable to the Revolving Credit Facility that limits our net first lien leverage ratio to be a maximum of 5.00 to 1.00 (as compared to 3.50 to 1.00 prior to giving effect to the amendment). This financial maintenance covenant is only applicable and tested if the aggregate amount of outstanding borrowings under the Revolving Credit Facility and letters of credit issued thereunder (excluding $25.0 million of undrawn letters of credit and cash collateralized letters of credit) as of the last day of a fiscal quarter is equal to or greater than 35% of the Revolving Credit Facility commitments as of the last day of such fiscal quarter. Other than described in this and the previous paragraph, the terms and conditions of the Revolving Credit Facility remained the same, and the amendment did not amend or otherwise modify the terms of the Term Loan Facility.</w:t>
      </w:r>
    </w:p>
    <w:p>
      <w:pPr>
        <w:spacing w:after="0" w:line="204" w:lineRule="exact"/>
        <w:rPr>
          <w:sz w:val="20"/>
          <w:szCs w:val="20"/>
          <w:color w:val="auto"/>
        </w:rPr>
      </w:pPr>
    </w:p>
    <w:p>
      <w:pPr>
        <w:jc w:val="both"/>
        <w:ind w:right="140" w:firstLine="486"/>
        <w:spacing w:after="0" w:line="243" w:lineRule="auto"/>
        <w:rPr>
          <w:sz w:val="20"/>
          <w:szCs w:val="20"/>
          <w:color w:val="auto"/>
        </w:rPr>
      </w:pPr>
      <w:r>
        <w:rPr>
          <w:rFonts w:ascii="Arial" w:cs="Arial" w:eastAsia="Arial" w:hAnsi="Arial"/>
          <w:sz w:val="18"/>
          <w:szCs w:val="18"/>
          <w:color w:val="auto"/>
        </w:rPr>
        <w:t>We accounted for the amendment to the Revolving Credit Facility as a debt modification and recorded $0.6 million in debt issuance costs to "Other non-current assets" in the Consolidated Balance Sheets. These will be amortized, along with the unamortized debt issuance costs associated with the prior arrangement, on a straight-line basis to "Interest expense" in the Consolidated Statements of Comprehensive Loss over the five-year term of the modified arrangement.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of September 30, 2020, the Revolving Credit Facility had total commitments of $375.0 million and matures on August 7, 2025. Over the course of the nine months ended September 30, 2020, Rackspace Technology Global borrowed and repaid an aggregate $245.0 million under the Revolving Credit Facility. As of September 30, 2020, we had no outstanding borrowings under the Revolving Credit Facility.</w:t>
      </w:r>
    </w:p>
    <w:p>
      <w:pPr>
        <w:spacing w:after="0" w:line="211" w:lineRule="exact"/>
        <w:rPr>
          <w:sz w:val="20"/>
          <w:szCs w:val="20"/>
          <w:color w:val="auto"/>
        </w:rPr>
      </w:pPr>
    </w:p>
    <w:p>
      <w:pPr>
        <w:jc w:val="both"/>
        <w:ind w:right="540" w:firstLine="486"/>
        <w:spacing w:after="0" w:line="263" w:lineRule="auto"/>
        <w:rPr>
          <w:sz w:val="20"/>
          <w:szCs w:val="20"/>
          <w:color w:val="auto"/>
        </w:rPr>
      </w:pPr>
      <w:r>
        <w:rPr>
          <w:rFonts w:ascii="Arial" w:cs="Arial" w:eastAsia="Arial" w:hAnsi="Arial"/>
          <w:sz w:val="18"/>
          <w:szCs w:val="18"/>
          <w:color w:val="auto"/>
        </w:rPr>
        <w:t>The Term Loan Facility matures on November 3, 2023 and, as of September 30, 2020, the interest rate on the Term Loan Facility was 4.00%. Rackspace Technology Global makes quarterly principal payments of $7.2 million. See Note 11, "Derivatives" for information on interest rate swap agreements we utilize to manage the interest rate risk on the Term Loan Facility.</w:t>
      </w:r>
    </w:p>
    <w:p>
      <w:pPr>
        <w:spacing w:after="0" w:line="21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The fair value of the Term Loan Facility as of September 30, 2020 was $2,739.8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Rackspace Technology Global was in compliance with all covenants under the Senior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due 2024</w:t>
      </w:r>
    </w:p>
    <w:p>
      <w:pPr>
        <w:spacing w:after="0" w:line="25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8.625% Senior Notes mature on November 15, 2024 and, as of September 30, 2020, Rackspace Technology Global was in compliance with all covenants under the indenture governing the 8.625% Senior Notes (the "Indenture").</w:t>
      </w:r>
    </w:p>
    <w:p>
      <w:pPr>
        <w:spacing w:after="0" w:line="197"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During the nine months ended September 30, 2019, Rackspace Technology Global repurchased and surrendered for cancellation $73.9 million of principal amount of 8.625% Senior Notes for $63.7 million including accrued interest of $0.7 million. In connection with these repurchases, we recorded a gain on debt extinguishment of $9.5 million in our Consolidated Statements of Comprehensive Loss for the nine months ended September 30, 2019.</w:t>
      </w:r>
    </w:p>
    <w:p>
      <w:pPr>
        <w:spacing w:after="0" w:line="17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August 12, 2020, Rackspace Technology Global commenced a tender offer to purchase for cash up to $600.0 million aggregate principal amount of the $1,120.2 million outstanding 8.625% Senior Notes. Prior to the expiration of the tender offer, holders of the 8.625% Senior Notes validly tendered $515.0 million aggregate principal amount of the 8.625% Senior Notes. Rackspace Technology Global repurchased the tendered 8.625% Senior Notes for aggregate cash of $557.2 million, which reflected a price of 105.75% of the principal amount, plus accrued and unpaid interest. Following the repurchases, Rackspace Technology Global canceled $515.0 million of the 8.625% Senior Notes. In connection with these repurchases, we recorded a loss on debt extinguishment of $37.0 million in our Consolidated Statements of Comprehensive Loss for the three and nine months ended September 30, 2020, comprised of a $29.7 million premium on repurchase, $7.1 million write-off of unamortized debt issuance costs, and transaction fees of $0.2 million.</w:t>
      </w:r>
    </w:p>
    <w:p>
      <w:pPr>
        <w:spacing w:after="0" w:line="19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fair value of the outstanding 8.625% Senior Notes as of September 30, 2020 was $632.4 million, based on quoted market prices for identical assets that are traded in over-the-counter secondary markets that are not considered active. The fair value of the 8.625% Senior Notes is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Financing Agreement</w:t>
      </w:r>
    </w:p>
    <w:p>
      <w:pPr>
        <w:spacing w:after="0" w:line="25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 March 19, 2020, a wholly owned subsidiary of the company entered into an accounts receivable financing agreement (the "Receivables Financing Facility"). Pursuant to the agreements evidencing the Receivables Financing Facility, Rackspace Receivables, LLC, a bankruptcy-remote special purpose vehicle ("SPV") wholly owned by Rackspace Technology Global, has granted a security interest in all of its current and future receivables and related assets in exchange for a credit facility permitting borrowings of up to a maximum aggregate amount of $100.0 million from time to time. Such borrowings are used by the SPV to finance purchases of accounts receivable. We recorded $1.0 million of fees and expenses related to the Receivables Financing Facility as debt issuance costs, which are included in "Other non-current assets" in the Consolidated Balance Sheets.</w:t>
      </w:r>
    </w:p>
    <w:p>
      <w:pPr>
        <w:spacing w:after="0" w:line="19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amount of advances available are determined based on advance rates relating to the eligibility of the receivables held by the SPV at that time. Advances bear interest based on LIBOR plus a margin. The last date on which advances may be made is March 21, 2022, unless the maturity of the Receivables Financing Facility is otherwise accelerated. In addition to other customary fees associated with financings of this type, the SPV is required to pay a monthly commitment fee based on the unused amount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September 30, 2020, our total borrowing capacity under the Receivables Financing Facility was $68.0 million and $65.0 million was borrowed and outstanding. The interest rate on the Receivables Financing Facility was 2.50% as of September 30, 2020.</w:t>
      </w:r>
    </w:p>
    <w:p>
      <w:pPr>
        <w:spacing w:after="0" w:line="197"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The agreements evidencing the Receivables Financing Facility contain customary representations and warranties, affirmative and negative covenants, and events of default. As of September 30, 2020, the company was in compliance with all covenants under the Receivables Financing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right="6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6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cannot predict the impact, if any, that any current matter will have on our business, results of operations, financial position, or cash flows. Because of the inherent uncertainties of these matters, including the early stage and lack of specific damage claims in many of them, we cannot estimate a range of possible losses from them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 and Settlement of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25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During the three and nine months ended September 30, 2019, we repurchased $0.3 million and $2.2 million, or 0.1 million and 0.2 million shares, respectively, of our common stock. These shares were subsequently retired.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Share-Based Awards</w:t>
      </w:r>
    </w:p>
    <w:p>
      <w:pPr>
        <w:spacing w:after="0" w:line="252"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As a result of the Rackspace Acquisition, Rackspace Technology Global had obligations related to the settlement of restricted stock units that were outstanding at the Closing Date. These obligations required installment payments that began in November 2016 and ended in the first quarter of 2019. We made cash payments of $19.2 million during the nine months ended September 30, 2019 and recognized compensation expense of $2.7 million within "Selling, general and administrative expenses" in the Consolidated Statements of Comprehensive Loss for the nine months ended September 30, 2019.</w:t>
      </w:r>
    </w:p>
    <w:p>
      <w:pPr>
        <w:spacing w:after="0" w:line="18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addition, in connection with an employee's departure, we settled options and restricted stock for a one-time cash payment of $1.5 million during the nine months ended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April 2017, the Executive Committee of the board of directors authorized the company to adopt the Rackspace Technology, Inc. Equity Incentive Plan (the “2017 Incentive Plan”).</w:t>
      </w:r>
    </w:p>
    <w:p>
      <w:pPr>
        <w:spacing w:after="0" w:line="19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July 24, 2020, the board of directors approved, effective on August 7, 2020, the Rackspace Technology, Inc. 2020 Equity Incentive Plan (the “2020 Incentive Plan” and, together with the 2017 Incentive Plan, the “Incentive Plans”) and amendments to the 2017 Incentive Plan which, among other things, resulted in the termination of the 2017 Incentive Plan, except as it relates to outstanding awards, and any remaining shares reserved for future grants under the 2017 Incentive Plan were released.</w:t>
      </w:r>
    </w:p>
    <w:p>
      <w:pPr>
        <w:spacing w:after="0" w:line="214" w:lineRule="exact"/>
        <w:rPr>
          <w:sz w:val="20"/>
          <w:szCs w:val="20"/>
          <w:color w:val="auto"/>
        </w:rPr>
      </w:pPr>
    </w:p>
    <w:p>
      <w:pPr>
        <w:ind w:right="220" w:firstLine="486"/>
        <w:spacing w:after="0" w:line="296" w:lineRule="auto"/>
        <w:rPr>
          <w:sz w:val="20"/>
          <w:szCs w:val="20"/>
          <w:color w:val="auto"/>
        </w:rPr>
      </w:pPr>
      <w:r>
        <w:rPr>
          <w:rFonts w:ascii="Arial" w:cs="Arial" w:eastAsia="Arial" w:hAnsi="Arial"/>
          <w:sz w:val="16"/>
          <w:szCs w:val="16"/>
          <w:color w:val="auto"/>
        </w:rPr>
        <w:t>The 2020 Incentive Plan provides for the grant of stock options, including incentive stock options (“ISOs”), and nonqualified stock options (“NSOs”), stock appreciation rights (“SARs”), restricted stock, restricted stock units (“RSUs”), other stock-based incentive awards, dividend equivalents and cash-based awards (collectively, “awards”). ISOs may be granted only to our employees or an employee of a parent or subsidiary. All other awards may be granted to employees and consultants of the company and its parents and subsidiaries, as well as all non-employee members of our board of directors. The maximum number of shares of our common stock available for issuance under the 2020 Incentive Plan is 25.0 million shares.</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An Employee Stock Purchase Plan (the "ESPP") was approved by the company's board of directors on July 24, 2020 and became effective on August 7, 2020. Under the ESPP, eligible employees may purchase a limited number of shares of our common stock at the lesser of 85% of the market value on the enrollment date or 85% of the market value on the purchase date. The maximum shares available for issuance under the ESPP is 11.5 million shares. The fair value on each enrollment date is determined using the Black-Scholes option-pricing model. The share-based compensation expense recognized for the ESPP was $0.7 million during the three and nine months ended September 30, 2020. No shares were issued through the ESPP during the nine months ended September 30, 2020.</w:t>
      </w:r>
    </w:p>
    <w:p>
      <w:pPr>
        <w:spacing w:after="0" w:line="219"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During the nine months ended September 30, 2020, we granted 8.2 million stock options and 1.2 million RSUs under the Incentive Plans with weighted-average grant date fair values of $8.38 and $17.80, respectively. The majority of the options were granted as part of our annual compensation award process and vest ratably over a three-year period, subject to continued service. Also included in the 8.2 million stock options granted were 2.6 million stock options granted to certain executives that vest in part subject to continued service ratably over a five-year period and in part based upon the attainment of performance and market conditions. The majority of the RSUs granted were part of a grant to all eligible employees on the date of our IPO and vest six months after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recognized for the three and nine months ended September 30, 2019 and 2020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r>
      <w:tr>
        <w:trPr>
          <w:trHeight w:val="212"/>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Pre-tax share-based compensation expense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13"/>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Income tax benefit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color w:val="auto"/>
        </w:rPr>
        <w:t>Upon the completion of the IPO, it was determined that certain awards with performance and market conditions, tied to a liquidity event and the achievement of targets based on a multiple of invested capital ("MOIC") for Apollo, were probable of vesting. As a result of this change in estimate, the company recognized $20.2 million of share-based compensation expense, related to service received since the grant date of the respective awards, during the three months ended September 30, 2020.</w:t>
      </w:r>
    </w:p>
    <w:p>
      <w:pPr>
        <w:spacing w:after="0" w:line="214"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September 30, 2020, there was $92.7 million and $18.6 million of total unrecognized compensation cost related to stock options and restricted stock, respectively, which will be recognized using the straight-line method over a weighted average period of 2.0 years and 1.0 year,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Taxes</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and nine months ended September 30, 2020, our effective tax rate is lower than the U.S. federal statutory rate of 21% due to the net impact of the geographical distribution of our earnings, the application of the global intangible low-taxed income (“GILTI”) provisions that were implemented with the Tax Cuts and Jobs Act (the “Act”) that was passed on December 22, 2017, as well as executive compensation that is nondeductible under Internal Revenue Code ("IRC") Section 162(m) as a result of the IPO.</w:t>
      </w:r>
    </w:p>
    <w:p>
      <w:pPr>
        <w:spacing w:after="0" w:line="208"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On July 27, 2015, the U.S. Tax Court ("Tax Court") issued an opinion in Altera Corp. ("Altera") v. Commissioner ("Tax Court Opinion"), which concluded that related parties in a cost sharing arrangement are not required to share expenses related to share-based compensation. The Tax Court Opinion was appealed by the Commissioner to the Ninth Circuit Court of Appeals ("Ninth Circuit"). On June 7, 2019, a three-judge panel from the Ninth Circuit issued an opinion that reversed the Tax Court Opinion. On July 22, 2019, the taxpayer requested a rehearing before the full Ninth Circuit, which the Ninth Circuit subsequently denied. On February 10, 2020, Altera submitted a petition for writ of certiorari to the U.S. Supreme Court. On June 22, 2020, the U.S. Supreme Court denied Altera’s petition for writ of certiorari and will not review the Ninth Circuit’s June 7, 2019 decision that upheld the inclusion of share-based compensation in a cost sharing arrangement. Given the U.S. Supreme Court’s denial of the petition for writ of certiorari, we believe it is appropriate to record the financial statement impact of including share-based compensation in historical cost sharing payments discretely in the nine month period ending September 30, 2020 for years prior to 2020. The aggregate income tax impact related to the Altera decision is less than $1.0 million. If, at a future date, Altera secured a favorable ruling from the U.S. Supreme Court, we would re-evaluate the decision to record an income tax benefit at that time.</w:t>
      </w:r>
    </w:p>
    <w:p>
      <w:pPr>
        <w:spacing w:after="0" w:line="19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in response to the COVID-19 pandemic. The CARES Act contains modifications on the limitation of business interest for tax years beginning in 2019 and 2020. The modifications to Section 163(j) of the Internal Revenue Code increase the allowable business interest deduction from 30% of adjusted taxable income to 50% of adjusted taxable income. This modification significantly increases our allowable interest expense deduction resulting in less utilization of prior year net operating losses in that year. The change in the interest expense limitation pursuant to the CARES Act did not have an impact on the three or nine months ended September 30, 2020 as it is not expected to impact our net deferred tax liability for 2020. As a result of the CARES Act, it is anticipated that we will fully deduct interest expense incurred in 2020 and may be able to deduct previously disallowed interest expense carrying forward from 2018.</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utilize derivative instruments, including interest rate swap agreements and foreign currency hedging contracts, to manage our exposure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and foreign currency fluctuations. We only hold such instruments for economic hedging purposes, not for speculative or trading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derivative instruments are transacted only with highly-rated institutions, which reduces our exposure to credit risk in the event of nonperformance.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48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December 2016, we entered into seven floating-to-fixed interest rate swap agreements to manage our risk from interest rate fluctuations associated with the floating-rate Term Loan Facility. The swap agreements became effective on February 3, 2017 with an aggregate notional amount of $1.5 billion. Two swap agreements matured in 2018, one agreement matured during the nine months ended September 30, 2019, and one agreement matured during the nine months ended September 30, 2020. The remaining three swap agreements in effect as of September 30,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2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September 30, 2020, two swap agreements, with an aggregate notional amount of $300 million, were effective. The remaining swap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1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December 31, 2019, none of our interest rate swap agreements were designated as cash flow hedges of interest rate risk for accounting purposes, therefore, all changes in the fair value of the interest rate swap agreements were recorded to "Interest expense" in the Consolidated Statements of Comprehensive Loss. On January 9, 2020, we designated certain of our swaps as cash flow hedges. On the designation date, the cash flow hedges were in a $39.9 million liability position ("off-market swap value"). The cash flow hedges were expected to be highly effective on the designation date and, on a quarterly basis, we perform retrospective and prospective assessments to determine whether the cash flow hedges continue to be highly effective, which we have deemed to be a dollar-offset ratio between 80% to 125%. As long as the cash flow hedges are highly effective, changes in fair value are recorded to "Accumulated other comprehensive income (loss)" in the Consolidated Balance Sheets and reclassified to "Interest expense" in the period when the underlying transaction affects earnings. The off-market swap value will be amortized as a reduction to "Interest expense" on a straight-line basis over the remaining term of each cash flow hedge.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 As of September 30, 2020, all of our cash flow hedges were highly effective.</w:t>
      </w:r>
    </w:p>
    <w:p>
      <w:pPr>
        <w:spacing w:after="0" w:line="206"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Our interest rate swap agreements are recognized at fair value in the Consolidated Balance Sheets and are valued using pricing models that rely on market observable inputs such as yield curve data, which are classified as Level 2 inputs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 Contracts</w:t>
      </w:r>
    </w:p>
    <w:p>
      <w:pPr>
        <w:spacing w:after="0" w:line="252"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5"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11"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w:t>
      </w:r>
    </w:p>
    <w:p>
      <w:pPr>
        <w:spacing w:after="0" w:line="214"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In March 2020, we entered into three foreign currency forward contracts to manage our exposure to movements in the British pound sterling, Euro and Mexican peso. All three contracts settled on June 30, 2020, and we made a final net payment of $1.7 million resulting from the following:</w:t>
      </w:r>
    </w:p>
    <w:p>
      <w:pPr>
        <w:spacing w:after="0" w:line="173"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sold £32 million at a rate of 1.1902 British pound to U.S. dollar and received $38.1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sold €6 million at a rate of 1.0921 Euro to U.S. dollar and received $6.6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sold $2.1 million at a rate of 24.2040 U.S. dollar to Mexican peso and received Mex$50 million.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June 2020, we entered into three foreign currency forward contracts to manage our exposure to movements in the British pound sterling, Euro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Mexican peso. All three contracts settled on September 30, 2020 and we made a final net payment of $1.6 million resulting from the following:</w:t>
      </w:r>
    </w:p>
    <w:p>
      <w:pPr>
        <w:spacing w:after="0" w:line="249" w:lineRule="exact"/>
        <w:rPr>
          <w:sz w:val="20"/>
          <w:szCs w:val="20"/>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sold £32 million at a rate of 1.24095 British pound to U.S. dollar and received $39.7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sold €6 million at a rate of 1.1241 Euro to U.S. dollar and received $6.7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sold $2.2 million at a rate of 23.0330 U.S. dollar to Mexican peso and received Mex$50 million.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September 2020, we entered into three foreign currency forward contracts to manage our exposure to movements in the British pound sterling,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Mexican peso. All three contracts have a maturity date of December 31, 2020. On the maturity date, the following will occur:</w:t>
      </w:r>
    </w:p>
    <w:p>
      <w:pPr>
        <w:spacing w:after="0" w:line="238"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sell £32 million at a rate of 1.28495 British pound to U.S. dollar and receive $41.1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sell €6 million at a rate of 1.1684 Euro to U.S. dollar and receive $7.0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sell $2.2 million at a rate of 22.8340 U.S. dollar to Mexican peso and receive Mex$50 million.</w:t>
      </w:r>
    </w:p>
    <w:p>
      <w:pPr>
        <w:spacing w:after="0" w:line="238"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fair value are recorded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2019 and September 30, 2020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Derivatives not designated as</w:t>
            </w:r>
          </w:p>
        </w:tc>
        <w:tc>
          <w:tcPr>
            <w:tcW w:w="26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Location</w:t>
            </w:r>
          </w:p>
        </w:tc>
        <w:tc>
          <w:tcPr>
            <w:tcW w:w="10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6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8"/>
        </w:trPr>
        <w:tc>
          <w:tcPr>
            <w:tcW w:w="2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5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3"/>
              </w:rPr>
              <w:t>Derivatives designated as hedging</w:t>
            </w:r>
          </w:p>
        </w:tc>
        <w:tc>
          <w:tcPr>
            <w:tcW w:w="2620" w:type="dxa"/>
            <w:vAlign w:val="bottom"/>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Location</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62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non-current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2"/>
        </w:trPr>
        <w:tc>
          <w:tcPr>
            <w:tcW w:w="2500" w:type="dxa"/>
            <w:vAlign w:val="bottom"/>
          </w:tcPr>
          <w:p>
            <w:pPr>
              <w:ind w:left="220"/>
              <w:spacing w:after="0"/>
              <w:rPr>
                <w:sz w:val="20"/>
                <w:szCs w:val="20"/>
                <w:color w:val="auto"/>
              </w:rPr>
            </w:pPr>
            <w:r>
              <w:rPr>
                <w:rFonts w:ascii="Arial" w:cs="Arial" w:eastAsia="Arial" w:hAnsi="Arial"/>
                <w:sz w:val="16"/>
                <w:szCs w:val="16"/>
                <w:color w:val="auto"/>
              </w:rPr>
              <w:t>Total</w:t>
            </w:r>
          </w:p>
        </w:tc>
        <w:tc>
          <w:tcPr>
            <w:tcW w:w="26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89"/>
              </w:rPr>
              <w:t>September 30, 2020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0"/>
              </w:rPr>
              <w:t>Effect of</w:t>
            </w: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20"/>
              <w:spacing w:after="0" w:line="162" w:lineRule="exact"/>
              <w:rPr>
                <w:sz w:val="20"/>
                <w:szCs w:val="20"/>
                <w:color w:val="auto"/>
              </w:rPr>
            </w:pPr>
            <w:r>
              <w:rPr>
                <w:rFonts w:ascii="Arial" w:cs="Arial" w:eastAsia="Arial" w:hAnsi="Arial"/>
                <w:sz w:val="16"/>
                <w:szCs w:val="16"/>
                <w:b w:val="1"/>
                <w:bCs w:val="1"/>
                <w:color w:val="auto"/>
              </w:rPr>
              <w:t>Counter-Party</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9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120" w:type="dxa"/>
            <w:vAlign w:val="bottom"/>
          </w:tcPr>
          <w:p>
            <w:pPr>
              <w:spacing w:after="0"/>
              <w:rPr>
                <w:sz w:val="14"/>
                <w:szCs w:val="14"/>
                <w:color w:val="auto"/>
              </w:rPr>
            </w:pPr>
          </w:p>
        </w:tc>
        <w:tc>
          <w:tcPr>
            <w:tcW w:w="12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Netting</w:t>
            </w:r>
          </w:p>
        </w:tc>
        <w:tc>
          <w:tcPr>
            <w:tcW w:w="1160" w:type="dxa"/>
            <w:vAlign w:val="bottom"/>
            <w:gridSpan w:val="3"/>
            <w:vMerge w:val="continue"/>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Loss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effect of our derivatives and their location on the Consolidated Statements of Comprehensive Loss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2020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07"/>
        </w:trPr>
        <w:tc>
          <w:tcPr>
            <w:tcW w:w="21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2"/>
              </w:rPr>
              <w:t>Derivatives not designated as</w:t>
            </w:r>
          </w:p>
        </w:tc>
        <w:tc>
          <w:tcPr>
            <w:tcW w:w="25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(3.2)</w:t>
            </w:r>
          </w:p>
        </w:tc>
        <w:tc>
          <w:tcPr>
            <w:tcW w:w="0" w:type="dxa"/>
            <w:vAlign w:val="bottom"/>
          </w:tcPr>
          <w:p>
            <w:pPr>
              <w:spacing w:after="0"/>
              <w:rPr>
                <w:sz w:val="1"/>
                <w:szCs w:val="1"/>
                <w:color w:val="auto"/>
              </w:rPr>
            </w:pPr>
          </w:p>
        </w:tc>
      </w:tr>
      <w:tr>
        <w:trPr>
          <w:trHeight w:val="213"/>
        </w:trPr>
        <w:tc>
          <w:tcPr>
            <w:tcW w:w="214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52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center"/>
              <w:ind w:left="799"/>
              <w:spacing w:after="0"/>
              <w:rPr>
                <w:sz w:val="20"/>
                <w:szCs w:val="20"/>
                <w:color w:val="auto"/>
              </w:rPr>
            </w:pPr>
            <w:r>
              <w:rPr>
                <w:rFonts w:ascii="Arial" w:cs="Arial" w:eastAsia="Arial" w:hAnsi="Arial"/>
                <w:sz w:val="16"/>
                <w:szCs w:val="16"/>
                <w:color w:val="auto"/>
                <w:w w:val="89"/>
              </w:rPr>
              <w:t>0.3</w:t>
            </w: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Derivatives designated as</w:t>
            </w:r>
          </w:p>
        </w:tc>
        <w:tc>
          <w:tcPr>
            <w:tcW w:w="25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(6.1)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Interest expense was $80.9 million and $68.3 million for the three months ended September 30, 2019 and 2020, respectively, and $270.7 million and $209.2 million for the nine months ended September 30, 2019 and 2020, respectively. As of September 30, 2020, the amount of cash flow hedge losses included within "Accumulated other comprehensive income (loss)" that is expected to be reclassified as an increase to "Interest expense" over the next 12 months is approximately $19.2 million. See Note 14, "Accumulated Other Comprehensive Income (Loss)," for information regarding changes in fair value of our derivatives designated as hedging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jc w:val="both"/>
        <w:ind w:right="80" w:firstLine="486"/>
        <w:spacing w:after="0" w:line="257"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September 30, 2020, our interest rate swap agreements with an aggregate fair value of $91.7 million were in a net liability position. However, if we were in default, our master netting arrangements with certain of our interest rate swap counterparties contain provisions which could result in net settlement of all outstanding agreements with an aggregate fair value of $91.5 million in a net liability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Divestitures</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On February 1, 2017, we completed the sale of assets of our Mailgun business for total consideration of $40.2 million, which was comprised of an initial cash payment of $20.5 million, a promissory note with a fair value of $14.8 million, and an equity interest in the new entity, Mailgun Technologies, Inc. ("Mailgun Technologies") with a fair value of $4.9 million.</w:t>
      </w:r>
    </w:p>
    <w:p>
      <w:pPr>
        <w:spacing w:after="0" w:line="21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March 2019, we received $18.0 million in cash from Mailgun Technologies as repayment for the promissory note balance of $15.9 million, which included accrued interest of $1.2 million. As such, we recorded a gain of $2.1 million, which is reflected within "Gain on sale" in the Consolidated Statements of Comprehensive Loss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Onica</w:t>
      </w:r>
    </w:p>
    <w:p>
      <w:pPr>
        <w:spacing w:after="0" w:line="252"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On November 15, 2019, Rackspace Technology acquired 100% of Onica, an Amazon Web Services ("AWS") Partner Network Premier Consulting Partner and AWS Managed Service Provider providing cloud-native consulting and managed services, including strategic advisory, architecture and engineering and application development services. Total consideration to acquire Onica was $323.4 million, net of cash acquired of $7.5 million, for a net purchase price of $315.9 million. Total consideration includes the purchase price adjustment resulting from the difference between net working capital on the date of acquisition compared to the estimated net working capital used to determine the closing consideration (the "Purchase Price Adjustment").</w:t>
      </w:r>
    </w:p>
    <w:p>
      <w:pPr>
        <w:spacing w:after="0" w:line="188" w:lineRule="exact"/>
        <w:rPr>
          <w:sz w:val="20"/>
          <w:szCs w:val="20"/>
          <w:color w:val="auto"/>
        </w:rPr>
      </w:pPr>
    </w:p>
    <w:p>
      <w:pPr>
        <w:ind w:right="500" w:firstLine="486"/>
        <w:spacing w:after="0" w:line="259" w:lineRule="auto"/>
        <w:rPr>
          <w:sz w:val="20"/>
          <w:szCs w:val="20"/>
          <w:color w:val="auto"/>
        </w:rPr>
      </w:pPr>
      <w:r>
        <w:rPr>
          <w:rFonts w:ascii="Arial" w:cs="Arial" w:eastAsia="Arial" w:hAnsi="Arial"/>
          <w:sz w:val="18"/>
          <w:szCs w:val="18"/>
          <w:color w:val="auto"/>
        </w:rPr>
        <w:t>The Onica acquisition was accounted for using the acquisition method of accounting, in accordance with the accounting guidance for business combinations. Accordingly, the purchase price has been preliminarily allocated (pending the final valuation of certain tangible and intangible assets acquired and liabilities assumed, including deferred taxes) to the acquired assets and liabilities based upon their estimated fair values at the date of acquisition.</w:t>
      </w:r>
    </w:p>
    <w:p>
      <w:pPr>
        <w:spacing w:after="0" w:line="21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preliminary allocation of the purchase price as of the November 15, 2019 closing date (as adjusted through September 30, 2020, as described below)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November 15, 2019</w:t>
            </w:r>
          </w:p>
        </w:tc>
        <w:tc>
          <w:tcPr>
            <w:tcW w:w="0" w:type="dxa"/>
            <w:vAlign w:val="bottom"/>
          </w:tcPr>
          <w:p>
            <w:pPr>
              <w:spacing w:after="0"/>
              <w:rPr>
                <w:sz w:val="1"/>
                <w:szCs w:val="1"/>
                <w:color w:val="auto"/>
              </w:rPr>
            </w:pPr>
          </w:p>
        </w:tc>
      </w:tr>
      <w:tr>
        <w:trPr>
          <w:trHeight w:val="23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7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978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Liabilities assumed, net of other assets acquired</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During the nine months ended September 30, 2020, we recorded a measurement period adjustment to the preliminary amounts recorded as of November 15, 2019. We recorded a measurement period adjustment of $0.2 million to Onica Acquisition Consideration associated with the Purchase Price Adjustment, for a total net decrease to goodwill of $0.2 million. The Purchase Price Adjustment is included in "Other investing activities" in the Consolidated Statements of Cash Flows. The adjustment to the preliminary allocation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 Previously</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Measurement</w:t>
            </w:r>
          </w:p>
        </w:tc>
        <w:tc>
          <w:tcPr>
            <w:tcW w:w="280" w:type="dxa"/>
            <w:vAlign w:val="bottom"/>
          </w:tcPr>
          <w:p>
            <w:pPr>
              <w:spacing w:after="0"/>
              <w:rPr>
                <w:sz w:val="16"/>
                <w:szCs w:val="16"/>
                <w:color w:val="auto"/>
              </w:rPr>
            </w:pPr>
          </w:p>
        </w:tc>
        <w:tc>
          <w:tcPr>
            <w:tcW w:w="11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Revised</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Determined</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Period Adjustments</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Accumulated Gains (Losses)</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2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on Derivative Contracts</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5"/>
              </w:rPr>
              <w:t>Foreign currency translation adjustments, net of tax benefit of $1.0</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Accumulated Gains (Losses)</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2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on Derivative Contracts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5"/>
              </w:rPr>
              <w:t>Foreign currency translation adjustments, net of tax benefit of $1.2</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180" w:type="dxa"/>
            <w:vAlign w:val="bottom"/>
          </w:tcPr>
          <w:p>
            <w:pPr>
              <w:spacing w:after="0"/>
              <w:rPr>
                <w:sz w:val="16"/>
                <w:szCs w:val="16"/>
                <w:color w:val="auto"/>
              </w:rPr>
            </w:pPr>
          </w:p>
        </w:tc>
        <w:tc>
          <w:tcPr>
            <w:tcW w:w="20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7"/>
              </w:rPr>
              <w:t>Accumulated Losses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1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 Contracts</w:t>
            </w:r>
          </w:p>
        </w:tc>
        <w:tc>
          <w:tcPr>
            <w:tcW w:w="24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w w:val="93"/>
              </w:rPr>
              <w:t>Foreign currency translation adjustments, net of tax expense of $1.0</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Unrealized gains on derivative contracts, net of tax expense of $0.4</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4660" w:type="dxa"/>
            <w:vAlign w:val="bottom"/>
          </w:tcPr>
          <w:p>
            <w:pPr>
              <w:ind w:left="14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line="213" w:lineRule="exact"/>
              <w:rPr>
                <w:sz w:val="20"/>
                <w:szCs w:val="20"/>
                <w:color w:val="auto"/>
              </w:rPr>
            </w:pPr>
            <w:r>
              <w:rPr>
                <w:rFonts w:ascii="Arial" w:cs="Arial" w:eastAsia="Arial" w:hAnsi="Arial"/>
                <w:sz w:val="16"/>
                <w:szCs w:val="16"/>
                <w:color w:val="auto"/>
              </w:rPr>
              <w:t xml:space="preserve">(loss) into earnings, net of tax benefit of $1.2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500" w:right="860" w:hanging="492"/>
        <w:spacing w:after="0" w:line="301" w:lineRule="auto"/>
        <w:tabs>
          <w:tab w:leader="none" w:pos="4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Includes Interest expense recognized of $5.9 million, partially offset by amortization of off-market swap value of $1.5 million for the </w:t>
      </w:r>
      <w:r>
        <w:rPr>
          <w:rFonts w:ascii="Arial" w:cs="Arial" w:eastAsia="Arial" w:hAnsi="Arial"/>
          <w:sz w:val="17"/>
          <w:szCs w:val="17"/>
          <w:color w:val="auto"/>
        </w:rPr>
        <w:t>three</w:t>
      </w:r>
      <w:r>
        <w:rPr>
          <w:rFonts w:ascii="Arial" w:cs="Arial" w:eastAsia="Arial" w:hAnsi="Arial"/>
          <w:sz w:val="16"/>
          <w:szCs w:val="16"/>
          <w:color w:val="auto"/>
        </w:rPr>
        <w:t xml:space="preserve"> months ended September 30,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180" w:type="dxa"/>
            <w:vAlign w:val="bottom"/>
          </w:tcPr>
          <w:p>
            <w:pPr>
              <w:spacing w:after="0"/>
              <w:rPr>
                <w:sz w:val="16"/>
                <w:szCs w:val="16"/>
                <w:color w:val="auto"/>
              </w:rPr>
            </w:pPr>
          </w:p>
        </w:tc>
        <w:tc>
          <w:tcPr>
            <w:tcW w:w="2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 Losses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1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w w:val="95"/>
              </w:rPr>
              <w:t>Foreign currency translation adjustments, net of tax benefit of $0.4</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Unrealized losses on derivative contracts, net of tax benefit of $15.9</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62"/>
        </w:trPr>
        <w:tc>
          <w:tcPr>
            <w:tcW w:w="4660" w:type="dxa"/>
            <w:vAlign w:val="bottom"/>
          </w:tcPr>
          <w:p>
            <w:pPr>
              <w:ind w:left="140"/>
              <w:spacing w:after="0" w:line="162"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line="216" w:lineRule="exact"/>
              <w:rPr>
                <w:sz w:val="20"/>
                <w:szCs w:val="20"/>
                <w:color w:val="auto"/>
              </w:rPr>
            </w:pPr>
            <w:r>
              <w:rPr>
                <w:rFonts w:ascii="Arial" w:cs="Arial" w:eastAsia="Arial" w:hAnsi="Arial"/>
                <w:sz w:val="16"/>
                <w:szCs w:val="16"/>
                <w:color w:val="auto"/>
              </w:rPr>
              <w:t xml:space="preserve">(loss) into earnings, net of tax benefit of $1.6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00" w:right="840" w:hanging="492"/>
        <w:spacing w:after="0" w:line="301" w:lineRule="auto"/>
        <w:tabs>
          <w:tab w:leader="none" w:pos="40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Includes Interest expense recognized of $10.3 million, partially offset by amortization of off-market swap value of $4.2 million for the </w:t>
      </w:r>
      <w:r>
        <w:rPr>
          <w:rFonts w:ascii="Arial" w:cs="Arial" w:eastAsia="Arial" w:hAnsi="Arial"/>
          <w:sz w:val="17"/>
          <w:szCs w:val="17"/>
          <w:color w:val="auto"/>
        </w:rPr>
        <w:t>nine</w:t>
      </w:r>
      <w:r>
        <w:rPr>
          <w:rFonts w:ascii="Arial" w:cs="Arial" w:eastAsia="Arial" w:hAnsi="Arial"/>
          <w:sz w:val="16"/>
          <w:szCs w:val="16"/>
          <w:color w:val="auto"/>
        </w:rPr>
        <w:t xml:space="preserve"> months ended September 30,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6" w:lineRule="exact"/>
        <w:rPr>
          <w:rFonts w:ascii="Arial" w:cs="Arial" w:eastAsia="Arial" w:hAnsi="Arial"/>
          <w:sz w:val="16"/>
          <w:szCs w:val="16"/>
          <w:color w:val="auto"/>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connection with the Rackspace Acquisition, we entered into a management consulting agreement with affiliates of Apollo and Searchlight Capital Partners L.P (“Searchlight”), (the “Apollo/Searchlight Management Consulting Agreement”) and a transaction fee agreement with an affiliate of Apollo (the “Transaction Fee Agreement”). In addition, on November 15, 2017, we entered into a management consulting agreement with ABRY Partners, LLC and ABRY Partners II, LLC (collectively, “ABRY”) (the “ABRY Management Consulting Agreement”). For the three and nine months ended September 30, 2019, we recorded $3.7 million and $9.6 million, respectively, and for the three and nine months ended September 30, 2020, we recorded $1.3 million and $8.4 million, respectively, of management consulting fees within "Selling, general and administrative expenses" in the Consolidated Statements of Comprehensive Loss.</w:t>
      </w:r>
    </w:p>
    <w:p>
      <w:pPr>
        <w:spacing w:after="0" w:line="22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the IPO on August 4, 2020. Therefore no management consulting or transaction fees were accrued or were payable under any of these agreements for periods subsequent to August 4, 2020.</w:t>
      </w:r>
    </w:p>
    <w:p>
      <w:pPr>
        <w:spacing w:after="0" w:line="214"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September 30, 2020, the outstanding principal amount of the Term Loan Facility was $2,802.9 million, of which $43.9 million, or 1.6%, is due to ABRY affiliates.</w:t>
      </w:r>
    </w:p>
    <w:p>
      <w:pPr>
        <w:spacing w:after="0" w:line="197"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As part of the IPO, Apollo Global Securities, LLC, an affiliate of Apollo, received fees of $2.7 million in connection with their role as an underwriter in the IPO.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25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adjusted gross profit, which is a non-GAAP measure of profitability. For the calculation of adjusted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segment adjusted gross profit to total consolidated gross profit for the three and nine months ended September 30, 2019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19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1,352.6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1,569.0</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r>
      <w:tr>
        <w:trPr>
          <w:trHeight w:val="23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gross profit by segment: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572.9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8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45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45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45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35"/>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consolidated gross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19" w:lineRule="exact"/>
        <w:rPr>
          <w:rFonts w:ascii="Arial" w:cs="Arial" w:eastAsia="Arial" w:hAnsi="Arial"/>
          <w:sz w:val="16"/>
          <w:szCs w:val="16"/>
          <w:color w:val="auto"/>
        </w:rPr>
      </w:pPr>
    </w:p>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Adjustment for the impact of business transformation and optimization activities, as well as associated severance, facility closure costs and lease termination expenses.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as of December 31, 2019, included in our Registration Statement on Form S-1 (File No. 333-239794), as amended, including the final prospectus, dated August 4, 2020, included therein (the "Prospectus"). References to “Rackspace Technology,” “we,” “our company,” “the company,” “us,” or “our” refer to Rackspace Technology, Inc. and its consolidated subsidiaries.</w:t>
      </w:r>
    </w:p>
    <w:p>
      <w:pPr>
        <w:spacing w:after="0" w:line="20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1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16,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1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Multicloud Services offerings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public cloud services within our Multicloud Services, our Apps &amp; Cross Platform and our OpenStack Public Cloud offerings. Contracts for these arrangements typically operate on a month-to-month basis and can be canceled at any time without penalty.</w:t>
      </w:r>
    </w:p>
    <w:p>
      <w:pPr>
        <w:spacing w:after="0" w:line="191"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On November 15, 2019, we acquired 100% of Onica Holdings LLC ("Onica") as described in more detail in Item 1 of Part I, Financial Statements - Note 13, "Acquisitions." The preliminary estimate of fair values of Onica’s assets acquired and liabilities assumed, together with Onica’s results of operations subsequent to the November 15, 2019 acquisition date, are included in the unaudited consolidated financial statements.</w:t>
      </w:r>
    </w:p>
    <w:p>
      <w:pPr>
        <w:spacing w:after="0" w:line="176"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On August 7, 2020, we completed our initial public offering (the “IPO”), in which we issued and sold 33,500,000 shares of our common stock at a public offering price of $21.00 per share. We received proceeds of $666.6 million from sales of shares in the IPO, after deducting underwriters' discounts and commissions of $36.9 million, but before deducting offering expenses of $8.8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For a description of subsequent events, see Item 1 of Part I, Financial Statements - Note 1, "Company Overview, Basis of Presentation, and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recent outbreak of a novel strain of coronavirus, now referred to as COVID-19, has spread globally, including within the United States and resulted in The World Health Organization declaring the outbreak a "pandemic" in March 2020. The effects of COVID-19 are rapidly evolving, and the full impact and duration of the virus are unknown. Managing COVID-19 has severely impact healthcare systems and businesses worldwide. The effects of COVID-19 and the response to the virus have negatively impacted overall economic conditions. To date, COVID-19 has not adversely affected our results of operations or financial condition in any material respect;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If the pandemic or the resulting economic downturn continues to worsen, we could experience service disruption, loss of customers or higher levels of doubtful trade accounts receivable, which could have an adverse effect on our results of operations and cash flows. At this point, we are focused on the health and safety of our employees, customers and partners and, among other things, have implemented a work-from-home policy and are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limiting contact between our employees and customers while continuing to deliver a Fanatical Experience. To date, the impact on our business has been limited as most of our services are already delivered remotely or capable of being delivered remotely and we have a diverse customer base. In addition, our mitigation efforts, including offering our customers contract extensions in exchange for better payment terms and obtaining improved payment terms from our vendors, have generally been successful since the start of the pandemic. The full extent to which COVID-19 may impact our financial condition or results of operations over the medium to long term, however, remains uncertain. Due to our recurring revenue business model, the effect of COVID-19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Salesforce, SAP and VMWare. We believe we are unique in our ability to serve customers across major technology stacks and deployment options, all while delivering a Fanatical Experience. Annualized Recurring Revenue (“ARR”), which we believe is an important indicator of our market differentiation and future revenue opportunity from recurring customer contracts, was $2,346.2 million and $2,576.4 million for the three months ended September 30, 2019 and 2020, respectively. See “</w:t>
      </w:r>
      <w:r>
        <w:rPr>
          <w:rFonts w:ascii="Arial" w:cs="Arial" w:eastAsia="Arial" w:hAnsi="Arial"/>
          <w:sz w:val="17"/>
          <w:szCs w:val="17"/>
          <w:i w:val="1"/>
          <w:iCs w:val="1"/>
          <w:color w:val="auto"/>
        </w:rPr>
        <w:t>Key Operating Metrics</w:t>
      </w:r>
      <w:r>
        <w:rPr>
          <w:rFonts w:ascii="Arial" w:cs="Arial" w:eastAsia="Arial" w:hAnsi="Arial"/>
          <w:sz w:val="17"/>
          <w:szCs w:val="17"/>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Service Blocks model provides for customizable services consumption, enabling us to deliver IT services in a recurring and scalable way. These offerings differentiate us from legacy IT service providers that operate under long-term fixed and project-based fee structures often tethered to their existing technologies with less automation.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As a result, we have recently experienced and expect to continue to experience changes in our capital expenditures requirements. Our capital expenditures equaled 9% and 7% of our revenue for the three months ended September 30, 2019 and 2020, respectively, and 8% and 9% of our revenue for the nine months ended September 30, 2019 and 2020, respectively. Our capital expenditures were slightly higher in the nine months ended September 30, 2020 in part due to higher success-based spend to deploy customer environments and the refresh of certain data center equipment within our normal maintenance cycle. While there is some variability in capital expenditures from quarter to quarter due to timing of purchases, we continue to see a reduction in capital intensity over the longer term.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and discussion present and summarize our key operating performance indicators, which management uses as measures of our current and future business and financial performance:</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314.6</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Annualized Recurring Revenue (ARR)</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2,346.2</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2,576.4</w:t>
            </w:r>
          </w:p>
        </w:tc>
      </w:tr>
      <w:tr>
        <w:trPr>
          <w:trHeight w:val="21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 Quarterly Net Revenue Retention Rate</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6920" w:type="dxa"/>
            <w:vAlign w:val="bottom"/>
          </w:tcPr>
          <w:p>
            <w:pPr>
              <w:ind w:left="20"/>
              <w:spacing w:after="0"/>
              <w:rPr>
                <w:sz w:val="20"/>
                <w:szCs w:val="20"/>
                <w:color w:val="auto"/>
              </w:rPr>
            </w:pPr>
            <w:r>
              <w:rPr>
                <w:rFonts w:ascii="Arial" w:cs="Arial" w:eastAsia="Arial" w:hAnsi="Arial"/>
                <w:sz w:val="16"/>
                <w:szCs w:val="16"/>
                <w:color w:val="auto"/>
              </w:rPr>
              <w:t>Quarterly Net Revenue Retention Rate</w:t>
            </w: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Bookings increased $122.5 million to $314.6 million for the three months ended September 30, 2020 from $192.1 million for the three months ended September 30, 2019. The increase in Bookings was attributable to the execution of several initiatives focused on enhancing growth, including an investment in sales, an improvement in sales productivity, an increase in the number of enterprise customers and an increase in the number of new deals with large contract values.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239"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We calculate Annualized Recurring Revenue, or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211"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Our calculation of ARR may differ from similarly titled metrics presented by other companies.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ARR was $2,346.2 million and $2,576.4 million for the three months ended September 30, 2019 and 2020,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Net Revenue Retention Rate</w:t>
      </w:r>
    </w:p>
    <w:p>
      <w:pPr>
        <w:spacing w:after="0" w:line="23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Quarterly Net Revenue Retention Rate, which we use to measure our success in retaining and growing revenue from our existing customers, compares sequential quarterly revenue from the same cohort of customers. We calculate our Quarterly Net Revenue Retention Rate for a given quarterly period as the revenue from the cohort of customers for the latest reported fiscal quarter (the numerator), divided by revenue from such customers for the immediately preceding fiscal quarter (denominator). Existing customer revenue for the earlier of the two fiscal quarters is calculated on a constant currency basis, applying the average exchange rate for the latest reported fiscal quarter to the immediately preceding fiscal quarter, to eliminate the effects of foreign currency fluctuations. The numerator and denominator only include revenue from customers that we served and from which we recognized revenue in the first month of the earliest of the two quarters being compared. Our calculation of Quarterly Net Revenue Retention Rate for any fiscal quarter includes the positive revenue impacts of selling new services to existing customers and the negative revenue impacts of attrition among this cohort of customers. Our calculation of Quarterly Net Revenue Retention Rate may differ from similarly titled metrics presented by other companies.</w:t>
      </w:r>
    </w:p>
    <w:p>
      <w:pPr>
        <w:spacing w:after="0" w:line="19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Throughout the MD&amp;A, we present our Quarterly Net Revenue Retention Rate on a consolidated basis and also on a Core basis, referred to as “Core Quarterly Net Revenue Retention Rate,” as well as by segment.</w:t>
      </w:r>
    </w:p>
    <w:p>
      <w:pPr>
        <w:spacing w:after="0" w:line="197"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Our Quarterly Net Revenue Retention Rate was 99% and 100% for the three-month periods ended September 30, 2019 and 2020, respectively, despite our continued shift away from OpenStack Public Cloud to our other service offerings. Our Core Quarterly Net Revenue Retention Rate was 99% and 100% for the three-month periods ended September 30, 2019 and 2020, respectively, reflecting the stickiness of our subscription-based revenue model.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Cost of revenue consists primarily of depreciation of servers, software and other systems infrastructure and personnel costs (including salaries, bonuses, benefits and share-based compensation) for engineers, developers and other employees involved in the delivery of services to our customers. Cost of revenue also includes data center rent and other infrastructure maintenance and support costs, including usage charges for third-party infrastructure,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Research and development costs were $12 million and $8 million for the three months ended September 30, 2019 and 2020, respectively, and $44 million and $29 million for the nine months ended September 30, 2019 and 2020, respectively. Advertising costs were $10 million for the three months ended September 30, 2019 and 2020, and $30 million for the nine months ended September 30, 2019 and 2020.</w:t>
      </w:r>
    </w:p>
    <w:p>
      <w:pPr>
        <w:spacing w:after="0" w:line="21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our recurring SG&amp;A costs to increase on account of the expansion of accounting, legal, investor relations and other functions, incremental insurance coverage and other services needed to operate as a public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2020</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6"/>
                <w:szCs w:val="16"/>
                <w:b w:val="1"/>
                <w:bCs w:val="1"/>
                <w:color w:val="auto"/>
                <w:w w:val="95"/>
              </w:rPr>
              <w:t>Three Months Ended 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25.3 %</w:t>
            </w:r>
          </w:p>
        </w:tc>
      </w:tr>
      <w:tr>
        <w:trPr>
          <w:trHeight w:val="213"/>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17.5 %</w:t>
            </w:r>
          </w:p>
        </w:tc>
      </w:tr>
      <w:tr>
        <w:trPr>
          <w:trHeight w:val="213"/>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3240" w:type="dxa"/>
            <w:vAlign w:val="bottom"/>
          </w:tcPr>
          <w:p>
            <w:pPr>
              <w:ind w:left="120"/>
              <w:spacing w:after="0"/>
              <w:rPr>
                <w:sz w:val="20"/>
                <w:szCs w:val="20"/>
                <w:color w:val="auto"/>
              </w:rPr>
            </w:pPr>
            <w:r>
              <w:rPr>
                <w:rFonts w:ascii="Arial" w:cs="Arial" w:eastAsia="Arial" w:hAnsi="Arial"/>
                <w:sz w:val="16"/>
                <w:szCs w:val="16"/>
                <w:color w:val="auto"/>
              </w:rPr>
              <w:t>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3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(36.4)%</w:t>
            </w:r>
          </w:p>
        </w:tc>
      </w:tr>
      <w:tr>
        <w:trPr>
          <w:trHeight w:val="213"/>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71.2 %</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96.7 %</w:t>
            </w:r>
          </w:p>
        </w:tc>
      </w:tr>
      <w:tr>
        <w:trPr>
          <w:trHeight w:val="213"/>
        </w:trPr>
        <w:tc>
          <w:tcPr>
            <w:tcW w:w="3240" w:type="dxa"/>
            <w:vAlign w:val="bottom"/>
          </w:tcPr>
          <w:p>
            <w:pPr>
              <w:ind w:left="4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67.3 %</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Revenue increased $80 million, or 13.3%, to $682 million in the three months ended September 30, 2020 from $602 million in the three months ended September 30, 2019. Revenue was positively impacted by the acquisition of Onica in November 2019 as well as new customer acquisition and growing customer spend in our Multicloud Services and Apps &amp; Cross Platform segments, as discussed below. Our Quarterly Net Revenue Retention Rate was 100% in the three months ended September 30, 2020.</w:t>
      </w:r>
    </w:p>
    <w:p>
      <w:pPr>
        <w:spacing w:after="0" w:line="214" w:lineRule="exact"/>
        <w:rPr>
          <w:sz w:val="20"/>
          <w:szCs w:val="20"/>
          <w:color w:val="auto"/>
        </w:rPr>
      </w:pPr>
    </w:p>
    <w:p>
      <w:pPr>
        <w:ind w:right="140" w:firstLine="486"/>
        <w:spacing w:after="0" w:line="286" w:lineRule="auto"/>
        <w:rPr>
          <w:sz w:val="20"/>
          <w:szCs w:val="20"/>
          <w:color w:val="auto"/>
        </w:rPr>
      </w:pPr>
      <w:r>
        <w:rPr>
          <w:rFonts w:ascii="Arial" w:cs="Arial" w:eastAsia="Arial" w:hAnsi="Arial"/>
          <w:sz w:val="16"/>
          <w:szCs w:val="16"/>
          <w:color w:val="auto"/>
        </w:rPr>
        <w:t>After removing the impact of foreign currency fluctuations, on a constant currency basis, revenue increased 12.6% period-on-period. On a constant currency basis, assuming the Onica acquisition was consummated on January 1, 2019, we estimate that our constant currency revenue would have increased by 6.6% period-on-period. Although such estimate of constant currency revenue is based on assumptions that management believes are reasonable, it is not necessarily indicative of the constant currency revenue that would have been achieved had such acquisition occurred on January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2019. The following table presents revenue growth by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(21.4)%</w:t>
            </w:r>
          </w:p>
        </w:tc>
      </w:tr>
      <w:tr>
        <w:trPr>
          <w:trHeight w:val="23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Multicloud Services revenue in the three months ended September 30, 2020 increased 20%, on an actual and constant currency basis, from the three months ended September 30, 2019, reflecting the positive impact of the November 2019 acquisition of Onica. Underlying growth was driven by both the acquisition of new customers and increased spend by existing customers, partially offset by cancellations by existing customers. The Quarterly Net Revenue Retention Rate for our Multicloud Services segment was 100% in the three months ended September 30, 2020</w:t>
      </w:r>
      <w:r>
        <w:rPr>
          <w:rFonts w:ascii="Arial" w:cs="Arial" w:eastAsia="Arial" w:hAnsi="Arial"/>
          <w:sz w:val="17"/>
          <w:szCs w:val="17"/>
          <w:b w:val="1"/>
          <w:bCs w:val="1"/>
          <w:i w:val="1"/>
          <w:iCs w:val="1"/>
          <w:color w:val="auto"/>
        </w:rPr>
        <w:t>.</w:t>
      </w:r>
    </w:p>
    <w:p>
      <w:pPr>
        <w:spacing w:after="0" w:line="198"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Apps &amp; Cross Platform revenue in the three months ended September 30, 2020 increased 3%, on an actual and constant currency basis, from the three months ended September 30, 2019, due to growth in our offerings for managed security and management of productivity and collaboration applications, partially offset by a decrease in professional services revenue. The Quarterly Net Revenue Retention Rate for our Apps &amp; Cross Platform segment was 101% in the three months ended September 30, 2020.</w:t>
      </w:r>
    </w:p>
    <w:p>
      <w:pPr>
        <w:spacing w:after="0" w:line="21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OpenStack Public Cloud revenue in the three months ended September 30, 2020 decreased 21%, on an actual and constant currency basis, from the three months ended September 30, 2019 due to customer churn.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Cost of revenue increased $88 million, or 25%, to $436 million in the three months ended September 30, 2020 from $348 million in the three months ended September 30, 2019, primarily due to an $81 million increase in usage charges for third-party infrastructure associated with growth in these offerings and the impact of an increased volume of larger, multi-year customer contracts which typically have a larger infrastructure component and lower margins.</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Personnel costs increased $14 million, primarily due to the addition of former Onica employees. These increases were partially offset by an $8 million reduction in data center costs as a result of initiatives to lower our cost structure, which included the consolidation of data center facilities, as well as the modification of certain leases in June 2020 which resulted in a change of classification from operating leases to finance leases. Additionally, there was a $2 million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partially offset by an increase in depreciation expense related to the lease modifications discussed above.</w:t>
      </w:r>
    </w:p>
    <w:p>
      <w:pPr>
        <w:spacing w:after="0" w:line="19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a percentage of revenue, cost of revenue increased 610 basis points in the three months ended September 30, 2020 to 63.9% from 57.8% in the three months ended September 30, 2019, driven by a 1,050 basis point increase in usage charges for third-party infrastructure, partially offset by a 230 basis point decrease related to data center expense and a 160 basis point reduction in depreciation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239"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Our consolidated gross profit was $246 million in the three months ended September 30, 2020, a decrease of $8 million from $254 million in the three months ended September 30, 2019. Our Adjusted Consolidated Gross Profit was $256 million in the three months ended September 30, 2020, a decrease of $6 million from $261 million in the three months ended September 30, 2019. Adjusted Consolidated Gross Profit is a non-GAAP financial measure.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more information. Our consolidated gross margin was 36.1% in the three months ended September 30, 2020, a decrease of 610 basis points from 42.2% in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table below presents our segment adjusted gross profit and gross margin for the periods indicated, and the change in gross profit between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2"/>
              </w:rPr>
              <w:t>Three Months Ended 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gross profit by segment:</w:t>
            </w:r>
          </w:p>
        </w:tc>
        <w:tc>
          <w:tcPr>
            <w:tcW w:w="160" w:type="dxa"/>
            <w:vAlign w:val="bottom"/>
          </w:tcPr>
          <w:p>
            <w:pPr>
              <w:spacing w:after="0"/>
              <w:rPr>
                <w:sz w:val="13"/>
                <w:szCs w:val="13"/>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2"/>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7"/>
        </w:trPr>
        <w:tc>
          <w:tcPr>
            <w:tcW w:w="4060" w:type="dxa"/>
            <w:vAlign w:val="bottom"/>
          </w:tcPr>
          <w:p>
            <w:pPr>
              <w:ind w:left="120"/>
              <w:spacing w:after="0"/>
              <w:rPr>
                <w:sz w:val="20"/>
                <w:szCs w:val="20"/>
                <w:color w:val="auto"/>
              </w:rPr>
            </w:pPr>
            <w:r>
              <w:rPr>
                <w:rFonts w:ascii="Arial" w:cs="Arial" w:eastAsia="Arial" w:hAnsi="Arial"/>
                <w:sz w:val="16"/>
                <w:szCs w:val="16"/>
                <w:color w:val="auto"/>
              </w:rPr>
              <w:t>Adjusted Consolidated Gross Profit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46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hanging="45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32" w:lineRule="exact"/>
        <w:rPr>
          <w:rFonts w:ascii="Arial" w:cs="Arial" w:eastAsia="Arial" w:hAnsi="Arial"/>
          <w:sz w:val="16"/>
          <w:szCs w:val="16"/>
          <w:color w:val="auto"/>
        </w:rPr>
      </w:pPr>
    </w:p>
    <w:p>
      <w:pPr>
        <w:ind w:left="480" w:hanging="45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45" w:lineRule="exact"/>
        <w:rPr>
          <w:rFonts w:ascii="Arial" w:cs="Arial" w:eastAsia="Arial" w:hAnsi="Arial"/>
          <w:sz w:val="16"/>
          <w:szCs w:val="16"/>
          <w:color w:val="auto"/>
        </w:rPr>
      </w:pPr>
    </w:p>
    <w:p>
      <w:pPr>
        <w:ind w:left="480" w:right="600" w:hanging="45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Multicloud Services adjusted gross profit increased by 4% in the three months ended September 30, 2020 from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Segment adjusted gross profit as a percentage of segment revenue decreased by 570 basis points, reflecting a 33% increase in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 and a 20% increase in segment revenue. The increase in costs was mainly driven by higher third-party infrastructure costs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segment growth and the addition of former Onica employees’ personnel costs. Partially offsetting the increase was lower depreciation and data center costs.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Apps &amp; Cross Platform adjusted gross profit decreased 11% in the three months ended September 30, 2020 from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Segment adjusted gross profit as a percentage of segment revenue decreased by 530 basis points, reflecting a 12% increase in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 and a 3% increase in segment revenue. The increase in cost of revenue was driven by the segment’s higher business volume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 to support more service-oriented offerings and higher third-party infrastructure costs.</w:t>
      </w:r>
    </w:p>
    <w:p>
      <w:pPr>
        <w:spacing w:after="0" w:line="238"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OpenStack Public Cloud adjusted gross profit decreased 30% in the three months ended September 30, 2020 from the three months ended September 30, 2019 due to customer churn. Segment adjusted gross profit as a percentage of segment revenue decreased by 560 basis points, reflecting a 21% decrease in segment revenue, partially offset by a 12% decrease in segment cost of revenue.</w:t>
      </w:r>
    </w:p>
    <w:p>
      <w:pPr>
        <w:spacing w:after="0" w:line="192"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 aggregate amount of costs reflected in consolidated gross profit but excluded from segment adjusted gross profit was $9.7 million in the three months ended September 30, 2020, an increase of $2.5 million from $7.2 million in the three months ended September 30, 2019, reflecting higher share-based compensation and other compensation expense, partially offset by lower purchase accounting adjustments. For more information about our segment adjusted gross profit, see Item 1 of Part I, Financial Statements - Note 16,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Selling, general and administrative expenses increased $39 million, or 18%, to $261 million in the three months ended September 30, 2020 from $222 million in the three months ended September 30, 2019, primarily due to a $22 million increase in personnel costs. The fluctuation in personnel costs was driven by a $27 million increase in share-based compensation expense primarily related to the recognition of expense for certain awards that became probable of vesting during the current quarter, as further discussed in Item 1 of Part I, Financial Statements - Note 9, "Share-Based Compensation and Settlement of Share-Based Awards." Personnel costs also increased due to the impact of the Onica acquisition and an increase in commissions expense, partially offset by higher severance expense during the prior year period related to business optimization initiatives. The remaining increase in selling, general and administrative expenses is related to business transformation initiatives, integrating Onica, and costs incurred related to the IPO, including incremental costs to operate as a public company, partially offset by a reduction in management consulting fees as the agreements were terminated in connection with the IPO.</w:t>
      </w:r>
    </w:p>
    <w:p>
      <w:pPr>
        <w:spacing w:after="0" w:line="208"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increased 130 basis points, to 38.2% in the three months ended September 30, 2020 from 36.9% in the three months ended September 30, 2019, for the reasons discussed above, partially offset by our revenue growth compared to aggregate decreases in other SG&amp;A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Interest expense decreased $13 million to $68 million in the three months ended September 30, 2020 from $81 million in the three months ended September 30, 2019, primarily due to the January 2020 designation of certain of our interest rate swap agreements as cash flow hedges, as further discussed in Item 1 of Part I, Financial Statements - Note 11, "Derivatives." In the three months ended September 30, 2019, we recorded $12 million of interest expense related to the change in the fair value of interest rate swaps compared to $4 million recorded to interest expense in the three months ended September 30, 2020. The extinguishment of $515 million principal amount of our 8.625% Senior Notes through a tender offer in the three months ended September 30, 2020 also contributed to the decrease in interest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Investments, Net</w:t>
      </w:r>
    </w:p>
    <w:p>
      <w:pPr>
        <w:spacing w:after="0" w:line="23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Loss on investments was $22 million in the three months ended September 30, 2019, driven by the unrealized loss on our CrowdStrike investment, as further discussed in Item 1 of Part I, Financial Statements - Note 6,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39"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 recorded a $37 million loss on debt extinguishment in the three months ended September 30, 2020 related to the repurchase of $515 million principal amount of our 8.625% Senior Notes through a tender offer, as further discussed in Item 1 of Part I, Financial Statements - Note 7,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3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Other income decreased due to changes in the fair value of foreign currency derivatives, as further discussed in Item 1 of Part I, Financial Statements - Note 11, "Derivatives," partially offset by foreign currency transaction gains.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39" w:lineRule="exact"/>
        <w:rPr>
          <w:sz w:val="20"/>
          <w:szCs w:val="20"/>
          <w:color w:val="auto"/>
        </w:rPr>
      </w:pPr>
    </w:p>
    <w:p>
      <w:pPr>
        <w:ind w:right="60" w:firstLine="486"/>
        <w:spacing w:after="0" w:line="241" w:lineRule="auto"/>
        <w:rPr>
          <w:sz w:val="20"/>
          <w:szCs w:val="20"/>
          <w:color w:val="auto"/>
        </w:rPr>
      </w:pPr>
      <w:r>
        <w:rPr>
          <w:rFonts w:ascii="Arial" w:cs="Arial" w:eastAsia="Arial" w:hAnsi="Arial"/>
          <w:sz w:val="18"/>
          <w:szCs w:val="18"/>
          <w:color w:val="auto"/>
        </w:rPr>
        <w:t>Our income tax benefit increased by $9 million to $18 million in the three months ended September 30, 2020 from $9 million in the three months ended September 30, 2019. Our effective tax rate increased from 13.2% in the three months ended September 30, 2019 to 15.1% in the three months ended September 30, 2020. The increase in the effective tax rate year-over-year and the difference between the effective tax rate for the three months ended September 30, 2020 and the statutory rate are primarily due to the geographic distribution of profits, as well as executive compensation that is nondeductible under Internal Revenue Code ("IRC") Section 162(m) as a result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2020</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6"/>
                <w:szCs w:val="16"/>
                <w:b w:val="1"/>
                <w:bCs w:val="1"/>
                <w:color w:val="auto"/>
                <w:w w:val="97"/>
              </w:rPr>
              <w:t>Nine Months Ended 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18.9 %</w:t>
            </w:r>
          </w:p>
        </w:tc>
      </w:tr>
      <w:tr>
        <w:trPr>
          <w:trHeight w:val="212"/>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4.1 %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(62.7)%</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(22.7)%</w:t>
            </w:r>
          </w:p>
        </w:tc>
      </w:tr>
      <w:tr>
        <w:trPr>
          <w:trHeight w:val="219"/>
        </w:trPr>
        <w:tc>
          <w:tcPr>
            <w:tcW w:w="3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13"/>
        </w:trPr>
        <w:tc>
          <w:tcPr>
            <w:tcW w:w="3240" w:type="dxa"/>
            <w:vAlign w:val="bottom"/>
          </w:tcPr>
          <w:p>
            <w:pPr>
              <w:ind w:left="120"/>
              <w:spacing w:after="0"/>
              <w:rPr>
                <w:sz w:val="20"/>
                <w:szCs w:val="20"/>
                <w:color w:val="auto"/>
              </w:rPr>
            </w:pPr>
            <w:r>
              <w:rPr>
                <w:rFonts w:ascii="Arial" w:cs="Arial" w:eastAsia="Arial" w:hAnsi="Arial"/>
                <w:sz w:val="16"/>
                <w:szCs w:val="16"/>
                <w:color w:val="auto"/>
              </w:rPr>
              <w:t>Gain (loss) on extinguishment of debt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73.7 %</w:t>
            </w:r>
          </w:p>
        </w:tc>
      </w:tr>
      <w:tr>
        <w:trPr>
          <w:trHeight w:val="213"/>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3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Revenue increased $180 million, or 9.9%, to $1,991 million in the nine months ended September 30, 2020 from $1,811 million in the nine months ended September 30, 2019. Revenue was positively impacted by the acquisition of Onica in November 2019 as well as new customer acquisition and growing customer spend in our Multicloud Services and Apps &amp; Cross Platform segments, as discussed below.</w:t>
      </w:r>
    </w:p>
    <w:p>
      <w:pPr>
        <w:spacing w:after="0" w:line="21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10.0% period-on-period. On a constant currency basis, assuming the Onica acquisition was consummated on January 1, 2019, we estimate that our constant currency revenue would have increased by 4.5% period-on-period. Although such estimate of constant currency revenue is based on assumptions that management believes are reasonable, it is not necessarily indicative of the constant currency revenue that would have been achieved had such acquisition occurred on January 1, 2019. The following table presents revenue growth by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(19.7)%</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44"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Multicloud Services revenue in the nine months ended September 30, 2020 increased 16%, on an actual and constant currency basis, from the nine months ended September 30, 2019, reflecting the positive impact of the November 2019 acquisition of Onica. Underlying growth was driven by both the acquisition of new customers and increased spend by existing customers, partially offset by cancellations by existing customers.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Apps &amp; Cross Platform revenue in the nine months ended September 30, 2020 increased 3%, on an actual and constant currency basis, from the nine months ended September 30, 2019, due to growth in our offerings for managed security and management of productivity and collaboration applications, partially offset by a decrease in professional services revenue.</w:t>
      </w:r>
    </w:p>
    <w:p>
      <w:pPr>
        <w:spacing w:after="0" w:line="21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OpenStack Public Cloud revenue in the nine months ended September 30, 2020 decreased 20%, on an actual and constant currency basis, from the nine months ended September 30, 2019 due to customer churn.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Cost of revenue increased $200 million, or 19%, to $1,254 million in the nine months ended September 30, 2020 from $1,054 million in the nine months ended September 30, 2019, primarily due to a $203 million increase in usage charges for third-party infrastructure associated with growth in these offerings and the impact of an increased volume of larger, multi-year customer contracts which typically have a larger infrastructure component and lower margins. Personnel costs increased $37 million, primarily due to the addition of former Onica employees. These increases were partially offset by a $23 million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Depreciation expense was also impacted by the modification of certain leases in June 2020 which resulted in a change of classification from operating leases to finance leases and an increase in deprecation expense. We also had year-over-year expense reductions of $16 million in data center and license expenses as a result of initiatives to lower our cost structure, which included the consolidation of data center facilities and reviewing and optimizing our vendor license spending, as well as a decrease in data center costs related to the lease modifications discussed above.</w:t>
      </w:r>
    </w:p>
    <w:p>
      <w:pPr>
        <w:spacing w:after="0" w:line="19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a percentage of revenue, cost of revenue increased 480 basis points in the nine months ended September 30, 2020 to 63.0% from 58.2% in the nine months ended September 30, 2019, driven by a 930 basis point increase in usage charges for third-party infrastructure and a 40 basis point increase in personnel costs, partially offset by a 250 basis point decrease related to data center and license expenses and a 220 basis point reduction in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Adjusted Consolidated and Segment Adjusted Gross Profit</w:t>
      </w:r>
    </w:p>
    <w:p>
      <w:pPr>
        <w:spacing w:after="0" w:line="252" w:lineRule="exact"/>
        <w:rPr>
          <w:sz w:val="20"/>
          <w:szCs w:val="20"/>
          <w:color w:val="auto"/>
        </w:rPr>
      </w:pPr>
    </w:p>
    <w:p>
      <w:pPr>
        <w:ind w:right="280" w:firstLine="486"/>
        <w:spacing w:after="0" w:line="275" w:lineRule="auto"/>
        <w:rPr>
          <w:sz w:val="20"/>
          <w:szCs w:val="20"/>
          <w:color w:val="auto"/>
        </w:rPr>
      </w:pPr>
      <w:r>
        <w:rPr>
          <w:rFonts w:ascii="Arial" w:cs="Arial" w:eastAsia="Arial" w:hAnsi="Arial"/>
          <w:sz w:val="17"/>
          <w:szCs w:val="17"/>
          <w:color w:val="auto"/>
        </w:rPr>
        <w:t>Our consolidated gross profit was $737 million in the nine months ended September 30, 2020, a decrease of $20 million from $757 million in the nine months ended September 30, 2019. Our Adjusted Consolidated Gross Profit was $763 million in the nine months ended September 30, 2020, a decrease of $12 million from $775 million in the nine months ended September 30, 2019. Adjusted Consolidated Gross Profit is a non-GAAP financial measure.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more information. Our consolidated gross margin was 37.0% in the nine months ended September 30, 2020, a decrease of 480 basis points from 41.8% in the nine months ended September 30, 2019.</w:t>
      </w:r>
    </w:p>
    <w:p>
      <w:pPr>
        <w:spacing w:after="0" w:line="20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table below presents our segment adjusted gross profit and gross margin for the periods indicated, and the change in gross profit between periods: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gross profit by segment:</w:t>
            </w:r>
          </w:p>
        </w:tc>
        <w:tc>
          <w:tcPr>
            <w:tcW w:w="160" w:type="dxa"/>
            <w:vAlign w:val="bottom"/>
          </w:tcPr>
          <w:p>
            <w:pPr>
              <w:spacing w:after="0"/>
              <w:rPr>
                <w:sz w:val="13"/>
                <w:szCs w:val="13"/>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rPr>
              <w:t>Amount</w:t>
            </w:r>
          </w:p>
        </w:tc>
        <w:tc>
          <w:tcPr>
            <w:tcW w:w="1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12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4"/>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37.0 %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7"/>
        </w:trPr>
        <w:tc>
          <w:tcPr>
            <w:tcW w:w="4060" w:type="dxa"/>
            <w:vAlign w:val="bottom"/>
          </w:tcPr>
          <w:p>
            <w:pPr>
              <w:ind w:left="120"/>
              <w:spacing w:after="0"/>
              <w:rPr>
                <w:sz w:val="20"/>
                <w:szCs w:val="20"/>
                <w:color w:val="auto"/>
              </w:rPr>
            </w:pPr>
            <w:r>
              <w:rPr>
                <w:rFonts w:ascii="Arial" w:cs="Arial" w:eastAsia="Arial" w:hAnsi="Arial"/>
                <w:sz w:val="16"/>
                <w:szCs w:val="16"/>
                <w:color w:val="auto"/>
              </w:rPr>
              <w:t>Adjusted Consolidated Gross Profit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775.3</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line="230"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32" w:lineRule="exact"/>
        <w:rPr>
          <w:rFonts w:ascii="Arial" w:cs="Arial" w:eastAsia="Arial" w:hAnsi="Arial"/>
          <w:sz w:val="16"/>
          <w:szCs w:val="16"/>
          <w:color w:val="auto"/>
        </w:rPr>
      </w:pPr>
    </w:p>
    <w:p>
      <w:pPr>
        <w:ind w:left="480" w:hanging="454"/>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45" w:lineRule="exact"/>
        <w:rPr>
          <w:rFonts w:ascii="Arial" w:cs="Arial" w:eastAsia="Arial" w:hAnsi="Arial"/>
          <w:sz w:val="16"/>
          <w:szCs w:val="16"/>
          <w:color w:val="auto"/>
        </w:rPr>
      </w:pPr>
    </w:p>
    <w:p>
      <w:pPr>
        <w:ind w:left="480" w:right="600" w:hanging="454"/>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Multicloud Services adjusted gross profit increased by 5% in the nine months ended September 30, 2020 from the nine months ended September 30,</w:t>
      </w:r>
    </w:p>
    <w:p>
      <w:pPr>
        <w:spacing w:after="0" w:line="46"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2019. Segment adjusted gross profit as a percentage of segment revenue decreased by 420 basis points, reflecting a 24% increase in segment cost of revenue and a 16% increase in segment revenue. The increase in costs was mainly driven by higher third-party infrastructure costs and the addition of former Onica employees’ personnel costs. Partially offsetting the increase was lower depreciation and data center costs.</w:t>
      </w:r>
    </w:p>
    <w:p>
      <w:pPr>
        <w:spacing w:after="0" w:line="20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Apps &amp; Cross Platform adjusted gross profit decreased by 4% in the nine months ended September 30, 2020 from the nine months ended September 30, 2019. Segment adjusted gross profit as a percentage of segment revenue decreased by 240 basis points, reflecting a 7% increase in segment cost of revenue and a 3% increase in segment revenue. The increase in cost of revenue was driven by the segment’s higher business volume as well as investments to support more service-oriented offerings and higher third-party infrastructure costs.</w:t>
      </w:r>
    </w:p>
    <w:p>
      <w:pPr>
        <w:spacing w:after="0" w:line="19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OpenStack Public Cloud adjusted gross profit decreased 31% in the nine months ended September 30, 2020 from the nine months ended September 30, 2019 due to customer churn. Segment adjusted gross profit as a percentage of segment revenue decreased by 760 basis points, reflecting a 20% decrease in segment revenue, partially offset by a 7% decrease in segment cost of revenue.</w:t>
      </w:r>
    </w:p>
    <w:p>
      <w:pPr>
        <w:spacing w:after="0" w:line="211"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The aggregate amount of costs reflected in consolidated gross profit but excluded from segment adjusted gross profit was $26.1 million in the nine months ended September 30, 2020, an increase of $7.6 million from $18.5 million in the nine months ended September 30, 2019, reflecting higher restructuring and transformation expenses, share-based compensation and other compensation expense, partially offset by lower purchase accounting adjustments. For more information about our segment adjusted gross profit, see Item 1 of Part I, Financial Statements - Note 16, "Segment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Selling, general and administrative expenses increased $28 million, or 4%, to $708 million in the nine months ended September 30, 2020 from $680 million in the nine months ended September 30, 2019, due to costs related to business transformation initiatives, integrating Onica, and costs incurred related to the IPO, including incremental costs to operate as a public company, partially offset by a reduction in management consulting fees as the agreements were terminated in connection with the IPO. Personnel costs increased $7 million due to an increase in share-based compensation expense and commissions expense, driven by bookings growth, including the impact of the Onica acquisition, partially offset by higher severance expense during the prior year period related to business optimization initiatives and lower expense in the current year period related to our obligations to settle share-based awards in connection with the Rackspace Acquisition. Share-based compensation expense increased $30 million primarily related to the recognition of expense for certain awards that became probable of vesting during the third quarter of 2020, as further discussed in Item 1 of Part I, Financial Statements - Note 9, "Share-Based Compensation and Settlement of Share-Based Awards. Additionally, travel costs declined $7 million resulting from COVID-19 travel restrictions.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a percentage of revenue, selling, general and administrative expenses decreased 200 basis points, to 35.5% in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from 37.5% in the nine months ended September 30, 2019, for the reasons discussed above, including a 130 bps reduction in personnel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and further impacted by our revenue growth while other SG&amp;A expenses decreased.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w:t>
      </w:r>
    </w:p>
    <w:p>
      <w:pPr>
        <w:spacing w:after="0" w:line="25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March 2019, we recorded a $2 million gain related to the payment of a promissory note receivable that was issued in conjunction with the sale of our Mailgun business in February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Interest expense decreased $62 million to $209 million in the nine months ended September 30, 2020 from $271 million in the nine months ended September 30, 2019, primarily due to the January 2020 designation of certain of our interest rate swap agreements as cash flow hedges, as further discussed in Item 1 of Part I, Financial Statements - Note 11, "Derivatives." In the nine months ended September 30, 2019, we recorded $61 million of interest expense related to the change in the fair value of interest rate swaps compared to $9 million recorded to interest expense in the nine months ended September 30,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252" w:lineRule="exact"/>
        <w:rPr>
          <w:sz w:val="20"/>
          <w:szCs w:val="20"/>
          <w:color w:val="auto"/>
        </w:rPr>
      </w:pPr>
    </w:p>
    <w:p>
      <w:pPr>
        <w:ind w:right="520" w:firstLine="486"/>
        <w:spacing w:after="0" w:line="263" w:lineRule="auto"/>
        <w:rPr>
          <w:sz w:val="20"/>
          <w:szCs w:val="20"/>
          <w:color w:val="auto"/>
        </w:rPr>
      </w:pPr>
      <w:r>
        <w:rPr>
          <w:rFonts w:ascii="Arial" w:cs="Arial" w:eastAsia="Arial" w:hAnsi="Arial"/>
          <w:sz w:val="18"/>
          <w:szCs w:val="18"/>
          <w:color w:val="auto"/>
        </w:rPr>
        <w:t>Gain on investments was $1 million in the nine months ended September 30, 2020 compared to $121 million in the nine months ended September 30, 2019, driven by the unrealized gain on our CrowdStrike investment of $119 million, as further discussed in Item 1 of Part I, Financial Statements - Note 6,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Extinguishment of Debt</w:t>
      </w:r>
    </w:p>
    <w:p>
      <w:pPr>
        <w:spacing w:after="0" w:line="252"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In the nine months ended September 30, 2020 we recorded a $37 million loss on debt extinguishment related to the repurchase of $515 million principal amount of our 8.625% Senior Notes through a tender offer. We recorded a $10 million gain on debt extinguishment in the nine months ended September 30, 2019 related to repurchases of $74 million principal amount of 8.625% Senior Notes. See Item 1 of Part I, Financial Statements - Note 7, "Debt" for further discussion.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The $2 million change in other income (expense), net is primarily related to foreign currency transaction gains, partially offset by changes in the fair value of foreign currency derivatives, as further discussed in Item 1 of Part I, Financial Statements - Note 11, "Derivatives."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income tax benefit increased by $27 million to $33 million in the nine months ended September 30, 2020 from $7 million in the nine months ended September 30, 2019. Our effective tax rate increased from 10.5% in the nine months ended September 30, 2019 to 15.5% in the nine months ended September 30, 2020. The increase in the effective tax rate year-over-year and the difference between the effective tax rate for the nine months ended September 30, 2020 and the statutory rate are primarily due to the geographic distribution of profits, as well as executive compensation that is nondeductible under IRC Section 162(m) as a result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Adjusted Consolidated Gross Profit, Adjusted Net Income (Loss), Adjusted EBIT, Adjusted EBITDA and Adjusted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6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4120" w:type="dxa"/>
            <w:vAlign w:val="bottom"/>
            <w:gridSpan w:val="12"/>
            <w:vMerge w:val="restart"/>
          </w:tcPr>
          <w:p>
            <w:pPr>
              <w:ind w:left="500"/>
              <w:spacing w:after="0"/>
              <w:rPr>
                <w:sz w:val="20"/>
                <w:szCs w:val="20"/>
                <w:color w:val="auto"/>
              </w:rPr>
            </w:pPr>
            <w:r>
              <w:rPr>
                <w:rFonts w:ascii="Arial" w:cs="Arial" w:eastAsia="Arial" w:hAnsi="Arial"/>
                <w:sz w:val="16"/>
                <w:szCs w:val="16"/>
                <w:b w:val="1"/>
                <w:bCs w:val="1"/>
                <w:color w:val="auto"/>
              </w:rPr>
              <w:t>Three Months Ended September 30, 2020</w:t>
            </w:r>
          </w:p>
        </w:tc>
        <w:tc>
          <w:tcPr>
            <w:tcW w:w="100" w:type="dxa"/>
            <w:vAlign w:val="bottom"/>
          </w:tcPr>
          <w:p>
            <w:pPr>
              <w:spacing w:after="0"/>
              <w:rPr>
                <w:sz w:val="16"/>
                <w:szCs w:val="16"/>
                <w:color w:val="auto"/>
              </w:rPr>
            </w:pPr>
          </w:p>
        </w:tc>
        <w:tc>
          <w:tcPr>
            <w:tcW w:w="2980" w:type="dxa"/>
            <w:vAlign w:val="bottom"/>
            <w:gridSpan w:val="4"/>
            <w:vMerge w:val="restart"/>
          </w:tcPr>
          <w:p>
            <w:pPr>
              <w:jc w:val="right"/>
              <w:ind w:right="10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0"/>
              </w:rPr>
              <w:t>September 30, 2019</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12"/>
            <w:vMerge w:val="continue"/>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gridSpan w:val="2"/>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20" w:type="dxa"/>
            <w:vAlign w:val="bottom"/>
            <w:gridSpan w:val="2"/>
            <w:vMerge w:val="restart"/>
          </w:tcPr>
          <w:p>
            <w:pPr>
              <w:spacing w:after="0"/>
              <w:rPr>
                <w:sz w:val="13"/>
                <w:szCs w:val="13"/>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140"/>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center"/>
              <w:ind w:left="819"/>
              <w:spacing w:after="0"/>
              <w:rPr>
                <w:sz w:val="20"/>
                <w:szCs w:val="20"/>
                <w:color w:val="auto"/>
              </w:rPr>
            </w:pPr>
            <w:r>
              <w:rPr>
                <w:rFonts w:ascii="Arial" w:cs="Arial" w:eastAsia="Arial" w:hAnsi="Arial"/>
                <w:sz w:val="16"/>
                <w:szCs w:val="16"/>
                <w:color w:val="auto"/>
                <w:w w:val="97"/>
              </w:rPr>
              <w:t>(3.6)</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left="819"/>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83.7</w:t>
            </w:r>
          </w:p>
        </w:tc>
        <w:tc>
          <w:tcPr>
            <w:tcW w:w="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center"/>
              <w:ind w:left="819"/>
              <w:spacing w:after="0"/>
              <w:rPr>
                <w:sz w:val="20"/>
                <w:szCs w:val="20"/>
                <w:color w:val="auto"/>
              </w:rPr>
            </w:pPr>
            <w:r>
              <w:rPr>
                <w:rFonts w:ascii="Arial" w:cs="Arial" w:eastAsia="Arial" w:hAnsi="Arial"/>
                <w:sz w:val="16"/>
                <w:szCs w:val="16"/>
                <w:color w:val="auto"/>
                <w:w w:val="97"/>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20" w:type="dxa"/>
            <w:vAlign w:val="bottom"/>
            <w:tcBorders>
              <w:bottom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21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681.7</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819"/>
              <w:spacing w:after="0"/>
              <w:rPr>
                <w:sz w:val="20"/>
                <w:szCs w:val="20"/>
                <w:color w:val="auto"/>
              </w:rPr>
            </w:pPr>
            <w:r>
              <w:rPr>
                <w:rFonts w:ascii="Arial" w:cs="Arial" w:eastAsia="Arial" w:hAnsi="Arial"/>
                <w:sz w:val="16"/>
                <w:szCs w:val="16"/>
                <w:color w:val="auto"/>
                <w:w w:val="97"/>
              </w:rPr>
              <w:t>(4.1)</w:t>
            </w:r>
          </w:p>
        </w:tc>
        <w:tc>
          <w:tcPr>
            <w:tcW w:w="3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677.6</w:t>
            </w:r>
          </w:p>
        </w:tc>
        <w:tc>
          <w:tcPr>
            <w:tcW w:w="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160" w:type="dxa"/>
            <w:vAlign w:val="bottom"/>
          </w:tcPr>
          <w:p>
            <w:pPr>
              <w:spacing w:after="0"/>
              <w:rPr>
                <w:sz w:val="24"/>
                <w:szCs w:val="24"/>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3"/>
              </w:rPr>
              <w:t>Nine Months Ended</w:t>
            </w:r>
          </w:p>
        </w:tc>
        <w:tc>
          <w:tcPr>
            <w:tcW w:w="240" w:type="dxa"/>
            <w:vAlign w:val="bottom"/>
          </w:tcPr>
          <w:p>
            <w:pPr>
              <w:spacing w:after="0"/>
              <w:rPr>
                <w:sz w:val="24"/>
                <w:szCs w:val="24"/>
                <w:color w:val="auto"/>
              </w:rPr>
            </w:pPr>
          </w:p>
        </w:tc>
        <w:tc>
          <w:tcPr>
            <w:tcW w:w="4100" w:type="dxa"/>
            <w:vAlign w:val="bottom"/>
            <w:gridSpan w:val="11"/>
            <w:vMerge w:val="restart"/>
          </w:tcPr>
          <w:p>
            <w:pPr>
              <w:jc w:val="center"/>
              <w:ind w:right="159"/>
              <w:spacing w:after="0"/>
              <w:rPr>
                <w:sz w:val="20"/>
                <w:szCs w:val="20"/>
                <w:color w:val="auto"/>
              </w:rPr>
            </w:pPr>
            <w:r>
              <w:rPr>
                <w:rFonts w:ascii="Arial" w:cs="Arial" w:eastAsia="Arial" w:hAnsi="Arial"/>
                <w:sz w:val="16"/>
                <w:szCs w:val="16"/>
                <w:b w:val="1"/>
                <w:bCs w:val="1"/>
                <w:color w:val="auto"/>
                <w:w w:val="91"/>
              </w:rPr>
              <w:t>Nine Months Ended September 30, 2020</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vMerge w:val="restart"/>
          </w:tcPr>
          <w:p>
            <w:pPr>
              <w:jc w:val="right"/>
              <w:ind w:right="10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11"/>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ind w:right="4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39"/>
              <w:spacing w:after="0" w:line="158" w:lineRule="exact"/>
              <w:rPr>
                <w:sz w:val="20"/>
                <w:szCs w:val="20"/>
                <w:color w:val="auto"/>
              </w:rPr>
            </w:pPr>
            <w:r>
              <w:rPr>
                <w:rFonts w:ascii="Arial" w:cs="Arial" w:eastAsia="Arial" w:hAnsi="Arial"/>
                <w:sz w:val="16"/>
                <w:szCs w:val="16"/>
                <w:b w:val="1"/>
                <w:bCs w:val="1"/>
                <w:color w:val="auto"/>
                <w:w w:val="91"/>
              </w:rPr>
              <w:t>Revenue 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Constant Currency</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1,569.0</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89"/>
              </w:rPr>
              <w:t>1.3</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1,570.3</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left="819"/>
              <w:spacing w:after="0"/>
              <w:rPr>
                <w:sz w:val="20"/>
                <w:szCs w:val="20"/>
                <w:color w:val="auto"/>
              </w:rPr>
            </w:pPr>
            <w:r>
              <w:rPr>
                <w:rFonts w:ascii="Arial" w:cs="Arial" w:eastAsia="Arial" w:hAnsi="Arial"/>
                <w:sz w:val="16"/>
                <w:szCs w:val="16"/>
                <w:color w:val="auto"/>
                <w:w w:val="89"/>
              </w:rPr>
              <w:t>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245.4</w:t>
            </w:r>
          </w:p>
        </w:tc>
        <w:tc>
          <w:tcPr>
            <w:tcW w:w="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w w:val="89"/>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21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1,990.9</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819"/>
              <w:spacing w:after="0"/>
              <w:rPr>
                <w:sz w:val="20"/>
                <w:szCs w:val="20"/>
                <w:color w:val="auto"/>
              </w:rPr>
            </w:pPr>
            <w:r>
              <w:rPr>
                <w:rFonts w:ascii="Arial" w:cs="Arial" w:eastAsia="Arial" w:hAnsi="Arial"/>
                <w:sz w:val="16"/>
                <w:szCs w:val="16"/>
                <w:color w:val="auto"/>
                <w:w w:val="89"/>
              </w:rPr>
              <w:t>1.6</w:t>
            </w:r>
          </w:p>
        </w:tc>
        <w:tc>
          <w:tcPr>
            <w:tcW w:w="40" w:type="dxa"/>
            <w:vAlign w:val="bottom"/>
          </w:tcPr>
          <w:p>
            <w:pPr>
              <w:spacing w:after="0"/>
              <w:rPr>
                <w:sz w:val="18"/>
                <w:szCs w:val="18"/>
                <w:color w:val="auto"/>
              </w:rPr>
            </w:pPr>
          </w:p>
        </w:tc>
        <w:tc>
          <w:tcPr>
            <w:tcW w:w="3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1,992.5</w:t>
            </w:r>
          </w:p>
        </w:tc>
        <w:tc>
          <w:tcPr>
            <w:tcW w:w="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Consolidated Gross Profit</w:t>
      </w:r>
    </w:p>
    <w:p>
      <w:pPr>
        <w:spacing w:after="0" w:line="239" w:lineRule="exact"/>
        <w:rPr>
          <w:sz w:val="20"/>
          <w:szCs w:val="20"/>
          <w:color w:val="auto"/>
        </w:rPr>
      </w:pPr>
    </w:p>
    <w:p>
      <w:pPr>
        <w:ind w:right="40" w:firstLine="486"/>
        <w:spacing w:after="0"/>
        <w:rPr>
          <w:sz w:val="20"/>
          <w:szCs w:val="20"/>
          <w:color w:val="auto"/>
        </w:rPr>
      </w:pPr>
      <w:r>
        <w:rPr>
          <w:rFonts w:ascii="Arial" w:cs="Arial" w:eastAsia="Arial" w:hAnsi="Arial"/>
          <w:sz w:val="18"/>
          <w:szCs w:val="18"/>
          <w:color w:val="auto"/>
        </w:rPr>
        <w:t>Our principal measure of segment profitability is segment adjusted gross profit. We also present Adjusted Consolidated Gross Profit in this MD&amp;A, which is the aggregate of segment adjusted gross profit, because we believe the measure is useful in analyzing trends in our underlying, recurring gross margins. We define Adjusted Consolidated Gross Profit as our consolidated gross profit, adjusted to exclude the impact of share-based compensation expense and other non-recurring or unusual compensation items, purchase accounting-related effects, and certain business transformation-related costs. For a reconciliation of our Adjusted Consolidated Gross Profit to our total consolidated gross profit, see “G</w:t>
      </w:r>
      <w:r>
        <w:rPr>
          <w:rFonts w:ascii="Arial" w:cs="Arial" w:eastAsia="Arial" w:hAnsi="Arial"/>
          <w:sz w:val="18"/>
          <w:szCs w:val="18"/>
          <w:i w:val="1"/>
          <w:iCs w:val="1"/>
          <w:color w:val="auto"/>
        </w:rPr>
        <w:t>ross Profit and Adjusted Consolidated and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Gross Profit</w:t>
      </w:r>
      <w:r>
        <w:rPr>
          <w:rFonts w:ascii="Arial" w:cs="Arial" w:eastAsia="Arial" w:hAnsi="Arial"/>
          <w:sz w:val="18"/>
          <w:szCs w:val="18"/>
          <w:color w:val="auto"/>
        </w:rPr>
        <w:t>” above.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Adjusted EBIT and Adjusted EBITDA</w:t>
      </w:r>
    </w:p>
    <w:p>
      <w:pPr>
        <w:spacing w:after="0" w:line="239"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We present Adjusted Net Income (Loss), Adjusted EBIT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are also may not be indicative of, or related to, our core operating results.</w:t>
      </w:r>
    </w:p>
    <w:p>
      <w:pPr>
        <w:spacing w:after="0" w:line="19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define Adjusted Net Income (Loss) as net income (loss)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1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define Adjusted EBIT as net income (loss), plus interest expense and income taxes, further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define Adjusted EBITDA as Adjusted EBIT plus depreciation and amortization.</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Adjusted EBIT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211"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Adjusted Net Income (Loss), Adjusted EBIT or Adjusted EBITDA. Our presentation of Adjusted Net Income (Loss), Adjusted EBIT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61" w:lineRule="auto"/>
        <w:rPr>
          <w:sz w:val="20"/>
          <w:szCs w:val="20"/>
          <w:color w:val="auto"/>
        </w:rPr>
      </w:pPr>
      <w:r>
        <w:rPr>
          <w:rFonts w:ascii="Arial" w:cs="Arial" w:eastAsia="Arial" w:hAnsi="Arial"/>
          <w:sz w:val="18"/>
          <w:szCs w:val="18"/>
          <w:color w:val="auto"/>
        </w:rPr>
        <w:t>The following table presents a reconciliation of Adjusted Net Income (Loss), Adjusted EBIT and Adjusted EBITDA to our net loss for the periods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Cash settled equity and special bonuses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(gain) loss on extinguishment of debt </w:t>
            </w:r>
            <w:r>
              <w:rPr>
                <w:rFonts w:ascii="Arial" w:cs="Arial" w:eastAsia="Arial" w:hAnsi="Arial"/>
                <w:sz w:val="21"/>
                <w:szCs w:val="21"/>
                <w:color w:val="auto"/>
                <w:vertAlign w:val="superscript"/>
              </w:rPr>
              <w:t>(f)</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(income) expense </w:t>
            </w:r>
            <w:r>
              <w:rPr>
                <w:rFonts w:ascii="Arial" w:cs="Arial" w:eastAsia="Arial" w:hAnsi="Arial"/>
                <w:sz w:val="21"/>
                <w:szCs w:val="21"/>
                <w:color w:val="auto"/>
                <w:vertAlign w:val="superscript"/>
              </w:rPr>
              <w:t>(g)</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7"/>
        </w:trPr>
        <w:tc>
          <w:tcPr>
            <w:tcW w:w="4580" w:type="dxa"/>
            <w:vAlign w:val="bottom"/>
          </w:tcPr>
          <w:p>
            <w:pPr>
              <w:ind w:left="220"/>
              <w:spacing w:after="0"/>
              <w:rPr>
                <w:sz w:val="20"/>
                <w:szCs w:val="20"/>
                <w:color w:val="auto"/>
              </w:rPr>
            </w:pPr>
            <w:r>
              <w:rPr>
                <w:rFonts w:ascii="Arial" w:cs="Arial" w:eastAsia="Arial" w:hAnsi="Arial"/>
                <w:sz w:val="16"/>
                <w:szCs w:val="16"/>
                <w:color w:val="auto"/>
              </w:rPr>
              <w:t>Adjusted Net Income</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Benefit for income taxes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7"/>
        </w:trPr>
        <w:tc>
          <w:tcPr>
            <w:tcW w:w="4580" w:type="dxa"/>
            <w:vAlign w:val="bottom"/>
          </w:tcPr>
          <w:p>
            <w:pPr>
              <w:ind w:left="220"/>
              <w:spacing w:after="0"/>
              <w:rPr>
                <w:sz w:val="20"/>
                <w:szCs w:val="20"/>
                <w:color w:val="auto"/>
              </w:rPr>
            </w:pPr>
            <w:r>
              <w:rPr>
                <w:rFonts w:ascii="Arial" w:cs="Arial" w:eastAsia="Arial" w:hAnsi="Arial"/>
                <w:sz w:val="16"/>
                <w:szCs w:val="16"/>
                <w:color w:val="auto"/>
              </w:rPr>
              <w:t>Adjusted EBIT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341.2</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w:t>
            </w: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r>
      <w:tr>
        <w:trPr>
          <w:trHeight w:val="235"/>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80" w:hanging="339"/>
        <w:spacing w:after="0" w:line="243"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expense related to the cash settlement of unvested equity awards that were outstanding at the consummation of the Rackspace Acquisition (amounting to $3 million for the nine months ended September 30, 2019 and zero for all other periods presented), retention bonuses, mainly relating to restructuring and integration projects, and, beginning in the second quarter of 2019, senior executive signing bonuses and relocation costs.</w:t>
      </w:r>
    </w:p>
    <w:p>
      <w:pPr>
        <w:spacing w:after="0" w:line="21" w:lineRule="exact"/>
        <w:rPr>
          <w:rFonts w:ascii="Arial" w:cs="Arial" w:eastAsia="Arial" w:hAnsi="Arial"/>
          <w:sz w:val="16"/>
          <w:szCs w:val="16"/>
          <w:color w:val="auto"/>
        </w:rPr>
      </w:pPr>
    </w:p>
    <w:p>
      <w:pPr>
        <w:jc w:val="both"/>
        <w:ind w:left="480" w:right="280" w:hanging="344"/>
        <w:spacing w:after="0" w:line="288"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legal, professional, accounting and other advisory fees related to the acquisition of Onica in the fourth quarter of 2019 and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ind w:left="480" w:right="300" w:hanging="339"/>
        <w:spacing w:after="0" w:line="243"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spacing w:after="0" w:line="21" w:lineRule="exact"/>
        <w:rPr>
          <w:rFonts w:ascii="Arial" w:cs="Arial" w:eastAsia="Arial" w:hAnsi="Arial"/>
          <w:sz w:val="16"/>
          <w:szCs w:val="16"/>
          <w:color w:val="auto"/>
        </w:rPr>
      </w:pPr>
    </w:p>
    <w:p>
      <w:pPr>
        <w:ind w:left="480" w:right="60" w:hanging="344"/>
        <w:spacing w:after="0" w:line="258"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9" w:lineRule="exact"/>
        <w:rPr>
          <w:rFonts w:ascii="Arial" w:cs="Arial" w:eastAsia="Arial" w:hAnsi="Arial"/>
          <w:sz w:val="16"/>
          <w:szCs w:val="16"/>
          <w:color w:val="auto"/>
        </w:rPr>
      </w:pPr>
    </w:p>
    <w:p>
      <w:pPr>
        <w:ind w:left="480" w:hanging="339"/>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 including our investment in CrowdStrike.</w:t>
      </w:r>
    </w:p>
    <w:p>
      <w:pPr>
        <w:spacing w:after="0" w:line="45" w:lineRule="exact"/>
        <w:rPr>
          <w:rFonts w:ascii="Arial" w:cs="Arial" w:eastAsia="Arial" w:hAnsi="Arial"/>
          <w:sz w:val="16"/>
          <w:szCs w:val="16"/>
          <w:color w:val="auto"/>
        </w:rPr>
      </w:pPr>
    </w:p>
    <w:p>
      <w:pPr>
        <w:ind w:left="480" w:hanging="330"/>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gains and losses on our repurchases of 8.625% Senior Notes.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46" w:lineRule="exact"/>
        <w:rPr>
          <w:sz w:val="20"/>
          <w:szCs w:val="20"/>
          <w:color w:val="auto"/>
        </w:rPr>
      </w:pPr>
    </w:p>
    <w:p>
      <w:pPr>
        <w:ind w:left="480" w:right="120" w:hanging="326"/>
        <w:spacing w:after="0" w:line="272"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2019 and the 2020 interim period, we based it on an average of the 2019 and estimated 2020 tax rates, recomputed to remove the tax effect of non-GAAP pre-tax adjustments and non-recurring tax adjustments, resulting in a structural non-GAAP tax rate of 26%.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00" w:lineRule="exact"/>
        <w:rPr>
          <w:rFonts w:ascii="Arial" w:cs="Arial" w:eastAsia="Arial" w:hAnsi="Arial"/>
          <w:sz w:val="14"/>
          <w:szCs w:val="14"/>
          <w:color w:val="auto"/>
        </w:rPr>
      </w:pPr>
    </w:p>
    <w:p>
      <w:pPr>
        <w:spacing w:after="0" w:line="381" w:lineRule="exact"/>
        <w:rPr>
          <w:rFonts w:ascii="Arial" w:cs="Arial" w:eastAsia="Arial" w:hAnsi="Arial"/>
          <w:sz w:val="14"/>
          <w:szCs w:val="14"/>
          <w:color w:val="auto"/>
        </w:rPr>
      </w:pPr>
    </w:p>
    <w:p>
      <w:pPr>
        <w:ind w:left="5540" w:hanging="111"/>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Per Share (EPS)</w:t>
      </w:r>
    </w:p>
    <w:p>
      <w:pPr>
        <w:spacing w:after="0" w:line="25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define Adjusted EPS as Adjusted Net Income divided by our GAAP average number of shares outstanding for the period on a diluted basis, after giving effect to the twelve-for-one stock split that was approved and effected on July 20, 2020 (the "Stock Split"), and further adjusted for the average number of shares associated with securities which are anti-dilutive to GAAP earnings per share but dilutive to Adjusted EPS. Management uses Adjusted EPS to evaluate the performance of our business on a comparable basis from period to period, including by adjusting for the impact of the issuance of shares that would be dilutive to Adjusted EPS. The following table reconciles Adjusted EPS to our GAAP net loss per share on a diluted basis: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9"/>
        </w:trPr>
        <w:tc>
          <w:tcPr>
            <w:tcW w:w="5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172.6</w:t>
            </w:r>
          </w:p>
        </w:tc>
      </w:tr>
      <w:tr>
        <w:trPr>
          <w:trHeight w:val="219"/>
        </w:trPr>
        <w:tc>
          <w:tcPr>
            <w:tcW w:w="56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5600" w:type="dxa"/>
            <w:vAlign w:val="bottom"/>
          </w:tcPr>
          <w:p>
            <w:pPr>
              <w:ind w:left="220"/>
              <w:spacing w:after="0"/>
              <w:rPr>
                <w:sz w:val="20"/>
                <w:szCs w:val="20"/>
                <w:color w:val="auto"/>
              </w:rPr>
            </w:pPr>
            <w:r>
              <w:rPr>
                <w:rFonts w:ascii="Arial" w:cs="Arial" w:eastAsia="Arial" w:hAnsi="Arial"/>
                <w:sz w:val="16"/>
                <w:szCs w:val="16"/>
                <w:color w:val="auto"/>
              </w:rPr>
              <w:t>Non-GAAP weighted average number of shares - Diluted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r>
    </w:tbl>
    <w:p>
      <w:pPr>
        <w:spacing w:after="0" w:line="112" w:lineRule="exact"/>
        <w:rPr>
          <w:sz w:val="20"/>
          <w:szCs w:val="20"/>
          <w:color w:val="auto"/>
        </w:rPr>
      </w:pPr>
    </w:p>
    <w:p>
      <w:pPr>
        <w:ind w:left="480" w:right="60" w:hanging="454"/>
        <w:spacing w:after="0" w:line="251"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impact of awards that would have been anti-dilutive to Net loss per share, and therefore not included in the calculation, but would be dilutive to Adjusted EPS and are therefore included in the share count for purposes of this non-GAAP measure. Potential common share equivalents consist of shares issuable upon the exercise of stock options or vesting of restricted stock,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7"/>
          <w:szCs w:val="17"/>
          <w:color w:val="auto"/>
        </w:rPr>
        <w:t>C")</w:t>
      </w:r>
      <w:r>
        <w:rPr>
          <w:rFonts w:ascii="Arial" w:cs="Arial" w:eastAsia="Arial" w:hAnsi="Arial"/>
          <w:sz w:val="16"/>
          <w:szCs w:val="16"/>
          <w:color w:val="auto"/>
        </w:rPr>
        <w:t xml:space="preserve">, which are included in </w:t>
      </w:r>
      <w:r>
        <w:rPr>
          <w:rFonts w:ascii="Arial" w:cs="Arial" w:eastAsia="Arial" w:hAnsi="Arial"/>
          <w:sz w:val="17"/>
          <w:szCs w:val="17"/>
          <w:color w:val="auto"/>
        </w:rPr>
        <w:t>the</w:t>
      </w:r>
      <w:r>
        <w:rPr>
          <w:rFonts w:ascii="Arial" w:cs="Arial" w:eastAsia="Arial" w:hAnsi="Arial"/>
          <w:sz w:val="16"/>
          <w:szCs w:val="16"/>
          <w:color w:val="auto"/>
        </w:rPr>
        <w:t xml:space="preserve"> d</w:t>
      </w:r>
      <w:r>
        <w:rPr>
          <w:rFonts w:ascii="Arial" w:cs="Arial" w:eastAsia="Arial" w:hAnsi="Arial"/>
          <w:sz w:val="17"/>
          <w:szCs w:val="17"/>
          <w:color w:val="auto"/>
        </w:rPr>
        <w:t>enominator for the entire period if such shares would be issuable as of the end of the reporting period assuming the end of the</w:t>
      </w:r>
      <w:r>
        <w:rPr>
          <w:rFonts w:ascii="Arial" w:cs="Arial" w:eastAsia="Arial" w:hAnsi="Arial"/>
          <w:sz w:val="16"/>
          <w:szCs w:val="16"/>
          <w:color w:val="auto"/>
        </w:rPr>
        <w:t xml:space="preserve"> </w:t>
      </w:r>
      <w:r>
        <w:rPr>
          <w:rFonts w:ascii="Arial" w:cs="Arial" w:eastAsia="Arial" w:hAnsi="Arial"/>
          <w:sz w:val="17"/>
          <w:szCs w:val="17"/>
          <w:color w:val="auto"/>
        </w:rPr>
        <w:t>reporting period was the end of the contingency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We primarily finance our operations and capital expenditures with internally-generated cash from operations and, if necessary, borrowings under the Revolving Credit Facility, borrowings under our Receivables Financing Facility, and other sources of financing as described below. As of September 30, 2020, the Revolving Credit Facility provided for up to $375 million of borrowings, none of which was drawn as of September 30, 2020. As of September 30, 2020, the Receivables Financing Facility had a total borrowing capacity of $68 million, and $65 million was borrowed and outstanding.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the Receivables Financing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and 8.625% Senior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1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if applicable), for cash or other consideration. In connection with our completed IPO on August 7, 2020, further discussed below, we used a portion of the net proceeds from the offering to repurchase an aggregate $515 million of the principal amount of our outstanding 8.625% Senior Notes and paid related premiums, fees and expenses. See “</w:t>
      </w:r>
      <w:r>
        <w:rPr>
          <w:rFonts w:ascii="Arial" w:cs="Arial" w:eastAsia="Arial" w:hAnsi="Arial"/>
          <w:sz w:val="17"/>
          <w:szCs w:val="17"/>
          <w:i w:val="1"/>
          <w:iCs w:val="1"/>
          <w:color w:val="auto"/>
        </w:rPr>
        <w:t>8.625% Senior Notes</w:t>
      </w:r>
      <w:r>
        <w:rPr>
          <w:rFonts w:ascii="Arial" w:cs="Arial" w:eastAsia="Arial" w:hAnsi="Arial"/>
          <w:sz w:val="17"/>
          <w:szCs w:val="17"/>
          <w:color w:val="auto"/>
        </w:rPr>
        <w:t>” below for more information on repurchases of debt completed during the nine months ended September 30, 2019 and September 30, 2020.</w:t>
      </w:r>
    </w:p>
    <w:p>
      <w:pPr>
        <w:spacing w:after="0" w:line="20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At September 30, 2020, we held $253 million in cash and cash equivalents (not including $3 million in restricted cash, which is included in "Other non-current assets"), of which $84 million was held by foreign entities.</w:t>
      </w:r>
    </w:p>
    <w:p>
      <w:pPr>
        <w:spacing w:after="0" w:line="197"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$126 million outstanding with respect to these arrangements as of September 30, 2020. We may choose to utilize these various sources of funding in future periods.</w:t>
      </w:r>
    </w:p>
    <w:p>
      <w:pPr>
        <w:spacing w:after="0" w:line="21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also lease certain equipment and real estate under operating and finance lease agreements. In June 2020, we entered into lease amendments for two of our data centers to, among other items, extend the lease term. Both lease amendments were deemed a lease modification, which resulted in a change of classification from operating leases to finance leases of $220 million. We had $555 million outstanding with respect to operating and finance lease agreements as of September 30, 2020. We may choose to utilize such leasing arrangements in future periods.</w:t>
      </w:r>
    </w:p>
    <w:p>
      <w:pPr>
        <w:spacing w:after="0" w:line="19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of September 30, 2020, we had $3,408 million aggregate principal amount outstanding under our Term Loan Facility and 8.625% Senior Notes, with $375 million of borrowing capacity available under the Revolving Credit Facility. Additionally, at September 30, 2020, we had $65 million principal outstanding with $3 million in incremental borrowing capacity under the Receivables Financing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August 7, 2020, we completed the IPO, in which we issued and sold 33,500,000 shares of our common stock at a public offering price of $21.00 per share. We received net proceeds of $667 million from sales of shares in the IPO, after deducting underwriters' discounts and commissions of</w:t>
      </w:r>
    </w:p>
    <w:p>
      <w:pPr>
        <w:ind w:right="120"/>
        <w:spacing w:after="0" w:line="281" w:lineRule="auto"/>
        <w:rPr>
          <w:sz w:val="20"/>
          <w:szCs w:val="20"/>
          <w:color w:val="auto"/>
        </w:rPr>
      </w:pPr>
      <w:r>
        <w:rPr>
          <w:rFonts w:ascii="Arial" w:cs="Arial" w:eastAsia="Arial" w:hAnsi="Arial"/>
          <w:sz w:val="16"/>
          <w:szCs w:val="16"/>
          <w:color w:val="auto"/>
        </w:rPr>
        <w:t>$37 million, but before deducting offering expenses of $9 million. As noted above, we used a portion of the net proceeds from the IPO to repurchase $515 million aggregate principal amount of our outstanding 8.625% Senior Notes for aggregate cash of $557 million. Substantially all of the remaining net proceeds will be used to redeem $86 million of the outstanding principal balance of the 8.625% Senior Notes on November 16, 2020 at a price of</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104.313%, plus accrued and unpaid interest, if any. The remaining amount of net proceeds following the completion of this redemption, if any, will be used for general corporate purposes.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Our First Lien Credit Agreement governs the Term Loan Facility and the Revolving Credit Facility (together, the "Senior Facilities"). The Term Loan Facility matures on November 3, 2023 and the Revolving Credit Facility was originally set to mature on November 3, 2021. On August 7, 2020, we increased the size of the Revolving Credit Facility to $375 million from $225 million and extended the maturity date to August 7, 2025.</w:t>
      </w:r>
    </w:p>
    <w:p>
      <w:pPr>
        <w:spacing w:after="0" w:line="19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September 30, 2020, the interest rate on the Term Loan Facility was 4.00%, and the outstanding principal balance was $2,803 million. We are required to make quarterly amortization payments of $7 million per quarter, with the balance due at maturity. We have entered into interest rate swap agreements to manage the interest rate risk associated with interest payments on the Term Loan Facility that result from fluctuations in the LIBOR rate. See Item 1 of Part I, Financial Statements - Note 11, "Derivatives" for more information on the interest rate swap agreements.</w:t>
      </w:r>
    </w:p>
    <w:p>
      <w:pPr>
        <w:spacing w:after="0" w:line="19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Revolving Credit Facility has historically had an applicable margin of 4.00% for LIBOR loans and 3.00% for base rate loans and is subject to step-downs based on the net first lien leverage ratio. In connection with the amendment to the First Lien Credit Agreement on August 7, 2020, we reduced the applicable margin for the Revolving Credit Facility to 3.00% for LIBOR loans and 2.00% for base rate loans, with a 1.00% LIBOR “floor” applicable to LIBOR loans. The Revolving Credit Facility also includes a commitment fee equal to 0.50% per annum in respect of the unused commitments that is due quarterly. This fee is subject to one step-down based on the net first lien leverage ratio.</w:t>
      </w:r>
    </w:p>
    <w:p>
      <w:pPr>
        <w:spacing w:after="0" w:line="203"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 subject to customary breakage costs.</w:t>
      </w:r>
    </w:p>
    <w:p>
      <w:pPr>
        <w:spacing w:after="0" w:line="21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Over the course of the nine months ended September 30, 2020, we borrowed and repaid an aggregate $245 million under the Revolving Credit Facility. As of September 30, 2020, we had no outstanding borrowings under the Revolving Credit Facility.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w:t>
      </w:r>
    </w:p>
    <w:p>
      <w:pPr>
        <w:spacing w:after="0" w:line="25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8.625% Senior Notes will mature on November 15, 2024 and bear interest at a fixed rate of 8.625% per year, payable semi-annually on each May 15 and November 15 through maturity. The 8.625% Senior Notes are not subject to registration rights.</w:t>
      </w:r>
    </w:p>
    <w:p>
      <w:pPr>
        <w:spacing w:after="0" w:line="19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Rackspace Technology Global is the issuer of the 8.625% Senior Notes, and obligations under the 8.625% Senior Notes are guaranteed on a senior unsecured basis by all of Rackspace Technology Global’s wholly-owned domestic restricted subsidiaries (as subsidiary guarantors) that guarantee the Senior Facilities. The 8.625% Senior Notes are effectively junior to the indebtedness under the Senior Facilities, to the extent of the collateral securing the Senior Facilities. The Indenture describes certain terms and conditions under which other current and future domestic subsidiaries are required to become guarantors of the 8.625% Senior Notes.</w:t>
      </w:r>
    </w:p>
    <w:p>
      <w:pPr>
        <w:spacing w:after="0" w:line="21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Rackspace Technology Global may redeem the 8.625% Senior Notes at its option, in whole at any time or in part from time to time, at the following redemption prices: prior to November 15, 2020, at a redemption price equal to 106.469% of the principal amount, plus accrued and unpaid interest, if any, to but excluding the redemption date; from November 15, 2020 to November 15, 2021, at a redemption price equal to 104.313% of the principal amount, plus accrued and unpaid interest, if any, to but excluding the redemption date; from November 15, 2021 to November 15, 2022, at a redemption price equal to 102.156% of the principal amount, plus accrued and unpaid interest, if any, to but excluding the redemption date; and from November 15, 2022 and thereafter, at a redemption price equal to 100.000% of the principal amount, plus accrued and unpaid interest, if any, to but excluding the redemption date.</w:t>
      </w:r>
    </w:p>
    <w:p>
      <w:pPr>
        <w:spacing w:after="0" w:line="191"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During the nine months ended September 30, 2019, we repurchased and surrendered for cancellation $74 million aggregate principal amount of 8.625% Senior Notes for $64 million, including accrued interest of $1 million and excluding related fees and expenses.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August 12, 2020, Rackspace Technology Global commenced a tender offer to purchase for cash up to $600 million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8.625% Senior Notes. Prior to the expiration of the tender offer, holders of the 8.625% Senior Notes had validly tendered $515 million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the 8.625% Senior Notes. Rackspace Technology Global repurchased the tendered 8.625% Senior Notes for aggregate cash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$557 million, which reflected a price of 105.75% of the principal amount thereof, plus accrued and unpaid interest. Following the repurchases, Rackspace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 Global canceled $515 million of the 8.625% Senior Notes.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outstanding principal balance of the 8.625% Senior Notes was $605 million as of September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Term Loan Facility is not subject to a financial maintenance covenant. As of September 30, 2020, our Revolving Credit Facility included a financial maintenance covenant that limits the borrower's net first lien leverage ratio to a maximum of 5.00 to 1.00. This ratio was modified from the historical 3.50 to 1.00 ratio on August 7, 2020 in the amendment of the First Lien Credit Agreement.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0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Indenture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we were in compliance with all covenants under the Senior Facilities and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Financing Facility</w:t>
      </w:r>
    </w:p>
    <w:p>
      <w:pPr>
        <w:spacing w:after="0" w:line="25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On March 19, 2020, Rackspace US, Inc. (“Rackspace US”), a Delaware corporation and our wholly-owned indirect subsidiary, entered into the Receivables Financing Facility. Under the Receivables Financing Facility, (i) certain of our subsidiaries sell or otherwise convey certain trade receivables and related rights (the “Conveyed Receivables”) to Rackspace US and (ii) Rackspace US then sells, contributes or otherwise conveys certain Conveyed Receivables to our wholly owned bankruptcy-remote subsidiary (the “SPV”).</w:t>
      </w:r>
    </w:p>
    <w:p>
      <w:pPr>
        <w:spacing w:after="0" w:line="214"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color w:val="auto"/>
        </w:rPr>
        <w:t>The SPV may thereafter make borrowings from the lenders under the Receivables Financing Facility, which borrowings will be secured by the Conveyed Receivables. An affiliate of the administrative agent under the Receivables Financing Facility, in its capacity as a lender, has committed an amount up to $100 million under the Receivables Financing Facility. Rackspace US services and administers the Conveyed Receivables on behalf of the SPV. Rackspace Technology Global provides a performance guaranty to the administrative agent on behalf of the secured parties in respect of the obligations of the subsidiaries originating the receivables and Rackspace US, as servicer, including, without limitation, obligations to pay the purchase price and indemnity obligations.</w:t>
      </w:r>
    </w:p>
    <w:p>
      <w:pPr>
        <w:spacing w:after="0" w:line="21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scheduled termination date of the Receivables Financing Facility is March 21, 2022, subject to earlier termination due to a termination event described in the agreement governing the Receivables Financing Facility.</w:t>
      </w:r>
    </w:p>
    <w:p>
      <w:pPr>
        <w:spacing w:after="0" w:line="19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Advances bear interest based on an index rate plus a margin. As of September 30, 2020, the interest rate on borrowings under the Receivables Financing Facility was 2.50%. The SPV is also required to pay a monthly commitment fee to each lender based on the amount of such lender’s outstanding commitment. The Receivables Financing Facility contains representations and warranties, affirmative and negative covenants and events of default that are customary for financings of this type.</w:t>
      </w:r>
    </w:p>
    <w:p>
      <w:pPr>
        <w:spacing w:after="0" w:line="214"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As of September 30, 2020, our total borrowing capacity under the Receivables Financing Facility was $68 million and $65 million was borrowed and outstanding. The Receivables Financing Facility requires us to comply with a leverage ratio and an interest coverage ratio. We were in compliance with all applicable covenants under the Receivables Financing Facility as of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12"/>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3"/>
        </w:trPr>
        <w:tc>
          <w:tcPr>
            <w:tcW w:w="7520" w:type="dxa"/>
            <w:vAlign w:val="bottom"/>
          </w:tcPr>
          <w:p>
            <w:pPr>
              <w:ind w:left="12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r>
        <w:trPr>
          <w:trHeight w:val="238"/>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Capital expenditures were $174 million in the nine months ended September 30, 2020, compared to $152 million in the nine months ended September 30, 2019, an increase of $22 million. The majority of the increase is due to higher success-based spend to deploy customer environments and the refresh of certain data center equipment within our normal maintenance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89"/>
              </w:rPr>
              <w:t>191.7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132.7</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779"/>
              <w:spacing w:after="0"/>
              <w:rPr>
                <w:sz w:val="20"/>
                <w:szCs w:val="20"/>
                <w:color w:val="auto"/>
              </w:rPr>
            </w:pPr>
            <w:r>
              <w:rPr>
                <w:rFonts w:ascii="Arial" w:cs="Arial" w:eastAsia="Arial" w:hAnsi="Arial"/>
                <w:sz w:val="16"/>
                <w:szCs w:val="16"/>
                <w:color w:val="auto"/>
                <w:w w:val="94"/>
              </w:rPr>
              <w:t>(132.3)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960"/>
              <w:spacing w:after="0"/>
              <w:rPr>
                <w:sz w:val="20"/>
                <w:szCs w:val="20"/>
                <w:color w:val="auto"/>
              </w:rPr>
            </w:pPr>
            <w:r>
              <w:rPr>
                <w:rFonts w:ascii="Arial" w:cs="Arial" w:eastAsia="Arial" w:hAnsi="Arial"/>
                <w:sz w:val="16"/>
                <w:szCs w:val="16"/>
                <w:color w:val="auto"/>
                <w:w w:val="95"/>
              </w:rPr>
              <w:t>(92.2)</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4"/>
              </w:rPr>
              <w:t>(123.6)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128.5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Net cash provided by operating activities decreased $59 million, or 31%, from the first nine months of 2019 compared to the first nine months of 2020. This decrease was due to a $242 million increase in operating expense payments, largely for third-party infrastructure costs, and a $36 million increase in employee-related payments, both mainly reflecting the impact of the Onica acquisition. These variances were partially offset by a $213 million increase in cash collections, primarily reflecting higher revenue levels resulting from the acquisition of Onica, and a $19 million decrease in obligations to settle share-based awards in connection with the Rackspace Acquisition, as the final payment was made during the three months ended March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11"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Net cash used in investing activities decreased $40 million, or 30%, from the first nine months of 2019 compared to the first nine months of 2020. This change was mainly due to a $56 million decrease in cash purchases of property, equipment and software, as we increased our usage of financing arrangements in place of upfront cash payments to procure capital assets. The impact of this decrease was partially offset by the receipt of $17 million in proceeds during the first nine months of 2019 related to the repayment of a promissory note receivable in conjunction with the 2017 sale of our Mailgun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or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1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Net cash used in financing activities was $124 million for the first nine months of 2019 and net cash provided by financing activities was $129 million for first nine months of 2020. The change was primarily driven by proceeds of $667 million from the issuance of common stock in the IPO, not including $8 million in fees paid, and borrowings of $65 million under the Receivables Financing Facility, which remained outstanding at September 30, 2020. These cash inflows were partially offset by an increase in 8.625% Senior Notes repurchases of $482 million for the nine months ended September 30, 2020 compared to the nine months ended September 30,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During the nine months ended September 30, 2020, we entered into contractual obligations of $196 million related to operating and finance lease arrangements and $65 million for borrowings under our Receivables Financing Facility.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These entities are typically established for the purpose of facilitating off-balance sheet arrangements or other contractually narrow or limited purposes.</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Prospectus,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5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are a large consumer of power. In the nine months ended September 30, 2020, we expensed approximately $31 million that was paid to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and London areas that allow us to procure power either on a fixed price or on a variable price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are exposed to interest rate risk associated with fluctuations in interest rates on our floating-rate debt under our Senior Facilities, which includes our $375 million Revolving Credit Facility and $2,803 million outstanding under the Term Loan Facility, and under our $68 million Receivables Financing Facility. As of September 30, 2020, there were no outstanding borrowings under the Revolving Credit Facility and therefore our only variable-rate debt outstanding was the $2,803 million outstanding under the Term Loan Facility and $65 million outstanding under the Receivables Financing Facility. As of September 30, 2020, assuming the Revolving Credit Facility and Receivables Financing Facility were fully drawn, each 0.125% change in assumed blended interest rates would result in a $4 million change in annual interest expense on indebtedness under the Senior Facilities and the Receivables Financing Facility.</w:t>
      </w:r>
    </w:p>
    <w:p>
      <w:pPr>
        <w:spacing w:after="0" w:line="22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December 2016, we entered into seven floating-to-fixed interest rate swap agreements to manage our risk from interest rate fluctuations associated with our floating-rate Term Loan Facility. The remaining three swap agreements in effect as of September 30,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1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September 30, 2020, two swaps agreements, with an aggregate notional amount of $300 million, were effective. The remaining swap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6"/>
          <w:szCs w:val="16"/>
          <w:i w:val="1"/>
          <w:iCs w:val="1"/>
          <w:color w:val="auto"/>
        </w:rPr>
        <w:t>Constant Currency Revenue</w:t>
      </w:r>
      <w:r>
        <w:rPr>
          <w:rFonts w:ascii="Arial" w:cs="Arial" w:eastAsia="Arial" w:hAnsi="Arial"/>
          <w:sz w:val="16"/>
          <w:szCs w:val="16"/>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nine months ended September 30, 2020, we recognized foreign currency transaction losses of $0.4 million within “Other income (expense), net” in our Consolidated Statements of Comprehensive Loss. As we grow our international operations, our exposure to foreign currency translation and transaction risk could become more significant.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in the past and may in the future enter into foreign currency hedging instruments to limit our exposure to foreign currency risk.</w:t>
      </w:r>
    </w:p>
    <w:p>
      <w:pPr>
        <w:spacing w:after="0" w:line="264"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w:t>
      </w:r>
    </w:p>
    <w:p>
      <w:pPr>
        <w:spacing w:after="0" w:line="214"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In March 2020, we entered into three foreign currency forward contracts to manage our exposure to movements in the British pound sterling, Euro and Mexican peso. All three contracts settled on June 30, 2020, and we made a final net payment of $1.7 million resulting from the following:</w:t>
      </w:r>
    </w:p>
    <w:p>
      <w:pPr>
        <w:spacing w:after="0" w:line="173"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sold £32 million at a rate of 1.1902 British pound to U.S. dollar and received $38.1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sold €6 million at a rate of 1.0921 Euro to U.S. dollar and received $6.6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sold $2.1 million at a rate of 24.2040 U.S. dollar to Mexican peso and received Mex$50 million.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June 2020, we entered into three foreign currency forward contracts to manage our exposure to movements in the British pound sterling, Euro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Mexican peso. All three contracts settled on September 30, 2020 and we made a final net payment of $1.6 million resulting from the following:</w:t>
      </w:r>
    </w:p>
    <w:p>
      <w:pPr>
        <w:spacing w:after="0" w:line="249"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sold £32 million at a rate of 1.24095 British pound to U.S. dollar and received $39.7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sold €6 million at a rate of 1.1241 Euro to U.S. dollar and received $6.7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sold $2.2 million at a rate of 23.0330 U.S. dollar to Mexican peso and received Mex$50 million.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September 2020, we entered into three foreign currency forward contracts to manage our exposure to movements in the British pound sterling,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Mexican peso. All three contracts have a maturity date of December 31, 2020. On the maturity date, the following will occur:</w:t>
      </w:r>
    </w:p>
    <w:p>
      <w:pPr>
        <w:spacing w:after="0" w:line="238" w:lineRule="exact"/>
        <w:rPr>
          <w:sz w:val="20"/>
          <w:szCs w:val="20"/>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sell £32 million at a rate of 1.28495 British pound to U.S. dollar and receive $41.1 million.</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sell €6 million at a rate of 1.1684 Euro to U.S. dollar and receive $7.0 million.</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sell $2.2 million at a rate of 22.8340 U.S. dollar to Mexican peso and receive Mex$50 million.</w:t>
      </w:r>
    </w:p>
    <w:p>
      <w:pPr>
        <w:spacing w:after="0" w:line="238" w:lineRule="exact"/>
        <w:rPr>
          <w:sz w:val="20"/>
          <w:szCs w:val="20"/>
          <w:color w:val="auto"/>
        </w:rPr>
      </w:pPr>
    </w:p>
    <w:p>
      <w:pPr>
        <w:ind w:right="560" w:firstLine="486"/>
        <w:spacing w:after="0" w:line="261" w:lineRule="auto"/>
        <w:rPr>
          <w:sz w:val="20"/>
          <w:szCs w:val="20"/>
          <w:color w:val="auto"/>
        </w:rPr>
      </w:pPr>
      <w:r>
        <w:rPr>
          <w:rFonts w:ascii="Arial" w:cs="Arial" w:eastAsia="Arial" w:hAnsi="Arial"/>
          <w:sz w:val="18"/>
          <w:szCs w:val="18"/>
          <w:color w:val="auto"/>
        </w:rPr>
        <w:t>See Item 1 of Part I, Financial Statements - Note 11, "Derivatives," for more information on interest rate swaps and foreign currency hedging contracts.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58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cannot predict the impact, if any, that any of the matters described above may have on our business, results of operations, financial position, or cash flows. Because of the inherent uncertainties of such matters, including the early stage and lack of specific damage claims in many of them, we cannot estimate the range of possible losses from them.</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disclosed under the heading “Risk Factors” in our Registration Statement on Form S-1 (File No. 333-239794 ), as amended, the risk factors which materially affect our business, financial condition or results of operations. There have been no material changes from the risk factors previously disclosed. You should carefully consider the risk factors set forth in the Registration Statement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1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January 1, 2020 through August 5, 2020 (the date of the filing of our Registration Statement on Form S-8, File No. 333-240498):</w:t>
      </w:r>
    </w:p>
    <w:p>
      <w:pPr>
        <w:spacing w:after="0" w:line="252" w:lineRule="exact"/>
        <w:rPr>
          <w:sz w:val="20"/>
          <w:szCs w:val="20"/>
          <w:color w:val="auto"/>
        </w:rPr>
      </w:pPr>
    </w:p>
    <w:p>
      <w:pPr>
        <w:ind w:left="660" w:right="240" w:hanging="166"/>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granted to our directors, officers, employees, consultants, and other service providers options to purchase 8,162,772, shares of our common stock with per share exercise prices ranging from $11.41 to $13.62 under the Rackspace Technology, Inc. Equity Incentive Plan (the “2017 Incentive Plan”).</w:t>
      </w:r>
    </w:p>
    <w:p>
      <w:pPr>
        <w:spacing w:after="0" w:line="210" w:lineRule="exact"/>
        <w:rPr>
          <w:rFonts w:ascii="Arial" w:cs="Arial" w:eastAsia="Arial" w:hAnsi="Arial"/>
          <w:sz w:val="18"/>
          <w:szCs w:val="18"/>
          <w:color w:val="auto"/>
        </w:rPr>
      </w:pPr>
    </w:p>
    <w:p>
      <w:pPr>
        <w:ind w:left="660" w:right="160" w:hanging="166"/>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issued to our directors, employees, consultants and other service providers an aggregate of 72,768 shares of our common stock at a per share purchase price ranging from $8.33 to $15.54 pursuant to exercises of options granted under the 2017 Incentive Plan.</w:t>
      </w:r>
    </w:p>
    <w:p>
      <w:pPr>
        <w:spacing w:after="0" w:line="173" w:lineRule="exact"/>
        <w:rPr>
          <w:rFonts w:ascii="Arial" w:cs="Arial" w:eastAsia="Arial" w:hAnsi="Arial"/>
          <w:sz w:val="17"/>
          <w:szCs w:val="17"/>
          <w:color w:val="auto"/>
        </w:rPr>
      </w:pPr>
    </w:p>
    <w:p>
      <w:pPr>
        <w:ind w:left="660" w:right="14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granted to our directors and employees restricted stock units (“RSUs”) for an aggregate of 6,564 shares of our common stock under the 2017 Incentive Plan.</w:t>
      </w:r>
    </w:p>
    <w:p>
      <w:pPr>
        <w:spacing w:after="0" w:line="197" w:lineRule="exact"/>
        <w:rPr>
          <w:rFonts w:ascii="Arial" w:cs="Arial" w:eastAsia="Arial" w:hAnsi="Arial"/>
          <w:sz w:val="18"/>
          <w:szCs w:val="18"/>
          <w:color w:val="auto"/>
        </w:rPr>
      </w:pPr>
    </w:p>
    <w:p>
      <w:pPr>
        <w:ind w:left="660" w:right="32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directors and employees received an aggregate of 86,364 shares of our common stock upon the vesting of RSUs under the 2017 Incentive Plan.</w:t>
      </w:r>
    </w:p>
    <w:p>
      <w:pPr>
        <w:spacing w:after="0" w:line="197"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granted to our directors restricted stock awards (“RSAs”) for an aggregate of 27,492 shares of our common stock under the 2017 Incentive Plan.</w:t>
      </w:r>
    </w:p>
    <w:p>
      <w:pPr>
        <w:spacing w:after="0" w:line="19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directors received an aggregate of 17,460 shares of our common stock upon the vesting of RSAs under the 2017 Incentive Plan.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offers, sales and issuances of the securities described in the immediately preceding section were deemed to be exempt from registration either under Rule 701 promulgated under the Securities Act, in that the transactions were under compensatory benefit plans and contracts relating to compensation, or under Section 4(a)(2) in that the transactions were by an issuer and did not involve any public offering within the meaning of Section 4(a)</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(2). The recipients of such securities were our employees, directors, consultants or other service providers and received the securities under the 2017 Incentive Plan.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Stock Split on July 20, 2020, we issued approximately 151,760,933 shares of common stock.</w:t>
      </w:r>
    </w:p>
    <w:p>
      <w:pPr>
        <w:spacing w:after="0" w:line="252"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All recipients had adequate access, through their relationships with us, to information about us. The offers, sales and issuances of these securities were made without any general solicitation or advertising.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 for an aggregate offering price of $703.5 million. All shares in the IPO were registered under the Securities Act pursuant to a Registration Statement on Form S-1 (File No. 333-239794), which was declared effective by the SEC on August 4, 2020. The managing underwriters of our IPO were Goldman Sachs &amp; Co. LLC, Citigroup Global Markets Inc. and J.P. Morgan Securities LLC. We incurred underwriting discounts and commissions of $36.9 million and offering expenses of $8.8 million. Thus, our net offering proceeds, after deducting underwriting discounts and commissions and other offering costs, was $657.8 million. No payments were made to our directors or officers or their associates, holders of 10% or more of any class of our equity securities or any affiliates.</w:t>
      </w:r>
    </w:p>
    <w:p>
      <w:pPr>
        <w:spacing w:after="0" w:line="22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net proceeds from the IPO were contributed by us as capital contributions indirectly through our subsidiaries to Rackspace Technology Global. We used a portion of the net proceeds from the IPO to repurchase and cancel $515.0 million aggregate principal amount of our outstanding 8.625% Senior Notes. Substantially all of the remaining net proceeds will be used to redeem $86.0 million of the outstanding principal balance of the 8.625% Senior Notes on November 16, 2020 at a price of 104.313%, plus accrued and unpaid interest, if any. The remaining amount of net proceeds following the completion of this redemption, if any, will be used for general corporate purposes.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3040" w:type="dxa"/>
            <w:vAlign w:val="bottom"/>
          </w:tcPr>
          <w:p>
            <w:pPr>
              <w:spacing w:after="0"/>
              <w:rPr>
                <w:sz w:val="24"/>
                <w:szCs w:val="24"/>
                <w:color w:val="auto"/>
              </w:rPr>
            </w:pPr>
          </w:p>
        </w:tc>
        <w:tc>
          <w:tcPr>
            <w:tcW w:w="3980" w:type="dxa"/>
            <w:vAlign w:val="bottom"/>
          </w:tcPr>
          <w:p>
            <w:pPr>
              <w:ind w:left="1760"/>
              <w:spacing w:after="0"/>
              <w:rPr>
                <w:sz w:val="20"/>
                <w:szCs w:val="20"/>
                <w:color w:val="auto"/>
              </w:rPr>
            </w:pPr>
            <w:r>
              <w:rPr>
                <w:rFonts w:ascii="Arial" w:cs="Arial" w:eastAsia="Arial" w:hAnsi="Arial"/>
                <w:sz w:val="18"/>
                <w:szCs w:val="18"/>
                <w:b w:val="1"/>
                <w:bCs w:val="1"/>
                <w:color w:val="auto"/>
              </w:rPr>
              <w:t>ITEM 6 – EXHIBITS</w:t>
            </w:r>
          </w:p>
        </w:tc>
        <w:tc>
          <w:tcPr>
            <w:tcW w:w="0" w:type="dxa"/>
            <w:vAlign w:val="bottom"/>
          </w:tcPr>
          <w:p>
            <w:pPr>
              <w:spacing w:after="0"/>
              <w:rPr>
                <w:sz w:val="1"/>
                <w:szCs w:val="1"/>
                <w:color w:val="auto"/>
              </w:rPr>
            </w:pPr>
          </w:p>
        </w:tc>
      </w:tr>
      <w:tr>
        <w:trPr>
          <w:trHeight w:val="446"/>
        </w:trPr>
        <w:tc>
          <w:tcPr>
            <w:tcW w:w="3040" w:type="dxa"/>
            <w:vAlign w:val="bottom"/>
          </w:tcPr>
          <w:p>
            <w:pPr>
              <w:jc w:val="center"/>
              <w:ind w:right="1750"/>
              <w:spacing w:after="0"/>
              <w:rPr>
                <w:sz w:val="20"/>
                <w:szCs w:val="20"/>
                <w:color w:val="auto"/>
              </w:rPr>
            </w:pPr>
            <w:r>
              <w:rPr>
                <w:rFonts w:ascii="Arial" w:cs="Arial" w:eastAsia="Arial" w:hAnsi="Arial"/>
                <w:sz w:val="18"/>
                <w:szCs w:val="18"/>
                <w:b w:val="1"/>
                <w:bCs w:val="1"/>
                <w:color w:val="auto"/>
                <w:w w:val="93"/>
              </w:rPr>
              <w:t>Exhibit</w:t>
            </w:r>
          </w:p>
        </w:tc>
        <w:tc>
          <w:tcPr>
            <w:tcW w:w="3980" w:type="dxa"/>
            <w:vAlign w:val="bottom"/>
            <w:vMerge w:val="restart"/>
          </w:tcPr>
          <w:p>
            <w:pPr>
              <w:ind w:left="2480"/>
              <w:spacing w:after="0"/>
              <w:rPr>
                <w:sz w:val="20"/>
                <w:szCs w:val="20"/>
                <w:color w:val="auto"/>
              </w:rPr>
            </w:pPr>
            <w:r>
              <w:rPr>
                <w:rFonts w:ascii="Arial" w:cs="Arial" w:eastAsia="Arial" w:hAnsi="Arial"/>
                <w:sz w:val="18"/>
                <w:szCs w:val="18"/>
                <w:b w:val="1"/>
                <w:bCs w:val="1"/>
                <w:color w:val="auto"/>
                <w:w w:val="90"/>
              </w:rPr>
              <w:t>Exhibit Description</w:t>
            </w:r>
          </w:p>
        </w:tc>
        <w:tc>
          <w:tcPr>
            <w:tcW w:w="0" w:type="dxa"/>
            <w:vAlign w:val="bottom"/>
          </w:tcPr>
          <w:p>
            <w:pPr>
              <w:spacing w:after="0"/>
              <w:rPr>
                <w:sz w:val="1"/>
                <w:szCs w:val="1"/>
                <w:color w:val="auto"/>
              </w:rPr>
            </w:pPr>
          </w:p>
        </w:tc>
      </w:tr>
      <w:tr>
        <w:trPr>
          <w:trHeight w:val="234"/>
        </w:trPr>
        <w:tc>
          <w:tcPr>
            <w:tcW w:w="3040" w:type="dxa"/>
            <w:vAlign w:val="bottom"/>
          </w:tcPr>
          <w:p>
            <w:pPr>
              <w:jc w:val="center"/>
              <w:ind w:right="1750"/>
              <w:spacing w:after="0"/>
              <w:rPr>
                <w:sz w:val="20"/>
                <w:szCs w:val="20"/>
                <w:color w:val="auto"/>
              </w:rPr>
            </w:pPr>
            <w:r>
              <w:rPr>
                <w:rFonts w:ascii="Arial" w:cs="Arial" w:eastAsia="Arial" w:hAnsi="Arial"/>
                <w:sz w:val="18"/>
                <w:szCs w:val="18"/>
                <w:b w:val="1"/>
                <w:bCs w:val="1"/>
                <w:color w:val="auto"/>
                <w:w w:val="94"/>
              </w:rPr>
              <w:t>Number</w:t>
            </w:r>
          </w:p>
        </w:tc>
        <w:tc>
          <w:tcPr>
            <w:tcW w:w="3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0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9860" w:type="dxa"/>
            <w:vAlign w:val="bottom"/>
            <w:gridSpan w:val="36"/>
          </w:tcPr>
          <w:p>
            <w:pPr>
              <w:spacing w:after="0"/>
              <w:rPr>
                <w:rFonts w:ascii="Arial" w:cs="Arial" w:eastAsia="Arial" w:hAnsi="Arial"/>
                <w:sz w:val="18"/>
                <w:szCs w:val="18"/>
                <w:color w:val="0000FF"/>
                <w:w w:val="97"/>
              </w:rPr>
            </w:pPr>
            <w:hyperlink r:id="rId72">
              <w:r>
                <w:rPr>
                  <w:rFonts w:ascii="Arial" w:cs="Arial" w:eastAsia="Arial" w:hAnsi="Arial"/>
                  <w:sz w:val="18"/>
                  <w:szCs w:val="18"/>
                  <w:u w:val="single" w:color="auto"/>
                  <w:color w:val="0000FF"/>
                  <w:w w:val="97"/>
                </w:rPr>
                <w:t>Registration Rights Agreement,</w:t>
              </w:r>
              <w:r>
                <w:rPr>
                  <w:rFonts w:ascii="Arial" w:cs="Arial" w:eastAsia="Arial" w:hAnsi="Arial"/>
                  <w:sz w:val="18"/>
                  <w:szCs w:val="18"/>
                  <w:color w:val="0000FF"/>
                  <w:w w:val="97"/>
                </w:rPr>
                <w:t xml:space="preserve"> dated as of </w:t>
              </w:r>
              <w:r>
                <w:rPr>
                  <w:rFonts w:ascii="Arial" w:cs="Arial" w:eastAsia="Arial" w:hAnsi="Arial"/>
                  <w:sz w:val="18"/>
                  <w:szCs w:val="18"/>
                  <w:u w:val="single" w:color="auto"/>
                  <w:color w:val="0000FF"/>
                  <w:w w:val="97"/>
                </w:rPr>
                <w:t>August 4, 2020, among Rackspace Technology, Inc. and</w:t>
              </w:r>
              <w:r>
                <w:rPr>
                  <w:rFonts w:ascii="Arial" w:cs="Arial" w:eastAsia="Arial" w:hAnsi="Arial"/>
                  <w:sz w:val="18"/>
                  <w:szCs w:val="18"/>
                  <w:color w:val="0000FF"/>
                  <w:w w:val="97"/>
                </w:rPr>
                <w:t xml:space="preserve"> the Holders party thereto</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300" w:type="dxa"/>
            <w:vAlign w:val="bottom"/>
            <w:gridSpan w:val="10"/>
            <w:vMerge w:val="restart"/>
          </w:tcPr>
          <w:p>
            <w:pPr>
              <w:spacing w:after="0"/>
              <w:rPr>
                <w:rFonts w:ascii="Arial" w:cs="Arial" w:eastAsia="Arial" w:hAnsi="Arial"/>
                <w:sz w:val="18"/>
                <w:szCs w:val="18"/>
                <w:u w:val="single" w:color="auto"/>
                <w:color w:val="0000FF"/>
                <w:w w:val="90"/>
              </w:rPr>
            </w:pPr>
            <w:hyperlink r:id="rId72">
              <w:r>
                <w:rPr>
                  <w:rFonts w:ascii="Arial" w:cs="Arial" w:eastAsia="Arial" w:hAnsi="Arial"/>
                  <w:sz w:val="18"/>
                  <w:szCs w:val="18"/>
                  <w:u w:val="single" w:color="auto"/>
                  <w:color w:val="0000FF"/>
                  <w:w w:val="90"/>
                </w:rPr>
                <w:t>(incorporated by reference from</w:t>
              </w:r>
            </w:hyperlink>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tcPr>
          <w:p>
            <w:pPr>
              <w:spacing w:after="0"/>
              <w:rPr>
                <w:sz w:val="19"/>
                <w:szCs w:val="19"/>
                <w:color w:val="auto"/>
              </w:rPr>
            </w:pPr>
          </w:p>
        </w:tc>
        <w:tc>
          <w:tcPr>
            <w:tcW w:w="2300" w:type="dxa"/>
            <w:vAlign w:val="bottom"/>
            <w:gridSpan w:val="10"/>
            <w:vMerge w:val="continue"/>
          </w:tcPr>
          <w:p>
            <w:pPr>
              <w:spacing w:after="0"/>
              <w:rPr>
                <w:sz w:val="19"/>
                <w:szCs w:val="19"/>
                <w:color w:val="auto"/>
              </w:rPr>
            </w:pPr>
          </w:p>
        </w:tc>
        <w:tc>
          <w:tcPr>
            <w:tcW w:w="7560" w:type="dxa"/>
            <w:vAlign w:val="bottom"/>
            <w:gridSpan w:val="26"/>
          </w:tcPr>
          <w:p>
            <w:pPr>
              <w:jc w:val="center"/>
              <w:ind w:right="1620"/>
              <w:spacing w:after="0"/>
              <w:rPr>
                <w:rFonts w:ascii="Arial" w:cs="Arial" w:eastAsia="Arial" w:hAnsi="Arial"/>
                <w:sz w:val="18"/>
                <w:szCs w:val="18"/>
                <w:u w:val="single" w:color="auto"/>
                <w:color w:val="0000FF"/>
                <w:w w:val="91"/>
              </w:rPr>
            </w:pPr>
            <w:hyperlink r:id="rId72">
              <w:r>
                <w:rPr>
                  <w:rFonts w:ascii="Arial" w:cs="Arial" w:eastAsia="Arial" w:hAnsi="Arial"/>
                  <w:sz w:val="18"/>
                  <w:szCs w:val="18"/>
                  <w:u w:val="single" w:color="auto"/>
                  <w:color w:val="0000FF"/>
                  <w:w w:val="91"/>
                </w:rPr>
                <w:t>Exhibit 10.1 to Rackspace Technology, Inc.’s Form 8-K filed on August 7, 2020)</w:t>
              </w:r>
            </w:hyperlink>
          </w:p>
        </w:tc>
        <w:tc>
          <w:tcPr>
            <w:tcW w:w="0" w:type="dxa"/>
            <w:vAlign w:val="bottom"/>
          </w:tcPr>
          <w:p>
            <w:pPr>
              <w:spacing w:after="0"/>
              <w:rPr>
                <w:sz w:val="1"/>
                <w:szCs w:val="1"/>
                <w:color w:val="auto"/>
              </w:rPr>
            </w:pPr>
          </w:p>
        </w:tc>
      </w:tr>
      <w:tr>
        <w:trPr>
          <w:trHeight w:val="215"/>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10.2</w:t>
            </w:r>
          </w:p>
        </w:tc>
        <w:tc>
          <w:tcPr>
            <w:tcW w:w="9860" w:type="dxa"/>
            <w:vAlign w:val="bottom"/>
            <w:gridSpan w:val="36"/>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 xml:space="preserve">Amended </w:t>
              </w:r>
              <w:r>
                <w:rPr>
                  <w:rFonts w:ascii="Arial" w:cs="Arial" w:eastAsia="Arial" w:hAnsi="Arial"/>
                  <w:sz w:val="18"/>
                  <w:szCs w:val="18"/>
                  <w:u w:val="single" w:color="auto"/>
                  <w:color w:val="0000FF"/>
                  <w:w w:val="90"/>
                </w:rPr>
                <w:t>and Restated Investor Rights Agreement,</w:t>
              </w:r>
              <w:r>
                <w:rPr>
                  <w:rFonts w:ascii="Arial" w:cs="Arial" w:eastAsia="Arial" w:hAnsi="Arial"/>
                  <w:sz w:val="18"/>
                  <w:szCs w:val="18"/>
                  <w:color w:val="0000FF"/>
                  <w:w w:val="90"/>
                </w:rPr>
                <w:t xml:space="preserve"> dated as of </w:t>
              </w:r>
              <w:r>
                <w:rPr>
                  <w:rFonts w:ascii="Arial" w:cs="Arial" w:eastAsia="Arial" w:hAnsi="Arial"/>
                  <w:sz w:val="18"/>
                  <w:szCs w:val="18"/>
                  <w:u w:val="single" w:color="auto"/>
                  <w:color w:val="0000FF"/>
                  <w:w w:val="90"/>
                </w:rPr>
                <w:t>August 4, 2020, among Rackspace Technology,</w:t>
              </w:r>
              <w:r>
                <w:rPr>
                  <w:rFonts w:ascii="Arial" w:cs="Arial" w:eastAsia="Arial" w:hAnsi="Arial"/>
                  <w:sz w:val="18"/>
                  <w:szCs w:val="18"/>
                  <w:color w:val="0000FF"/>
                  <w:w w:val="90"/>
                </w:rPr>
                <w:t xml:space="preserve"> Inc., Searchlight Capital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tcBorders>
              <w:top w:val="single" w:sz="8" w:color="0000FF"/>
            </w:tcBorders>
            <w:gridSpan w:val="3"/>
            <w:vMerge w:val="restart"/>
          </w:tcPr>
          <w:p>
            <w:pPr>
              <w:spacing w:after="0" w:line="195" w:lineRule="exact"/>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II, L.P.,</w:t>
              </w:r>
            </w:hyperlink>
          </w:p>
        </w:tc>
        <w:tc>
          <w:tcPr>
            <w:tcW w:w="2960" w:type="dxa"/>
            <w:vAlign w:val="bottom"/>
            <w:gridSpan w:val="14"/>
            <w:vMerge w:val="restart"/>
          </w:tcPr>
          <w:p>
            <w:pPr>
              <w:spacing w:after="0" w:line="195" w:lineRule="exact"/>
              <w:rPr>
                <w:rFonts w:ascii="Arial" w:cs="Arial" w:eastAsia="Arial" w:hAnsi="Arial"/>
                <w:sz w:val="18"/>
                <w:szCs w:val="18"/>
                <w:u w:val="single" w:color="auto"/>
                <w:color w:val="0000FF"/>
                <w:w w:val="88"/>
              </w:rPr>
            </w:pPr>
            <w:hyperlink r:id="rId73">
              <w:r>
                <w:rPr>
                  <w:rFonts w:ascii="Arial" w:cs="Arial" w:eastAsia="Arial" w:hAnsi="Arial"/>
                  <w:sz w:val="18"/>
                  <w:szCs w:val="18"/>
                  <w:u w:val="single" w:color="auto"/>
                  <w:color w:val="0000FF"/>
                  <w:w w:val="88"/>
                </w:rPr>
                <w:t>Searchlight Capital II PV, L.P. and AP VIII</w:t>
              </w:r>
            </w:hyperlink>
          </w:p>
        </w:tc>
        <w:tc>
          <w:tcPr>
            <w:tcW w:w="860" w:type="dxa"/>
            <w:vAlign w:val="bottom"/>
            <w:tcBorders>
              <w:top w:val="single" w:sz="8" w:color="0000FF"/>
            </w:tcBorders>
            <w:gridSpan w:val="3"/>
            <w:vMerge w:val="restart"/>
          </w:tcPr>
          <w:p>
            <w:pPr>
              <w:jc w:val="right"/>
              <w:ind w:right="160"/>
              <w:spacing w:after="0" w:line="195" w:lineRule="exact"/>
              <w:rPr>
                <w:rFonts w:ascii="Arial" w:cs="Arial" w:eastAsia="Arial" w:hAnsi="Arial"/>
                <w:sz w:val="18"/>
                <w:szCs w:val="18"/>
                <w:u w:val="single" w:color="auto"/>
                <w:color w:val="0000FF"/>
                <w:w w:val="93"/>
              </w:rPr>
            </w:pPr>
            <w:hyperlink r:id="rId73">
              <w:r>
                <w:rPr>
                  <w:rFonts w:ascii="Arial" w:cs="Arial" w:eastAsia="Arial" w:hAnsi="Arial"/>
                  <w:sz w:val="18"/>
                  <w:szCs w:val="18"/>
                  <w:u w:val="single" w:color="auto"/>
                  <w:color w:val="0000FF"/>
                  <w:w w:val="93"/>
                </w:rPr>
                <w:t>Inception</w:t>
              </w:r>
            </w:hyperlink>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60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2960" w:type="dxa"/>
            <w:vAlign w:val="bottom"/>
            <w:gridSpan w:val="14"/>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5220" w:type="dxa"/>
            <w:vAlign w:val="bottom"/>
            <w:gridSpan w:val="13"/>
          </w:tcPr>
          <w:p>
            <w:pPr>
              <w:spacing w:after="0" w:line="176" w:lineRule="exact"/>
              <w:rPr>
                <w:rFonts w:ascii="Arial" w:cs="Arial" w:eastAsia="Arial" w:hAnsi="Arial"/>
                <w:sz w:val="18"/>
                <w:szCs w:val="18"/>
                <w:u w:val="single" w:color="auto"/>
                <w:color w:val="0000FF"/>
                <w:w w:val="89"/>
              </w:rPr>
            </w:pPr>
            <w:hyperlink r:id="rId73">
              <w:r>
                <w:rPr>
                  <w:rFonts w:ascii="Arial" w:cs="Arial" w:eastAsia="Arial" w:hAnsi="Arial"/>
                  <w:sz w:val="18"/>
                  <w:szCs w:val="18"/>
                  <w:u w:val="single" w:color="auto"/>
                  <w:color w:val="0000FF"/>
                  <w:w w:val="89"/>
                </w:rPr>
                <w:t>Holdings, L.P. (incorporated by reference from Exhibit 10.2 to Rackspace</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860" w:type="dxa"/>
            <w:vAlign w:val="bottom"/>
            <w:gridSpan w:val="36"/>
          </w:tcPr>
          <w:p>
            <w:pPr>
              <w:spacing w:after="0" w:line="190" w:lineRule="exact"/>
              <w:rPr>
                <w:rFonts w:ascii="Arial" w:cs="Arial" w:eastAsia="Arial" w:hAnsi="Arial"/>
                <w:sz w:val="18"/>
                <w:szCs w:val="18"/>
                <w:color w:val="0000FF"/>
              </w:rPr>
            </w:pPr>
            <w:hyperlink r:id="rId73">
              <w:r>
                <w:rPr>
                  <w:rFonts w:ascii="Arial" w:cs="Arial" w:eastAsia="Arial" w:hAnsi="Arial"/>
                  <w:sz w:val="18"/>
                  <w:szCs w:val="18"/>
                  <w:u w:val="single" w:color="auto"/>
                  <w:color w:val="0000FF"/>
                </w:rPr>
                <w:t>Technology,</w:t>
              </w:r>
              <w:r>
                <w:rPr>
                  <w:rFonts w:ascii="Arial" w:cs="Arial" w:eastAsia="Arial" w:hAnsi="Arial"/>
                  <w:sz w:val="18"/>
                  <w:szCs w:val="18"/>
                  <w:color w:val="0000FF"/>
                </w:rPr>
                <w:t xml:space="preserve"> Inc.’s Form 8-K filed </w:t>
              </w:r>
              <w:r>
                <w:rPr>
                  <w:rFonts w:ascii="Arial" w:cs="Arial" w:eastAsia="Arial" w:hAnsi="Arial"/>
                  <w:sz w:val="18"/>
                  <w:szCs w:val="18"/>
                  <w:u w:val="single" w:color="auto"/>
                  <w:color w:val="0000FF"/>
                </w:rPr>
                <w:t>on August 7, 2020)</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10.3</w:t>
            </w:r>
          </w:p>
        </w:tc>
        <w:tc>
          <w:tcPr>
            <w:tcW w:w="9860" w:type="dxa"/>
            <w:vAlign w:val="bottom"/>
            <w:gridSpan w:val="36"/>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 xml:space="preserve">Amended and Restated Investor </w:t>
              </w:r>
              <w:r>
                <w:rPr>
                  <w:rFonts w:ascii="Arial" w:cs="Arial" w:eastAsia="Arial" w:hAnsi="Arial"/>
                  <w:sz w:val="18"/>
                  <w:szCs w:val="18"/>
                  <w:u w:val="single" w:color="auto"/>
                  <w:color w:val="0000FF"/>
                  <w:w w:val="92"/>
                </w:rPr>
                <w:t>Rights Agreement, dated as of August 4, 2020, among Rackspace Technology,</w:t>
              </w:r>
              <w:r>
                <w:rPr>
                  <w:rFonts w:ascii="Arial" w:cs="Arial" w:eastAsia="Arial" w:hAnsi="Arial"/>
                  <w:sz w:val="18"/>
                  <w:szCs w:val="18"/>
                  <w:color w:val="0000FF"/>
                  <w:w w:val="92"/>
                </w:rPr>
                <w:t xml:space="preserve"> Inc., DPH 123, LLC,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700" w:type="dxa"/>
            <w:vAlign w:val="bottom"/>
            <w:gridSpan w:val="15"/>
            <w:vMerge w:val="restart"/>
          </w:tcPr>
          <w:p>
            <w:pPr>
              <w:jc w:val="center"/>
              <w:spacing w:after="0" w:line="202"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 xml:space="preserve">AP VIII Inception Holdings, L.P. </w:t>
              </w:r>
              <w:r>
                <w:rPr>
                  <w:rFonts w:ascii="Arial" w:cs="Arial" w:eastAsia="Arial" w:hAnsi="Arial"/>
                  <w:sz w:val="18"/>
                  <w:szCs w:val="18"/>
                  <w:u w:val="single" w:color="auto"/>
                  <w:color w:val="0000FF"/>
                  <w:w w:val="90"/>
                </w:rPr>
                <w:t>and solely for purposes of</w:t>
              </w:r>
              <w:r>
                <w:rPr>
                  <w:rFonts w:ascii="Arial" w:cs="Arial" w:eastAsia="Arial" w:hAnsi="Arial"/>
                  <w:sz w:val="18"/>
                  <w:szCs w:val="18"/>
                  <w:color w:val="0000FF"/>
                  <w:w w:val="90"/>
                </w:rPr>
                <w:t xml:space="preserve"> Section </w:t>
              </w:r>
              <w:r>
                <w:rPr>
                  <w:rFonts w:ascii="Arial" w:cs="Arial" w:eastAsia="Arial" w:hAnsi="Arial"/>
                  <w:sz w:val="18"/>
                  <w:szCs w:val="18"/>
                  <w:u w:val="single" w:color="auto"/>
                  <w:color w:val="0000FF"/>
                  <w:w w:val="90"/>
                </w:rPr>
                <w:t>4.1 thereof,</w:t>
              </w:r>
            </w:hyperlink>
          </w:p>
        </w:tc>
        <w:tc>
          <w:tcPr>
            <w:tcW w:w="3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2360" w:type="dxa"/>
            <w:vAlign w:val="bottom"/>
            <w:gridSpan w:val="11"/>
          </w:tcPr>
          <w:p>
            <w:pPr>
              <w:spacing w:after="0" w:line="182"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ACE Investment Holdings, LLC,</w:t>
              </w:r>
            </w:hyperlink>
          </w:p>
        </w:tc>
        <w:tc>
          <w:tcPr>
            <w:tcW w:w="5700" w:type="dxa"/>
            <w:vAlign w:val="bottom"/>
            <w:gridSpan w:val="15"/>
            <w:vMerge w:val="continue"/>
          </w:tcPr>
          <w:p>
            <w:pPr>
              <w:spacing w:after="0"/>
              <w:rPr>
                <w:sz w:val="15"/>
                <w:szCs w:val="15"/>
                <w:color w:val="auto"/>
              </w:rPr>
            </w:pPr>
          </w:p>
        </w:tc>
        <w:tc>
          <w:tcPr>
            <w:tcW w:w="1800" w:type="dxa"/>
            <w:vAlign w:val="bottom"/>
            <w:gridSpan w:val="10"/>
          </w:tcPr>
          <w:p>
            <w:pPr>
              <w:jc w:val="center"/>
              <w:spacing w:after="0" w:line="182" w:lineRule="exact"/>
              <w:rPr>
                <w:rFonts w:ascii="Arial" w:cs="Arial" w:eastAsia="Arial" w:hAnsi="Arial"/>
                <w:sz w:val="18"/>
                <w:szCs w:val="18"/>
                <w:u w:val="single" w:color="auto"/>
                <w:color w:val="0000FF"/>
                <w:w w:val="95"/>
              </w:rPr>
            </w:pPr>
            <w:hyperlink r:id="rId74">
              <w:r>
                <w:rPr>
                  <w:rFonts w:ascii="Arial" w:cs="Arial" w:eastAsia="Arial" w:hAnsi="Arial"/>
                  <w:sz w:val="18"/>
                  <w:szCs w:val="18"/>
                  <w:u w:val="single" w:color="auto"/>
                  <w:color w:val="0000FF"/>
                  <w:w w:val="95"/>
                </w:rPr>
                <w:t>ABRY Partners VIII,</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820" w:type="dxa"/>
            <w:vAlign w:val="bottom"/>
            <w:tcBorders>
              <w:top w:val="single" w:sz="8" w:color="0000FF"/>
            </w:tcBorders>
            <w:gridSpan w:val="21"/>
          </w:tcPr>
          <w:p>
            <w:pPr>
              <w:spacing w:after="0" w:line="182"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 xml:space="preserve">L.P. </w:t>
              </w:r>
              <w:r>
                <w:rPr>
                  <w:rFonts w:ascii="Arial" w:cs="Arial" w:eastAsia="Arial" w:hAnsi="Arial"/>
                  <w:sz w:val="18"/>
                  <w:szCs w:val="18"/>
                  <w:u w:val="single" w:color="auto"/>
                  <w:color w:val="0000FF"/>
                  <w:w w:val="95"/>
                </w:rPr>
                <w:t>(incorporated by</w:t>
              </w:r>
              <w:r>
                <w:rPr>
                  <w:rFonts w:ascii="Arial" w:cs="Arial" w:eastAsia="Arial" w:hAnsi="Arial"/>
                  <w:sz w:val="18"/>
                  <w:szCs w:val="18"/>
                  <w:color w:val="0000FF"/>
                  <w:w w:val="95"/>
                </w:rPr>
                <w:t xml:space="preserve"> reference </w:t>
              </w:r>
              <w:r>
                <w:rPr>
                  <w:rFonts w:ascii="Arial" w:cs="Arial" w:eastAsia="Arial" w:hAnsi="Arial"/>
                  <w:sz w:val="18"/>
                  <w:szCs w:val="18"/>
                  <w:u w:val="single" w:color="auto"/>
                  <w:color w:val="0000FF"/>
                  <w:w w:val="95"/>
                </w:rPr>
                <w:t>from Exhibit 10.3 to Rackspace</w:t>
              </w:r>
            </w:hyperlink>
          </w:p>
        </w:tc>
        <w:tc>
          <w:tcPr>
            <w:tcW w:w="1920" w:type="dxa"/>
            <w:vAlign w:val="bottom"/>
          </w:tcPr>
          <w:p>
            <w:pPr>
              <w:spacing w:after="0" w:line="182" w:lineRule="exact"/>
              <w:rPr>
                <w:rFonts w:ascii="Arial" w:cs="Arial" w:eastAsia="Arial" w:hAnsi="Arial"/>
                <w:sz w:val="18"/>
                <w:szCs w:val="18"/>
                <w:u w:val="single" w:color="auto"/>
                <w:color w:val="0000FF"/>
                <w:w w:val="86"/>
              </w:rPr>
            </w:pPr>
            <w:hyperlink r:id="rId74">
              <w:r>
                <w:rPr>
                  <w:rFonts w:ascii="Arial" w:cs="Arial" w:eastAsia="Arial" w:hAnsi="Arial"/>
                  <w:sz w:val="18"/>
                  <w:szCs w:val="18"/>
                  <w:u w:val="single" w:color="auto"/>
                  <w:color w:val="0000FF"/>
                  <w:w w:val="86"/>
                </w:rPr>
                <w:t>Technology Inc.’s Form 8-K</w:t>
              </w:r>
            </w:hyperlink>
          </w:p>
        </w:tc>
        <w:tc>
          <w:tcPr>
            <w:tcW w:w="620" w:type="dxa"/>
            <w:vAlign w:val="bottom"/>
            <w:tcBorders>
              <w:top w:val="single" w:sz="8" w:color="0000FF"/>
            </w:tcBorders>
            <w:gridSpan w:val="2"/>
          </w:tcPr>
          <w:p>
            <w:pPr>
              <w:spacing w:after="0" w:line="182" w:lineRule="exact"/>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filed on</w:t>
              </w:r>
            </w:hyperlink>
          </w:p>
        </w:tc>
        <w:tc>
          <w:tcPr>
            <w:tcW w:w="2500" w:type="dxa"/>
            <w:vAlign w:val="bottom"/>
            <w:gridSpan w:val="12"/>
          </w:tcPr>
          <w:p>
            <w:pPr>
              <w:spacing w:after="0" w:line="182" w:lineRule="exact"/>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August 7, 2020)</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10.4</w:t>
            </w:r>
          </w:p>
        </w:tc>
        <w:tc>
          <w:tcPr>
            <w:tcW w:w="9860" w:type="dxa"/>
            <w:vAlign w:val="bottom"/>
            <w:gridSpan w:val="36"/>
          </w:tcPr>
          <w:p>
            <w:pPr>
              <w:spacing w:after="0"/>
              <w:rPr>
                <w:rFonts w:ascii="Arial" w:cs="Arial" w:eastAsia="Arial" w:hAnsi="Arial"/>
                <w:sz w:val="18"/>
                <w:szCs w:val="18"/>
                <w:color w:val="0000FF"/>
                <w:w w:val="91"/>
              </w:rPr>
            </w:pPr>
            <w:hyperlink r:id="rId75">
              <w:r>
                <w:rPr>
                  <w:rFonts w:ascii="Arial" w:cs="Arial" w:eastAsia="Arial" w:hAnsi="Arial"/>
                  <w:sz w:val="18"/>
                  <w:szCs w:val="18"/>
                  <w:u w:val="single" w:color="auto"/>
                  <w:color w:val="0000FF"/>
                  <w:w w:val="91"/>
                </w:rPr>
                <w:t>Incremental Assumption Agreement No. 4, dated as of July 20, 2020, among Inception Parent, Inc.</w:t>
              </w:r>
              <w:r>
                <w:rPr>
                  <w:rFonts w:ascii="Arial" w:cs="Arial" w:eastAsia="Arial" w:hAnsi="Arial"/>
                  <w:sz w:val="18"/>
                  <w:szCs w:val="18"/>
                  <w:color w:val="0000FF"/>
                  <w:w w:val="91"/>
                </w:rPr>
                <w:t xml:space="preserve">, </w:t>
              </w:r>
              <w:r>
                <w:rPr>
                  <w:rFonts w:ascii="Arial" w:cs="Arial" w:eastAsia="Arial" w:hAnsi="Arial"/>
                  <w:sz w:val="18"/>
                  <w:szCs w:val="18"/>
                  <w:u w:val="single" w:color="auto"/>
                  <w:color w:val="0000FF"/>
                  <w:w w:val="91"/>
                </w:rPr>
                <w:t>Rackspace</w:t>
              </w:r>
              <w:r>
                <w:rPr>
                  <w:rFonts w:ascii="Arial" w:cs="Arial" w:eastAsia="Arial" w:hAnsi="Arial"/>
                  <w:sz w:val="18"/>
                  <w:szCs w:val="18"/>
                  <w:color w:val="0000FF"/>
                  <w:w w:val="91"/>
                </w:rPr>
                <w:t xml:space="preserve"> Technology Global Inc.,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9780" w:type="dxa"/>
            <w:vAlign w:val="bottom"/>
            <w:gridSpan w:val="32"/>
          </w:tcPr>
          <w:p>
            <w:pPr>
              <w:spacing w:after="0" w:line="182"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the subsidiary loan parties, the lenders party thereto and Citibank, N.A., as administrative agent (incorporated by reference from Exhibit</w:t>
              </w:r>
            </w:hyperlink>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3180" w:type="dxa"/>
            <w:vAlign w:val="bottom"/>
            <w:gridSpan w:val="15"/>
          </w:tcPr>
          <w:p>
            <w:pPr>
              <w:spacing w:after="0" w:line="18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w:t>
              </w:r>
              <w:r>
                <w:rPr>
                  <w:rFonts w:ascii="Arial" w:cs="Arial" w:eastAsia="Arial" w:hAnsi="Arial"/>
                  <w:sz w:val="18"/>
                  <w:szCs w:val="18"/>
                  <w:u w:val="single" w:color="auto"/>
                  <w:color w:val="0000FF"/>
                  <w:w w:val="91"/>
                </w:rPr>
                <w:t>Rackspace Technology,</w:t>
              </w:r>
              <w:r>
                <w:rPr>
                  <w:rFonts w:ascii="Arial" w:cs="Arial" w:eastAsia="Arial" w:hAnsi="Arial"/>
                  <w:sz w:val="18"/>
                  <w:szCs w:val="18"/>
                  <w:color w:val="0000FF"/>
                  <w:w w:val="91"/>
                </w:rPr>
                <w:t xml:space="preserve"> Inc.’s Form</w:t>
              </w:r>
            </w:hyperlink>
          </w:p>
        </w:tc>
        <w:tc>
          <w:tcPr>
            <w:tcW w:w="6640" w:type="dxa"/>
            <w:vAlign w:val="bottom"/>
            <w:gridSpan w:val="19"/>
          </w:tcPr>
          <w:p>
            <w:pPr>
              <w:spacing w:after="0" w:line="182" w:lineRule="exact"/>
              <w:rPr>
                <w:rFonts w:ascii="Arial" w:cs="Arial" w:eastAsia="Arial" w:hAnsi="Arial"/>
                <w:sz w:val="18"/>
                <w:szCs w:val="18"/>
                <w:color w:val="0000FF"/>
              </w:rPr>
            </w:pPr>
            <w:hyperlink r:id="rId75">
              <w:r>
                <w:rPr>
                  <w:rFonts w:ascii="Arial" w:cs="Arial" w:eastAsia="Arial" w:hAnsi="Arial"/>
                  <w:sz w:val="18"/>
                  <w:szCs w:val="18"/>
                  <w:color w:val="0000FF"/>
                </w:rPr>
                <w:t xml:space="preserve">8-K filed on </w:t>
              </w:r>
              <w:r>
                <w:rPr>
                  <w:rFonts w:ascii="Arial" w:cs="Arial" w:eastAsia="Arial" w:hAnsi="Arial"/>
                  <w:sz w:val="18"/>
                  <w:szCs w:val="18"/>
                  <w:u w:val="single" w:color="auto"/>
                  <w:color w:val="0000FF"/>
                </w:rPr>
                <w:t>August 7, 2020)</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10.5</w:t>
            </w:r>
          </w:p>
        </w:tc>
        <w:tc>
          <w:tcPr>
            <w:tcW w:w="9860" w:type="dxa"/>
            <w:vAlign w:val="bottom"/>
            <w:gridSpan w:val="36"/>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 xml:space="preserve">Second Amendment to the </w:t>
              </w:r>
              <w:r>
                <w:rPr>
                  <w:rFonts w:ascii="Arial" w:cs="Arial" w:eastAsia="Arial" w:hAnsi="Arial"/>
                  <w:sz w:val="18"/>
                  <w:szCs w:val="18"/>
                  <w:u w:val="single" w:color="auto"/>
                  <w:color w:val="0000FF"/>
                  <w:w w:val="94"/>
                </w:rPr>
                <w:t>Employment Agreement between Rackspace US, Inc. and Dustin Semach, effective as of</w:t>
              </w:r>
              <w:r>
                <w:rPr>
                  <w:rFonts w:ascii="Arial" w:cs="Arial" w:eastAsia="Arial" w:hAnsi="Arial"/>
                  <w:sz w:val="18"/>
                  <w:szCs w:val="18"/>
                  <w:color w:val="0000FF"/>
                  <w:w w:val="94"/>
                </w:rPr>
                <w:t xml:space="preserve"> July 20, 2020</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80" w:type="dxa"/>
            <w:vAlign w:val="bottom"/>
            <w:gridSpan w:val="20"/>
            <w:vMerge w:val="restart"/>
          </w:tcPr>
          <w:p>
            <w:pPr>
              <w:spacing w:after="0" w:line="20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from Exhibit 10.34 to Rackspace Technology, Inc.’s Registration Statement on Form S-1</w:t>
              </w:r>
            </w:hyperlink>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960" w:type="dxa"/>
            <w:vAlign w:val="bottom"/>
            <w:gridSpan w:val="7"/>
          </w:tcPr>
          <w:p>
            <w:pPr>
              <w:spacing w:after="0" w:line="18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(incorporated by reference</w:t>
              </w:r>
            </w:hyperlink>
          </w:p>
        </w:tc>
        <w:tc>
          <w:tcPr>
            <w:tcW w:w="6480" w:type="dxa"/>
            <w:vAlign w:val="bottom"/>
            <w:gridSpan w:val="20"/>
            <w:vMerge w:val="continue"/>
          </w:tcPr>
          <w:p>
            <w:pPr>
              <w:spacing w:after="0"/>
              <w:rPr>
                <w:sz w:val="15"/>
                <w:szCs w:val="15"/>
                <w:color w:val="auto"/>
              </w:rPr>
            </w:pPr>
          </w:p>
        </w:tc>
        <w:tc>
          <w:tcPr>
            <w:tcW w:w="1420" w:type="dxa"/>
            <w:vAlign w:val="bottom"/>
            <w:gridSpan w:val="9"/>
          </w:tcPr>
          <w:p>
            <w:pPr>
              <w:jc w:val="center"/>
              <w:ind w:right="300"/>
              <w:spacing w:after="0" w:line="182" w:lineRule="exact"/>
              <w:rPr>
                <w:rFonts w:ascii="Arial" w:cs="Arial" w:eastAsia="Arial" w:hAnsi="Arial"/>
                <w:sz w:val="18"/>
                <w:szCs w:val="18"/>
                <w:color w:val="0000FF"/>
                <w:w w:val="89"/>
              </w:rPr>
            </w:pPr>
            <w:hyperlink r:id="rId76">
              <w:r>
                <w:rPr>
                  <w:rFonts w:ascii="Arial" w:cs="Arial" w:eastAsia="Arial" w:hAnsi="Arial"/>
                  <w:sz w:val="18"/>
                  <w:szCs w:val="18"/>
                  <w:color w:val="0000FF"/>
                  <w:w w:val="89"/>
                </w:rPr>
                <w:t xml:space="preserve">filed on </w:t>
              </w:r>
              <w:r>
                <w:rPr>
                  <w:rFonts w:ascii="Arial" w:cs="Arial" w:eastAsia="Arial" w:hAnsi="Arial"/>
                  <w:sz w:val="18"/>
                  <w:szCs w:val="18"/>
                  <w:u w:val="single" w:color="auto"/>
                  <w:color w:val="0000FF"/>
                  <w:w w:val="89"/>
                </w:rPr>
                <w:t>July 27,</w:t>
              </w:r>
            </w:hyperlink>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56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2020)</w:t>
              </w:r>
            </w:hyperlink>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10.6</w:t>
            </w:r>
          </w:p>
        </w:tc>
        <w:tc>
          <w:tcPr>
            <w:tcW w:w="9860" w:type="dxa"/>
            <w:vAlign w:val="bottom"/>
            <w:gridSpan w:val="36"/>
          </w:tcPr>
          <w:p>
            <w:pPr>
              <w:spacing w:after="0"/>
              <w:rPr>
                <w:rFonts w:ascii="Arial" w:cs="Arial" w:eastAsia="Arial" w:hAnsi="Arial"/>
                <w:sz w:val="18"/>
                <w:szCs w:val="18"/>
                <w:color w:val="0000FF"/>
                <w:w w:val="93"/>
              </w:rPr>
            </w:pPr>
            <w:hyperlink r:id="rId77">
              <w:r>
                <w:rPr>
                  <w:rFonts w:ascii="Arial" w:cs="Arial" w:eastAsia="Arial" w:hAnsi="Arial"/>
                  <w:sz w:val="18"/>
                  <w:szCs w:val="18"/>
                  <w:u w:val="single" w:color="auto"/>
                  <w:color w:val="0000FF"/>
                  <w:w w:val="93"/>
                </w:rPr>
                <w:t>Rackspace Technology,</w:t>
              </w:r>
              <w:r>
                <w:rPr>
                  <w:rFonts w:ascii="Arial" w:cs="Arial" w:eastAsia="Arial" w:hAnsi="Arial"/>
                  <w:sz w:val="18"/>
                  <w:szCs w:val="18"/>
                  <w:color w:val="0000FF"/>
                  <w:w w:val="93"/>
                </w:rPr>
                <w:t xml:space="preserve"> Inc. 2020 </w:t>
              </w:r>
              <w:r>
                <w:rPr>
                  <w:rFonts w:ascii="Arial" w:cs="Arial" w:eastAsia="Arial" w:hAnsi="Arial"/>
                  <w:sz w:val="18"/>
                  <w:szCs w:val="18"/>
                  <w:u w:val="single" w:color="auto"/>
                  <w:color w:val="0000FF"/>
                  <w:w w:val="93"/>
                </w:rPr>
                <w:t>Equity Incentive Plan (incorporated by reference from Exhibit 4.2 to Rackspace Technology</w:t>
              </w:r>
              <w:r>
                <w:rPr>
                  <w:rFonts w:ascii="Arial" w:cs="Arial" w:eastAsia="Arial" w:hAnsi="Arial"/>
                  <w:sz w:val="18"/>
                  <w:szCs w:val="18"/>
                  <w:color w:val="0000FF"/>
                  <w:w w:val="93"/>
                </w:rPr>
                <w:t xml:space="preserve"> Inc.’s</w:t>
              </w:r>
            </w:hyperlink>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700" w:type="dxa"/>
            <w:vAlign w:val="bottom"/>
            <w:gridSpan w:val="6"/>
          </w:tcPr>
          <w:p>
            <w:pPr>
              <w:spacing w:after="0" w:line="182" w:lineRule="exact"/>
              <w:rPr>
                <w:rFonts w:ascii="Arial" w:cs="Arial" w:eastAsia="Arial" w:hAnsi="Arial"/>
                <w:sz w:val="18"/>
                <w:szCs w:val="18"/>
                <w:color w:val="0000FF"/>
                <w:w w:val="91"/>
              </w:rPr>
            </w:pPr>
            <w:hyperlink r:id="rId77">
              <w:r>
                <w:rPr>
                  <w:rFonts w:ascii="Arial" w:cs="Arial" w:eastAsia="Arial" w:hAnsi="Arial"/>
                  <w:sz w:val="18"/>
                  <w:szCs w:val="18"/>
                  <w:u w:val="single" w:color="auto"/>
                  <w:color w:val="0000FF"/>
                  <w:w w:val="91"/>
                </w:rPr>
                <w:t>Registration</w:t>
              </w:r>
              <w:r>
                <w:rPr>
                  <w:rFonts w:ascii="Arial" w:cs="Arial" w:eastAsia="Arial" w:hAnsi="Arial"/>
                  <w:sz w:val="18"/>
                  <w:szCs w:val="18"/>
                  <w:color w:val="0000FF"/>
                  <w:w w:val="91"/>
                </w:rPr>
                <w:t xml:space="preserve"> Statement</w:t>
              </w:r>
            </w:hyperlink>
          </w:p>
        </w:tc>
        <w:tc>
          <w:tcPr>
            <w:tcW w:w="780" w:type="dxa"/>
            <w:vAlign w:val="bottom"/>
            <w:tcBorders>
              <w:top w:val="single" w:sz="8" w:color="0000FF"/>
            </w:tcBorders>
            <w:gridSpan w:val="7"/>
          </w:tcPr>
          <w:p>
            <w:pPr>
              <w:spacing w:after="0" w:line="182"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on Form S</w:t>
              </w:r>
            </w:hyperlink>
          </w:p>
        </w:tc>
        <w:tc>
          <w:tcPr>
            <w:tcW w:w="6640" w:type="dxa"/>
            <w:vAlign w:val="bottom"/>
            <w:gridSpan w:val="16"/>
          </w:tcPr>
          <w:p>
            <w:pPr>
              <w:jc w:val="right"/>
              <w:ind w:right="4700"/>
              <w:spacing w:after="0" w:line="182"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 xml:space="preserve">-8 filed on </w:t>
              </w:r>
              <w:r>
                <w:rPr>
                  <w:rFonts w:ascii="Arial" w:cs="Arial" w:eastAsia="Arial" w:hAnsi="Arial"/>
                  <w:sz w:val="18"/>
                  <w:szCs w:val="18"/>
                  <w:u w:val="single" w:color="auto"/>
                  <w:color w:val="0000FF"/>
                  <w:w w:val="90"/>
                </w:rPr>
                <w:t>August 4, 2020)</w:t>
              </w:r>
            </w:hyperlink>
          </w:p>
        </w:tc>
        <w:tc>
          <w:tcPr>
            <w:tcW w:w="460" w:type="dxa"/>
            <w:vAlign w:val="bottom"/>
            <w:tcBorders>
              <w:top w:val="single" w:sz="8" w:color="0000FF"/>
            </w:tcBorders>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10.7</w:t>
            </w:r>
          </w:p>
        </w:tc>
        <w:tc>
          <w:tcPr>
            <w:tcW w:w="9860" w:type="dxa"/>
            <w:vAlign w:val="bottom"/>
            <w:gridSpan w:val="36"/>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Rackspace Technology, Inc. Employee Stock Purchase Plan (incorporated by reference from Exhibit 4.3 to Rackspace Technology Inc.’s</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Registration Statement on Form S-8 filed on August 4, 2020)</w:t>
              </w:r>
            </w:hyperlink>
          </w:p>
        </w:tc>
        <w:tc>
          <w:tcPr>
            <w:tcW w:w="54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10.8</w:t>
            </w:r>
          </w:p>
        </w:tc>
        <w:tc>
          <w:tcPr>
            <w:tcW w:w="9860" w:type="dxa"/>
            <w:vAlign w:val="bottom"/>
            <w:gridSpan w:val="36"/>
          </w:tcPr>
          <w:p>
            <w:pPr>
              <w:spacing w:after="0"/>
              <w:rPr>
                <w:rFonts w:ascii="Arial" w:cs="Arial" w:eastAsia="Arial" w:hAnsi="Arial"/>
                <w:sz w:val="18"/>
                <w:szCs w:val="18"/>
                <w:color w:val="0000FF"/>
              </w:rPr>
            </w:pPr>
            <w:hyperlink w:anchor="page63">
              <w:r>
                <w:rPr>
                  <w:rFonts w:ascii="Arial" w:cs="Arial" w:eastAsia="Arial" w:hAnsi="Arial"/>
                  <w:sz w:val="18"/>
                  <w:szCs w:val="18"/>
                  <w:u w:val="single" w:color="auto"/>
                  <w:color w:val="0000FF"/>
                </w:rPr>
                <w:t>Rackspace Technology, Inc.</w:t>
              </w:r>
              <w:r>
                <w:rPr>
                  <w:rFonts w:ascii="Arial" w:cs="Arial" w:eastAsia="Arial" w:hAnsi="Arial"/>
                  <w:sz w:val="18"/>
                  <w:szCs w:val="18"/>
                  <w:color w:val="0000FF"/>
                </w:rPr>
                <w:t xml:space="preserve"> Annual Cash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9860" w:type="dxa"/>
            <w:vAlign w:val="bottom"/>
            <w:gridSpan w:val="36"/>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the Chief Executive Officer pursuant to Section 302 of the Sarbanes-Oxley Act of 2002</w:t>
              </w:r>
            </w:hyperlink>
          </w:p>
        </w:tc>
        <w:tc>
          <w:tcPr>
            <w:tcW w:w="0" w:type="dxa"/>
            <w:vAlign w:val="bottom"/>
          </w:tcPr>
          <w:p>
            <w:pPr>
              <w:spacing w:after="0"/>
              <w:rPr>
                <w:sz w:val="1"/>
                <w:szCs w:val="1"/>
                <w:color w:val="auto"/>
              </w:rPr>
            </w:pP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9860" w:type="dxa"/>
            <w:vAlign w:val="bottom"/>
            <w:gridSpan w:val="36"/>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Certification of the Chief Financial Officer pursuant to Section 302 of the Sarbanes-Oxley Act of 2002</w:t>
              </w:r>
            </w:hyperlink>
          </w:p>
        </w:tc>
        <w:tc>
          <w:tcPr>
            <w:tcW w:w="0" w:type="dxa"/>
            <w:vAlign w:val="bottom"/>
          </w:tcPr>
          <w:p>
            <w:pPr>
              <w:spacing w:after="0"/>
              <w:rPr>
                <w:sz w:val="1"/>
                <w:szCs w:val="1"/>
                <w:color w:val="auto"/>
              </w:rPr>
            </w:pPr>
          </w:p>
        </w:tc>
      </w:tr>
      <w:tr>
        <w:trPr>
          <w:trHeight w:val="256"/>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32.1**</w:t>
            </w:r>
          </w:p>
        </w:tc>
        <w:tc>
          <w:tcPr>
            <w:tcW w:w="9860" w:type="dxa"/>
            <w:vAlign w:val="bottom"/>
            <w:gridSpan w:val="36"/>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Certification of the Chief Executive Officer pursuant to Section 906 of the Sarbanes-Oxley Act of 2002</w:t>
              </w:r>
            </w:hyperlink>
          </w:p>
        </w:tc>
        <w:tc>
          <w:tcPr>
            <w:tcW w:w="0" w:type="dxa"/>
            <w:vAlign w:val="bottom"/>
          </w:tcPr>
          <w:p>
            <w:pPr>
              <w:spacing w:after="0"/>
              <w:rPr>
                <w:sz w:val="1"/>
                <w:szCs w:val="1"/>
                <w:color w:val="auto"/>
              </w:rPr>
            </w:pPr>
          </w:p>
        </w:tc>
      </w:tr>
      <w:tr>
        <w:trPr>
          <w:trHeight w:val="256"/>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32.2**</w:t>
            </w:r>
          </w:p>
        </w:tc>
        <w:tc>
          <w:tcPr>
            <w:tcW w:w="9860" w:type="dxa"/>
            <w:vAlign w:val="bottom"/>
            <w:gridSpan w:val="36"/>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Certification of the Chief Financial Officer pursuant to Section 906 of the Sarbanes-Oxley Act of 2002</w:t>
              </w:r>
            </w:hyperlink>
          </w:p>
        </w:tc>
        <w:tc>
          <w:tcPr>
            <w:tcW w:w="0" w:type="dxa"/>
            <w:vAlign w:val="bottom"/>
          </w:tcPr>
          <w:p>
            <w:pPr>
              <w:spacing w:after="0"/>
              <w:rPr>
                <w:sz w:val="1"/>
                <w:szCs w:val="1"/>
                <w:color w:val="auto"/>
              </w:rPr>
            </w:pPr>
          </w:p>
        </w:tc>
      </w:tr>
      <w:tr>
        <w:trPr>
          <w:trHeight w:val="229"/>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7"/>
              </w:rPr>
              <w:t>101.INS*</w:t>
            </w:r>
          </w:p>
        </w:tc>
        <w:tc>
          <w:tcPr>
            <w:tcW w:w="9860" w:type="dxa"/>
            <w:vAlign w:val="bottom"/>
            <w:gridSpan w:val="36"/>
          </w:tcPr>
          <w:p>
            <w:pPr>
              <w:spacing w:after="0"/>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9860" w:type="dxa"/>
            <w:vAlign w:val="bottom"/>
            <w:gridSpan w:val="3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4"/>
              </w:rPr>
              <w:t>101.SCH*</w:t>
            </w:r>
          </w:p>
        </w:tc>
        <w:tc>
          <w:tcPr>
            <w:tcW w:w="9860" w:type="dxa"/>
            <w:vAlign w:val="bottom"/>
            <w:gridSpan w:val="3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8"/>
              </w:rPr>
              <w:t>101.CAL*</w:t>
            </w:r>
          </w:p>
        </w:tc>
        <w:tc>
          <w:tcPr>
            <w:tcW w:w="9860" w:type="dxa"/>
            <w:vAlign w:val="bottom"/>
            <w:gridSpan w:val="3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860" w:type="dxa"/>
            <w:vAlign w:val="bottom"/>
            <w:gridSpan w:val="3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9"/>
              </w:rPr>
              <w:t>101.LAB*</w:t>
            </w:r>
          </w:p>
        </w:tc>
        <w:tc>
          <w:tcPr>
            <w:tcW w:w="9860" w:type="dxa"/>
            <w:vAlign w:val="bottom"/>
            <w:gridSpan w:val="3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101.PRE*</w:t>
            </w:r>
          </w:p>
        </w:tc>
        <w:tc>
          <w:tcPr>
            <w:tcW w:w="9860" w:type="dxa"/>
            <w:vAlign w:val="bottom"/>
            <w:gridSpan w:val="3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7"/>
              </w:rPr>
              <w:t>104*</w:t>
            </w:r>
          </w:p>
        </w:tc>
        <w:tc>
          <w:tcPr>
            <w:tcW w:w="9860" w:type="dxa"/>
            <w:vAlign w:val="bottom"/>
            <w:gridSpan w:val="3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20" w:hanging="250"/>
        <w:spacing w:after="0"/>
        <w:tabs>
          <w:tab w:leader="none" w:pos="42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2020</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Dustin Semach</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Dustin Semach</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918"/>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Arial" w:cs="Arial" w:eastAsia="Arial" w:hAnsi="Arial"/>
                <w:sz w:val="18"/>
                <w:szCs w:val="18"/>
                <w:color w:val="auto"/>
              </w:rPr>
              <w:t>-60-</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Rackspace Technology, Inc.</w:t>
      </w:r>
    </w:p>
    <w:p>
      <w:pPr>
        <w:spacing w:after="0" w:line="214"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Annual Cash Incentive Plan</w:t>
      </w:r>
      <w:r>
        <w:rPr>
          <w:rFonts w:ascii="Arial" w:cs="Arial" w:eastAsia="Arial" w:hAnsi="Arial"/>
          <w:sz w:val="28"/>
          <w:szCs w:val="28"/>
          <w:b w:val="1"/>
          <w:bCs w:val="1"/>
          <w:color w:val="auto"/>
          <w:vertAlign w:val="superscript"/>
        </w:rPr>
        <w:t>1</w:t>
      </w:r>
    </w:p>
    <w:p>
      <w:pPr>
        <w:spacing w:after="0" w:line="15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Rackspace Technology, Inc. Annual Cash Incentive Plan</w:t>
      </w:r>
      <w:r>
        <w:rPr>
          <w:rFonts w:ascii="Arial" w:cs="Arial" w:eastAsia="Arial" w:hAnsi="Arial"/>
          <w:sz w:val="22"/>
          <w:szCs w:val="22"/>
          <w:color w:val="auto"/>
        </w:rPr>
        <w:t xml:space="preserve"> (the “Plan”) is adopted by Rackspace Technology, Inc., a Delaware corporation (the “Company”). The Plan has been approved by the Compensation Committee of the Company’s Board of Directors (the “Committee”).</w:t>
      </w:r>
    </w:p>
    <w:p>
      <w:pPr>
        <w:spacing w:after="0" w:line="176"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purpose of the Plan is to attract, retain, motivate and reward Participants by providing them with the opportunity to earn annual incentive awards under the Plan based upon achievement of pre-established Performance Goals.</w:t>
      </w:r>
    </w:p>
    <w:p>
      <w:pPr>
        <w:spacing w:after="0" w:line="9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 “Award” shall mean an incentive award providing a Participant the opportunity to earn cash compensation under the Plan, subject to the achievement of one or more Performance Goals, established pursuant to Section 5 of the Plan, and such other terms as the Committee may establish.</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 “Award Level” shall mean the amount of incentive compensation (expressed as a percentage of the Participant’s Base Salary) that may be paid to a Participant under the Plan for the achievement in a given Plan Year of an associated, specified level of performance measured in terms of Performance Goals. Award Levels may be established at threshold, target and maximum levels.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2.3 “Award Notice” shall mean a written or electronic document or agreement from the Company to the Participant that sets forth and notifies the Participant of Performance Goals, Award Levels and the amounts potentially payable under the Award, as established and set under this Plan.</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“Award Payment” shall mean the actual dollar amount paid to a Participant under an Award pursuant to the Plan.</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2.5 “Base Salary” shall mean with respect to any Participant the annual base salary actually paid to such Participant during the Plan Year. For the sake of clarity, Base Salary does not include any bonus or incentive compensation, whether under the Plan, any other short-term or long-term incentive plan or otherwise. Base Salary shall be determined without reduction for salary deferrals under any company-sponsored nonqualified deferred compensation plan, Code Section 401(k) plan or flexible spending account plan (under Code Section 125), and without inclusion of any amounts previously deferred under any Company-sponsored nonqualified deferred compensation plan, Code Section 401(k) plan or and flexible spending account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7"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As adopted by the Board of Directors of Rackspace Technology, Inc. on July 24, 2020.</w:t>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(under Code Section 125) that become subject to inclusion in gross income for Federal tax purposes.</w:t>
      </w:r>
    </w:p>
    <w:p>
      <w:pPr>
        <w:spacing w:after="0" w:line="200" w:lineRule="exact"/>
        <w:rPr>
          <w:sz w:val="20"/>
          <w:szCs w:val="20"/>
          <w:color w:val="auto"/>
        </w:rPr>
      </w:pPr>
    </w:p>
    <w:p>
      <w:pPr>
        <w:spacing w:after="0" w:line="26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“Board” shall mean the Board of Directors of the Company.</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“CEO” shall mean the Company’s Chief Executive Officer.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2.8 “Code” shall mean the Internal Revenue Code of 1986, as amended, including rules, regulations, and guidance promulgated thereunder and successor provisions and rules and regulations thereto.</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2.9 “Company Performance Goals” shall mean goals or levels of performance based upon achievement of certain financial or operational criteria established by the Committee for a Plan Year in accordance with Section 5.4 of the Plan, which may be based upon one or more of the performance measures listed in Section 5.2 of the Plan.</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2.10 “Disability” shall mean, unless otherwise specifically provided in a written agreement entered into between the Company or a Subsidiary and a Participant, a finding by the Committee (or its delegate) of the Participant’s incapacitation through any illness, injury, accident or condition of either a physical or psychological nature that has resulted in his or her inability to perform the essential functions of his or her position, even with reasonable accommodations, for one hundred eighty</w:t>
      </w:r>
    </w:p>
    <w:p>
      <w:pPr>
        <w:spacing w:after="0" w:line="3" w:lineRule="exact"/>
        <w:rPr>
          <w:sz w:val="20"/>
          <w:szCs w:val="20"/>
          <w:color w:val="auto"/>
        </w:rPr>
      </w:pPr>
    </w:p>
    <w:p>
      <w:pPr>
        <w:ind w:firstLine="8"/>
        <w:spacing w:after="0" w:line="246" w:lineRule="auto"/>
        <w:tabs>
          <w:tab w:leader="none" w:pos="541"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calendar days during any period of three hundred sixty-five (365) consecutive calendar days, and that such incapacity is expected to continue.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2.11 “Executive Officer” shall mean each officer of the Company whose compensation is approved by the Committee on an annual basis.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“Individual Modifier” shall be defined as set forth in Section 5.5(b) of the Plan.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2.13 “Participant” shall mean an employee of the Company or any of its Subsidiaries who is selected by the CEO, and approved by the Committee, for participation in the Plan for a given Plan Year in accordance with Section 4.</w:t>
      </w:r>
    </w:p>
    <w:p>
      <w:pPr>
        <w:spacing w:after="0" w:line="15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2.14 “Performance Goals” shall mean the Company Performance Goals and/or Personal Performance Goals established for each Award pursuant to Section 5 of the Plan, against which a Participant’s performance shall be measured to determine if an Award Payment may be payable under the Plan.</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2.15 “Personal Performance Goal” shall mean goals or levels of performance based upon achievement of certain individual business objectives and/or personal performance objectives, in each case which support the business plan of the Company. Personal Performance Goals may include personal performance objectives such as teamwork, interpersonal skills, employee development, project management skills and leadership, or individual business objectives.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2.16 “Retirement” shall mean the termination of a Participant by his or her resignation from continuous service upon or after attainment of (a) normal retirement age of 65; (b) 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22"/>
          <w:szCs w:val="22"/>
          <w:color w:val="auto"/>
        </w:rPr>
        <w:t>and completion of 10 years of continuous service; or (c) as may be approved by the Committee, in its discretion; but in each case under (a) or (b) hereof only if such termination is approved as a Retirement by, in the case of an Executive Officer, the Committee, and, in the case of any other Participant, the CEO.</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2.17 “Subsidiary” shall mean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tab/>
        <w:t>TERM</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effective date of this Plan is January 1, 2021. The Plan will remain in effect for successive fiscal years beginning on January 1 of each year (each, a “Plan Year”), until terminated by the Committee at its sole discretion.</w:t>
      </w:r>
    </w:p>
    <w:p>
      <w:pPr>
        <w:spacing w:after="0" w:line="169"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4.1 In order to be eligible to participate in the Plan for any Plan Year, an individual must be (a) an officer or employee, employed on a full-time or part-time basis with the Company or any of its Subsidiaries; (b) hired, transferred or promoted to a Plan-eligible position, as determined by the CEO and/or the Committee, as applicable, before the commencement of the fourth quarter of the Plan Year, and (c) employed continuously through the date the Award Payment is paid as set forth herein. Directors who are not employees of the Company, temporary employees, leased employees, consultants, and independent contractors shall not be eligible to participate in the Plan.</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4.2 An officer or employee who first becomes eligible for participation in the Plan in accordance with Section 4.1 during a Plan Year, will participate in the Plan on a pro rata basis as of the date the officer or employee was hired, transferred or promoted, as the case may be.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4.3 No officer or employee shall have any right to participate in the Plan, regardless of prior participation in the Plan, unless otherwise separately provided in a written agreement with the Company.</w:t>
      </w:r>
    </w:p>
    <w:p>
      <w:pPr>
        <w:spacing w:after="0" w:line="169"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AWARDS</w:t>
      </w:r>
    </w:p>
    <w:p>
      <w:pPr>
        <w:spacing w:after="0" w:line="2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Establishment of Awards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02" w:lineRule="auto"/>
        <w:tabs>
          <w:tab w:leader="none" w:pos="1763"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promptly as practicable after the beginning of each Plan Year with respect to which any Awards are to be granted to Participants, and, in any event, before April 1 of such Plan Year (or, in the case of an officer or employee who is hired, transferred or promoted after the beginning of such Plan Year, as provided in Section 4.2, by no later than 30 days after the date of such hire, transfer or promotion) the CEO and the Committee shall take those actions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5" w:name="page66"/>
    <w:bookmarkEnd w:id="65"/>
    <w:p>
      <w:pPr>
        <w:jc w:val="both"/>
        <w:spacing w:after="0" w:line="250" w:lineRule="auto"/>
        <w:rPr>
          <w:sz w:val="20"/>
          <w:szCs w:val="20"/>
          <w:color w:val="auto"/>
        </w:rPr>
      </w:pPr>
      <w:r>
        <w:rPr>
          <w:rFonts w:ascii="Arial" w:cs="Arial" w:eastAsia="Arial" w:hAnsi="Arial"/>
          <w:sz w:val="22"/>
          <w:szCs w:val="22"/>
          <w:color w:val="auto"/>
        </w:rPr>
        <w:t>which they are respectively responsible under this Plan to (i) designate those eligible officers and employees who are to be Participants in the Plan for such Plan Year, (ii) establish the Performance Goals, Award Levels and, if applicable, the threshold Award Level, target Award Level and maximum Award Level, for each Participant, and (iii) establish such other terms and conditions for each Award as they deem appropriate.</w:t>
      </w:r>
    </w:p>
    <w:p>
      <w:pPr>
        <w:spacing w:after="0" w:line="188" w:lineRule="exact"/>
        <w:rPr>
          <w:sz w:val="20"/>
          <w:szCs w:val="20"/>
          <w:color w:val="auto"/>
        </w:rPr>
      </w:pPr>
    </w:p>
    <w:p>
      <w:pPr>
        <w:jc w:val="both"/>
        <w:ind w:firstLine="1304"/>
        <w:spacing w:after="0" w:line="263" w:lineRule="auto"/>
        <w:tabs>
          <w:tab w:leader="none" w:pos="1804"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the case of the CEO and each of the Executive Officers, the Committee will establish for each Plan Year the Award Levels, the Performance Goals, performance measures and the weighting of the Performance Goals. With respect to all other Participants, the Committee will approve the Award Levels and Company Performance Goals for each such Participant but the Personal Performance Goals and the weighting of such Performance Goals shall be determined by the CEO or by the Participant’s supervisor with the approval of the CEO.</w:t>
      </w:r>
    </w:p>
    <w:p>
      <w:pPr>
        <w:spacing w:after="0" w:line="175" w:lineRule="exact"/>
        <w:rPr>
          <w:rFonts w:ascii="Arial" w:cs="Arial" w:eastAsia="Arial" w:hAnsi="Arial"/>
          <w:sz w:val="21"/>
          <w:szCs w:val="21"/>
          <w:color w:val="auto"/>
        </w:rPr>
      </w:pPr>
    </w:p>
    <w:p>
      <w:pPr>
        <w:jc w:val="both"/>
        <w:ind w:firstLine="1304"/>
        <w:spacing w:after="0" w:line="253" w:lineRule="auto"/>
        <w:tabs>
          <w:tab w:leader="none" w:pos="1922"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Award Levels, Performance Goals and the weighting of the Performance Goals will vary among Participants depending on the Participant’s role and responsibilities. The Award Levels and Performance Goals may change from Plan Year to Plan Year.</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78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CEO and/or the Committee may, but are not required to, provide each Participant with an Award Notice that sets forth the terms and conditions of an Award, including the correlation of the Award Payment to be paid under an Award to the attainment of the Performance Goals and, to the extent deemed appropriate by the Committee, the Award Payment payable in cases where the results of the Performance Goals for a Plan Year are between the levels of Performance Goals set forth in the Award Notice.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Performance Measures</w:t>
      </w:r>
      <w:r>
        <w:rPr>
          <w:rFonts w:ascii="Arial" w:cs="Arial" w:eastAsia="Arial" w:hAnsi="Arial"/>
          <w:sz w:val="19"/>
          <w:szCs w:val="19"/>
          <w:color w:val="auto"/>
        </w:rPr>
        <w:t>. The performance measures from which the Committee may establish Performance Goals may include, but are not limited to, one or more of the following performance measures or such other measures as determined appropriate by the Committee, in its discretion, which may be determined in accordance with GAAP or on a non-GAAP basis:</w:t>
      </w:r>
    </w:p>
    <w:p>
      <w:pPr>
        <w:spacing w:after="0" w:line="1" w:lineRule="exact"/>
        <w:rPr>
          <w:sz w:val="20"/>
          <w:szCs w:val="20"/>
          <w:color w:val="auto"/>
        </w:rPr>
      </w:pPr>
    </w:p>
    <w:p>
      <w:pPr>
        <w:jc w:val="both"/>
        <w:ind w:firstLine="8"/>
        <w:spacing w:after="0" w:line="281" w:lineRule="auto"/>
        <w:tabs>
          <w:tab w:leader="none" w:pos="327" w:val="left"/>
        </w:tabs>
        <w:numPr>
          <w:ilvl w:val="0"/>
          <w:numId w:val="32"/>
        </w:numPr>
        <w:rPr>
          <w:rFonts w:ascii="Arial" w:cs="Arial" w:eastAsia="Arial" w:hAnsi="Arial"/>
          <w:sz w:val="19"/>
          <w:szCs w:val="19"/>
          <w:color w:val="auto"/>
        </w:rPr>
      </w:pPr>
      <w:r>
        <w:rPr>
          <w:rFonts w:ascii="Arial" w:cs="Arial" w:eastAsia="Arial" w:hAnsi="Arial"/>
          <w:sz w:val="19"/>
          <w:szCs w:val="19"/>
          <w:color w:val="auto"/>
        </w:rPr>
        <w:t>net earnings or net income (before or after taxes); (b) basic or diluted earnings per share (before or after taxes); (c) net revenue, net revenue growth, annualized recurring revenue, or net revenue retention rates; (d) gross revenue or gross revenue growth, gross profit or gross profit growth; (e) net operating profit (before or after taxes); (f) return measures (including, but not limited to, return on investment, assets, net assets, capital, gross revenue or gross revenue growth, invested capital, equity or sales); (g) cash flow measures (including, but not limited to, operating cash flow, free cash flow and cash flow return on capital), which may but are not required to be measured on a per-share basis; (h) earnings before or after taxes, interest, depreciation, and amortization (including EBIT and EBITDA); (i) bookings and customer churn metrics; (j) gross or net operating margins;</w:t>
      </w:r>
    </w:p>
    <w:p>
      <w:pPr>
        <w:spacing w:after="0" w:line="4" w:lineRule="exact"/>
        <w:rPr>
          <w:rFonts w:ascii="Arial" w:cs="Arial" w:eastAsia="Arial" w:hAnsi="Arial"/>
          <w:sz w:val="19"/>
          <w:szCs w:val="19"/>
          <w:color w:val="auto"/>
        </w:rPr>
      </w:pPr>
    </w:p>
    <w:p>
      <w:pPr>
        <w:jc w:val="both"/>
        <w:ind w:firstLine="8"/>
        <w:spacing w:after="0" w:line="281" w:lineRule="auto"/>
        <w:tabs>
          <w:tab w:leader="none" w:pos="318" w:val="left"/>
        </w:tabs>
        <w:numPr>
          <w:ilvl w:val="0"/>
          <w:numId w:val="33"/>
        </w:numPr>
        <w:rPr>
          <w:rFonts w:ascii="Arial" w:cs="Arial" w:eastAsia="Arial" w:hAnsi="Arial"/>
          <w:sz w:val="19"/>
          <w:szCs w:val="19"/>
          <w:color w:val="auto"/>
        </w:rPr>
      </w:pPr>
      <w:r>
        <w:rPr>
          <w:rFonts w:ascii="Arial" w:cs="Arial" w:eastAsia="Arial" w:hAnsi="Arial"/>
          <w:sz w:val="19"/>
          <w:szCs w:val="19"/>
          <w:color w:val="auto"/>
        </w:rPr>
        <w:t>productivity ratios; (l) share price (including, but not limited to, growth measures and total shareholder return); (m) expense targets or cost reduction goals, general and administrative expense savings; (n) operating efficiency; (o) customer satisfaction;</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working capital targets; (q) measures of economic value added or other ‘‘value creation’’ metrics; (r) enterprise value;</w:t>
      </w:r>
    </w:p>
    <w:p>
      <w:pPr>
        <w:spacing w:after="0" w:line="15" w:lineRule="exact"/>
        <w:rPr>
          <w:rFonts w:ascii="Arial" w:cs="Arial" w:eastAsia="Arial" w:hAnsi="Arial"/>
          <w:sz w:val="21"/>
          <w:szCs w:val="21"/>
          <w:color w:val="auto"/>
        </w:rPr>
      </w:pPr>
    </w:p>
    <w:p>
      <w:pPr>
        <w:jc w:val="both"/>
        <w:ind w:firstLine="8"/>
        <w:spacing w:after="0" w:line="245" w:lineRule="auto"/>
        <w:tabs>
          <w:tab w:leader="none" w:pos="311" w:val="left"/>
        </w:tabs>
        <w:numPr>
          <w:ilvl w:val="0"/>
          <w:numId w:val="35"/>
        </w:numPr>
        <w:rPr>
          <w:rFonts w:ascii="Arial" w:cs="Arial" w:eastAsia="Arial" w:hAnsi="Arial"/>
          <w:sz w:val="22"/>
          <w:szCs w:val="22"/>
          <w:color w:val="auto"/>
        </w:rPr>
      </w:pPr>
      <w:r>
        <w:rPr>
          <w:rFonts w:ascii="Arial" w:cs="Arial" w:eastAsia="Arial" w:hAnsi="Arial"/>
          <w:sz w:val="22"/>
          <w:szCs w:val="22"/>
          <w:color w:val="auto"/>
        </w:rPr>
        <w:t>stockholder return; (t) client or customer retention; (u) competitive market metrics; (v) employee retention; (w) personal targets, goals or completion of projects (including but not limited to succession and hiring projects, completion of specific acquisitions, reorganizations or other corporate transactions or capital-raising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transactions, expansions of specific business operations and meeting divisional or project budgets); (x) system-wide revenues;</w:t>
      </w:r>
    </w:p>
    <w:p>
      <w:pPr>
        <w:spacing w:after="0" w:line="56" w:lineRule="exact"/>
        <w:rPr>
          <w:sz w:val="20"/>
          <w:szCs w:val="20"/>
          <w:color w:val="auto"/>
        </w:rPr>
      </w:pPr>
    </w:p>
    <w:p>
      <w:pPr>
        <w:jc w:val="both"/>
        <w:ind w:firstLine="8"/>
        <w:spacing w:after="0" w:line="285" w:lineRule="auto"/>
        <w:tabs>
          <w:tab w:leader="none" w:pos="311"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cost of capital, debt leverage year-end cash position or book value; (z) strategic objectives, development of new product lines and related revenue, sales and margin targets, or international operations; or (aa) any combination of the foregoing. Any one or more of the aforementioned performance measures may be stated as a percentage of another performance measure, or used on an absolute or relative basis to measure the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measures may be compared to the performance of a group of comparator companies, or a published or special index that the Committee deems appropriate, or as compared to various stock market indices. These performance measures may include a threshold level of performance below which no payment shall be made, levels of performance at which specified payments shall be made, and a maximum level of performance above which no additional payment shall be made. The Committee shall have the authority to make equitable adjustments to the performance measures as may be determined by the Committee, in its sole discretion.</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Measurement of Performance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0" w:lineRule="auto"/>
        <w:tabs>
          <w:tab w:leader="none" w:pos="178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Committee shall have sole discretion to determine (i) with respect to all Participants, the Award Levels which represent the amounts potentially payable under each Award, the Company Performance Goals applicable to each Award, and the method of determining whether each Company Performance Goal has been met, and (ii) with respect to the Executive Officers, the Personal Performance Goals, the method of determining whether each such Personal Performance Goal has been met and the weighting of each Performance Goal. The CEO shall have the sole discretion to determine the Personal Performance Goals, the method of determining whether each such Personal Performance Goal has been met and the weighting of each Performance Goal for all Participants other than Executive Officers, including by means of approving such Personal Performance Goals and parameters as recommended by a Participant’s supervisor.</w:t>
      </w:r>
    </w:p>
    <w:p>
      <w:pPr>
        <w:spacing w:after="0" w:line="155" w:lineRule="exact"/>
        <w:rPr>
          <w:rFonts w:ascii="Arial" w:cs="Arial" w:eastAsia="Arial" w:hAnsi="Arial"/>
          <w:sz w:val="19"/>
          <w:szCs w:val="19"/>
          <w:color w:val="auto"/>
        </w:rPr>
      </w:pPr>
    </w:p>
    <w:p>
      <w:pPr>
        <w:jc w:val="both"/>
        <w:ind w:firstLine="1304"/>
        <w:spacing w:after="0" w:line="247" w:lineRule="auto"/>
        <w:tabs>
          <w:tab w:leader="none" w:pos="1776" w:val="left"/>
        </w:tabs>
        <w:numPr>
          <w:ilvl w:val="0"/>
          <w:numId w:val="37"/>
        </w:numPr>
        <w:rPr>
          <w:rFonts w:ascii="Arial" w:cs="Arial" w:eastAsia="Arial" w:hAnsi="Arial"/>
          <w:sz w:val="22"/>
          <w:szCs w:val="22"/>
          <w:color w:val="auto"/>
        </w:rPr>
      </w:pPr>
      <w:r>
        <w:rPr>
          <w:rFonts w:ascii="Arial" w:cs="Arial" w:eastAsia="Arial" w:hAnsi="Arial"/>
          <w:sz w:val="22"/>
          <w:szCs w:val="22"/>
          <w:color w:val="auto"/>
        </w:rPr>
        <w:t>Unless otherwise determined by the Committee, each Award shall include a threshold Performance Goal that must be attained in order for a threshold Award Level to be payable, a target Performance Goal that must be attained for a target Award Level to be payable, and a maximum Performance Goal that must be attained for a maximum Award Level to be payable. The amount of each Award and the Performance Goals may vary among Participants and may be determined based on the Participant’s ability to directly impact the Company’s performance or on an assessment of the Participant’s overall contributions to the Company’s success.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Company Performance Goals</w:t>
      </w:r>
      <w:r>
        <w:rPr>
          <w:rFonts w:ascii="Arial" w:cs="Arial" w:eastAsia="Arial" w:hAnsi="Arial"/>
          <w:sz w:val="19"/>
          <w:szCs w:val="19"/>
          <w:color w:val="auto"/>
        </w:rPr>
        <w:t>. To the extent the Committee elects to base Award opportunities and Performance Goals on a Company Performance Goal, the Committee shall select the performance measures for the Plan Year from the measures listed in Section 5.2 or establish such other measures as the Committee may determine appropriate.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7" w:name="page68"/>
    <w:bookmarkEnd w:id="67"/>
    <w:p>
      <w:pPr>
        <w:spacing w:after="0"/>
        <w:rPr>
          <w:sz w:val="20"/>
          <w:szCs w:val="20"/>
          <w:color w:val="auto"/>
        </w:rPr>
      </w:pPr>
      <w:r>
        <w:rPr>
          <w:rFonts w:ascii="Arial" w:cs="Arial" w:eastAsia="Arial" w:hAnsi="Arial"/>
          <w:sz w:val="21"/>
          <w:szCs w:val="21"/>
          <w:color w:val="auto"/>
        </w:rPr>
        <w:t>shall also establish the threshold, target and maximum Award Levels applicable for each Company Performance Goal.</w:t>
      </w:r>
    </w:p>
    <w:p>
      <w:pPr>
        <w:spacing w:after="0" w:line="23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Personal Performance Goals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8" w:lineRule="auto"/>
        <w:tabs>
          <w:tab w:leader="none" w:pos="1859"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 the extent the Committee elects to base Award opportunities and Performance Goals on one or more Personal Performance Goals, the components of the Personal Performance Goals will: (i) be established for the Participant’s position for the Plan Year by the CEO or by the Participant’s supervisor with the approval of the CEO; provided, however, that the Personal Performance Goals for the Executive Officers will be established by the Committee; (ii) include only components that support the business plan of the Company; and (iii) identify how the Participant will support the achievement of such goals. The determination of whether a Participant (other than an Executive Officer) has attained his or her Personal Performance Goals and the Award Payment payable with respect to the attainment of such Personal Performance Goals shall be made by the CEO, subject to final approval by the Committee. The determination of whether an Executive Officer has attained his or her Personal Performance Goals and the Award Payment payable with respect to the attainment of such Personal Performance Goals shall be made by the Committee.</w:t>
      </w:r>
    </w:p>
    <w:p>
      <w:pPr>
        <w:spacing w:after="0" w:line="185" w:lineRule="exact"/>
        <w:rPr>
          <w:rFonts w:ascii="Arial" w:cs="Arial" w:eastAsia="Arial" w:hAnsi="Arial"/>
          <w:sz w:val="21"/>
          <w:szCs w:val="21"/>
          <w:color w:val="auto"/>
        </w:rPr>
      </w:pPr>
    </w:p>
    <w:p>
      <w:pPr>
        <w:jc w:val="both"/>
        <w:ind w:firstLine="1304"/>
        <w:spacing w:after="0" w:line="294" w:lineRule="auto"/>
        <w:tabs>
          <w:tab w:leader="none" w:pos="1835"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addition to the Personal Performance Goals described in Section 5.5(a), the Committee and/or CEO, as applicable, may also take into account a Participant’s individual performance and apply an individual performance modifier to the Participant’s Award (“Individual Modifier”). The Individual Modifier gives the Committee and/or CEO, as applicable, the discretion to modify, positively or negatively (including to eliminate), the Award Payment to any Participant based on such Participant’s exceptional (or unsatisfactory) individual performance, subject to a maximum percentage increase above the target Award Level that shall be established by the Committee, in its discretion, for each applicable Plan Year.</w:t>
      </w:r>
    </w:p>
    <w:p>
      <w:pPr>
        <w:spacing w:after="0" w:line="1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Certification and Payment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6" w:lineRule="auto"/>
        <w:tabs>
          <w:tab w:leader="none" w:pos="1807" w:val="left"/>
        </w:tabs>
        <w:numPr>
          <w:ilvl w:val="0"/>
          <w:numId w:val="39"/>
        </w:numPr>
        <w:rPr>
          <w:rFonts w:ascii="Arial" w:cs="Arial" w:eastAsia="Arial" w:hAnsi="Arial"/>
          <w:sz w:val="22"/>
          <w:szCs w:val="22"/>
          <w:color w:val="auto"/>
        </w:rPr>
      </w:pPr>
      <w:r>
        <w:rPr>
          <w:rFonts w:ascii="Arial" w:cs="Arial" w:eastAsia="Arial" w:hAnsi="Arial"/>
          <w:sz w:val="22"/>
          <w:szCs w:val="22"/>
          <w:color w:val="auto"/>
        </w:rPr>
        <w:t>As soon as practicable after the Company’s audited financial statements are available for a Plan Year with respect to which the Awards are outstanding, the performance of the Company, on a consolidated basis, and each applicable division, business unit, Subsidiary or line of business will be determined for such Plan Year. The financial and operational performance shall then be evaluated to determine the extent to which the Company Performance Goals have been achieved, based upon standards established for such Plan Year. In performing such evaluation, the Committee is authorized to make adjustments in the method of calculating attainment of the Company Performance Goals, including, but not limited to, the authority:</w:t>
      </w:r>
    </w:p>
    <w:p>
      <w:pPr>
        <w:spacing w:after="0" w:line="196" w:lineRule="exact"/>
        <w:rPr>
          <w:rFonts w:ascii="Arial" w:cs="Arial" w:eastAsia="Arial" w:hAnsi="Arial"/>
          <w:sz w:val="22"/>
          <w:szCs w:val="22"/>
          <w:color w:val="auto"/>
        </w:rPr>
      </w:pPr>
    </w:p>
    <w:p>
      <w:pPr>
        <w:ind w:left="2380" w:hanging="428"/>
        <w:spacing w:after="0"/>
        <w:tabs>
          <w:tab w:leader="none" w:pos="23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to adjust or exclude the dilutive or anti-dilutive effects of acquisitions or joint ventures;</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to adjust the impact of the disposition of any businesses divested by the Company during a Plan</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68" w:name="page69"/>
    <w:bookmarkEnd w:id="68"/>
    <w:p>
      <w:pPr>
        <w:ind w:left="2540" w:hanging="588"/>
        <w:spacing w:after="0"/>
        <w:tabs>
          <w:tab w:leader="none" w:pos="25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exclude, in whole or in part, restructuring and/or other nonrecurring charges;</w:t>
      </w:r>
    </w:p>
    <w:p>
      <w:pPr>
        <w:spacing w:after="0" w:line="219" w:lineRule="exact"/>
        <w:rPr>
          <w:rFonts w:ascii="Arial" w:cs="Arial" w:eastAsia="Arial" w:hAnsi="Arial"/>
          <w:sz w:val="22"/>
          <w:szCs w:val="22"/>
          <w:color w:val="auto"/>
        </w:rPr>
      </w:pPr>
    </w:p>
    <w:p>
      <w:pPr>
        <w:ind w:left="1300" w:firstLine="652"/>
        <w:spacing w:after="0" w:line="263" w:lineRule="auto"/>
        <w:tabs>
          <w:tab w:leader="none" w:pos="253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exclude, in whole or in part, exchange rate effects, as applicable, for non-U.S. dollar denominated net sales and operating earnings;</w:t>
      </w:r>
    </w:p>
    <w:p>
      <w:pPr>
        <w:spacing w:after="0" w:line="174" w:lineRule="exact"/>
        <w:rPr>
          <w:rFonts w:ascii="Arial" w:cs="Arial" w:eastAsia="Arial" w:hAnsi="Arial"/>
          <w:sz w:val="22"/>
          <w:szCs w:val="22"/>
          <w:color w:val="auto"/>
        </w:rPr>
      </w:pPr>
    </w:p>
    <w:p>
      <w:pPr>
        <w:ind w:left="1300" w:firstLine="652"/>
        <w:spacing w:after="0" w:line="263" w:lineRule="auto"/>
        <w:tabs>
          <w:tab w:leader="none" w:pos="257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exclude, in whole or in part, the effects of changes to generally accepted accounting standards (“GAAP”) made by the relevant accounting authority;</w:t>
      </w:r>
    </w:p>
    <w:p>
      <w:pPr>
        <w:spacing w:after="0" w:line="174" w:lineRule="exact"/>
        <w:rPr>
          <w:rFonts w:ascii="Arial" w:cs="Arial" w:eastAsia="Arial" w:hAnsi="Arial"/>
          <w:sz w:val="22"/>
          <w:szCs w:val="22"/>
          <w:color w:val="auto"/>
        </w:rPr>
      </w:pPr>
    </w:p>
    <w:p>
      <w:pPr>
        <w:ind w:left="2540" w:hanging="588"/>
        <w:spacing w:after="0"/>
        <w:tabs>
          <w:tab w:leader="none" w:pos="25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exclude, in whole or in part, the effects of any statutory adjustments to corporate taxes;</w:t>
      </w:r>
    </w:p>
    <w:p>
      <w:pPr>
        <w:spacing w:after="0" w:line="219" w:lineRule="exact"/>
        <w:rPr>
          <w:rFonts w:ascii="Arial" w:cs="Arial" w:eastAsia="Arial" w:hAnsi="Arial"/>
          <w:sz w:val="22"/>
          <w:szCs w:val="22"/>
          <w:color w:val="auto"/>
        </w:rPr>
      </w:pPr>
    </w:p>
    <w:p>
      <w:pPr>
        <w:ind w:left="2620" w:hanging="668"/>
        <w:spacing w:after="0"/>
        <w:tabs>
          <w:tab w:leader="none" w:pos="2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to exclude, in whole or in part, the impact of any “unusual or nonrecurring items” as determined</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under GAAP;</w:t>
      </w:r>
    </w:p>
    <w:p>
      <w:pPr>
        <w:spacing w:after="0" w:line="201" w:lineRule="exact"/>
        <w:rPr>
          <w:rFonts w:ascii="Arial" w:cs="Arial" w:eastAsia="Arial" w:hAnsi="Arial"/>
          <w:sz w:val="19"/>
          <w:szCs w:val="19"/>
          <w:color w:val="auto"/>
        </w:rPr>
      </w:pPr>
    </w:p>
    <w:p>
      <w:pPr>
        <w:jc w:val="both"/>
        <w:ind w:left="1300" w:firstLine="652"/>
        <w:spacing w:after="0" w:line="265" w:lineRule="auto"/>
        <w:tabs>
          <w:tab w:leader="none" w:pos="2616" w:val="left"/>
        </w:tabs>
        <w:numPr>
          <w:ilvl w:val="0"/>
          <w:numId w:val="40"/>
        </w:numPr>
        <w:rPr>
          <w:rFonts w:ascii="Arial" w:cs="Arial" w:eastAsia="Arial" w:hAnsi="Arial"/>
          <w:sz w:val="21"/>
          <w:szCs w:val="21"/>
          <w:color w:val="auto"/>
        </w:rPr>
      </w:pPr>
      <w:r>
        <w:rPr>
          <w:rFonts w:ascii="Arial" w:cs="Arial" w:eastAsia="Arial" w:hAnsi="Arial"/>
          <w:sz w:val="21"/>
          <w:szCs w:val="21"/>
          <w:color w:val="auto"/>
        </w:rPr>
        <w:t>to exclude, in whole or in part,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w:t>
      </w:r>
    </w:p>
    <w:p>
      <w:pPr>
        <w:spacing w:after="0" w:line="175" w:lineRule="exact"/>
        <w:rPr>
          <w:rFonts w:ascii="Arial" w:cs="Arial" w:eastAsia="Arial" w:hAnsi="Arial"/>
          <w:sz w:val="21"/>
          <w:szCs w:val="21"/>
          <w:color w:val="auto"/>
        </w:rPr>
      </w:pPr>
    </w:p>
    <w:p>
      <w:pPr>
        <w:ind w:left="1300" w:firstLine="652"/>
        <w:spacing w:after="0" w:line="263" w:lineRule="auto"/>
        <w:tabs>
          <w:tab w:leader="none" w:pos="2597"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give effect to or to ignore, in whole or in part, any other unusual, non-recurring gain or loss or other extraordinary item; and</w:t>
      </w:r>
    </w:p>
    <w:p>
      <w:pPr>
        <w:spacing w:after="0" w:line="174" w:lineRule="exact"/>
        <w:rPr>
          <w:rFonts w:ascii="Arial" w:cs="Arial" w:eastAsia="Arial" w:hAnsi="Arial"/>
          <w:sz w:val="22"/>
          <w:szCs w:val="22"/>
          <w:color w:val="auto"/>
        </w:rPr>
      </w:pPr>
    </w:p>
    <w:p>
      <w:pPr>
        <w:ind w:left="1300" w:firstLine="652"/>
        <w:spacing w:after="0" w:line="263" w:lineRule="auto"/>
        <w:tabs>
          <w:tab w:leader="none" w:pos="255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give effect to or to ignore, in whole or in part, any other facts, circumstances or considerations deemed appropriate by the Committee.</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Award Payments for a Plan Year will be included as an expense in determining the Company’s financial performance under the Plan for that Plan Year.</w:t>
      </w:r>
    </w:p>
    <w:p>
      <w:pPr>
        <w:spacing w:after="0" w:line="202" w:lineRule="exact"/>
        <w:rPr>
          <w:sz w:val="20"/>
          <w:szCs w:val="20"/>
          <w:color w:val="auto"/>
        </w:rPr>
      </w:pPr>
    </w:p>
    <w:p>
      <w:pPr>
        <w:jc w:val="both"/>
        <w:ind w:firstLine="1304"/>
        <w:spacing w:after="0" w:line="253" w:lineRule="auto"/>
        <w:tabs>
          <w:tab w:leader="none" w:pos="180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Committee and each of its members shall be entitled to rely upon information provided by appropriate officers of the Company with respect to financial and other data in order to determine if the Performance Goals for any Participant in a Plan Year have been met.</w:t>
      </w:r>
    </w:p>
    <w:p>
      <w:pPr>
        <w:spacing w:after="0" w:line="185" w:lineRule="exact"/>
        <w:rPr>
          <w:rFonts w:ascii="Arial" w:cs="Arial" w:eastAsia="Arial" w:hAnsi="Arial"/>
          <w:sz w:val="22"/>
          <w:szCs w:val="22"/>
          <w:color w:val="auto"/>
        </w:rPr>
      </w:pPr>
    </w:p>
    <w:p>
      <w:pPr>
        <w:jc w:val="both"/>
        <w:ind w:firstLine="1304"/>
        <w:spacing w:after="0" w:line="292" w:lineRule="auto"/>
        <w:tabs>
          <w:tab w:leader="none" w:pos="1755" w:val="left"/>
        </w:tabs>
        <w:numPr>
          <w:ilvl w:val="0"/>
          <w:numId w:val="41"/>
        </w:numPr>
        <w:rPr>
          <w:rFonts w:ascii="Arial" w:cs="Arial" w:eastAsia="Arial" w:hAnsi="Arial"/>
          <w:sz w:val="19"/>
          <w:szCs w:val="19"/>
          <w:color w:val="auto"/>
        </w:rPr>
      </w:pPr>
      <w:r>
        <w:rPr>
          <w:rFonts w:ascii="Arial" w:cs="Arial" w:eastAsia="Arial" w:hAnsi="Arial"/>
          <w:sz w:val="19"/>
          <w:szCs w:val="19"/>
          <w:color w:val="auto"/>
        </w:rPr>
        <w:t>Unless otherwise determined by the Compensation Committee or deferred in accordance with the Company’s Deferred Compensation Plan, Award Payments for any Plan Year shall be paid in cash as soon as practicable after the Committee and/or the CEO, as applicable, determines that the Performance Goals specified for such Award were in fact satisfied. For Participants who are U.S. federal taxpayers, it is intended that payment will be made no later than required to ensure that no amount paid or to be paid hereunder shall be subject to the provisions of Section 409A(a)(1)(B) of the Code and all such payments are intended to be eligible for the short-term deferral exception to Section 409A of the Code, except to the extent a payment is deferred under the Company’s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69" w:name="page70"/>
    <w:bookmarkEnd w:id="69"/>
    <w:p>
      <w:pPr>
        <w:ind w:left="440"/>
        <w:spacing w:after="0"/>
        <w:tabs>
          <w:tab w:leader="none" w:pos="90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Termination Of Employment; Leave of Absence</w:t>
      </w:r>
      <w:r>
        <w:rPr>
          <w:rFonts w:ascii="Arial" w:cs="Arial" w:eastAsia="Arial" w:hAnsi="Arial"/>
          <w:sz w:val="19"/>
          <w:szCs w:val="19"/>
          <w:color w:val="auto"/>
        </w:rPr>
        <w:t>.</w:t>
      </w:r>
    </w:p>
    <w:p>
      <w:pPr>
        <w:spacing w:after="0" w:line="220" w:lineRule="exact"/>
        <w:rPr>
          <w:sz w:val="20"/>
          <w:szCs w:val="20"/>
          <w:color w:val="auto"/>
        </w:rPr>
      </w:pPr>
    </w:p>
    <w:p>
      <w:pPr>
        <w:jc w:val="both"/>
        <w:ind w:left="-220" w:firstLine="1304"/>
        <w:spacing w:after="0" w:line="294" w:lineRule="auto"/>
        <w:tabs>
          <w:tab w:leader="none" w:pos="1557" w:val="left"/>
        </w:tabs>
        <w:numPr>
          <w:ilvl w:val="0"/>
          <w:numId w:val="42"/>
        </w:numPr>
        <w:rPr>
          <w:rFonts w:ascii="Arial" w:cs="Arial" w:eastAsia="Arial" w:hAnsi="Arial"/>
          <w:sz w:val="19"/>
          <w:szCs w:val="19"/>
          <w:color w:val="auto"/>
        </w:rPr>
      </w:pPr>
      <w:r>
        <w:rPr>
          <w:rFonts w:ascii="Arial" w:cs="Arial" w:eastAsia="Arial" w:hAnsi="Arial"/>
          <w:sz w:val="19"/>
          <w:szCs w:val="19"/>
          <w:color w:val="auto"/>
        </w:rPr>
        <w:t>Unless otherwise provided in a written agreement between the Participant and the Company or a Subsidiary, if a Participant’s employment is terminated for any reason other than death, Disability or the elimination of the Participant’s position by the Company or a Subsidiary (a “Job Elimination”), whether such termination occurs during a Plan Year or after the end of a Plan Year but prior to payment to the Participant of the Award Payment otherwise payable (or any portion thereof) under an Award, such Participant will not be eligible to receive an Award Payment for that Plan Year and will forfeit any then-unpaid amounts under such Award without any entitlement to any amount or compensation in lieu thereof.</w:t>
      </w:r>
    </w:p>
    <w:p>
      <w:pPr>
        <w:spacing w:after="0" w:line="149" w:lineRule="exact"/>
        <w:rPr>
          <w:rFonts w:ascii="Arial" w:cs="Arial" w:eastAsia="Arial" w:hAnsi="Arial"/>
          <w:sz w:val="19"/>
          <w:szCs w:val="19"/>
          <w:color w:val="auto"/>
        </w:rPr>
      </w:pPr>
    </w:p>
    <w:p>
      <w:pPr>
        <w:ind w:left="1560" w:hanging="476"/>
        <w:spacing w:after="0"/>
        <w:tabs>
          <w:tab w:leader="none" w:pos="15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Unless otherwise provided in a written agreement between the Participant and the Company or a Subsidiary:</w:t>
      </w:r>
    </w:p>
    <w:p>
      <w:pPr>
        <w:spacing w:after="0" w:line="254" w:lineRule="exact"/>
        <w:rPr>
          <w:rFonts w:ascii="Arial" w:cs="Arial" w:eastAsia="Arial" w:hAnsi="Arial"/>
          <w:sz w:val="19"/>
          <w:szCs w:val="19"/>
          <w:color w:val="auto"/>
        </w:rPr>
      </w:pPr>
    </w:p>
    <w:p>
      <w:pPr>
        <w:jc w:val="both"/>
        <w:ind w:left="1080" w:firstLine="652"/>
        <w:spacing w:after="0" w:line="250" w:lineRule="auto"/>
        <w:tabs>
          <w:tab w:leader="none" w:pos="2215" w:val="left"/>
        </w:tabs>
        <w:numPr>
          <w:ilvl w:val="1"/>
          <w:numId w:val="42"/>
        </w:numPr>
        <w:rPr>
          <w:rFonts w:ascii="Arial" w:cs="Arial" w:eastAsia="Arial" w:hAnsi="Arial"/>
          <w:sz w:val="22"/>
          <w:szCs w:val="22"/>
          <w:color w:val="auto"/>
        </w:rPr>
      </w:pPr>
      <w:r>
        <w:rPr>
          <w:rFonts w:ascii="Arial" w:cs="Arial" w:eastAsia="Arial" w:hAnsi="Arial"/>
          <w:sz w:val="22"/>
          <w:szCs w:val="22"/>
          <w:color w:val="auto"/>
        </w:rPr>
        <w:t>if a Participant’s employment is terminated during a Plan Year by reason of death or Disability, the Participant or the Participant’s heir or legal representative will, upon the Committee’s approval, be eligible to be paid a prorated portion of the Award Payment for that Plan Year, to be determined and paid as set forth in Section 5.6;</w:t>
      </w:r>
    </w:p>
    <w:p>
      <w:pPr>
        <w:spacing w:after="0" w:line="187" w:lineRule="exact"/>
        <w:rPr>
          <w:rFonts w:ascii="Arial" w:cs="Arial" w:eastAsia="Arial" w:hAnsi="Arial"/>
          <w:sz w:val="22"/>
          <w:szCs w:val="22"/>
          <w:color w:val="auto"/>
        </w:rPr>
      </w:pPr>
    </w:p>
    <w:p>
      <w:pPr>
        <w:jc w:val="both"/>
        <w:ind w:left="1080" w:firstLine="652"/>
        <w:spacing w:after="0" w:line="261" w:lineRule="auto"/>
        <w:tabs>
          <w:tab w:leader="none" w:pos="2285" w:val="left"/>
        </w:tabs>
        <w:numPr>
          <w:ilvl w:val="1"/>
          <w:numId w:val="42"/>
        </w:numPr>
        <w:rPr>
          <w:rFonts w:ascii="Arial" w:cs="Arial" w:eastAsia="Arial" w:hAnsi="Arial"/>
          <w:sz w:val="21"/>
          <w:szCs w:val="21"/>
          <w:color w:val="auto"/>
        </w:rPr>
      </w:pPr>
      <w:r>
        <w:rPr>
          <w:rFonts w:ascii="Arial" w:cs="Arial" w:eastAsia="Arial" w:hAnsi="Arial"/>
          <w:sz w:val="21"/>
          <w:szCs w:val="21"/>
          <w:color w:val="auto"/>
        </w:rPr>
        <w:t>if a Participant’s employment is terminated during a Plan Year by reason of Job Elimination, such Participant shall forfeit any then-unpaid amounts under such Award and shall not be entitled to any amount or compensation in lieu thereof; however, in the event that the Participant’s employment is terminated due to Job Elimination more than six months after start of such Plan Year, the Committee, in its sole discretion, may provide that such Participant will be eligible to be paid a prorated portion of the Award Payment for that Plan Year, to be determined, and, if approved, paid, as set forth in Section 5.6; and</w:t>
      </w:r>
    </w:p>
    <w:p>
      <w:pPr>
        <w:spacing w:after="0" w:line="179" w:lineRule="exact"/>
        <w:rPr>
          <w:rFonts w:ascii="Arial" w:cs="Arial" w:eastAsia="Arial" w:hAnsi="Arial"/>
          <w:sz w:val="21"/>
          <w:szCs w:val="21"/>
          <w:color w:val="auto"/>
        </w:rPr>
      </w:pPr>
    </w:p>
    <w:p>
      <w:pPr>
        <w:jc w:val="both"/>
        <w:ind w:left="1080" w:firstLine="652"/>
        <w:spacing w:after="0" w:line="302" w:lineRule="auto"/>
        <w:tabs>
          <w:tab w:leader="none" w:pos="2436" w:val="left"/>
        </w:tabs>
        <w:numPr>
          <w:ilvl w:val="1"/>
          <w:numId w:val="42"/>
        </w:numPr>
        <w:rPr>
          <w:rFonts w:ascii="Arial" w:cs="Arial" w:eastAsia="Arial" w:hAnsi="Arial"/>
          <w:sz w:val="19"/>
          <w:szCs w:val="19"/>
          <w:color w:val="auto"/>
        </w:rPr>
      </w:pPr>
      <w:r>
        <w:rPr>
          <w:rFonts w:ascii="Arial" w:cs="Arial" w:eastAsia="Arial" w:hAnsi="Arial"/>
          <w:sz w:val="19"/>
          <w:szCs w:val="19"/>
          <w:color w:val="auto"/>
        </w:rPr>
        <w:t>if a Participant’s employment is terminated by reason of death, Disability, Job Elimination or Retirement after the end of a Plan Year, but prior to payment to that Participant of the Award Payment otherwise payable (or any portion thereof) under an Award, the Participant or the Participant’s heir or legal representative will, upon the Committee’s approval, be eligible to be paid the entire Award Payment for that Plan Year.</w:t>
      </w:r>
    </w:p>
    <w:p>
      <w:pPr>
        <w:spacing w:after="0" w:line="142" w:lineRule="exact"/>
        <w:rPr>
          <w:rFonts w:ascii="Arial" w:cs="Arial" w:eastAsia="Arial" w:hAnsi="Arial"/>
          <w:sz w:val="19"/>
          <w:szCs w:val="19"/>
          <w:color w:val="auto"/>
        </w:rPr>
      </w:pPr>
    </w:p>
    <w:p>
      <w:pPr>
        <w:jc w:val="both"/>
        <w:ind w:left="-220" w:firstLine="1304"/>
        <w:spacing w:after="0" w:line="265" w:lineRule="auto"/>
        <w:tabs>
          <w:tab w:leader="none" w:pos="1561" w:val="left"/>
        </w:tabs>
        <w:numPr>
          <w:ilvl w:val="0"/>
          <w:numId w:val="42"/>
        </w:numPr>
        <w:rPr>
          <w:rFonts w:ascii="Arial" w:cs="Arial" w:eastAsia="Arial" w:hAnsi="Arial"/>
          <w:sz w:val="21"/>
          <w:szCs w:val="21"/>
          <w:color w:val="auto"/>
        </w:rPr>
      </w:pPr>
      <w:r>
        <w:rPr>
          <w:rFonts w:ascii="Arial" w:cs="Arial" w:eastAsia="Arial" w:hAnsi="Arial"/>
          <w:sz w:val="21"/>
          <w:szCs w:val="21"/>
          <w:color w:val="auto"/>
        </w:rPr>
        <w:t>Subject to applicable laws, a Participant who is on an unpaid, Company-approved leave of absence during a Plan Year shall be eligible to receive a prorated Award Payment for such Plan Year; provided, however, that the Committee shall have discretion to determine the extent to which an Award Payment will be made to a Participant who is on such a leave of absence on the date the Award Payment for a Plan Year is paid to other applicable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428" w:right="339" w:bottom="1440" w:gutter="0" w:footer="0" w:header="0"/>
        </w:sectPr>
      </w:pPr>
    </w:p>
    <w:bookmarkStart w:id="70" w:name="page71"/>
    <w:bookmarkEnd w:id="70"/>
    <w:p>
      <w:pPr>
        <w:spacing w:after="0"/>
        <w:tabs>
          <w:tab w:leader="none" w:pos="360" w:val="left"/>
        </w:tabs>
        <w:rPr>
          <w:sz w:val="20"/>
          <w:szCs w:val="20"/>
          <w:color w:val="auto"/>
        </w:rPr>
      </w:pPr>
      <w:r>
        <w:rPr>
          <w:rFonts w:ascii="Arial" w:cs="Arial" w:eastAsia="Arial" w:hAnsi="Arial"/>
          <w:sz w:val="22"/>
          <w:szCs w:val="22"/>
          <w:b w:val="1"/>
          <w:bCs w:val="1"/>
          <w:color w:val="auto"/>
        </w:rPr>
        <w:t>6.</w:t>
        <w:tab/>
        <w:t>WITHHOLDING TAXES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shall have the right, at the time of payment of an Award Payment, to make adequate provision for any federal, state, local or foreign taxes (including social contributions and any other applicable taxes) which it believes are or may be required by law to be withheld with respect to an award under the Plan (“Tax Liability”), to ensure the payment of any such Tax Liability. The Company may provide for the payment of any Tax Liability by withholding from the amount of the Award Payment or by any other method deemed appropriate by the Committee.</w:t>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tab/>
        <w:t>ADMINISTRATION</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The Plan shall be administered by the Committee, with day-to-day administration delegated to the CEO. The Committee and the CEO may further delegate their administrative powers under the Plan to the extent not prohibited by applicable laws, regulations or stock exchange listing rules. Without limitation, the Committee shall have full power, discretion and authority to administer, interpret and construe the Plan and any Award Notice (if applicable) or agreement made pursuant to the Plan, to prescribe and rescind rules, regulations and policies for administration of the Plan, and to Amend, modify, or cancel any Award, and authorize the exchange, substitution, or replacement of Awards. The Committee’s actions, interpretations and constructions with regard to the Plan shall be final, conclusive and binding on all persons for all purposes.</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Limitation on Liability</w:t>
      </w:r>
      <w:r>
        <w:rPr>
          <w:rFonts w:ascii="Arial" w:cs="Arial" w:eastAsia="Arial" w:hAnsi="Arial"/>
          <w:sz w:val="21"/>
          <w:szCs w:val="21"/>
          <w:color w:val="auto"/>
        </w:rPr>
        <w:t>. No member of the Committee or the Board shall be liable for any action or determination made in good faith with respect to the Plan or any Award pursuant to it. The Company shall indemnify and hold harmless each member of the Committee and the Board, and the estate and heirs of each such member, against all claims, liabilities, expenses, penalties, damages or other pecuniary losses, including legal fees, which such Committee member or Board member or his or her estate or heirs may suffer as a result of any act or omission to act in connection with the Plan, to the extent that insurance, if any, does not cover the payment of such items.</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tab/>
        <w:t>AMENDMENT AND TERMINATION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Committee may at any time and in its sole discretion suspend, amend or terminate the Plan.</w:t>
      </w:r>
    </w:p>
    <w:p>
      <w:pPr>
        <w:spacing w:after="0" w:line="214"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Nothing in this Plan or any Award granted hereunder shall confer upon any employee any right to continue in the employ of the Company or any Subsidiary or interfere in any way with the right of the Company or any Subsidiary to terminate his or her employment at any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Not Compensation for Other Plans</w:t>
      </w:r>
      <w:r>
        <w:rPr>
          <w:rFonts w:ascii="Arial" w:cs="Arial" w:eastAsia="Arial" w:hAnsi="Arial"/>
          <w:sz w:val="22"/>
          <w:szCs w:val="22"/>
          <w:color w:val="auto"/>
        </w:rPr>
        <w:t>. Except as otherwise explicitly required under the terms of an employee benefit plan of the Company that is intended to be qualified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401(a) of the Code, no Award under this Plan and no amount payable or paid under any Award shall be deemed to be or counted as salary or compensation for the purpose of computing benefits under any employee benefit plan or other arrangement of the Company for the benefit of any employee.</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Compliance with Law</w:t>
      </w:r>
      <w:r>
        <w:rPr>
          <w:rFonts w:ascii="Arial" w:cs="Arial" w:eastAsia="Arial" w:hAnsi="Arial"/>
          <w:sz w:val="21"/>
          <w:szCs w:val="21"/>
          <w:color w:val="auto"/>
        </w:rPr>
        <w:t>. The Plan and the grant of awards under it shall be subject to all applicable federal and state laws, rules and regulations and to such approvals by any governmental or regulatory agency as may be required.</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Governing Law</w:t>
      </w:r>
      <w:r>
        <w:rPr>
          <w:rFonts w:ascii="Arial" w:cs="Arial" w:eastAsia="Arial" w:hAnsi="Arial"/>
          <w:sz w:val="22"/>
          <w:szCs w:val="22"/>
          <w:color w:val="auto"/>
        </w:rPr>
        <w:t>. The Plan shall be construed in accordance with and governed by the laws of state of Delaware, without reference to principles of conflict of laws, and construed accordingly.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Interpretation</w:t>
      </w:r>
      <w:r>
        <w:rPr>
          <w:rFonts w:ascii="Arial" w:cs="Arial" w:eastAsia="Arial" w:hAnsi="Arial"/>
          <w:sz w:val="22"/>
          <w:szCs w:val="22"/>
          <w:color w:val="auto"/>
        </w:rPr>
        <w:t>. All Awards and, if applicable, Award Notices shall be subject to the terms of this Plan, and the terms of this Plan, as amended from time to time and as interpreted by the Committee, shall prevail over the terms of any Award Notice in all cases, if applicable.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No Alienation</w:t>
      </w:r>
      <w:r>
        <w:rPr>
          <w:rFonts w:ascii="Arial" w:cs="Arial" w:eastAsia="Arial" w:hAnsi="Arial"/>
          <w:sz w:val="22"/>
          <w:szCs w:val="22"/>
          <w:color w:val="auto"/>
        </w:rPr>
        <w:t>. No right or interest of a Participant in any Award may be pledged, encumbered, or hypothecated to or in favor of any party other than the Company or an affiliate of the Company, or shall be subject to any lien, obligation, or liability of such Participant to any other party other than the Company or an affiliate of the Company. No Award shall be assignable or transferable, either voluntarily or involuntarily, by a Participant, including as between spouses or pursuant to a domestic relations order in connection with a dissolution of marriage, or by operation of law, except pursuant to the laws of descent and distribution.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Section 409A</w:t>
      </w:r>
      <w:r>
        <w:rPr>
          <w:rFonts w:ascii="Arial" w:cs="Arial" w:eastAsia="Arial" w:hAnsi="Arial"/>
          <w:sz w:val="21"/>
          <w:szCs w:val="21"/>
          <w:color w:val="auto"/>
        </w:rPr>
        <w:t>. This Plan may be amended at any time, without the consent of any party, to avoid the application of Section 409A of the Code in a particular circumstance or to the extent necessary or desirable to satisfy any of the requirements under Section 409A of the Code, but the Company shall not be under any obligation to make any such amendment. Nothing in the Plan shall provide a basis for any person to take action against the Company or any Subsidiary or affiliate based on matters covered by Section 409A of the Code, including the tax treatment of any amount paid or Award made under the Plan, and neither the Company nor any of its Subsidiaries or affiliates shall under any circumstances have any liability to any Participant or any other party for any taxes, penalties or interest due on amounts paid or payable under the Plan, including taxes, penalties or interest imposed under Section 409A of the Code.</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Forfeiture and Recoupment</w:t>
      </w:r>
      <w:r>
        <w:rPr>
          <w:rFonts w:ascii="Arial" w:cs="Arial" w:eastAsia="Arial" w:hAnsi="Arial"/>
          <w:sz w:val="19"/>
          <w:szCs w:val="19"/>
          <w:color w:val="auto"/>
        </w:rPr>
        <w:t>. All Awards shall be subject to forfeiture and/or repayment to the Company to the extent and in the manner required (a) to comply with any requirements imposed under applicable laws, rules, and/or regulations, and (b) under the terms of any policy, guideline or Board committee charter adopted by the Company, as may be amended from time to time, for reasons related to fraud prevention, governance, avoidance of monetary or reputational damage to the Company and its affiliates or similar considerations, whether or not such policy, guideline or charter was in place at the time of grant of an Award (and such requirements shall be deemed incorporated into the Plan without the consent of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2" w:name="page73"/>
    <w:bookmarkEnd w:id="72"/>
    <w:p>
      <w:pPr>
        <w:jc w:val="both"/>
        <w:ind w:firstLine="648"/>
        <w:spacing w:after="0" w:line="289"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u w:val="single" w:color="auto"/>
          <w:color w:val="auto"/>
        </w:rPr>
        <w:t>Participants Outside the United States</w:t>
      </w:r>
      <w:r>
        <w:rPr>
          <w:rFonts w:ascii="Arial" w:cs="Arial" w:eastAsia="Arial" w:hAnsi="Arial"/>
          <w:sz w:val="19"/>
          <w:szCs w:val="19"/>
          <w:color w:val="auto"/>
        </w:rPr>
        <w:t>. Awards may be granted to employees who are foreign nationals or residents or employed outside the United States, or both, on such terms and conditions different from those applicable to Awards to employees who are not foreign nationals or residents or who are employed in the United States as may, in the judgment of the Committee, be necessary or desirable in order to recognize differences in local law, regulations or tax policy. If any provision of the Plan is or becomes or is deemed to be invalid, illegal or unenforceable in any jurisdiction, or as to any person or Award, or would disqualify the Plan or any Award under any law outside the United States where an employee is based, such provision shall be construed or deemed amended to conform to applicable laws, or if it cannot be construed or deemed amended without, in the sole determination of the Committee, materially altering the intent of the Plan, such provision shall be stricken as to such jurisdiction, person or Award, and the remainder of the Plan shall remain in full force and effect.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held invalid or unenforceable, the invalidity or unenforceability shall not affect the remaining parts of the Plan, and the Plan shall be enforced and construed as if such provision had not been included.</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Unfunded Plan</w:t>
      </w:r>
      <w:r>
        <w:rPr>
          <w:rFonts w:ascii="Arial" w:cs="Arial" w:eastAsia="Arial" w:hAnsi="Arial"/>
          <w:sz w:val="19"/>
          <w:szCs w:val="19"/>
          <w:color w:val="auto"/>
        </w:rPr>
        <w:t>. The Plan is intended to constitute an unfunded plan for incentive compensation. Prior to the payment of any Award, nothing contained herein shall give any Participant any rights that are greater than those of a general creditor of the Company. No amounts awarded or accrued under the Plan shall be funded, set aside, subject to interest payment or otherwise segregated prior to payment of an Award. Any Award payable under the Plan is voluntary and occasional and does not create any contractual or other right to receive Awards in future years or benefits in lieu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2020</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Kevin Jones</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Dustin Semach, certify that:</w:t>
      </w:r>
    </w:p>
    <w:p>
      <w:pPr>
        <w:spacing w:after="0" w:line="252" w:lineRule="exact"/>
        <w:rPr>
          <w:sz w:val="20"/>
          <w:szCs w:val="20"/>
          <w:color w:val="auto"/>
        </w:rPr>
      </w:pPr>
    </w:p>
    <w:p>
      <w:pPr>
        <w:ind w:left="900" w:hanging="40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2020</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Dustin Semach</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Dustin Semach</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36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Kevin Jones,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9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2020</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Kevin Jones</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Dustin Semach, Executive Vice President and Chief Financial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9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10, 2020</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Dustin Semach</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Dustin Semach</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lvl w:ilvl="1">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lvl w:ilvl="1">
      <w:lvlJc w:val="left"/>
      <w:lvlText w:val="-"/>
      <w:numFmt w:val="bullet"/>
      <w:start w:val="1"/>
    </w:lvl>
  </w:abstractNum>
  <w:abstractNum w:abstractNumId="8">
    <w:nsid w:val="2CA88611"/>
    <w:multiLevelType w:val="hybridMultilevel"/>
    <w:lvl w:ilvl="0">
      <w:lvlJc w:val="left"/>
      <w:lvlText w:val="(%1)"/>
      <w:numFmt w:val="decimal"/>
      <w:start w:val="1"/>
    </w:lvl>
    <w:lvl w:ilvl="1">
      <w:lvlJc w:val="left"/>
      <w:lvlText w:val="-"/>
      <w:numFmt w:val="bullet"/>
      <w:start w:val="1"/>
    </w:lvl>
  </w:abstractNum>
  <w:abstractNum w:abstractNumId="9">
    <w:nsid w:val="836C40E"/>
    <w:multiLevelType w:val="hybridMultilevel"/>
    <w:lvl w:ilvl="0">
      <w:lvlJc w:val="left"/>
      <w:lvlText w:val="(%1)"/>
      <w:numFmt w:val="decimal"/>
      <w:start w:val="1"/>
    </w:lvl>
    <w:lvl w:ilvl="1">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Roman"/>
      <w:start w:val="1"/>
    </w:lvl>
    <w:lvl w:ilvl="1">
      <w:lvlJc w:val="left"/>
      <w:lvlText w:val="-"/>
      <w:numFmt w:val="bullet"/>
      <w:start w:val="1"/>
    </w:lvl>
  </w:abstractNum>
  <w:abstractNum w:abstractNumId="16">
    <w:nsid w:val="6CEAF087"/>
    <w:multiLevelType w:val="hybridMultilevel"/>
    <w:lvl w:ilvl="0">
      <w:lvlJc w:val="left"/>
      <w:lvlText w:val="(%1)"/>
      <w:numFmt w:val="lowerLetter"/>
      <w:start w:val="1"/>
    </w:lvl>
    <w:lvl w:ilvl="1">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lvl w:ilvl="1">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bullet"/>
      <w:start w:val="1"/>
    </w:lvl>
  </w:abstractNum>
  <w:abstractNum w:abstractNumId="26">
    <w:nsid w:val="77465F01"/>
    <w:multiLevelType w:val="hybridMultilevel"/>
    <w:lvl w:ilvl="0">
      <w:lvlJc w:val="left"/>
      <w:lvlText w:val="(%1)"/>
      <w:numFmt w:val="decimal"/>
      <w:start w:val="180"/>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2"/>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1"/>
    </w:lvl>
  </w:abstractNum>
  <w:abstractNum w:abstractNumId="33">
    <w:nsid w:val="580BD78F"/>
    <w:multiLevelType w:val="hybridMultilevel"/>
    <w:lvl w:ilvl="0">
      <w:lvlJc w:val="left"/>
      <w:lvlText w:val="(%1)"/>
      <w:numFmt w:val="lowerLetter"/>
      <w:start w:val="16"/>
    </w:lvl>
  </w:abstractNum>
  <w:abstractNum w:abstractNumId="34">
    <w:nsid w:val="153EA438"/>
    <w:multiLevelType w:val="hybridMultilevel"/>
    <w:lvl w:ilvl="0">
      <w:lvlJc w:val="left"/>
      <w:lvlText w:val="(%1)"/>
      <w:numFmt w:val="lowerLetter"/>
      <w:start w:val="19"/>
    </w:lvl>
  </w:abstractNum>
  <w:abstractNum w:abstractNumId="35">
    <w:nsid w:val="3855585C"/>
    <w:multiLevelType w:val="hybridMultilevel"/>
    <w:lvl w:ilvl="0">
      <w:lvlJc w:val="left"/>
      <w:lvlText w:val="(%1)"/>
      <w:numFmt w:val="lowerLetter"/>
      <w:start w:val="25"/>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lvl w:ilvl="1">
      <w:lvlJc w:val="left"/>
      <w:lvlText w:val="(%2)"/>
      <w:numFmt w:val="lowerRoman"/>
      <w:start w:val="1"/>
    </w:lvl>
  </w:abstractNum>
  <w:abstractNum w:abstractNumId="39">
    <w:nsid w:val="1D4ED43B"/>
    <w:multiLevelType w:val="hybridMultilevel"/>
    <w:lvl w:ilvl="0">
      <w:lvlJc w:val="left"/>
      <w:lvlText w:val="(%1)"/>
      <w:numFmt w:val="lowerRoman"/>
      <w:start w:val="3"/>
    </w:lvl>
  </w:abstractNum>
  <w:abstractNum w:abstractNumId="40">
    <w:nsid w:val="725A06FB"/>
    <w:multiLevelType w:val="hybridMultilevel"/>
    <w:lvl w:ilvl="0">
      <w:lvlJc w:val="left"/>
      <w:lvlText w:val="(%1)"/>
      <w:numFmt w:val="lowerLetter"/>
      <w:start w:val="2"/>
    </w:lvl>
  </w:abstractNum>
  <w:abstractNum w:abstractNumId="41">
    <w:nsid w:val="2CD89A32"/>
    <w:multiLevelType w:val="hybridMultilevel"/>
    <w:lvl w:ilvl="0">
      <w:lvlJc w:val="left"/>
      <w:lvlText w:val="(%1)"/>
      <w:numFmt w:val="lowerLetter"/>
      <w:start w:val="1"/>
    </w:lvl>
    <w:lvl w:ilvl="1">
      <w:lvlJc w:val="left"/>
      <w:lvlText w:val="(%2)"/>
      <w:numFmt w:val="lowerRoman"/>
      <w:start w:val="1"/>
    </w:lvl>
  </w:abstractNum>
  <w:abstractNum w:abstractNumId="42">
    <w:nsid w:val="57E4CCAF"/>
    <w:multiLevelType w:val="hybridMultilevel"/>
    <w:lvl w:ilvl="0">
      <w:lvlJc w:val="left"/>
      <w:lvlText w:val="%1."/>
      <w:numFmt w:val="decimal"/>
      <w:start w:val="9"/>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72" Type="http://schemas.openxmlformats.org/officeDocument/2006/relationships/hyperlink" Target="https://www.sec.gov/Archives/edgar/data/1810019/000119312520213058/d10215dex101.htm" TargetMode="External"/><Relationship Id="rId73" Type="http://schemas.openxmlformats.org/officeDocument/2006/relationships/hyperlink" Target="https://www.sec.gov/Archives/edgar/data/1810019/000119312520213058/d10215dex102.htm" TargetMode="External"/><Relationship Id="rId74" Type="http://schemas.openxmlformats.org/officeDocument/2006/relationships/hyperlink" Target="https://www.sec.gov/Archives/edgar/data/1810019/000119312520213058/d10215dex103.htm" TargetMode="External"/><Relationship Id="rId75" Type="http://schemas.openxmlformats.org/officeDocument/2006/relationships/hyperlink" Target="https://www.sec.gov/Archives/edgar/data/1810019/000119312520213058/d10215dex104.htm" TargetMode="External"/><Relationship Id="rId76" Type="http://schemas.openxmlformats.org/officeDocument/2006/relationships/hyperlink" Target="https://www.sec.gov/Archives/edgar/data/1810019/000119312520199062/d915709dex1034.htm" TargetMode="External"/><Relationship Id="rId77" Type="http://schemas.openxmlformats.org/officeDocument/2006/relationships/hyperlink" Target="https://www.sec.gov/Archives/edgar/data/1810019/000119312520209647/d36076dex42.htm" TargetMode="External"/><Relationship Id="rId78" Type="http://schemas.openxmlformats.org/officeDocument/2006/relationships/hyperlink" Target="https://www.sec.gov/Archives/edgar/data/1810019/000119312520209647/d36076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2020-11-10T16:10:52Z</dcterms:created>
  <dcterms:modified xsi:type="dcterms:W3CDTF">2020-11-10T16:10:52Z</dcterms:modified>
</cp:coreProperties>
</file>